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22B47" w:rsidRDefault="00022B47">
      <w:pPr>
        <w:pStyle w:val="Normal0"/>
        <w:sectPr w:rsidR="00022B47">
          <w:headerReference w:type="even" r:id="rId6"/>
          <w:headerReference w:type="default" r:id="rId7"/>
          <w:footerReference w:type="even" r:id="rId8"/>
          <w:footerReference w:type="default" r:id="rId9"/>
          <w:headerReference w:type="first" r:id="rId10"/>
          <w:footerReference w:type="first" r:id="rId11"/>
          <w:pgSz w:w="12240" w:h="15840"/>
          <w:pgMar w:top="840" w:right="1000" w:bottom="840" w:left="1000" w:header="400" w:footer="400" w:gutter="0"/>
          <w:cols w:space="720"/>
          <w:titlePg/>
        </w:sectPr>
      </w:pPr>
    </w:p>
    <w:p w:rsidR="00022B47" w:rsidRDefault="00022B47">
      <w:pPr>
        <w:pStyle w:val="Normal0"/>
      </w:pPr>
    </w:p>
    <w:p w:rsidR="00022B47" w:rsidRDefault="00000000">
      <w:pPr>
        <w:pStyle w:val="Heading1"/>
        <w:keepNext w:val="0"/>
        <w:widowControl w:val="0"/>
        <w:spacing w:after="200" w:line="340" w:lineRule="atLeast"/>
        <w:jc w:val="center"/>
      </w:pPr>
      <w:r>
        <w:rPr>
          <w:rFonts w:eastAsia="Arial"/>
          <w:color w:val="000000"/>
          <w:sz w:val="28"/>
        </w:rPr>
        <w:t>Mastaw v. W. Fla. Med. Ctr. Clinic, PA</w:t>
      </w:r>
    </w:p>
    <w:p w:rsidR="00022B47" w:rsidRDefault="00000000">
      <w:pPr>
        <w:pStyle w:val="Normal0"/>
        <w:widowControl w:val="0"/>
        <w:spacing w:before="120" w:line="260" w:lineRule="atLeast"/>
        <w:jc w:val="center"/>
      </w:pPr>
      <w:r>
        <w:rPr>
          <w:rFonts w:ascii="Arial" w:eastAsia="Arial" w:hAnsi="Arial" w:cs="Arial"/>
          <w:color w:val="000000"/>
          <w:sz w:val="20"/>
        </w:rPr>
        <w:t>United States Court of Appeals for the Eleventh Circuit</w:t>
      </w:r>
    </w:p>
    <w:p w:rsidR="00022B47" w:rsidRDefault="00000000">
      <w:pPr>
        <w:pStyle w:val="Normal0"/>
        <w:widowControl w:val="0"/>
        <w:spacing w:before="120" w:line="260" w:lineRule="atLeast"/>
        <w:jc w:val="center"/>
      </w:pPr>
      <w:r>
        <w:rPr>
          <w:rFonts w:ascii="Arial" w:eastAsia="Arial" w:hAnsi="Arial" w:cs="Arial"/>
          <w:color w:val="000000"/>
          <w:sz w:val="20"/>
        </w:rPr>
        <w:t>August 23, 2023, Filed</w:t>
      </w:r>
    </w:p>
    <w:p w:rsidR="00022B47" w:rsidRDefault="00000000">
      <w:pPr>
        <w:pStyle w:val="Normal0"/>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22-12202, Non-Argument Calendar</w:t>
      </w:r>
    </w:p>
    <w:p w:rsidR="00022B47" w:rsidRDefault="00022B47">
      <w:pPr>
        <w:pStyle w:val="Normal0"/>
        <w:widowControl w:val="0"/>
        <w:spacing w:line="240" w:lineRule="atLeast"/>
        <w:jc w:val="both"/>
      </w:pPr>
      <w:bookmarkStart w:id="0" w:name="Bookmark_1"/>
      <w:bookmarkEnd w:id="0"/>
    </w:p>
    <w:p w:rsidR="00022B47" w:rsidRDefault="00000000">
      <w:pPr>
        <w:pStyle w:val="Normal0"/>
        <w:widowControl w:val="0"/>
        <w:spacing w:before="200" w:line="240" w:lineRule="atLeast"/>
      </w:pPr>
      <w:bookmarkStart w:id="1" w:name="Reporter"/>
      <w:bookmarkEnd w:id="1"/>
      <w:r>
        <w:rPr>
          <w:rFonts w:ascii="Arial" w:eastAsia="Arial" w:hAnsi="Arial" w:cs="Arial"/>
          <w:b/>
          <w:color w:val="000000"/>
          <w:sz w:val="18"/>
        </w:rPr>
        <w:t>Reporter</w:t>
      </w:r>
    </w:p>
    <w:p w:rsidR="00022B47" w:rsidRDefault="00000000">
      <w:pPr>
        <w:pStyle w:val="Normal0"/>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2023 U.S. App. LEXIS 22208 *; 2023 WL 5426757</w:t>
      </w:r>
    </w:p>
    <w:p w:rsidR="00022B47" w:rsidRDefault="00000000">
      <w:pPr>
        <w:pStyle w:val="Normal0"/>
        <w:widowControl w:val="0"/>
        <w:spacing w:before="120" w:line="260" w:lineRule="atLeast"/>
      </w:pPr>
      <w:r>
        <w:rPr>
          <w:rFonts w:ascii="Arial" w:eastAsia="Arial" w:hAnsi="Arial" w:cs="Arial"/>
          <w:color w:val="000000"/>
          <w:sz w:val="20"/>
        </w:rPr>
        <w:t>GERALD A. MASTAW, M.D., Plaintiff-Appellant, versus WEST FLORIDA MEDICAL CENTER CLINIC, PA, JAMES FROST, M.D. Defendants-Appellees,</w:t>
      </w:r>
    </w:p>
    <w:p w:rsidR="00022B47" w:rsidRDefault="00000000">
      <w:pPr>
        <w:pStyle w:val="Normal0"/>
        <w:widowControl w:val="0"/>
        <w:spacing w:before="240" w:line="260" w:lineRule="atLeast"/>
        <w:jc w:val="both"/>
      </w:pPr>
      <w:bookmarkStart w:id="2" w:name="Notice"/>
      <w:bookmarkEnd w:id="2"/>
      <w:r>
        <w:rPr>
          <w:rFonts w:ascii="Arial" w:eastAsia="Arial" w:hAnsi="Arial" w:cs="Arial"/>
          <w:b/>
          <w:color w:val="000000"/>
          <w:sz w:val="20"/>
        </w:rPr>
        <w:t>Notice:</w:t>
      </w:r>
      <w:r>
        <w:rPr>
          <w:rFonts w:ascii="Arial" w:eastAsia="Arial" w:hAnsi="Arial" w:cs="Arial"/>
          <w:color w:val="000000"/>
          <w:sz w:val="20"/>
        </w:rPr>
        <w:t> </w:t>
      </w:r>
      <w:bookmarkStart w:id="3" w:name="Bookmark_para_1"/>
      <w:bookmarkEnd w:id="3"/>
      <w:r>
        <w:rPr>
          <w:rFonts w:ascii="Arial" w:eastAsia="Arial" w:hAnsi="Arial" w:cs="Arial"/>
          <w:color w:val="000000"/>
          <w:sz w:val="20"/>
        </w:rPr>
        <w:t>PLEASE REFER TO FEDERAL RULES OF APPELLATE PROCEDURE RULE 32.1 GOVERNING THE CITATION TO UNPUBLISHED OPINIONS.</w:t>
      </w:r>
    </w:p>
    <w:p w:rsidR="00022B47" w:rsidRDefault="00000000">
      <w:pPr>
        <w:pStyle w:val="Normal0"/>
        <w:widowControl w:val="0"/>
        <w:spacing w:before="240" w:line="260" w:lineRule="atLeast"/>
        <w:jc w:val="both"/>
      </w:pPr>
      <w:bookmarkStart w:id="4" w:name="Prior_History"/>
      <w:bookmarkEnd w:id="4"/>
      <w:r>
        <w:rPr>
          <w:rFonts w:ascii="Arial" w:eastAsia="Arial" w:hAnsi="Arial" w:cs="Arial"/>
          <w:b/>
          <w:color w:val="000000"/>
          <w:sz w:val="20"/>
        </w:rPr>
        <w:t>Prior History:</w:t>
      </w:r>
      <w:r>
        <w:rPr>
          <w:rFonts w:ascii="Arial" w:eastAsia="Arial" w:hAnsi="Arial" w:cs="Arial"/>
          <w:color w:val="000000"/>
          <w:sz w:val="20"/>
        </w:rPr>
        <w:t> </w:t>
      </w:r>
      <w:bookmarkStart w:id="5" w:name="Bookmark_para_2"/>
      <w:bookmarkEnd w:id="5"/>
      <w:r>
        <w:rPr>
          <w:rFonts w:ascii="Arial" w:eastAsia="Arial" w:hAnsi="Arial" w:cs="Arial"/>
          <w:color w:val="000000"/>
          <w:sz w:val="20"/>
        </w:rPr>
        <w:t> [*1] Appeal from the United States District Court for the Northern District of Florida. D.C. Docket No. 3:20-cv-05888-RV-ZCB.</w:t>
      </w:r>
    </w:p>
    <w:p w:rsidR="00022B47" w:rsidRDefault="00000000">
      <w:pPr>
        <w:pStyle w:val="Normal0"/>
        <w:widowControl w:val="0"/>
        <w:spacing w:before="120" w:line="260" w:lineRule="atLeast"/>
      </w:pPr>
      <w:r>
        <w:rPr>
          <w:rFonts w:ascii="Arial" w:eastAsia="Arial" w:hAnsi="Arial" w:cs="Arial"/>
          <w:color w:val="000000"/>
          <w:sz w:val="20"/>
        </w:rPr>
        <w:t>Mastaw v. W. Fla. Med. Ctr. Clinic, P.A., 2022 U.S. Dist. LEXIS 121074, 2022 WL 2517207 (N.D. Fla., Apr. 26, 2022)</w:t>
      </w:r>
    </w:p>
    <w:p w:rsidR="00022B47" w:rsidRDefault="00000000">
      <w:pPr>
        <w:pStyle w:val="Normal0"/>
        <w:widowControl w:val="0"/>
        <w:spacing w:before="240" w:line="260" w:lineRule="atLeast"/>
        <w:jc w:val="both"/>
      </w:pPr>
      <w:bookmarkStart w:id="6" w:name="Disposition"/>
      <w:bookmarkEnd w:id="6"/>
      <w:r>
        <w:rPr>
          <w:rFonts w:ascii="Arial" w:eastAsia="Arial" w:hAnsi="Arial" w:cs="Arial"/>
          <w:b/>
          <w:color w:val="000000"/>
          <w:sz w:val="20"/>
        </w:rPr>
        <w:t>Disposition:</w:t>
      </w:r>
      <w:r>
        <w:rPr>
          <w:rFonts w:ascii="Arial" w:eastAsia="Arial" w:hAnsi="Arial" w:cs="Arial"/>
          <w:color w:val="000000"/>
          <w:sz w:val="20"/>
        </w:rPr>
        <w:t> </w:t>
      </w:r>
      <w:bookmarkStart w:id="7" w:name="Bookmark_clspara_1"/>
      <w:bookmarkEnd w:id="7"/>
      <w:r>
        <w:rPr>
          <w:rFonts w:ascii="Arial" w:eastAsia="Arial" w:hAnsi="Arial" w:cs="Arial"/>
          <w:color w:val="000000"/>
          <w:sz w:val="20"/>
        </w:rPr>
        <w:t>AFFIRMED.</w:t>
      </w:r>
    </w:p>
    <w:p w:rsidR="00022B47" w:rsidRDefault="00000000">
      <w:pPr>
        <w:pStyle w:val="Normal0"/>
        <w:widowControl w:val="0"/>
        <w:spacing w:before="240" w:line="260" w:lineRule="atLeast"/>
      </w:pPr>
      <w:bookmarkStart w:id="8" w:name="Counsel"/>
      <w:bookmarkEnd w:id="8"/>
      <w:r>
        <w:rPr>
          <w:rFonts w:ascii="Arial" w:eastAsia="Arial" w:hAnsi="Arial" w:cs="Arial"/>
          <w:b/>
          <w:color w:val="000000"/>
          <w:sz w:val="20"/>
        </w:rPr>
        <w:t>Counsel:</w:t>
      </w:r>
      <w:r>
        <w:rPr>
          <w:rFonts w:ascii="Arial" w:eastAsia="Arial" w:hAnsi="Arial" w:cs="Arial"/>
          <w:color w:val="000000"/>
          <w:sz w:val="20"/>
        </w:rPr>
        <w:t> For GERALD A. MASTAW, Plaintiff - Appellant: George Roderick Mead II, Moore Hill &amp; Westmoreland, PA, PENSACOLA, FL.</w:t>
      </w:r>
    </w:p>
    <w:p w:rsidR="00022B47" w:rsidRDefault="00000000">
      <w:pPr>
        <w:pStyle w:val="Normal0"/>
        <w:widowControl w:val="0"/>
        <w:spacing w:before="120" w:line="260" w:lineRule="atLeast"/>
      </w:pPr>
      <w:r>
        <w:rPr>
          <w:rFonts w:ascii="Arial" w:eastAsia="Arial" w:hAnsi="Arial" w:cs="Arial"/>
          <w:color w:val="000000"/>
          <w:sz w:val="20"/>
        </w:rPr>
        <w:t>For WEST FLORIDA MEDICAL CENTER CLINIC, PA, JAMES FROST, Defendants - Appellees: Trevor A. Thompson, Clark Partington, TALLAHASSEE, FL; Jeremy Chase Branning, Clark Partington Hart Larry Bond &amp; Stackhouse, PENSACOLA, FL; Andrew McKinnon Spencer, Clark Partington, PENSACOLA, FL.</w:t>
      </w:r>
    </w:p>
    <w:p w:rsidR="00022B47" w:rsidRDefault="00000000">
      <w:pPr>
        <w:pStyle w:val="Normal0"/>
        <w:widowControl w:val="0"/>
        <w:spacing w:before="240" w:line="260" w:lineRule="atLeast"/>
      </w:pPr>
      <w:bookmarkStart w:id="9" w:name="Judges"/>
      <w:bookmarkEnd w:id="9"/>
      <w:r>
        <w:rPr>
          <w:rFonts w:ascii="Arial" w:eastAsia="Arial" w:hAnsi="Arial" w:cs="Arial"/>
          <w:b/>
          <w:color w:val="000000"/>
          <w:sz w:val="20"/>
        </w:rPr>
        <w:t>Judges:</w:t>
      </w:r>
      <w:r>
        <w:rPr>
          <w:rFonts w:ascii="Arial" w:eastAsia="Arial" w:hAnsi="Arial" w:cs="Arial"/>
          <w:color w:val="000000"/>
          <w:sz w:val="20"/>
        </w:rPr>
        <w:t> Before BRASHER, ANDERSON and DUBINA, Circuit Judges.</w:t>
      </w:r>
    </w:p>
    <w:p w:rsidR="00022B47" w:rsidRDefault="00000000">
      <w:pPr>
        <w:pStyle w:val="Normal0"/>
        <w:keepNext/>
        <w:widowControl w:val="0"/>
        <w:spacing w:before="240" w:line="340" w:lineRule="atLeast"/>
      </w:pPr>
      <w:bookmarkStart w:id="10" w:name="Opinion"/>
      <w:bookmarkEnd w:id="10"/>
      <w:r>
        <w:rPr>
          <w:rFonts w:ascii="Arial" w:eastAsia="Arial" w:hAnsi="Arial" w:cs="Arial"/>
          <w:b/>
          <w:color w:val="000000"/>
          <w:sz w:val="28"/>
        </w:rPr>
        <w:t>Opinion</w:t>
      </w:r>
    </w:p>
    <w:p w:rsidR="00022B47" w:rsidRDefault="0025213E">
      <w:pPr>
        <w:pStyle w:val="Normal0"/>
        <w:spacing w:line="60" w:lineRule="exact"/>
      </w:pPr>
      <w:r>
        <w:rPr>
          <w:noProof/>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25400</wp:posOffset>
                </wp:positionV>
                <wp:extent cx="3187700" cy="0"/>
                <wp:effectExtent l="21590" t="12700" r="19685" b="15875"/>
                <wp:wrapTopAndBottom/>
                <wp:docPr id="900099850"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224075" id="Line 10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0"/>
      </w:pPr>
    </w:p>
    <w:p w:rsidR="00022B47" w:rsidRDefault="00000000">
      <w:pPr>
        <w:pStyle w:val="Normal0"/>
        <w:widowControl w:val="0"/>
        <w:spacing w:before="200" w:line="260" w:lineRule="atLeast"/>
        <w:jc w:val="both"/>
      </w:pPr>
      <w:bookmarkStart w:id="11" w:name="Bookmark_para_3"/>
      <w:bookmarkEnd w:id="11"/>
      <w:r>
        <w:rPr>
          <w:rFonts w:ascii="Arial" w:eastAsia="Arial" w:hAnsi="Arial" w:cs="Arial"/>
          <w:color w:val="000000"/>
          <w:sz w:val="20"/>
        </w:rPr>
        <w:t>PER CURIAM:</w:t>
      </w:r>
    </w:p>
    <w:p w:rsidR="00022B47" w:rsidRDefault="00000000">
      <w:pPr>
        <w:pStyle w:val="Normal0"/>
        <w:widowControl w:val="0"/>
        <w:spacing w:before="200" w:line="260" w:lineRule="atLeast"/>
        <w:jc w:val="both"/>
      </w:pPr>
      <w:bookmarkStart w:id="12" w:name="Bookmark_para_4"/>
      <w:bookmarkEnd w:id="12"/>
      <w:r>
        <w:rPr>
          <w:rFonts w:ascii="Arial" w:eastAsia="Arial" w:hAnsi="Arial" w:cs="Arial"/>
          <w:color w:val="000000"/>
          <w:sz w:val="20"/>
        </w:rPr>
        <w:t xml:space="preserve">Appellant Gerald A. Mastaw, M.D., appeals the district court's order granting summary judgment to West Florida Medical Center Clinic, P.A. ("MCC") and James Frost, M.D. ("Defendants") on Mastaw's breach of contract, Family Medical Leave Act ("FMLA") and Americans with Disabilities Act ("ADA") retaliation, ADA reasonable accommodation, and defamation claims. Mastaw raises numerous issues on appeal: (1) that the district court erred in granting summary judgment to the Defendants on his breach of contract claim because it did not consider Florida statutory law providing due process hearing rights and his employer's adoption, via its Bylaws, of the Healthcare Quality Improvement Act of 1986 ("HCQIA"), 42 U.S.C. § 11101 </w:t>
      </w:r>
      <w:r>
        <w:rPr>
          <w:rFonts w:ascii="Arial" w:eastAsia="Arial" w:hAnsi="Arial" w:cs="Arial"/>
          <w:i/>
          <w:color w:val="000000"/>
          <w:sz w:val="20"/>
        </w:rPr>
        <w:t>et seq.</w:t>
      </w:r>
      <w:r>
        <w:rPr>
          <w:rFonts w:ascii="Arial" w:eastAsia="Arial" w:hAnsi="Arial" w:cs="Arial"/>
          <w:color w:val="000000"/>
          <w:sz w:val="20"/>
        </w:rPr>
        <w:t>, standards; (2) that the district [*2]  court erred in granting summary judgment to Defendants on Mastaw's FMLA and ADA retaliation claims because he provided direct evidence of retaliatory motive and rebutted the Defendants' legitimate, non-discriminatory reason for his termination; (3) that the district court erred in granting summary judgment to Defendants on his ADA accommodation claim because his request to report to a different supervisor was a reasonable accommodation; and (4) that the district court erred in granting summary judgment to Defendants on his defamation claim because any common law privilege was supplanted by federal and Florida statutory law and failure to provide HCQIA due process meant the Defendants did not have immunity for statements in their publication to the National Practitioner Data Bank ("Data Bank"). Having read the parties' briefs and reviewed the record, we affirm the district court's grant of summary judgment to the Defendants.</w:t>
      </w:r>
    </w:p>
    <w:p w:rsidR="00022B47" w:rsidRDefault="00000000">
      <w:pPr>
        <w:pStyle w:val="Normal0"/>
        <w:widowControl w:val="0"/>
        <w:spacing w:before="240" w:line="260" w:lineRule="atLeast"/>
      </w:pPr>
      <w:r>
        <w:br/>
      </w:r>
      <w:r>
        <w:rPr>
          <w:rFonts w:ascii="Arial" w:eastAsia="Arial" w:hAnsi="Arial" w:cs="Arial"/>
          <w:b/>
          <w:color w:val="000000"/>
          <w:sz w:val="20"/>
        </w:rPr>
        <w:t>I</w:t>
      </w:r>
      <w:r>
        <w:rPr>
          <w:rFonts w:ascii="Arial" w:eastAsia="Arial" w:hAnsi="Arial" w:cs="Arial"/>
          <w:color w:val="000000"/>
          <w:sz w:val="20"/>
        </w:rPr>
        <w:t>.</w:t>
      </w:r>
    </w:p>
    <w:p w:rsidR="00022B47" w:rsidRDefault="00000000">
      <w:pPr>
        <w:pStyle w:val="Normal0"/>
        <w:widowControl w:val="0"/>
        <w:spacing w:before="200" w:line="260" w:lineRule="atLeast"/>
        <w:jc w:val="both"/>
      </w:pPr>
      <w:bookmarkStart w:id="13" w:name="Bookmark_para_5"/>
      <w:bookmarkEnd w:id="13"/>
      <w:r>
        <w:rPr>
          <w:rFonts w:ascii="Arial" w:eastAsia="Arial" w:hAnsi="Arial" w:cs="Arial"/>
          <w:color w:val="000000"/>
          <w:sz w:val="20"/>
        </w:rPr>
        <w:t xml:space="preserve">The interpretation of a contract is reviewed </w:t>
      </w:r>
      <w:r>
        <w:rPr>
          <w:rFonts w:ascii="Arial" w:eastAsia="Arial" w:hAnsi="Arial" w:cs="Arial"/>
          <w:i/>
          <w:color w:val="000000"/>
          <w:sz w:val="20"/>
        </w:rPr>
        <w:t>de novo</w:t>
      </w:r>
      <w:r>
        <w:rPr>
          <w:rFonts w:ascii="Arial" w:eastAsia="Arial" w:hAnsi="Arial" w:cs="Arial"/>
          <w:color w:val="000000"/>
          <w:sz w:val="20"/>
        </w:rPr>
        <w:t xml:space="preserve"> as a pure question of law. </w:t>
      </w:r>
      <w:r>
        <w:rPr>
          <w:rFonts w:ascii="Arial" w:eastAsia="Arial" w:hAnsi="Arial" w:cs="Arial"/>
          <w:i/>
          <w:color w:val="000000"/>
          <w:sz w:val="20"/>
        </w:rPr>
        <w:t>Tims v. LGE Cmty. Credit Union</w:t>
      </w:r>
      <w:r>
        <w:rPr>
          <w:rFonts w:ascii="Arial" w:eastAsia="Arial" w:hAnsi="Arial" w:cs="Arial"/>
          <w:color w:val="000000"/>
          <w:sz w:val="20"/>
        </w:rPr>
        <w:t xml:space="preserve">, 935 F.3d 1228, 1237 (11th Cir. 2019). We review the district court's grant of summary judgment </w:t>
      </w:r>
      <w:r>
        <w:rPr>
          <w:rFonts w:ascii="Arial" w:eastAsia="Arial" w:hAnsi="Arial" w:cs="Arial"/>
          <w:i/>
          <w:color w:val="000000"/>
          <w:sz w:val="20"/>
        </w:rPr>
        <w:t>de novo. Alvarez v. Royal Atl. Devs., Inc.</w:t>
      </w:r>
      <w:r>
        <w:rPr>
          <w:rFonts w:ascii="Arial" w:eastAsia="Arial" w:hAnsi="Arial" w:cs="Arial"/>
          <w:color w:val="000000"/>
          <w:sz w:val="20"/>
        </w:rPr>
        <w:t xml:space="preserve">, 610 F.3d 1253, 1263 (11th Cir. 2010). Summary judgment is appropriate if the movant shows that there is no genuine dispute of material fact, and the [*3]  movant is entitled to judgment as a matter of law. </w:t>
      </w:r>
      <w:r>
        <w:rPr>
          <w:rFonts w:ascii="Arial" w:eastAsia="Arial" w:hAnsi="Arial" w:cs="Arial"/>
          <w:i/>
          <w:color w:val="000000"/>
          <w:sz w:val="20"/>
        </w:rPr>
        <w:t>Id.</w:t>
      </w:r>
      <w:r>
        <w:rPr>
          <w:rFonts w:ascii="Arial" w:eastAsia="Arial" w:hAnsi="Arial" w:cs="Arial"/>
          <w:color w:val="000000"/>
          <w:sz w:val="20"/>
        </w:rPr>
        <w:t xml:space="preserve"> at 1263-64. We may affirm summary judgment on any ground supported by the record, even if the district court relied on an incorrect ground or gave an incorrect reason. </w:t>
      </w:r>
      <w:r>
        <w:rPr>
          <w:rFonts w:ascii="Arial" w:eastAsia="Arial" w:hAnsi="Arial" w:cs="Arial"/>
          <w:i/>
          <w:color w:val="000000"/>
          <w:sz w:val="20"/>
        </w:rPr>
        <w:t>Id.</w:t>
      </w:r>
      <w:r>
        <w:rPr>
          <w:rFonts w:ascii="Arial" w:eastAsia="Arial" w:hAnsi="Arial" w:cs="Arial"/>
          <w:color w:val="000000"/>
          <w:sz w:val="20"/>
        </w:rPr>
        <w:t xml:space="preserve"> at 1264.</w:t>
      </w:r>
    </w:p>
    <w:p w:rsidR="00022B47" w:rsidRDefault="00000000">
      <w:pPr>
        <w:pStyle w:val="Normal0"/>
        <w:widowControl w:val="0"/>
        <w:spacing w:before="200" w:line="260" w:lineRule="atLeast"/>
        <w:jc w:val="both"/>
      </w:pPr>
      <w:bookmarkStart w:id="14" w:name="Bookmark_para_6"/>
      <w:bookmarkEnd w:id="14"/>
      <w:r>
        <w:rPr>
          <w:rFonts w:ascii="Arial" w:eastAsia="Arial" w:hAnsi="Arial" w:cs="Arial"/>
          <w:color w:val="000000"/>
          <w:sz w:val="20"/>
        </w:rPr>
        <w:t xml:space="preserve">Under Florida law, the legal effect of contractual provisions should be determined based on the plain meaning of the words of the entire contract. </w:t>
      </w:r>
      <w:r>
        <w:rPr>
          <w:rFonts w:ascii="Arial" w:eastAsia="Arial" w:hAnsi="Arial" w:cs="Arial"/>
          <w:i/>
          <w:color w:val="000000"/>
          <w:sz w:val="20"/>
        </w:rPr>
        <w:t>Fla. Inv. Grp., LLC v. Lafont</w:t>
      </w:r>
      <w:r>
        <w:rPr>
          <w:rFonts w:ascii="Arial" w:eastAsia="Arial" w:hAnsi="Arial" w:cs="Arial"/>
          <w:color w:val="000000"/>
          <w:sz w:val="20"/>
        </w:rPr>
        <w:t xml:space="preserve">, 271 So. 3d 1, 4 (Fla. Dist. Ct. App. 2019). Courts should not read contractual terms or provisions in isolation. </w:t>
      </w:r>
      <w:r>
        <w:rPr>
          <w:rFonts w:ascii="Arial" w:eastAsia="Arial" w:hAnsi="Arial" w:cs="Arial"/>
          <w:i/>
          <w:color w:val="000000"/>
          <w:sz w:val="20"/>
        </w:rPr>
        <w:t>Id.</w:t>
      </w:r>
      <w:r>
        <w:rPr>
          <w:rFonts w:ascii="Arial" w:eastAsia="Arial" w:hAnsi="Arial" w:cs="Arial"/>
          <w:color w:val="000000"/>
          <w:sz w:val="20"/>
        </w:rPr>
        <w:t xml:space="preserve"> at 4-5. The Supreme Court has recognized that the use of a "notwithstanding" clause indicates that the provisions following that word supersede any conflicting provisions in other sections. </w:t>
      </w:r>
      <w:r>
        <w:rPr>
          <w:rFonts w:ascii="Arial" w:eastAsia="Arial" w:hAnsi="Arial" w:cs="Arial"/>
          <w:i/>
          <w:color w:val="000000"/>
          <w:sz w:val="20"/>
        </w:rPr>
        <w:t>Cisneros v. Alpine Ridge Grp.</w:t>
      </w:r>
      <w:r>
        <w:rPr>
          <w:rFonts w:ascii="Arial" w:eastAsia="Arial" w:hAnsi="Arial" w:cs="Arial"/>
          <w:color w:val="000000"/>
          <w:sz w:val="20"/>
        </w:rPr>
        <w:t>, 508 U.S. 10, 18, 113 S. Ct. 1898, 1903, 123 L. Ed. 2d 572 (1993).</w:t>
      </w:r>
    </w:p>
    <w:p w:rsidR="00022B47" w:rsidRDefault="00000000">
      <w:pPr>
        <w:pStyle w:val="Normal0"/>
        <w:widowControl w:val="0"/>
        <w:spacing w:before="200" w:line="260" w:lineRule="atLeast"/>
        <w:jc w:val="both"/>
      </w:pPr>
      <w:bookmarkStart w:id="15" w:name="Bookmark_para_7"/>
      <w:bookmarkEnd w:id="15"/>
      <w:r>
        <w:rPr>
          <w:rFonts w:ascii="Arial" w:eastAsia="Arial" w:hAnsi="Arial" w:cs="Arial"/>
          <w:color w:val="000000"/>
          <w:sz w:val="20"/>
        </w:rPr>
        <w:t xml:space="preserve">The "law of the land at the time a contract is made be-come[s] a part of it and must be read into it just as if an express provision to that effect were inserted therein, except where the contract discloses a contrary intention." </w:t>
      </w:r>
      <w:r>
        <w:rPr>
          <w:rFonts w:ascii="Arial" w:eastAsia="Arial" w:hAnsi="Arial" w:cs="Arial"/>
          <w:i/>
          <w:color w:val="000000"/>
          <w:sz w:val="20"/>
        </w:rPr>
        <w:t>Northbrook Prop. &amp; Cas. Ins. Co. v. R &amp; J Crane Serv., Inc.</w:t>
      </w:r>
      <w:r>
        <w:rPr>
          <w:rFonts w:ascii="Arial" w:eastAsia="Arial" w:hAnsi="Arial" w:cs="Arial"/>
          <w:color w:val="000000"/>
          <w:sz w:val="20"/>
        </w:rPr>
        <w:t xml:space="preserve">, 765 So. 2d 836, 839 (Fla. Dist. Ct. App. 2000) (quotation marks omitted). But "[p]arties may freely contract around state law where the provisions of such contracts are not void as against public policy because they contravene a statute or legislative intent." </w:t>
      </w:r>
      <w:r>
        <w:rPr>
          <w:rFonts w:ascii="Arial" w:eastAsia="Arial" w:hAnsi="Arial" w:cs="Arial"/>
          <w:i/>
          <w:color w:val="000000"/>
          <w:sz w:val="20"/>
        </w:rPr>
        <w:t>Hernandez v. Crespo</w:t>
      </w:r>
      <w:r>
        <w:rPr>
          <w:rFonts w:ascii="Arial" w:eastAsia="Arial" w:hAnsi="Arial" w:cs="Arial"/>
          <w:color w:val="000000"/>
          <w:sz w:val="20"/>
        </w:rPr>
        <w:t xml:space="preserve">, 211 So. 3d 19, 25 (Fla. 2016). Florida courts "carefully weigh the right to freely contract against the legislative intent and the public policy it seeks to enact." </w:t>
      </w:r>
      <w:r>
        <w:rPr>
          <w:rFonts w:ascii="Arial" w:eastAsia="Arial" w:hAnsi="Arial" w:cs="Arial"/>
          <w:i/>
          <w:color w:val="000000"/>
          <w:sz w:val="20"/>
        </w:rPr>
        <w:t>Id.</w:t>
      </w:r>
      <w:r>
        <w:rPr>
          <w:rFonts w:ascii="Arial" w:eastAsia="Arial" w:hAnsi="Arial" w:cs="Arial"/>
          <w:color w:val="000000"/>
          <w:sz w:val="20"/>
        </w:rPr>
        <w:t xml:space="preserve"> at 26. [*4] </w:t>
      </w:r>
    </w:p>
    <w:p w:rsidR="00022B47" w:rsidRDefault="00000000">
      <w:pPr>
        <w:pStyle w:val="Normal0"/>
        <w:widowControl w:val="0"/>
        <w:spacing w:before="200" w:line="260" w:lineRule="atLeast"/>
        <w:jc w:val="both"/>
      </w:pPr>
      <w:bookmarkStart w:id="16" w:name="Bookmark_para_8"/>
      <w:bookmarkEnd w:id="16"/>
      <w:r>
        <w:rPr>
          <w:rFonts w:ascii="Arial" w:eastAsia="Arial" w:hAnsi="Arial" w:cs="Arial"/>
          <w:color w:val="000000"/>
          <w:sz w:val="20"/>
        </w:rPr>
        <w:t>Florida law provides that a licensed facility must have peer review of physicians and must develop procedures for peer review, which include:</w:t>
      </w:r>
    </w:p>
    <w:p w:rsidR="00022B47" w:rsidRDefault="00000000">
      <w:pPr>
        <w:pStyle w:val="Normal0"/>
        <w:widowControl w:val="0"/>
        <w:spacing w:line="260" w:lineRule="atLeast"/>
        <w:ind w:left="400"/>
        <w:jc w:val="both"/>
      </w:pPr>
      <w:bookmarkStart w:id="17" w:name="Bookmark_para_9"/>
      <w:bookmarkEnd w:id="17"/>
      <w:r>
        <w:rPr>
          <w:rFonts w:ascii="Arial" w:eastAsia="Arial" w:hAnsi="Arial" w:cs="Arial"/>
          <w:color w:val="000000"/>
          <w:sz w:val="20"/>
        </w:rPr>
        <w:t>(a) Mechanism for choosing the membership of the body or bodies that conduct peer review.</w:t>
      </w:r>
    </w:p>
    <w:p w:rsidR="00022B47" w:rsidRDefault="00000000">
      <w:pPr>
        <w:pStyle w:val="Normal0"/>
        <w:widowControl w:val="0"/>
        <w:spacing w:line="260" w:lineRule="atLeast"/>
        <w:ind w:left="400"/>
        <w:jc w:val="both"/>
      </w:pPr>
      <w:bookmarkStart w:id="18" w:name="Bookmark_para_10"/>
      <w:bookmarkEnd w:id="18"/>
      <w:r>
        <w:rPr>
          <w:rFonts w:ascii="Arial" w:eastAsia="Arial" w:hAnsi="Arial" w:cs="Arial"/>
          <w:color w:val="000000"/>
          <w:sz w:val="20"/>
        </w:rPr>
        <w:t>(b) Adoption of rules of order for the peer review process.</w:t>
      </w:r>
    </w:p>
    <w:p w:rsidR="00022B47" w:rsidRDefault="00000000">
      <w:pPr>
        <w:pStyle w:val="Normal0"/>
        <w:widowControl w:val="0"/>
        <w:spacing w:line="260" w:lineRule="atLeast"/>
        <w:ind w:left="400"/>
        <w:jc w:val="both"/>
      </w:pPr>
      <w:bookmarkStart w:id="19" w:name="Bookmark_para_11"/>
      <w:bookmarkEnd w:id="19"/>
      <w:r>
        <w:rPr>
          <w:rFonts w:ascii="Arial" w:eastAsia="Arial" w:hAnsi="Arial" w:cs="Arial"/>
          <w:color w:val="000000"/>
          <w:sz w:val="20"/>
        </w:rPr>
        <w:t>(c) Fair review of the case with the physician involved.</w:t>
      </w:r>
    </w:p>
    <w:p w:rsidR="00022B47" w:rsidRDefault="00000000">
      <w:pPr>
        <w:pStyle w:val="Normal0"/>
        <w:widowControl w:val="0"/>
        <w:spacing w:line="260" w:lineRule="atLeast"/>
        <w:ind w:left="400"/>
        <w:jc w:val="both"/>
      </w:pPr>
      <w:bookmarkStart w:id="20" w:name="Bookmark_para_12"/>
      <w:bookmarkEnd w:id="20"/>
      <w:r>
        <w:rPr>
          <w:rFonts w:ascii="Arial" w:eastAsia="Arial" w:hAnsi="Arial" w:cs="Arial"/>
          <w:color w:val="000000"/>
          <w:sz w:val="20"/>
        </w:rPr>
        <w:t>(d) Mechanism to identify and avoid conflict of interest on the part of the peer review panel members.</w:t>
      </w:r>
    </w:p>
    <w:p w:rsidR="00022B47" w:rsidRDefault="00000000">
      <w:pPr>
        <w:pStyle w:val="Normal0"/>
        <w:widowControl w:val="0"/>
        <w:spacing w:line="260" w:lineRule="atLeast"/>
        <w:ind w:left="400"/>
        <w:jc w:val="both"/>
      </w:pPr>
      <w:bookmarkStart w:id="21" w:name="Bookmark_para_13"/>
      <w:bookmarkEnd w:id="21"/>
      <w:r>
        <w:rPr>
          <w:rFonts w:ascii="Arial" w:eastAsia="Arial" w:hAnsi="Arial" w:cs="Arial"/>
          <w:color w:val="000000"/>
          <w:sz w:val="20"/>
        </w:rPr>
        <w:t>(e) Recording of agendas and minutes which do not contain confidential material, for review by the Division of Health Quality Assurance of the agency.</w:t>
      </w:r>
    </w:p>
    <w:p w:rsidR="00022B47" w:rsidRDefault="00000000">
      <w:pPr>
        <w:pStyle w:val="Normal0"/>
        <w:widowControl w:val="0"/>
        <w:spacing w:line="260" w:lineRule="atLeast"/>
        <w:ind w:left="400"/>
        <w:jc w:val="both"/>
      </w:pPr>
      <w:bookmarkStart w:id="22" w:name="Bookmark_para_14"/>
      <w:bookmarkEnd w:id="22"/>
      <w:r>
        <w:rPr>
          <w:rFonts w:ascii="Arial" w:eastAsia="Arial" w:hAnsi="Arial" w:cs="Arial"/>
          <w:color w:val="000000"/>
          <w:sz w:val="20"/>
        </w:rPr>
        <w:t>(f) Review, at least annually, of the peer review procedures by the governing board of the licensed facility.</w:t>
      </w:r>
    </w:p>
    <w:p w:rsidR="00022B47" w:rsidRDefault="00000000">
      <w:pPr>
        <w:pStyle w:val="Normal0"/>
        <w:widowControl w:val="0"/>
        <w:spacing w:line="260" w:lineRule="atLeast"/>
        <w:ind w:left="400"/>
        <w:jc w:val="both"/>
      </w:pPr>
      <w:bookmarkStart w:id="23" w:name="Bookmark_para_15"/>
      <w:bookmarkEnd w:id="23"/>
      <w:r>
        <w:rPr>
          <w:rFonts w:ascii="Arial" w:eastAsia="Arial" w:hAnsi="Arial" w:cs="Arial"/>
          <w:color w:val="000000"/>
          <w:sz w:val="20"/>
        </w:rPr>
        <w:t>(g) Focus of the peer review process on review of professional practices at the facility to reduce morbidity and mortality and to improve patient care.</w:t>
      </w:r>
    </w:p>
    <w:p w:rsidR="00022B47" w:rsidRDefault="00000000">
      <w:pPr>
        <w:pStyle w:val="Normal0"/>
        <w:widowControl w:val="0"/>
        <w:spacing w:before="200" w:line="260" w:lineRule="atLeast"/>
        <w:jc w:val="both"/>
      </w:pPr>
      <w:r>
        <w:rPr>
          <w:rFonts w:ascii="Arial" w:eastAsia="Arial" w:hAnsi="Arial" w:cs="Arial"/>
          <w:color w:val="000000"/>
          <w:sz w:val="20"/>
        </w:rPr>
        <w:t xml:space="preserve">Fla. Stat. § 395.0193(2). The statute in its current form does not identify any specific procedures that a hospital must use for fair review. </w:t>
      </w:r>
      <w:r>
        <w:rPr>
          <w:rFonts w:ascii="Arial" w:eastAsia="Arial" w:hAnsi="Arial" w:cs="Arial"/>
          <w:i/>
          <w:color w:val="000000"/>
          <w:sz w:val="20"/>
        </w:rPr>
        <w:t>But see</w:t>
      </w:r>
      <w:r>
        <w:rPr>
          <w:rFonts w:ascii="Arial" w:eastAsia="Arial" w:hAnsi="Arial" w:cs="Arial"/>
          <w:color w:val="000000"/>
          <w:sz w:val="20"/>
        </w:rPr>
        <w:t xml:space="preserve"> 1998 Fla. Sess. Law Serv. 98-89 (amending § 395.0193 to delete a requirement that hospital procedures must conform with standards outlined by various health care organizations and delete a requirement that those procedures be adopted pursuant to hospital [*5]  bylaws).</w:t>
      </w:r>
    </w:p>
    <w:p w:rsidR="00022B47" w:rsidRDefault="00000000">
      <w:pPr>
        <w:pStyle w:val="Normal0"/>
        <w:widowControl w:val="0"/>
        <w:spacing w:before="200" w:line="260" w:lineRule="atLeast"/>
        <w:jc w:val="both"/>
      </w:pPr>
      <w:bookmarkStart w:id="24" w:name="Bookmark_para_16"/>
      <w:bookmarkEnd w:id="24"/>
      <w:r>
        <w:rPr>
          <w:rFonts w:ascii="Arial" w:eastAsia="Arial" w:hAnsi="Arial" w:cs="Arial"/>
          <w:color w:val="000000"/>
          <w:sz w:val="20"/>
        </w:rPr>
        <w:t xml:space="preserve">The HCQIA provides conditional immunity to any person who participates in a professional review action in a healthcare facility. 42 U.S.C. § 11111(a)(1). That immunity is conditioned on certain requirements, including that any action was undertaken "after adequate notice and hearing procedures are afforded to the physician involved or after such other procedures as are fair to the physician under the circumstances." </w:t>
      </w:r>
      <w:r>
        <w:rPr>
          <w:rFonts w:ascii="Arial" w:eastAsia="Arial" w:hAnsi="Arial" w:cs="Arial"/>
          <w:i/>
          <w:color w:val="000000"/>
          <w:sz w:val="20"/>
        </w:rPr>
        <w:t>Id.</w:t>
      </w:r>
      <w:r>
        <w:rPr>
          <w:rFonts w:ascii="Arial" w:eastAsia="Arial" w:hAnsi="Arial" w:cs="Arial"/>
          <w:color w:val="000000"/>
          <w:sz w:val="20"/>
        </w:rPr>
        <w:t xml:space="preserve"> § 11112(a). These procedures include, among others, notice of the proposed action; notice of the hearing; and a hearing with a neutral arbitrator, right to counsel, record of proceedings, right to cross-examination, and presentation of evidence. </w:t>
      </w:r>
      <w:r>
        <w:rPr>
          <w:rFonts w:ascii="Arial" w:eastAsia="Arial" w:hAnsi="Arial" w:cs="Arial"/>
          <w:i/>
          <w:color w:val="000000"/>
          <w:sz w:val="20"/>
        </w:rPr>
        <w:t>Id.</w:t>
      </w:r>
      <w:r>
        <w:rPr>
          <w:rFonts w:ascii="Arial" w:eastAsia="Arial" w:hAnsi="Arial" w:cs="Arial"/>
          <w:color w:val="000000"/>
          <w:sz w:val="20"/>
        </w:rPr>
        <w:t xml:space="preserve"> § 11112(b). An action is presumed to have met the standards providing immunity unless the presumption is rebutted by a preponderance of the evidence. </w:t>
      </w:r>
      <w:r>
        <w:rPr>
          <w:rFonts w:ascii="Arial" w:eastAsia="Arial" w:hAnsi="Arial" w:cs="Arial"/>
          <w:i/>
          <w:color w:val="000000"/>
          <w:sz w:val="20"/>
        </w:rPr>
        <w:t>Id.</w:t>
      </w:r>
      <w:r>
        <w:rPr>
          <w:rFonts w:ascii="Arial" w:eastAsia="Arial" w:hAnsi="Arial" w:cs="Arial"/>
          <w:color w:val="000000"/>
          <w:sz w:val="20"/>
        </w:rPr>
        <w:t xml:space="preserve"> The HCQIA also requires facilities to report a professional review action that adversely affects the clinical privileges of a physician for a period longer than 30 days. </w:t>
      </w:r>
      <w:r>
        <w:rPr>
          <w:rFonts w:ascii="Arial" w:eastAsia="Arial" w:hAnsi="Arial" w:cs="Arial"/>
          <w:i/>
          <w:color w:val="000000"/>
          <w:sz w:val="20"/>
        </w:rPr>
        <w:t>Id.</w:t>
      </w:r>
      <w:r>
        <w:rPr>
          <w:rFonts w:ascii="Arial" w:eastAsia="Arial" w:hAnsi="Arial" w:cs="Arial"/>
          <w:color w:val="000000"/>
          <w:sz w:val="20"/>
        </w:rPr>
        <w:t xml:space="preserve"> § 11133.</w:t>
      </w:r>
    </w:p>
    <w:p w:rsidR="00022B47" w:rsidRDefault="00000000">
      <w:pPr>
        <w:pStyle w:val="Normal0"/>
        <w:widowControl w:val="0"/>
        <w:spacing w:before="200" w:line="260" w:lineRule="atLeast"/>
        <w:jc w:val="both"/>
      </w:pPr>
      <w:bookmarkStart w:id="25" w:name="Bookmark_para_17"/>
      <w:bookmarkEnd w:id="25"/>
      <w:r>
        <w:rPr>
          <w:rFonts w:ascii="Arial" w:eastAsia="Arial" w:hAnsi="Arial" w:cs="Arial"/>
          <w:color w:val="000000"/>
          <w:sz w:val="20"/>
        </w:rPr>
        <w:t xml:space="preserve">We have held that it is not proper to raise new grounds for relief at the summary judgment stage and that the proper procedure is to move to amend the complaint. </w:t>
      </w:r>
      <w:r>
        <w:rPr>
          <w:rFonts w:ascii="Arial" w:eastAsia="Arial" w:hAnsi="Arial" w:cs="Arial"/>
          <w:i/>
          <w:color w:val="000000"/>
          <w:sz w:val="20"/>
        </w:rPr>
        <w:t>Gilmour v. Gates, McDonald &amp; Co.</w:t>
      </w:r>
      <w:r>
        <w:rPr>
          <w:rFonts w:ascii="Arial" w:eastAsia="Arial" w:hAnsi="Arial" w:cs="Arial"/>
          <w:color w:val="000000"/>
          <w:sz w:val="20"/>
        </w:rPr>
        <w:t xml:space="preserve">, 382 F.3d 1312, 1314-15 (11th Cir. 2004). A new claim is asserted when a party raises "an additional, separate [*6]  statutory basis" for entitlement that was not raised in the complaint. </w:t>
      </w:r>
      <w:r>
        <w:rPr>
          <w:rFonts w:ascii="Arial" w:eastAsia="Arial" w:hAnsi="Arial" w:cs="Arial"/>
          <w:i/>
          <w:color w:val="000000"/>
          <w:sz w:val="20"/>
        </w:rPr>
        <w:t>Hurlbert v. St. Mary's Health Care Sys., Inc.</w:t>
      </w:r>
      <w:r>
        <w:rPr>
          <w:rFonts w:ascii="Arial" w:eastAsia="Arial" w:hAnsi="Arial" w:cs="Arial"/>
          <w:color w:val="000000"/>
          <w:sz w:val="20"/>
        </w:rPr>
        <w:t>, 439 F.3d 1286, 1297 (11th Cir. 2006).</w:t>
      </w:r>
    </w:p>
    <w:p w:rsidR="00022B47" w:rsidRDefault="00000000">
      <w:pPr>
        <w:pStyle w:val="Normal0"/>
        <w:widowControl w:val="0"/>
        <w:spacing w:before="200" w:line="260" w:lineRule="atLeast"/>
        <w:jc w:val="both"/>
      </w:pPr>
      <w:bookmarkStart w:id="26" w:name="Bookmark_para_18"/>
      <w:bookmarkEnd w:id="26"/>
      <w:r>
        <w:rPr>
          <w:rFonts w:ascii="Arial" w:eastAsia="Arial" w:hAnsi="Arial" w:cs="Arial"/>
          <w:color w:val="000000"/>
          <w:sz w:val="20"/>
        </w:rPr>
        <w:t xml:space="preserve">The record demonstrates that the district court correctly granted summary judgment on Mastaw's breach of contract claim because he forfeited any argument that Florida Statute § 395.0193 was incorporated into his contract by failing to raise that provision in his amended complaint. Mastaw made only passing references to violations of Florida and United States law providing "statutory peer review and fair hearing processes" but did not refer to § 395.0193. He mentioned peer review under § 395.0193(2) for the first time in his partial summary judgment motion on his breach of contract claim but focused his motion on the HCQIA. Even if that reference was enough to bring it to the court's attention, it was not proper for Mastaw to raise new grounds for relief at the summary judgment stage, and any new claims should have been added by amending the complaint. </w:t>
      </w:r>
      <w:r>
        <w:rPr>
          <w:rFonts w:ascii="Arial" w:eastAsia="Arial" w:hAnsi="Arial" w:cs="Arial"/>
          <w:i/>
          <w:color w:val="000000"/>
          <w:sz w:val="20"/>
        </w:rPr>
        <w:t>Gilmour</w:t>
      </w:r>
      <w:r>
        <w:rPr>
          <w:rFonts w:ascii="Arial" w:eastAsia="Arial" w:hAnsi="Arial" w:cs="Arial"/>
          <w:color w:val="000000"/>
          <w:sz w:val="20"/>
        </w:rPr>
        <w:t>, 382 F.3d at 1314-15. Furthermore, Mastaw never sought reconsideration of the court's order denying his motion for partial summary judgment based on the court's failure to address his state law claim and did not raise any argument regarding the state law supporting his breach of contract claim in his response to the Defendants' motion [*7]  for summary judgment. By the time Mastaw provided his full argument about rights to a fair review under § 395.0193 in his motion for reconsideration, it was much too late.</w:t>
      </w:r>
    </w:p>
    <w:p w:rsidR="00022B47" w:rsidRDefault="00000000">
      <w:pPr>
        <w:pStyle w:val="Normal0"/>
        <w:widowControl w:val="0"/>
        <w:spacing w:before="200" w:line="260" w:lineRule="atLeast"/>
        <w:jc w:val="both"/>
      </w:pPr>
      <w:bookmarkStart w:id="27" w:name="Bookmark_para_19"/>
      <w:bookmarkEnd w:id="27"/>
      <w:r>
        <w:rPr>
          <w:rFonts w:ascii="Arial" w:eastAsia="Arial" w:hAnsi="Arial" w:cs="Arial"/>
          <w:color w:val="000000"/>
          <w:sz w:val="20"/>
        </w:rPr>
        <w:t xml:space="preserve">Further, the record shows that the HCQIA procedural standards were not incorporated into Mastaw's contract expressly or by law. Thus, we conclude that the district court did not err in granting summary judgment to the Defendants on this issue. The HCQIA does have certain procedural requirements that must be met for a healthcare facility to be entitled to immunity. 42 U.S.C. § 11111(a)(1); </w:t>
      </w:r>
      <w:r>
        <w:rPr>
          <w:rFonts w:ascii="Arial" w:eastAsia="Arial" w:hAnsi="Arial" w:cs="Arial"/>
          <w:i/>
          <w:color w:val="000000"/>
          <w:sz w:val="20"/>
        </w:rPr>
        <w:t>id.</w:t>
      </w:r>
      <w:r>
        <w:rPr>
          <w:rFonts w:ascii="Arial" w:eastAsia="Arial" w:hAnsi="Arial" w:cs="Arial"/>
          <w:color w:val="000000"/>
          <w:sz w:val="20"/>
        </w:rPr>
        <w:t xml:space="preserve"> § 11112(a)-(b). The HCQIA could be incorporated as a matter of law into the Bylaws; however, the HCQIA merely states the procedures required to be given immunity under that law, not procedures that all facilities legally must comply with. </w:t>
      </w:r>
      <w:r>
        <w:rPr>
          <w:rFonts w:ascii="Arial" w:eastAsia="Arial" w:hAnsi="Arial" w:cs="Arial"/>
          <w:i/>
          <w:color w:val="000000"/>
          <w:sz w:val="20"/>
        </w:rPr>
        <w:t>See</w:t>
      </w:r>
      <w:r>
        <w:rPr>
          <w:rFonts w:ascii="Arial" w:eastAsia="Arial" w:hAnsi="Arial" w:cs="Arial"/>
          <w:color w:val="000000"/>
          <w:sz w:val="20"/>
        </w:rPr>
        <w:t xml:space="preserve"> 42 U.S.C. § 11111(a)(1); § 11112(a)-(b). If the contract incorporated the HCQIA as a matter of law, it would only incorporate the HCQIA's procedures to the extent that they could provide MCC with immunity. MCC would not be liable for breach of contract for failing to comply with the procedures. Thus, we conclude that the district court did not err in granting summary judgment to the Defendants on this issue.</w:t>
      </w:r>
    </w:p>
    <w:p w:rsidR="00022B47" w:rsidRDefault="00000000">
      <w:pPr>
        <w:pStyle w:val="Normal0"/>
        <w:widowControl w:val="0"/>
        <w:spacing w:before="240" w:line="260" w:lineRule="atLeast"/>
      </w:pPr>
      <w:r>
        <w:br/>
      </w:r>
      <w:r>
        <w:rPr>
          <w:rFonts w:ascii="Arial" w:eastAsia="Arial" w:hAnsi="Arial" w:cs="Arial"/>
          <w:b/>
          <w:color w:val="000000"/>
          <w:sz w:val="20"/>
        </w:rPr>
        <w:t>II</w:t>
      </w:r>
      <w:r>
        <w:rPr>
          <w:rFonts w:ascii="Arial" w:eastAsia="Arial" w:hAnsi="Arial" w:cs="Arial"/>
          <w:color w:val="000000"/>
          <w:sz w:val="20"/>
        </w:rPr>
        <w:t>.</w:t>
      </w:r>
    </w:p>
    <w:p w:rsidR="00022B47" w:rsidRDefault="00000000">
      <w:pPr>
        <w:pStyle w:val="Normal0"/>
        <w:widowControl w:val="0"/>
        <w:spacing w:before="200" w:line="260" w:lineRule="atLeast"/>
        <w:jc w:val="both"/>
      </w:pPr>
      <w:bookmarkStart w:id="28" w:name="Bookmark_para_20"/>
      <w:bookmarkEnd w:id="28"/>
      <w:r>
        <w:rPr>
          <w:rFonts w:ascii="Arial" w:eastAsia="Arial" w:hAnsi="Arial" w:cs="Arial"/>
          <w:color w:val="000000"/>
          <w:sz w:val="20"/>
        </w:rPr>
        <w:t xml:space="preserve">Under the FMLA, employees are eligible for leave due to a serious [*8]  health condition that makes them unable to perform the essential functions of their job. 29 U.S.C. § 2612(a)(1)(D); see 29 C.F.R. § 825.203. To establish an FMLA retaliation claim, an employee must show his employer intentionally discriminated against him for exercising an FMLA right. </w:t>
      </w:r>
      <w:r>
        <w:rPr>
          <w:rFonts w:ascii="Arial" w:eastAsia="Arial" w:hAnsi="Arial" w:cs="Arial"/>
          <w:i/>
          <w:color w:val="000000"/>
          <w:sz w:val="20"/>
        </w:rPr>
        <w:t>Strickland v. Water Works &amp; Sewer Bd. of City of Birmingham</w:t>
      </w:r>
      <w:r>
        <w:rPr>
          <w:rFonts w:ascii="Arial" w:eastAsia="Arial" w:hAnsi="Arial" w:cs="Arial"/>
          <w:color w:val="000000"/>
          <w:sz w:val="20"/>
        </w:rPr>
        <w:t xml:space="preserve">, 239 F.3d 1199, 1207 (11th Cir. 2001). An employee must show his employer's actions "were motivated by an impermissible retaliatory or discriminatory animus." </w:t>
      </w:r>
      <w:r>
        <w:rPr>
          <w:rFonts w:ascii="Arial" w:eastAsia="Arial" w:hAnsi="Arial" w:cs="Arial"/>
          <w:i/>
          <w:color w:val="000000"/>
          <w:sz w:val="20"/>
        </w:rPr>
        <w:t>Id.</w:t>
      </w:r>
      <w:r>
        <w:rPr>
          <w:rFonts w:ascii="Arial" w:eastAsia="Arial" w:hAnsi="Arial" w:cs="Arial"/>
          <w:color w:val="000000"/>
          <w:sz w:val="20"/>
        </w:rPr>
        <w:t xml:space="preserve"> (quotation marks omitted).</w:t>
      </w:r>
    </w:p>
    <w:p w:rsidR="00022B47" w:rsidRDefault="00000000">
      <w:pPr>
        <w:pStyle w:val="Normal0"/>
        <w:widowControl w:val="0"/>
        <w:spacing w:before="200" w:line="260" w:lineRule="atLeast"/>
        <w:jc w:val="both"/>
      </w:pPr>
      <w:bookmarkStart w:id="29" w:name="Bookmark_para_21"/>
      <w:bookmarkEnd w:id="29"/>
      <w:r>
        <w:rPr>
          <w:rFonts w:ascii="Arial" w:eastAsia="Arial" w:hAnsi="Arial" w:cs="Arial"/>
          <w:color w:val="000000"/>
          <w:sz w:val="20"/>
        </w:rPr>
        <w:t xml:space="preserve">Under the ADA, an employer may not discriminate against an individual for opposing any act or practice made illegal under the ADA. 42 U.S.C. § 12203(a). The ADA provides that no employer shall discriminate against a qualified individual based on disability in discharging its employees or in other terms and conditions of employment. </w:t>
      </w:r>
      <w:r>
        <w:rPr>
          <w:rFonts w:ascii="Arial" w:eastAsia="Arial" w:hAnsi="Arial" w:cs="Arial"/>
          <w:i/>
          <w:color w:val="000000"/>
          <w:sz w:val="20"/>
        </w:rPr>
        <w:t>Id.</w:t>
      </w:r>
      <w:r>
        <w:rPr>
          <w:rFonts w:ascii="Arial" w:eastAsia="Arial" w:hAnsi="Arial" w:cs="Arial"/>
          <w:color w:val="000000"/>
          <w:sz w:val="20"/>
        </w:rPr>
        <w:t xml:space="preserve"> § 12112(a). Post-traumatic stress disorder is a disability under the ADA. See 29 C.F.R. § 1630.2(j)(3)(iii). Discrimination under the ADA includes the failure to make a reasonable accommodation to the known physical or mental limitations of the individual. 42 U.S.C. § 12112(b)(5)(A). To "trigger an employer's duty to provide a reasonable accommodation, the employee must (1) make a specific demand for an accommodation and (2) demonstrate that such accommodation is reasonable." </w:t>
      </w:r>
      <w:r>
        <w:rPr>
          <w:rFonts w:ascii="Arial" w:eastAsia="Arial" w:hAnsi="Arial" w:cs="Arial"/>
          <w:i/>
          <w:color w:val="000000"/>
          <w:sz w:val="20"/>
        </w:rPr>
        <w:t>Owens v. Governor's Off. of Student Achievement</w:t>
      </w:r>
      <w:r>
        <w:rPr>
          <w:rFonts w:ascii="Arial" w:eastAsia="Arial" w:hAnsi="Arial" w:cs="Arial"/>
          <w:color w:val="000000"/>
          <w:sz w:val="20"/>
        </w:rPr>
        <w:t>, 52 F.4th 1327, 1334 (11th Cir. 2022) (applying ADA principles in Rehabilitation Act case).</w:t>
      </w:r>
    </w:p>
    <w:p w:rsidR="00022B47" w:rsidRDefault="00000000">
      <w:pPr>
        <w:pStyle w:val="Normal0"/>
        <w:widowControl w:val="0"/>
        <w:spacing w:before="200" w:line="260" w:lineRule="atLeast"/>
        <w:jc w:val="both"/>
      </w:pPr>
      <w:bookmarkStart w:id="30" w:name="Bookmark_para_22"/>
      <w:bookmarkEnd w:id="30"/>
      <w:r>
        <w:rPr>
          <w:rFonts w:ascii="Arial" w:eastAsia="Arial" w:hAnsi="Arial" w:cs="Arial"/>
          <w:color w:val="000000"/>
          <w:sz w:val="20"/>
        </w:rPr>
        <w:t xml:space="preserve">To establish a </w:t>
      </w:r>
      <w:r>
        <w:rPr>
          <w:rFonts w:ascii="Arial" w:eastAsia="Arial" w:hAnsi="Arial" w:cs="Arial"/>
          <w:i/>
          <w:color w:val="000000"/>
          <w:sz w:val="20"/>
        </w:rPr>
        <w:t>prima facie</w:t>
      </w:r>
      <w:r>
        <w:rPr>
          <w:rFonts w:ascii="Arial" w:eastAsia="Arial" w:hAnsi="Arial" w:cs="Arial"/>
          <w:color w:val="000000"/>
          <w:sz w:val="20"/>
        </w:rPr>
        <w:t xml:space="preserve"> case of retaliation [*9]  under either the FMLA or ADA, the plaintiff must show that (1) he engaged in statutorily protected expression, (2) he suffered a materially adverse action, and (3) there was a causal link between the adverse action and his protected expression. </w:t>
      </w:r>
      <w:r>
        <w:rPr>
          <w:rFonts w:ascii="Arial" w:eastAsia="Arial" w:hAnsi="Arial" w:cs="Arial"/>
          <w:i/>
          <w:color w:val="000000"/>
          <w:sz w:val="20"/>
        </w:rPr>
        <w:t>Strickland</w:t>
      </w:r>
      <w:r>
        <w:rPr>
          <w:rFonts w:ascii="Arial" w:eastAsia="Arial" w:hAnsi="Arial" w:cs="Arial"/>
          <w:color w:val="000000"/>
          <w:sz w:val="20"/>
        </w:rPr>
        <w:t xml:space="preserve">, 239 F.3d at 1207 (FMLA case); </w:t>
      </w:r>
      <w:r>
        <w:rPr>
          <w:rFonts w:ascii="Arial" w:eastAsia="Arial" w:hAnsi="Arial" w:cs="Arial"/>
          <w:i/>
          <w:color w:val="000000"/>
          <w:sz w:val="20"/>
        </w:rPr>
        <w:t>Stewart v. Happy Herman's Cheshire Bridge, Inc.</w:t>
      </w:r>
      <w:r>
        <w:rPr>
          <w:rFonts w:ascii="Arial" w:eastAsia="Arial" w:hAnsi="Arial" w:cs="Arial"/>
          <w:color w:val="000000"/>
          <w:sz w:val="20"/>
        </w:rPr>
        <w:t>, 117 F.3d 1278, 1287 (11th Cir. 1997) (ADA case).</w:t>
      </w:r>
    </w:p>
    <w:p w:rsidR="00022B47" w:rsidRDefault="00000000">
      <w:pPr>
        <w:pStyle w:val="Normal0"/>
        <w:widowControl w:val="0"/>
        <w:spacing w:before="200" w:line="260" w:lineRule="atLeast"/>
        <w:jc w:val="both"/>
      </w:pPr>
      <w:bookmarkStart w:id="31" w:name="Bookmark_para_23"/>
      <w:bookmarkEnd w:id="31"/>
      <w:r>
        <w:rPr>
          <w:rFonts w:ascii="Arial" w:eastAsia="Arial" w:hAnsi="Arial" w:cs="Arial"/>
          <w:color w:val="000000"/>
          <w:sz w:val="20"/>
        </w:rPr>
        <w:t xml:space="preserve">Direct evidence of a retaliatory motive is evidence that, "if believed, proves existence of [a] fact in issue without inference or presumption." </w:t>
      </w:r>
      <w:r>
        <w:rPr>
          <w:rFonts w:ascii="Arial" w:eastAsia="Arial" w:hAnsi="Arial" w:cs="Arial"/>
          <w:i/>
          <w:color w:val="000000"/>
          <w:sz w:val="20"/>
        </w:rPr>
        <w:t>Burrell v. Bd. of Trs. of Ga. Mil. Coll.</w:t>
      </w:r>
      <w:r>
        <w:rPr>
          <w:rFonts w:ascii="Arial" w:eastAsia="Arial" w:hAnsi="Arial" w:cs="Arial"/>
          <w:color w:val="000000"/>
          <w:sz w:val="20"/>
        </w:rPr>
        <w:t xml:space="preserve">, 125 F.3d 1390, 1393 (11th Cir. 1997) (quotation marks omitted). However, evidence that only suggests a discriminatory motive is circumstantial. </w:t>
      </w:r>
      <w:r>
        <w:rPr>
          <w:rFonts w:ascii="Arial" w:eastAsia="Arial" w:hAnsi="Arial" w:cs="Arial"/>
          <w:i/>
          <w:color w:val="000000"/>
          <w:sz w:val="20"/>
        </w:rPr>
        <w:t>Id.</w:t>
      </w:r>
      <w:r>
        <w:rPr>
          <w:rFonts w:ascii="Arial" w:eastAsia="Arial" w:hAnsi="Arial" w:cs="Arial"/>
          <w:color w:val="000000"/>
          <w:sz w:val="20"/>
        </w:rPr>
        <w:t xml:space="preserve"> at 1393-94. Comments about the timing of FMLA leave or the misuse of leave are not enough to prove discriminatory motive and constitute circumstantial evidence of retaliation. </w:t>
      </w:r>
      <w:r>
        <w:rPr>
          <w:rFonts w:ascii="Arial" w:eastAsia="Arial" w:hAnsi="Arial" w:cs="Arial"/>
          <w:i/>
          <w:color w:val="000000"/>
          <w:sz w:val="20"/>
        </w:rPr>
        <w:t>Jones v. Gulf Coast Health Care of Delaware, LLC</w:t>
      </w:r>
      <w:r>
        <w:rPr>
          <w:rFonts w:ascii="Arial" w:eastAsia="Arial" w:hAnsi="Arial" w:cs="Arial"/>
          <w:color w:val="000000"/>
          <w:sz w:val="20"/>
        </w:rPr>
        <w:t>, 854 F.3d 1261, 1271 (11th Cir. 2017).</w:t>
      </w:r>
    </w:p>
    <w:p w:rsidR="00022B47" w:rsidRDefault="00000000">
      <w:pPr>
        <w:pStyle w:val="Normal0"/>
        <w:widowControl w:val="0"/>
        <w:spacing w:before="200" w:line="260" w:lineRule="atLeast"/>
        <w:jc w:val="both"/>
      </w:pPr>
      <w:bookmarkStart w:id="32" w:name="Bookmark_para_24"/>
      <w:bookmarkEnd w:id="32"/>
      <w:r>
        <w:rPr>
          <w:rFonts w:ascii="Arial" w:eastAsia="Arial" w:hAnsi="Arial" w:cs="Arial"/>
          <w:color w:val="000000"/>
          <w:sz w:val="20"/>
        </w:rPr>
        <w:t xml:space="preserve">In evaluating claims of FMLA and ADA retaliation absent direct evidence, courts may use the </w:t>
      </w:r>
      <w:r>
        <w:rPr>
          <w:rFonts w:ascii="Arial" w:eastAsia="Arial" w:hAnsi="Arial" w:cs="Arial"/>
          <w:i/>
          <w:color w:val="000000"/>
          <w:sz w:val="20"/>
        </w:rPr>
        <w:t>McDonnell</w:t>
      </w:r>
      <w:r>
        <w:rPr>
          <w:rFonts w:ascii="Arial" w:eastAsia="Arial" w:hAnsi="Arial" w:cs="Arial"/>
          <w:color w:val="000000"/>
          <w:sz w:val="20"/>
        </w:rPr>
        <w:t xml:space="preserve"> Douglas burden-shifting framework. </w:t>
      </w:r>
      <w:r>
        <w:rPr>
          <w:rFonts w:ascii="Arial" w:eastAsia="Arial" w:hAnsi="Arial" w:cs="Arial"/>
          <w:i/>
          <w:color w:val="000000"/>
          <w:sz w:val="20"/>
        </w:rPr>
        <w:t>Strickland</w:t>
      </w:r>
      <w:r>
        <w:rPr>
          <w:rFonts w:ascii="Arial" w:eastAsia="Arial" w:hAnsi="Arial" w:cs="Arial"/>
          <w:color w:val="000000"/>
          <w:sz w:val="20"/>
        </w:rPr>
        <w:t xml:space="preserve">, 239 F.3d at 1207 (FMLA case); </w:t>
      </w:r>
      <w:r>
        <w:rPr>
          <w:rFonts w:ascii="Arial" w:eastAsia="Arial" w:hAnsi="Arial" w:cs="Arial"/>
          <w:i/>
          <w:color w:val="000000"/>
          <w:sz w:val="20"/>
        </w:rPr>
        <w:t>Stewart</w:t>
      </w:r>
      <w:r>
        <w:rPr>
          <w:rFonts w:ascii="Arial" w:eastAsia="Arial" w:hAnsi="Arial" w:cs="Arial"/>
          <w:color w:val="000000"/>
          <w:sz w:val="20"/>
        </w:rPr>
        <w:t xml:space="preserve">, 117 F.3d at 1287 (ADA case). The plaintiff must establish a </w:t>
      </w:r>
      <w:r>
        <w:rPr>
          <w:rFonts w:ascii="Arial" w:eastAsia="Arial" w:hAnsi="Arial" w:cs="Arial"/>
          <w:i/>
          <w:color w:val="000000"/>
          <w:sz w:val="20"/>
        </w:rPr>
        <w:t>prima facie</w:t>
      </w:r>
      <w:r>
        <w:rPr>
          <w:rFonts w:ascii="Arial" w:eastAsia="Arial" w:hAnsi="Arial" w:cs="Arial"/>
          <w:color w:val="000000"/>
          <w:sz w:val="20"/>
        </w:rPr>
        <w:t xml:space="preserve"> case of retaliation. </w:t>
      </w:r>
      <w:r>
        <w:rPr>
          <w:rFonts w:ascii="Arial" w:eastAsia="Arial" w:hAnsi="Arial" w:cs="Arial"/>
          <w:i/>
          <w:color w:val="000000"/>
          <w:sz w:val="20"/>
        </w:rPr>
        <w:t>Stewart</w:t>
      </w:r>
      <w:r>
        <w:rPr>
          <w:rFonts w:ascii="Arial" w:eastAsia="Arial" w:hAnsi="Arial" w:cs="Arial"/>
          <w:color w:val="000000"/>
          <w:sz w:val="20"/>
        </w:rPr>
        <w:t xml:space="preserve">, 117 F.3d at 1287. Once a plaintiff meets his </w:t>
      </w:r>
      <w:r>
        <w:rPr>
          <w:rFonts w:ascii="Arial" w:eastAsia="Arial" w:hAnsi="Arial" w:cs="Arial"/>
          <w:i/>
          <w:color w:val="000000"/>
          <w:sz w:val="20"/>
        </w:rPr>
        <w:t>prima facie</w:t>
      </w:r>
      <w:r>
        <w:rPr>
          <w:rFonts w:ascii="Arial" w:eastAsia="Arial" w:hAnsi="Arial" w:cs="Arial"/>
          <w:color w:val="000000"/>
          <w:sz w:val="20"/>
        </w:rPr>
        <w:t xml:space="preserve"> burden, the defendant must present a legitimate, non-discriminatory reason for its actions. </w:t>
      </w:r>
      <w:r>
        <w:rPr>
          <w:rFonts w:ascii="Arial" w:eastAsia="Arial" w:hAnsi="Arial" w:cs="Arial"/>
          <w:i/>
          <w:color w:val="000000"/>
          <w:sz w:val="20"/>
        </w:rPr>
        <w:t>Id.</w:t>
      </w:r>
      <w:r>
        <w:rPr>
          <w:rFonts w:ascii="Arial" w:eastAsia="Arial" w:hAnsi="Arial" w:cs="Arial"/>
          <w:color w:val="000000"/>
          <w:sz w:val="20"/>
        </w:rPr>
        <w:t xml:space="preserve"> The employee must then demonstrate that the reason given was a pretext to mask retaliation. </w:t>
      </w:r>
      <w:r>
        <w:rPr>
          <w:rFonts w:ascii="Arial" w:eastAsia="Arial" w:hAnsi="Arial" w:cs="Arial"/>
          <w:i/>
          <w:color w:val="000000"/>
          <w:sz w:val="20"/>
        </w:rPr>
        <w:t>Id.</w:t>
      </w:r>
    </w:p>
    <w:p w:rsidR="00022B47" w:rsidRDefault="00000000">
      <w:pPr>
        <w:pStyle w:val="Normal0"/>
        <w:widowControl w:val="0"/>
        <w:spacing w:before="200" w:line="260" w:lineRule="atLeast"/>
        <w:jc w:val="both"/>
      </w:pPr>
      <w:bookmarkStart w:id="33" w:name="Bookmark_para_25"/>
      <w:bookmarkEnd w:id="33"/>
      <w:r>
        <w:rPr>
          <w:rFonts w:ascii="Arial" w:eastAsia="Arial" w:hAnsi="Arial" w:cs="Arial"/>
          <w:color w:val="000000"/>
          <w:sz w:val="20"/>
        </w:rPr>
        <w:t xml:space="preserve">To show pretext, a plaintiff must introduce significantly [*10]  probative evidence to allow a reasonable finder of fact to conclude that the employer's articulated reasons were not believable. </w:t>
      </w:r>
      <w:r>
        <w:rPr>
          <w:rFonts w:ascii="Arial" w:eastAsia="Arial" w:hAnsi="Arial" w:cs="Arial"/>
          <w:i/>
          <w:color w:val="000000"/>
          <w:sz w:val="20"/>
        </w:rPr>
        <w:t>Brooks v. Cnty. Comm'n of Jefferson Cnty.</w:t>
      </w:r>
      <w:r>
        <w:rPr>
          <w:rFonts w:ascii="Arial" w:eastAsia="Arial" w:hAnsi="Arial" w:cs="Arial"/>
          <w:color w:val="000000"/>
          <w:sz w:val="20"/>
        </w:rPr>
        <w:t xml:space="preserve">, 446 F.3d 1160, 1163 (11th Cir. 2006). A plaintiff can do this by pointing to weaknesses, implausibilities, inconsistencies, incoherencies, or contradictions in the proffered reason for the employment action. </w:t>
      </w:r>
      <w:r>
        <w:rPr>
          <w:rFonts w:ascii="Arial" w:eastAsia="Arial" w:hAnsi="Arial" w:cs="Arial"/>
          <w:i/>
          <w:color w:val="000000"/>
          <w:sz w:val="20"/>
        </w:rPr>
        <w:t>Id.</w:t>
      </w:r>
      <w:r>
        <w:rPr>
          <w:rFonts w:ascii="Arial" w:eastAsia="Arial" w:hAnsi="Arial" w:cs="Arial"/>
          <w:color w:val="000000"/>
          <w:sz w:val="20"/>
        </w:rPr>
        <w:t xml:space="preserve"> (quotation marks omitted). If the proffered reason is one that might motivate a reasonable employer, the plaintiff must meet the reason "head on and rebut it" rather than "quarreling with the wisdom of that reason." </w:t>
      </w:r>
      <w:r>
        <w:rPr>
          <w:rFonts w:ascii="Arial" w:eastAsia="Arial" w:hAnsi="Arial" w:cs="Arial"/>
          <w:i/>
          <w:color w:val="000000"/>
          <w:sz w:val="20"/>
        </w:rPr>
        <w:t>Id.</w:t>
      </w:r>
      <w:r>
        <w:rPr>
          <w:rFonts w:ascii="Arial" w:eastAsia="Arial" w:hAnsi="Arial" w:cs="Arial"/>
          <w:color w:val="000000"/>
          <w:sz w:val="20"/>
        </w:rPr>
        <w:t xml:space="preserve"> (quotation marks omitted). "A reason is not pretext for discrimination unless it is shown both that the reason was false, and that discrimination was the real reason." </w:t>
      </w:r>
      <w:r>
        <w:rPr>
          <w:rFonts w:ascii="Arial" w:eastAsia="Arial" w:hAnsi="Arial" w:cs="Arial"/>
          <w:i/>
          <w:color w:val="000000"/>
          <w:sz w:val="20"/>
        </w:rPr>
        <w:t>Id.</w:t>
      </w:r>
      <w:r>
        <w:rPr>
          <w:rFonts w:ascii="Arial" w:eastAsia="Arial" w:hAnsi="Arial" w:cs="Arial"/>
          <w:color w:val="000000"/>
          <w:sz w:val="20"/>
        </w:rPr>
        <w:t xml:space="preserve"> (quotation marks and emphasis omitted).</w:t>
      </w:r>
    </w:p>
    <w:p w:rsidR="00022B47" w:rsidRDefault="00000000">
      <w:pPr>
        <w:pStyle w:val="Normal0"/>
        <w:widowControl w:val="0"/>
        <w:spacing w:before="200" w:line="260" w:lineRule="atLeast"/>
        <w:jc w:val="both"/>
      </w:pPr>
      <w:bookmarkStart w:id="34" w:name="Bookmark_para_26"/>
      <w:bookmarkEnd w:id="34"/>
      <w:r>
        <w:rPr>
          <w:rFonts w:ascii="Arial" w:eastAsia="Arial" w:hAnsi="Arial" w:cs="Arial"/>
          <w:color w:val="000000"/>
          <w:sz w:val="20"/>
        </w:rPr>
        <w:t xml:space="preserve">We have held that an employer's honest belief that the employee violated its policies can constitute a legitimate reason for termination even if the employer's belief may have been mistaken or wrong. </w:t>
      </w:r>
      <w:r>
        <w:rPr>
          <w:rFonts w:ascii="Arial" w:eastAsia="Arial" w:hAnsi="Arial" w:cs="Arial"/>
          <w:i/>
          <w:color w:val="000000"/>
          <w:sz w:val="20"/>
        </w:rPr>
        <w:t>See Smith v. PAPP Clinic, P.A.</w:t>
      </w:r>
      <w:r>
        <w:rPr>
          <w:rFonts w:ascii="Arial" w:eastAsia="Arial" w:hAnsi="Arial" w:cs="Arial"/>
          <w:color w:val="000000"/>
          <w:sz w:val="20"/>
        </w:rPr>
        <w:t xml:space="preserve">, 808 F.2d 1449, 1452-53 (11th Cir. 1987). Ultimately, the employee must prove that "the desire to retaliate was the but-for cause of the challenged employment action." </w:t>
      </w:r>
      <w:r>
        <w:rPr>
          <w:rFonts w:ascii="Arial" w:eastAsia="Arial" w:hAnsi="Arial" w:cs="Arial"/>
          <w:i/>
          <w:color w:val="000000"/>
          <w:sz w:val="20"/>
        </w:rPr>
        <w:t>Univ. of Tex. Sw. Med. Ctr. v. Nassar</w:t>
      </w:r>
      <w:r>
        <w:rPr>
          <w:rFonts w:ascii="Arial" w:eastAsia="Arial" w:hAnsi="Arial" w:cs="Arial"/>
          <w:color w:val="000000"/>
          <w:sz w:val="20"/>
        </w:rPr>
        <w:t>, 570 U.S. 338, 352, 133 S. Ct. 2517, 2528, 186 L. Ed. 2d 503 (2013).</w:t>
      </w:r>
    </w:p>
    <w:p w:rsidR="00022B47" w:rsidRDefault="00000000">
      <w:pPr>
        <w:pStyle w:val="Normal0"/>
        <w:widowControl w:val="0"/>
        <w:spacing w:before="200" w:line="260" w:lineRule="atLeast"/>
        <w:jc w:val="both"/>
      </w:pPr>
      <w:bookmarkStart w:id="35" w:name="Bookmark_para_27"/>
      <w:bookmarkEnd w:id="35"/>
      <w:r>
        <w:rPr>
          <w:rFonts w:ascii="Arial" w:eastAsia="Arial" w:hAnsi="Arial" w:cs="Arial"/>
          <w:color w:val="000000"/>
          <w:sz w:val="20"/>
        </w:rPr>
        <w:t xml:space="preserve">The record demonstrates that the district court did not err in granting summary judgment on Mastaw's FMLA and ADA retaliation claims [*11]  because there was no direct evidence of retaliation. In the letter suspending Mastaw, James Frost opined that he had concerns about Mastaw's ability to provide patient care because of Mastaw's multiple unplanned absences, his failure to present documentation to alleviate that concern, and his insubordination in refusing to meet with Frost. Frost also stated in his deposition that he was concerned about Mastaw's mental status. However, these comments about fitness are not enough to prove retaliation for taking an absence; rather, they require an inference that Frost thought Mastaw could not work based on his disability and required leave. </w:t>
      </w:r>
      <w:r>
        <w:rPr>
          <w:rFonts w:ascii="Arial" w:eastAsia="Arial" w:hAnsi="Arial" w:cs="Arial"/>
          <w:i/>
          <w:color w:val="000000"/>
          <w:sz w:val="20"/>
        </w:rPr>
        <w:t>Burrell</w:t>
      </w:r>
      <w:r>
        <w:rPr>
          <w:rFonts w:ascii="Arial" w:eastAsia="Arial" w:hAnsi="Arial" w:cs="Arial"/>
          <w:color w:val="000000"/>
          <w:sz w:val="20"/>
        </w:rPr>
        <w:t xml:space="preserve">, 125 F.3d at 1393. Even comments about the improper use of FMLA leave were not enough to constitute direct evidence, and these comments about the possibility of being unfit require even more of an inference to show retaliation. </w:t>
      </w:r>
      <w:r>
        <w:rPr>
          <w:rFonts w:ascii="Arial" w:eastAsia="Arial" w:hAnsi="Arial" w:cs="Arial"/>
          <w:i/>
          <w:color w:val="000000"/>
          <w:sz w:val="20"/>
        </w:rPr>
        <w:t>Jones</w:t>
      </w:r>
      <w:r>
        <w:rPr>
          <w:rFonts w:ascii="Arial" w:eastAsia="Arial" w:hAnsi="Arial" w:cs="Arial"/>
          <w:color w:val="000000"/>
          <w:sz w:val="20"/>
        </w:rPr>
        <w:t>, 854 F.3d at 1271. Therefore, we conclude that Mastaw has not presented direct evidence of retaliation.</w:t>
      </w:r>
    </w:p>
    <w:p w:rsidR="00022B47" w:rsidRDefault="00000000">
      <w:pPr>
        <w:pStyle w:val="Normal0"/>
        <w:widowControl w:val="0"/>
        <w:spacing w:before="200" w:line="260" w:lineRule="atLeast"/>
        <w:jc w:val="both"/>
      </w:pPr>
      <w:bookmarkStart w:id="36" w:name="Bookmark_para_28"/>
      <w:bookmarkEnd w:id="36"/>
      <w:r>
        <w:rPr>
          <w:rFonts w:ascii="Arial" w:eastAsia="Arial" w:hAnsi="Arial" w:cs="Arial"/>
          <w:color w:val="000000"/>
          <w:sz w:val="20"/>
        </w:rPr>
        <w:t xml:space="preserve">The district court properly applied the </w:t>
      </w:r>
      <w:r>
        <w:rPr>
          <w:rFonts w:ascii="Arial" w:eastAsia="Arial" w:hAnsi="Arial" w:cs="Arial"/>
          <w:i/>
          <w:color w:val="000000"/>
          <w:sz w:val="20"/>
        </w:rPr>
        <w:t>McDonnell-Douglas</w:t>
      </w:r>
      <w:r>
        <w:rPr>
          <w:rFonts w:ascii="Arial" w:eastAsia="Arial" w:hAnsi="Arial" w:cs="Arial"/>
          <w:color w:val="000000"/>
          <w:sz w:val="20"/>
        </w:rPr>
        <w:t xml:space="preserve"> framework and found that the Defendants' reason for termination, to protect patient safety, was not a pretext for retaliation. The record demonstrates that Mastaw had repeated problems with patient care [*12]  as outlined in his action plan, which started before his leave request, before he reported his PTSD, and before his suspension or termination. MCC was relying on that information when making its decision. Further, Mastaw's partner stated that there were problems with Mastaw's charts, and the Board itself conducted a chart review in which it determined he did not comply with regulations. Thus, based on these reports and a lack of certification, MCC's belief, even if mistaken, was a legitimate reason to suspend or terminate him. </w:t>
      </w:r>
      <w:r>
        <w:rPr>
          <w:rFonts w:ascii="Arial" w:eastAsia="Arial" w:hAnsi="Arial" w:cs="Arial"/>
          <w:i/>
          <w:color w:val="000000"/>
          <w:sz w:val="20"/>
        </w:rPr>
        <w:t>Smith</w:t>
      </w:r>
      <w:r>
        <w:rPr>
          <w:rFonts w:ascii="Arial" w:eastAsia="Arial" w:hAnsi="Arial" w:cs="Arial"/>
          <w:color w:val="000000"/>
          <w:sz w:val="20"/>
        </w:rPr>
        <w:t>, 808 F.2d at 1452-53. Because Mastaw cannot show that retaliation was the but-for cause of his suspension or termination, we conclude that the district court did not err in granting summary judgment to the Defendants on this issue.</w:t>
      </w:r>
    </w:p>
    <w:p w:rsidR="00022B47" w:rsidRDefault="00000000">
      <w:pPr>
        <w:pStyle w:val="Normal0"/>
        <w:widowControl w:val="0"/>
        <w:spacing w:before="240" w:line="260" w:lineRule="atLeast"/>
      </w:pPr>
      <w:r>
        <w:br/>
      </w:r>
      <w:r>
        <w:rPr>
          <w:rFonts w:ascii="Arial" w:eastAsia="Arial" w:hAnsi="Arial" w:cs="Arial"/>
          <w:b/>
          <w:color w:val="000000"/>
          <w:sz w:val="20"/>
        </w:rPr>
        <w:t>III</w:t>
      </w:r>
      <w:r>
        <w:rPr>
          <w:rFonts w:ascii="Arial" w:eastAsia="Arial" w:hAnsi="Arial" w:cs="Arial"/>
          <w:color w:val="000000"/>
          <w:sz w:val="20"/>
        </w:rPr>
        <w:t>.</w:t>
      </w:r>
    </w:p>
    <w:p w:rsidR="00022B47" w:rsidRDefault="00000000">
      <w:pPr>
        <w:pStyle w:val="Normal0"/>
        <w:widowControl w:val="0"/>
        <w:spacing w:before="200" w:line="260" w:lineRule="atLeast"/>
        <w:jc w:val="both"/>
      </w:pPr>
      <w:bookmarkStart w:id="37" w:name="Bookmark_para_29"/>
      <w:bookmarkEnd w:id="37"/>
      <w:r>
        <w:rPr>
          <w:rFonts w:ascii="Arial" w:eastAsia="Arial" w:hAnsi="Arial" w:cs="Arial"/>
          <w:color w:val="000000"/>
          <w:sz w:val="20"/>
        </w:rPr>
        <w:t xml:space="preserve">The ADA imposes on employers an affirmative duty to provide reasonable accommodations for known disabilities, unless doing so would result in undue hardship on the business. 42 U.S.C. § 12112(b)(5)(A). To establish a </w:t>
      </w:r>
      <w:r>
        <w:rPr>
          <w:rFonts w:ascii="Arial" w:eastAsia="Arial" w:hAnsi="Arial" w:cs="Arial"/>
          <w:i/>
          <w:color w:val="000000"/>
          <w:sz w:val="20"/>
        </w:rPr>
        <w:t>prima facie</w:t>
      </w:r>
      <w:r>
        <w:rPr>
          <w:rFonts w:ascii="Arial" w:eastAsia="Arial" w:hAnsi="Arial" w:cs="Arial"/>
          <w:color w:val="000000"/>
          <w:sz w:val="20"/>
        </w:rPr>
        <w:t xml:space="preserve"> case of discrimination under the ADA, a plaintiff must show that he: (1) was disabled; (2) was a qualified individual; (3) was discriminated against because of his disability, which includes the failure to provide a reasonable accommodation. </w:t>
      </w:r>
      <w:r>
        <w:rPr>
          <w:rFonts w:ascii="Arial" w:eastAsia="Arial" w:hAnsi="Arial" w:cs="Arial"/>
          <w:i/>
          <w:color w:val="000000"/>
          <w:sz w:val="20"/>
        </w:rPr>
        <w:t>Frazier-White v. Gee</w:t>
      </w:r>
      <w:r>
        <w:rPr>
          <w:rFonts w:ascii="Arial" w:eastAsia="Arial" w:hAnsi="Arial" w:cs="Arial"/>
          <w:color w:val="000000"/>
          <w:sz w:val="20"/>
        </w:rPr>
        <w:t xml:space="preserve">, 818 F.3d 1249, 1255 (11th Cir. 2016). The employee [*13]  has the burden of identifying an accommodation and demonstrating that it is reasonable. </w:t>
      </w:r>
      <w:r>
        <w:rPr>
          <w:rFonts w:ascii="Arial" w:eastAsia="Arial" w:hAnsi="Arial" w:cs="Arial"/>
          <w:i/>
          <w:color w:val="000000"/>
          <w:sz w:val="20"/>
        </w:rPr>
        <w:t>Id.</w:t>
      </w:r>
      <w:r>
        <w:rPr>
          <w:rFonts w:ascii="Arial" w:eastAsia="Arial" w:hAnsi="Arial" w:cs="Arial"/>
          <w:color w:val="000000"/>
          <w:sz w:val="20"/>
        </w:rPr>
        <w:t xml:space="preserve"> An accommodation is reasonable only if it enables the employee to perform the essential functions of the job. </w:t>
      </w:r>
      <w:r>
        <w:rPr>
          <w:rFonts w:ascii="Arial" w:eastAsia="Arial" w:hAnsi="Arial" w:cs="Arial"/>
          <w:i/>
          <w:color w:val="000000"/>
          <w:sz w:val="20"/>
        </w:rPr>
        <w:t>Id.</w:t>
      </w:r>
      <w:r>
        <w:rPr>
          <w:rFonts w:ascii="Arial" w:eastAsia="Arial" w:hAnsi="Arial" w:cs="Arial"/>
          <w:color w:val="000000"/>
          <w:sz w:val="20"/>
        </w:rPr>
        <w:t xml:space="preserve"> An employer is not required to accommodate an employee in "any manner in which that employee desires." </w:t>
      </w:r>
      <w:r>
        <w:rPr>
          <w:rFonts w:ascii="Arial" w:eastAsia="Arial" w:hAnsi="Arial" w:cs="Arial"/>
          <w:i/>
          <w:color w:val="000000"/>
          <w:sz w:val="20"/>
        </w:rPr>
        <w:t>Stewart</w:t>
      </w:r>
      <w:r>
        <w:rPr>
          <w:rFonts w:ascii="Arial" w:eastAsia="Arial" w:hAnsi="Arial" w:cs="Arial"/>
          <w:color w:val="000000"/>
          <w:sz w:val="20"/>
        </w:rPr>
        <w:t>, 117 F.3d at 1285 (quotation marks omitted).</w:t>
      </w:r>
    </w:p>
    <w:p w:rsidR="00022B47" w:rsidRDefault="00000000">
      <w:pPr>
        <w:pStyle w:val="Normal0"/>
        <w:widowControl w:val="0"/>
        <w:spacing w:before="200" w:line="260" w:lineRule="atLeast"/>
        <w:jc w:val="both"/>
      </w:pPr>
      <w:bookmarkStart w:id="38" w:name="Bookmark_para_30"/>
      <w:bookmarkEnd w:id="38"/>
      <w:r>
        <w:rPr>
          <w:rFonts w:ascii="Arial" w:eastAsia="Arial" w:hAnsi="Arial" w:cs="Arial"/>
          <w:color w:val="000000"/>
          <w:sz w:val="20"/>
        </w:rPr>
        <w:t xml:space="preserve">In </w:t>
      </w:r>
      <w:r>
        <w:rPr>
          <w:rFonts w:ascii="Arial" w:eastAsia="Arial" w:hAnsi="Arial" w:cs="Arial"/>
          <w:i/>
          <w:color w:val="000000"/>
          <w:sz w:val="20"/>
        </w:rPr>
        <w:t>D'Onofrio</w:t>
      </w:r>
      <w:r>
        <w:rPr>
          <w:rFonts w:ascii="Arial" w:eastAsia="Arial" w:hAnsi="Arial" w:cs="Arial"/>
          <w:color w:val="000000"/>
          <w:sz w:val="20"/>
        </w:rPr>
        <w:t xml:space="preserve">, a deaf employee was having an issue with her supervisor because he mumbled, refused to write out his communications, and behaved impatiently and rudely towards her. </w:t>
      </w:r>
      <w:r>
        <w:rPr>
          <w:rFonts w:ascii="Arial" w:eastAsia="Arial" w:hAnsi="Arial" w:cs="Arial"/>
          <w:i/>
          <w:color w:val="000000"/>
          <w:sz w:val="20"/>
        </w:rPr>
        <w:t>D'Onofrio v. Costco Wholesale Corp.</w:t>
      </w:r>
      <w:r>
        <w:rPr>
          <w:rFonts w:ascii="Arial" w:eastAsia="Arial" w:hAnsi="Arial" w:cs="Arial"/>
          <w:color w:val="000000"/>
          <w:sz w:val="20"/>
        </w:rPr>
        <w:t xml:space="preserve">, 964 F.3d 1014, 1024 (11th Cir. 2020). She requested that her supervisor be moved to a different warehouse, and her employer refused. </w:t>
      </w:r>
      <w:r>
        <w:rPr>
          <w:rFonts w:ascii="Arial" w:eastAsia="Arial" w:hAnsi="Arial" w:cs="Arial"/>
          <w:i/>
          <w:color w:val="000000"/>
          <w:sz w:val="20"/>
        </w:rPr>
        <w:t>Id.</w:t>
      </w:r>
      <w:r>
        <w:rPr>
          <w:rFonts w:ascii="Arial" w:eastAsia="Arial" w:hAnsi="Arial" w:cs="Arial"/>
          <w:color w:val="000000"/>
          <w:sz w:val="20"/>
        </w:rPr>
        <w:t xml:space="preserve"> We noted that this was a legally permissible response because both we and the Equal Employment Opportunity Commission had indicated that "a transfer of an employee from an incompatible supervisor is not a reasonable accommodation." </w:t>
      </w:r>
      <w:r>
        <w:rPr>
          <w:rFonts w:ascii="Arial" w:eastAsia="Arial" w:hAnsi="Arial" w:cs="Arial"/>
          <w:i/>
          <w:color w:val="000000"/>
          <w:sz w:val="20"/>
        </w:rPr>
        <w:t>Id.</w:t>
      </w:r>
      <w:r>
        <w:rPr>
          <w:rFonts w:ascii="Arial" w:eastAsia="Arial" w:hAnsi="Arial" w:cs="Arial"/>
          <w:color w:val="000000"/>
          <w:sz w:val="20"/>
        </w:rPr>
        <w:t xml:space="preserve"> (quotation marks and brackets omitted). Just as in </w:t>
      </w:r>
      <w:r>
        <w:rPr>
          <w:rFonts w:ascii="Arial" w:eastAsia="Arial" w:hAnsi="Arial" w:cs="Arial"/>
          <w:i/>
          <w:color w:val="000000"/>
          <w:sz w:val="20"/>
        </w:rPr>
        <w:t>D'Onofrio</w:t>
      </w:r>
      <w:r>
        <w:rPr>
          <w:rFonts w:ascii="Arial" w:eastAsia="Arial" w:hAnsi="Arial" w:cs="Arial"/>
          <w:color w:val="000000"/>
          <w:sz w:val="20"/>
        </w:rPr>
        <w:t>, Mastaw's requested accommodation to have a change in supervisor was not reasonable. Thus, we conclude that the district court did not err in granting summary judgment to the Defendants on Mastaw's ADA accommodation claim.</w:t>
      </w:r>
    </w:p>
    <w:p w:rsidR="00022B47" w:rsidRDefault="00000000">
      <w:pPr>
        <w:pStyle w:val="Normal0"/>
        <w:widowControl w:val="0"/>
        <w:spacing w:before="240" w:line="260" w:lineRule="atLeast"/>
      </w:pPr>
      <w:r>
        <w:br/>
      </w:r>
      <w:r>
        <w:rPr>
          <w:rFonts w:ascii="Arial" w:eastAsia="Arial" w:hAnsi="Arial" w:cs="Arial"/>
          <w:b/>
          <w:color w:val="000000"/>
          <w:sz w:val="20"/>
        </w:rPr>
        <w:t>IV</w:t>
      </w:r>
      <w:r>
        <w:rPr>
          <w:rFonts w:ascii="Arial" w:eastAsia="Arial" w:hAnsi="Arial" w:cs="Arial"/>
          <w:color w:val="000000"/>
          <w:sz w:val="20"/>
        </w:rPr>
        <w:t>.</w:t>
      </w:r>
    </w:p>
    <w:p w:rsidR="00022B47" w:rsidRDefault="00000000">
      <w:pPr>
        <w:pStyle w:val="Normal0"/>
        <w:widowControl w:val="0"/>
        <w:spacing w:before="200" w:line="260" w:lineRule="atLeast"/>
        <w:jc w:val="both"/>
      </w:pPr>
      <w:bookmarkStart w:id="39" w:name="Bookmark_para_31"/>
      <w:bookmarkEnd w:id="39"/>
      <w:r>
        <w:rPr>
          <w:rFonts w:ascii="Arial" w:eastAsia="Arial" w:hAnsi="Arial" w:cs="Arial"/>
          <w:color w:val="000000"/>
          <w:sz w:val="20"/>
        </w:rPr>
        <w:t xml:space="preserve">Under Florida law, to state a cause of action for defamation, [*14]  a plaintiff must allege that "(1) the defendant published a false statement (2) about the plaintiff (3) to a third party and (4) that the falsity of the statement caused injury to the plaintiff." </w:t>
      </w:r>
      <w:r>
        <w:rPr>
          <w:rFonts w:ascii="Arial" w:eastAsia="Arial" w:hAnsi="Arial" w:cs="Arial"/>
          <w:i/>
          <w:color w:val="000000"/>
          <w:sz w:val="20"/>
        </w:rPr>
        <w:t>Valencia v. Citibank Int'l</w:t>
      </w:r>
      <w:r>
        <w:rPr>
          <w:rFonts w:ascii="Arial" w:eastAsia="Arial" w:hAnsi="Arial" w:cs="Arial"/>
          <w:color w:val="000000"/>
          <w:sz w:val="20"/>
        </w:rPr>
        <w:t xml:space="preserve">, 728 So. 2d 330, 330 (Fla. Dist. Ct. App. 1999). A plaintiff's defamation claim fails if the alleged statements are true. </w:t>
      </w:r>
      <w:r>
        <w:rPr>
          <w:rFonts w:ascii="Arial" w:eastAsia="Arial" w:hAnsi="Arial" w:cs="Arial"/>
          <w:i/>
          <w:color w:val="000000"/>
          <w:sz w:val="20"/>
        </w:rPr>
        <w:t>Cape Publ'ns, Inc. v. Reakes</w:t>
      </w:r>
      <w:r>
        <w:rPr>
          <w:rFonts w:ascii="Arial" w:eastAsia="Arial" w:hAnsi="Arial" w:cs="Arial"/>
          <w:color w:val="000000"/>
          <w:sz w:val="20"/>
        </w:rPr>
        <w:t xml:space="preserve">, 840 So. 2d 277, 280 (Fla. Dist. Ct. App. 2003). Florida law recognizes that a communication may be "substantially true if its substance or gist conveys essentially the same meaning that the truth would have conveyed." </w:t>
      </w:r>
      <w:r>
        <w:rPr>
          <w:rFonts w:ascii="Arial" w:eastAsia="Arial" w:hAnsi="Arial" w:cs="Arial"/>
          <w:i/>
          <w:color w:val="000000"/>
          <w:sz w:val="20"/>
        </w:rPr>
        <w:t>Jews for Jesus, Inc. v. Rapp</w:t>
      </w:r>
      <w:r>
        <w:rPr>
          <w:rFonts w:ascii="Arial" w:eastAsia="Arial" w:hAnsi="Arial" w:cs="Arial"/>
          <w:color w:val="000000"/>
          <w:sz w:val="20"/>
        </w:rPr>
        <w:t xml:space="preserve">, 997 So. 2d 1098, 1107 (Fla. 2008) (quotation marks and emphasis omitted). Expressions of opinion based on facts in the publication are constitutionally protected, but expressions of mixed opinion based on concealed or undisclosed defamatory facts are not. </w:t>
      </w:r>
      <w:r>
        <w:rPr>
          <w:rFonts w:ascii="Arial" w:eastAsia="Arial" w:hAnsi="Arial" w:cs="Arial"/>
          <w:i/>
          <w:color w:val="000000"/>
          <w:sz w:val="20"/>
        </w:rPr>
        <w:t>Town of Sewall's Point v. Rhodes</w:t>
      </w:r>
      <w:r>
        <w:rPr>
          <w:rFonts w:ascii="Arial" w:eastAsia="Arial" w:hAnsi="Arial" w:cs="Arial"/>
          <w:color w:val="000000"/>
          <w:sz w:val="20"/>
        </w:rPr>
        <w:t>, 852 So. 2d 949, 951 (Fla. Dist. Ct. App. 2003).</w:t>
      </w:r>
    </w:p>
    <w:p w:rsidR="00022B47" w:rsidRDefault="00000000">
      <w:pPr>
        <w:pStyle w:val="Normal0"/>
        <w:widowControl w:val="0"/>
        <w:spacing w:before="200" w:line="260" w:lineRule="atLeast"/>
        <w:jc w:val="both"/>
      </w:pPr>
      <w:bookmarkStart w:id="40" w:name="Bookmark_para_32"/>
      <w:bookmarkEnd w:id="40"/>
      <w:r>
        <w:rPr>
          <w:rFonts w:ascii="Arial" w:eastAsia="Arial" w:hAnsi="Arial" w:cs="Arial"/>
          <w:color w:val="000000"/>
          <w:sz w:val="20"/>
        </w:rPr>
        <w:t xml:space="preserve">Florida law recognizes a qualified privilege for statements that meet the following requirements: "(1) good faith; (2) an interest in the subject by the speaker or a subject in which the speaker has a duty to speak; (3) a corresponding interest or duty in the listener or reader; (4) a proper occasion; and (5) publication in a proper manner." </w:t>
      </w:r>
      <w:r>
        <w:rPr>
          <w:rFonts w:ascii="Arial" w:eastAsia="Arial" w:hAnsi="Arial" w:cs="Arial"/>
          <w:i/>
          <w:color w:val="000000"/>
          <w:sz w:val="20"/>
        </w:rPr>
        <w:t>Thomas v. Tampa Bay Downs, Inc.</w:t>
      </w:r>
      <w:r>
        <w:rPr>
          <w:rFonts w:ascii="Arial" w:eastAsia="Arial" w:hAnsi="Arial" w:cs="Arial"/>
          <w:color w:val="000000"/>
          <w:sz w:val="20"/>
        </w:rPr>
        <w:t xml:space="preserve">, 761 So. 2d 401, 404 (Fla. Dist. Ct. App. 2000). A publication may be qualifiedly privileged even if it is untrue. </w:t>
      </w:r>
      <w:r>
        <w:rPr>
          <w:rFonts w:ascii="Arial" w:eastAsia="Arial" w:hAnsi="Arial" w:cs="Arial"/>
          <w:i/>
          <w:color w:val="000000"/>
          <w:sz w:val="20"/>
        </w:rPr>
        <w:t>Demby v. English</w:t>
      </w:r>
      <w:r>
        <w:rPr>
          <w:rFonts w:ascii="Arial" w:eastAsia="Arial" w:hAnsi="Arial" w:cs="Arial"/>
          <w:color w:val="000000"/>
          <w:sz w:val="20"/>
        </w:rPr>
        <w:t xml:space="preserve">, 667 So. 2d 350, 353 (Fla. Dist. Ct. App. 1995). If the defendant establishes the existence of a qualified privilege, the plaintiff must demonstrate "express malice," or [*15]  that "the primary motive for the statement is shown to have been an intention to injure the plaintiff." </w:t>
      </w:r>
      <w:r>
        <w:rPr>
          <w:rFonts w:ascii="Arial" w:eastAsia="Arial" w:hAnsi="Arial" w:cs="Arial"/>
          <w:i/>
          <w:color w:val="000000"/>
          <w:sz w:val="20"/>
        </w:rPr>
        <w:t>Nodar v. Galbreath</w:t>
      </w:r>
      <w:r>
        <w:rPr>
          <w:rFonts w:ascii="Arial" w:eastAsia="Arial" w:hAnsi="Arial" w:cs="Arial"/>
          <w:color w:val="000000"/>
          <w:sz w:val="20"/>
        </w:rPr>
        <w:t xml:space="preserve">, 462 So. 2d 803, 806, 810 (Fla. 1984). It is not enough to show that the speaker has personal feelings of hostility or ill will toward the plaintiff. </w:t>
      </w:r>
      <w:r>
        <w:rPr>
          <w:rFonts w:ascii="Arial" w:eastAsia="Arial" w:hAnsi="Arial" w:cs="Arial"/>
          <w:i/>
          <w:color w:val="000000"/>
          <w:sz w:val="20"/>
        </w:rPr>
        <w:t>Id.</w:t>
      </w:r>
      <w:r>
        <w:rPr>
          <w:rFonts w:ascii="Arial" w:eastAsia="Arial" w:hAnsi="Arial" w:cs="Arial"/>
          <w:color w:val="000000"/>
          <w:sz w:val="20"/>
        </w:rPr>
        <w:t xml:space="preserve"> at 812.</w:t>
      </w:r>
    </w:p>
    <w:p w:rsidR="00022B47" w:rsidRDefault="00000000">
      <w:pPr>
        <w:pStyle w:val="Normal0"/>
        <w:widowControl w:val="0"/>
        <w:spacing w:before="200" w:line="260" w:lineRule="atLeast"/>
        <w:jc w:val="both"/>
      </w:pPr>
      <w:bookmarkStart w:id="41" w:name="Bookmark_para_33"/>
      <w:bookmarkEnd w:id="41"/>
      <w:r>
        <w:rPr>
          <w:rFonts w:ascii="Arial" w:eastAsia="Arial" w:hAnsi="Arial" w:cs="Arial"/>
          <w:color w:val="000000"/>
          <w:sz w:val="20"/>
        </w:rPr>
        <w:t>Florida statutes provide that those who participate in peer review are immune from monetary liability when they act "without intentional fraud" while engaging in peer review. Fla. Stat. § 395.0193(5). The HCQIA grants conditional immunity from monetary liability to those who participate in peer review activities so long as the action conforms with certain requirements. 42 U.S.C. § 11111(a)(1).</w:t>
      </w:r>
    </w:p>
    <w:p w:rsidR="00022B47" w:rsidRDefault="00000000">
      <w:pPr>
        <w:pStyle w:val="Normal0"/>
        <w:widowControl w:val="0"/>
        <w:spacing w:before="200" w:line="260" w:lineRule="atLeast"/>
        <w:jc w:val="both"/>
      </w:pPr>
      <w:bookmarkStart w:id="42" w:name="Bookmark_para_34"/>
      <w:bookmarkEnd w:id="42"/>
      <w:r>
        <w:rPr>
          <w:rFonts w:ascii="Arial" w:eastAsia="Arial" w:hAnsi="Arial" w:cs="Arial"/>
          <w:color w:val="000000"/>
          <w:sz w:val="20"/>
        </w:rPr>
        <w:t xml:space="preserve">In </w:t>
      </w:r>
      <w:r>
        <w:rPr>
          <w:rFonts w:ascii="Arial" w:eastAsia="Arial" w:hAnsi="Arial" w:cs="Arial"/>
          <w:i/>
          <w:color w:val="000000"/>
          <w:sz w:val="20"/>
        </w:rPr>
        <w:t>Linafelt</w:t>
      </w:r>
      <w:r>
        <w:rPr>
          <w:rFonts w:ascii="Arial" w:eastAsia="Arial" w:hAnsi="Arial" w:cs="Arial"/>
          <w:color w:val="000000"/>
          <w:sz w:val="20"/>
        </w:rPr>
        <w:t xml:space="preserve">, a Florida appellate court held that whether a former employer's communication related to the appellant's job performance was privileged was governed by a Florida statute. </w:t>
      </w:r>
      <w:r>
        <w:rPr>
          <w:rFonts w:ascii="Arial" w:eastAsia="Arial" w:hAnsi="Arial" w:cs="Arial"/>
          <w:i/>
          <w:color w:val="000000"/>
          <w:sz w:val="20"/>
        </w:rPr>
        <w:t>Linafelt v. Beverly Enters.-Fla., Inc.</w:t>
      </w:r>
      <w:r>
        <w:rPr>
          <w:rFonts w:ascii="Arial" w:eastAsia="Arial" w:hAnsi="Arial" w:cs="Arial"/>
          <w:color w:val="000000"/>
          <w:sz w:val="20"/>
        </w:rPr>
        <w:t xml:space="preserve">, 745 So. 2d 386, 388 (Fla. Dist. Ct. App. 1999). This was because the Florida legislature had codified the common law. </w:t>
      </w:r>
      <w:r>
        <w:rPr>
          <w:rFonts w:ascii="Arial" w:eastAsia="Arial" w:hAnsi="Arial" w:cs="Arial"/>
          <w:i/>
          <w:color w:val="000000"/>
          <w:sz w:val="20"/>
        </w:rPr>
        <w:t>Id.</w:t>
      </w:r>
    </w:p>
    <w:p w:rsidR="00022B47" w:rsidRDefault="00000000">
      <w:pPr>
        <w:pStyle w:val="Normal0"/>
        <w:widowControl w:val="0"/>
        <w:spacing w:before="200" w:line="260" w:lineRule="atLeast"/>
        <w:jc w:val="both"/>
      </w:pPr>
      <w:bookmarkStart w:id="43" w:name="Bookmark_para_35"/>
      <w:bookmarkEnd w:id="43"/>
      <w:r>
        <w:rPr>
          <w:rFonts w:ascii="Arial" w:eastAsia="Arial" w:hAnsi="Arial" w:cs="Arial"/>
          <w:color w:val="000000"/>
          <w:sz w:val="20"/>
        </w:rPr>
        <w:t xml:space="preserve">In </w:t>
      </w:r>
      <w:r>
        <w:rPr>
          <w:rFonts w:ascii="Arial" w:eastAsia="Arial" w:hAnsi="Arial" w:cs="Arial"/>
          <w:i/>
          <w:color w:val="000000"/>
          <w:sz w:val="20"/>
        </w:rPr>
        <w:t>Hakki</w:t>
      </w:r>
      <w:r>
        <w:rPr>
          <w:rFonts w:ascii="Arial" w:eastAsia="Arial" w:hAnsi="Arial" w:cs="Arial"/>
          <w:color w:val="000000"/>
          <w:sz w:val="20"/>
        </w:rPr>
        <w:t xml:space="preserve">, a doctor filed a complaint against his employing hospital after they terminated his privileges at the hospital and filed an adverse action report with the Data Bank that he alleged contained false information. </w:t>
      </w:r>
      <w:r>
        <w:rPr>
          <w:rFonts w:ascii="Arial" w:eastAsia="Arial" w:hAnsi="Arial" w:cs="Arial"/>
          <w:i/>
          <w:color w:val="000000"/>
          <w:sz w:val="20"/>
        </w:rPr>
        <w:t>Hakki v. Galencare, Inc.</w:t>
      </w:r>
      <w:r>
        <w:rPr>
          <w:rFonts w:ascii="Arial" w:eastAsia="Arial" w:hAnsi="Arial" w:cs="Arial"/>
          <w:color w:val="000000"/>
          <w:sz w:val="20"/>
        </w:rPr>
        <w:t>, 237 So. 3d 440, 441-42 (Fla. Dist. Ct. App. 2018). The lower court dismissed his complaint because the hospital was immune under §§ 395.0191(7)</w:t>
      </w:r>
      <w:r>
        <w:rPr>
          <w:rFonts w:ascii="Arial" w:eastAsia="Arial" w:hAnsi="Arial" w:cs="Arial"/>
          <w:vertAlign w:val="superscript"/>
        </w:rPr>
        <w:footnoteReference w:customMarkFollows="1" w:id="1"/>
        <w:t>1</w:t>
      </w:r>
      <w:r>
        <w:rPr>
          <w:rFonts w:ascii="Arial" w:eastAsia="Arial" w:hAnsi="Arial" w:cs="Arial"/>
          <w:color w:val="000000"/>
          <w:sz w:val="20"/>
        </w:rPr>
        <w:t xml:space="preserve"> and 395.0193(5) since its actions arose out of the reappointment and internal investigation [*16]  processes surrounding his staff privileges and he had not alleged intentional fraud. </w:t>
      </w:r>
      <w:r>
        <w:rPr>
          <w:rFonts w:ascii="Arial" w:eastAsia="Arial" w:hAnsi="Arial" w:cs="Arial"/>
          <w:i/>
          <w:color w:val="000000"/>
          <w:sz w:val="20"/>
        </w:rPr>
        <w:t>Id.</w:t>
      </w:r>
      <w:r>
        <w:rPr>
          <w:rFonts w:ascii="Arial" w:eastAsia="Arial" w:hAnsi="Arial" w:cs="Arial"/>
          <w:color w:val="000000"/>
          <w:sz w:val="20"/>
        </w:rPr>
        <w:t xml:space="preserve"> at 442. On appeal, the doctor argued that the immunities did not apply because his allegations concerned a report under the Data Bank—conduct outside the reappointment process—and that even if the statutory immunity applied, he had alleged intentional fraud to overcome that immunity. </w:t>
      </w:r>
      <w:r>
        <w:rPr>
          <w:rFonts w:ascii="Arial" w:eastAsia="Arial" w:hAnsi="Arial" w:cs="Arial"/>
          <w:i/>
          <w:color w:val="000000"/>
          <w:sz w:val="20"/>
        </w:rPr>
        <w:t>Id.</w:t>
      </w:r>
      <w:r>
        <w:rPr>
          <w:rFonts w:ascii="Arial" w:eastAsia="Arial" w:hAnsi="Arial" w:cs="Arial"/>
          <w:color w:val="000000"/>
          <w:sz w:val="20"/>
        </w:rPr>
        <w:t xml:space="preserve"> The Florida appellate court held that even assuming immunity under § 395.0191(7) applied, the lower court erred because the doctor had sufficiently pled intentional fraud on the part of the hospital. </w:t>
      </w:r>
      <w:r>
        <w:rPr>
          <w:rFonts w:ascii="Arial" w:eastAsia="Arial" w:hAnsi="Arial" w:cs="Arial"/>
          <w:i/>
          <w:color w:val="000000"/>
          <w:sz w:val="20"/>
        </w:rPr>
        <w:t>Id.</w:t>
      </w:r>
    </w:p>
    <w:p w:rsidR="00022B47" w:rsidRDefault="00000000">
      <w:pPr>
        <w:pStyle w:val="Normal0"/>
        <w:widowControl w:val="0"/>
        <w:spacing w:before="200" w:line="260" w:lineRule="atLeast"/>
        <w:jc w:val="both"/>
      </w:pPr>
      <w:bookmarkStart w:id="45" w:name="Bookmark_para_36"/>
      <w:bookmarkEnd w:id="45"/>
      <w:r>
        <w:rPr>
          <w:rFonts w:ascii="Arial" w:eastAsia="Arial" w:hAnsi="Arial" w:cs="Arial"/>
          <w:color w:val="000000"/>
          <w:sz w:val="20"/>
        </w:rPr>
        <w:t>The record here shows that Mastaw abandoned any argument about immunity under the HCQIA because he mentioned this argument only in passing in his initial brief. The record also shows that the district court did not err in granting summary judgment on Mastaw's defamation claim because MCC was entitled to a common law privilege, which was not displaced by Florida or federal law. MCC was obligated to report Mastaw's disciplinary action; thus, its statements were not actionable. Thus, we conclude that the district court did not err in granting summary judgment to the Defendants on this issue.</w:t>
      </w:r>
    </w:p>
    <w:p w:rsidR="00022B47" w:rsidRDefault="00000000">
      <w:pPr>
        <w:pStyle w:val="Normal0"/>
        <w:widowControl w:val="0"/>
        <w:spacing w:before="200" w:line="260" w:lineRule="atLeast"/>
        <w:jc w:val="both"/>
      </w:pPr>
      <w:bookmarkStart w:id="46" w:name="Bookmark_para_37"/>
      <w:bookmarkEnd w:id="46"/>
      <w:r>
        <w:rPr>
          <w:rFonts w:ascii="Arial" w:eastAsia="Arial" w:hAnsi="Arial" w:cs="Arial"/>
          <w:color w:val="000000"/>
          <w:sz w:val="20"/>
        </w:rPr>
        <w:t>Accordingly, based on the aforementioned reasons, [*17]  we affirm the district court's grant of summary judgment to MCC on Mastaw's claims.</w:t>
      </w:r>
    </w:p>
    <w:p w:rsidR="00022B47" w:rsidRDefault="00000000">
      <w:pPr>
        <w:pStyle w:val="Normal0"/>
        <w:widowControl w:val="0"/>
        <w:spacing w:before="200" w:line="260" w:lineRule="atLeast"/>
        <w:jc w:val="both"/>
      </w:pPr>
      <w:bookmarkStart w:id="47" w:name="Bookmark_para_38"/>
      <w:bookmarkEnd w:id="47"/>
      <w:r>
        <w:rPr>
          <w:rFonts w:ascii="Arial" w:eastAsia="Arial" w:hAnsi="Arial" w:cs="Arial"/>
          <w:b/>
          <w:color w:val="000000"/>
          <w:sz w:val="20"/>
        </w:rPr>
        <w:t>AFFIRMED</w:t>
      </w:r>
      <w:r>
        <w:rPr>
          <w:rFonts w:ascii="Arial" w:eastAsia="Arial" w:hAnsi="Arial" w:cs="Arial"/>
          <w:color w:val="000000"/>
          <w:sz w:val="20"/>
        </w:rPr>
        <w:t>.</w:t>
      </w:r>
    </w:p>
    <w:p w:rsidR="00022B47" w:rsidRDefault="00022B47">
      <w:pPr>
        <w:pStyle w:val="Normal0"/>
      </w:pPr>
    </w:p>
    <w:p w:rsidR="00022B47" w:rsidRDefault="00000000">
      <w:pPr>
        <w:pStyle w:val="Normal0"/>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30968900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324B40"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1"/>
        <w:sectPr w:rsidR="00022B47">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gutter="0"/>
          <w:cols w:space="720"/>
          <w:titlePg/>
        </w:sectPr>
      </w:pPr>
    </w:p>
    <w:p w:rsidR="00022B47" w:rsidRDefault="00022B47">
      <w:pPr>
        <w:pStyle w:val="Normal1"/>
      </w:pPr>
    </w:p>
    <w:p w:rsidR="00022B47" w:rsidRDefault="00000000">
      <w:pPr>
        <w:pStyle w:val="Heading10"/>
        <w:keepNext w:val="0"/>
        <w:widowControl w:val="0"/>
        <w:spacing w:after="200" w:line="340" w:lineRule="atLeast"/>
        <w:jc w:val="center"/>
      </w:pPr>
      <w:r>
        <w:rPr>
          <w:rFonts w:eastAsia="Arial"/>
          <w:color w:val="000000"/>
          <w:sz w:val="28"/>
        </w:rPr>
        <w:t>Hall v. Higgins</w:t>
      </w:r>
    </w:p>
    <w:p w:rsidR="00022B47" w:rsidRDefault="00000000">
      <w:pPr>
        <w:pStyle w:val="Normal1"/>
        <w:widowControl w:val="0"/>
        <w:spacing w:before="120" w:line="260" w:lineRule="atLeast"/>
        <w:jc w:val="center"/>
      </w:pPr>
      <w:r>
        <w:rPr>
          <w:rFonts w:ascii="Arial" w:eastAsia="Arial" w:hAnsi="Arial" w:cs="Arial"/>
          <w:color w:val="000000"/>
          <w:sz w:val="20"/>
        </w:rPr>
        <w:t>United States Court of Appeals for the Eighth Circuit</w:t>
      </w:r>
    </w:p>
    <w:p w:rsidR="00022B47" w:rsidRDefault="00000000">
      <w:pPr>
        <w:pStyle w:val="Normal1"/>
        <w:widowControl w:val="0"/>
        <w:spacing w:before="120" w:line="260" w:lineRule="atLeast"/>
        <w:jc w:val="center"/>
      </w:pPr>
      <w:r>
        <w:rPr>
          <w:rFonts w:ascii="Arial" w:eastAsia="Arial" w:hAnsi="Arial" w:cs="Arial"/>
          <w:color w:val="000000"/>
          <w:sz w:val="20"/>
        </w:rPr>
        <w:t>June 14, 2023, Submitted; August 15, 2023, Filed</w:t>
      </w:r>
    </w:p>
    <w:p w:rsidR="00022B47" w:rsidRDefault="00000000">
      <w:pPr>
        <w:pStyle w:val="Normal1"/>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22-2582</w:t>
      </w:r>
    </w:p>
    <w:p w:rsidR="00022B47" w:rsidRDefault="00022B47">
      <w:pPr>
        <w:pStyle w:val="Normal1"/>
        <w:widowControl w:val="0"/>
        <w:spacing w:line="240" w:lineRule="atLeast"/>
        <w:jc w:val="both"/>
      </w:pPr>
      <w:bookmarkStart w:id="48" w:name="Bookmark_2"/>
      <w:bookmarkEnd w:id="48"/>
    </w:p>
    <w:p w:rsidR="00022B47" w:rsidRDefault="00000000">
      <w:pPr>
        <w:pStyle w:val="Normal1"/>
        <w:widowControl w:val="0"/>
        <w:spacing w:before="200" w:line="240" w:lineRule="atLeast"/>
      </w:pPr>
      <w:bookmarkStart w:id="49" w:name="Reporter_0"/>
      <w:bookmarkEnd w:id="49"/>
      <w:r>
        <w:rPr>
          <w:rFonts w:ascii="Arial" w:eastAsia="Arial" w:hAnsi="Arial" w:cs="Arial"/>
          <w:b/>
          <w:color w:val="000000"/>
          <w:sz w:val="18"/>
        </w:rPr>
        <w:t>Reporter</w:t>
      </w:r>
    </w:p>
    <w:p w:rsidR="00022B47" w:rsidRDefault="00000000">
      <w:pPr>
        <w:pStyle w:val="Normal1"/>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2023 U.S. App. LEXIS 21174 *; __ F.4th __</w:t>
      </w:r>
    </w:p>
    <w:p w:rsidR="00022B47" w:rsidRDefault="00000000">
      <w:pPr>
        <w:pStyle w:val="Normal1"/>
        <w:widowControl w:val="0"/>
        <w:spacing w:before="120" w:line="260" w:lineRule="atLeast"/>
      </w:pPr>
      <w:r>
        <w:rPr>
          <w:rFonts w:ascii="Arial" w:eastAsia="Arial" w:hAnsi="Arial" w:cs="Arial"/>
          <w:color w:val="000000"/>
          <w:sz w:val="20"/>
        </w:rPr>
        <w:t>Carlos Hall, Sr., Plaintiff - Appellant v. Eric Higgins, Defendant - Appellee</w:t>
      </w:r>
    </w:p>
    <w:p w:rsidR="00022B47" w:rsidRDefault="00000000">
      <w:pPr>
        <w:pStyle w:val="Normal1"/>
        <w:widowControl w:val="0"/>
        <w:spacing w:before="240" w:line="260" w:lineRule="atLeast"/>
        <w:jc w:val="both"/>
      </w:pPr>
      <w:bookmarkStart w:id="50" w:name="Prior_History_0"/>
      <w:bookmarkEnd w:id="50"/>
      <w:r>
        <w:rPr>
          <w:rFonts w:ascii="Arial" w:eastAsia="Arial" w:hAnsi="Arial" w:cs="Arial"/>
          <w:b/>
          <w:color w:val="000000"/>
          <w:sz w:val="20"/>
        </w:rPr>
        <w:t>Prior History:</w:t>
      </w:r>
      <w:r>
        <w:rPr>
          <w:rFonts w:ascii="Arial" w:eastAsia="Arial" w:hAnsi="Arial" w:cs="Arial"/>
          <w:color w:val="000000"/>
          <w:sz w:val="20"/>
        </w:rPr>
        <w:t> </w:t>
      </w:r>
      <w:bookmarkStart w:id="51" w:name="Bookmark_para_1_0"/>
      <w:bookmarkEnd w:id="51"/>
      <w:r>
        <w:rPr>
          <w:rFonts w:ascii="Arial" w:eastAsia="Arial" w:hAnsi="Arial" w:cs="Arial"/>
          <w:color w:val="000000"/>
          <w:sz w:val="20"/>
        </w:rPr>
        <w:t> [*1] Appeal from United States District Court for the Eastern District of Arkansas - Central.</w:t>
      </w:r>
    </w:p>
    <w:p w:rsidR="00022B47" w:rsidRDefault="00000000">
      <w:pPr>
        <w:pStyle w:val="Normal1"/>
        <w:widowControl w:val="0"/>
        <w:spacing w:before="120" w:line="260" w:lineRule="atLeast"/>
      </w:pPr>
      <w:r>
        <w:rPr>
          <w:rFonts w:ascii="Arial" w:eastAsia="Arial" w:hAnsi="Arial" w:cs="Arial"/>
          <w:color w:val="000000"/>
          <w:sz w:val="20"/>
        </w:rPr>
        <w:t>Hall v. Higgins, 2022 U.S. Dist. LEXIS 116982, 2022 WL 2392539 (E.D. Ark., July 1, 2022)</w:t>
      </w:r>
    </w:p>
    <w:p w:rsidR="00022B47" w:rsidRDefault="00000000">
      <w:pPr>
        <w:pStyle w:val="Normal1"/>
        <w:widowControl w:val="0"/>
        <w:spacing w:before="240" w:line="260" w:lineRule="atLeast"/>
      </w:pPr>
      <w:bookmarkStart w:id="52" w:name="Counsel_0"/>
      <w:bookmarkEnd w:id="52"/>
      <w:r>
        <w:rPr>
          <w:rFonts w:ascii="Arial" w:eastAsia="Arial" w:hAnsi="Arial" w:cs="Arial"/>
          <w:b/>
          <w:color w:val="000000"/>
          <w:sz w:val="20"/>
        </w:rPr>
        <w:t>Counsel:</w:t>
      </w:r>
      <w:r>
        <w:rPr>
          <w:rFonts w:ascii="Arial" w:eastAsia="Arial" w:hAnsi="Arial" w:cs="Arial"/>
          <w:color w:val="000000"/>
          <w:sz w:val="20"/>
        </w:rPr>
        <w:t> For Carlos Hall, Sr., Plaintiff - Appellant: Lucien R. Gillham, Luther Oneal Sutter, SUTTER &amp; GILLHAM, Little Rock, AR; Samuel David Kinder Weiss, Washington, DC.</w:t>
      </w:r>
    </w:p>
    <w:p w:rsidR="00022B47" w:rsidRDefault="00000000">
      <w:pPr>
        <w:pStyle w:val="Normal1"/>
        <w:widowControl w:val="0"/>
        <w:spacing w:before="120" w:line="260" w:lineRule="atLeast"/>
      </w:pPr>
      <w:r>
        <w:rPr>
          <w:rFonts w:ascii="Arial" w:eastAsia="Arial" w:hAnsi="Arial" w:cs="Arial"/>
          <w:color w:val="000000"/>
          <w:sz w:val="20"/>
        </w:rPr>
        <w:t>For Eric Higgins, Defendant - Appellee: Margaret Diane Depper, David M. Fuqua, Christopher Stevens, FUQUA &amp; CAMPBELL, Little Rock, AR.</w:t>
      </w:r>
    </w:p>
    <w:p w:rsidR="00022B47" w:rsidRDefault="00000000">
      <w:pPr>
        <w:pStyle w:val="Normal1"/>
        <w:widowControl w:val="0"/>
        <w:spacing w:before="240" w:line="260" w:lineRule="atLeast"/>
      </w:pPr>
      <w:bookmarkStart w:id="53" w:name="Judges_0"/>
      <w:bookmarkEnd w:id="53"/>
      <w:r>
        <w:rPr>
          <w:rFonts w:ascii="Arial" w:eastAsia="Arial" w:hAnsi="Arial" w:cs="Arial"/>
          <w:b/>
          <w:color w:val="000000"/>
          <w:sz w:val="20"/>
        </w:rPr>
        <w:t>Judges:</w:t>
      </w:r>
      <w:r>
        <w:rPr>
          <w:rFonts w:ascii="Arial" w:eastAsia="Arial" w:hAnsi="Arial" w:cs="Arial"/>
          <w:color w:val="000000"/>
          <w:sz w:val="20"/>
        </w:rPr>
        <w:t> Before GRUENDER, KELLY, and GRASZ, Circuit Judges.</w:t>
      </w:r>
    </w:p>
    <w:p w:rsidR="00022B47" w:rsidRDefault="00000000">
      <w:pPr>
        <w:pStyle w:val="Normal1"/>
        <w:widowControl w:val="0"/>
        <w:spacing w:before="240" w:line="260" w:lineRule="atLeast"/>
      </w:pPr>
      <w:bookmarkStart w:id="54" w:name="Opinion_by"/>
      <w:bookmarkEnd w:id="54"/>
      <w:r>
        <w:rPr>
          <w:rFonts w:ascii="Arial" w:eastAsia="Arial" w:hAnsi="Arial" w:cs="Arial"/>
          <w:b/>
          <w:color w:val="000000"/>
          <w:sz w:val="20"/>
        </w:rPr>
        <w:t>Opinion by:</w:t>
      </w:r>
      <w:r>
        <w:rPr>
          <w:rFonts w:ascii="Arial" w:eastAsia="Arial" w:hAnsi="Arial" w:cs="Arial"/>
          <w:color w:val="000000"/>
          <w:sz w:val="20"/>
        </w:rPr>
        <w:t> KELLY</w:t>
      </w:r>
    </w:p>
    <w:p w:rsidR="00022B47" w:rsidRDefault="00000000">
      <w:pPr>
        <w:pStyle w:val="Normal1"/>
        <w:keepNext/>
        <w:widowControl w:val="0"/>
        <w:spacing w:before="240" w:line="340" w:lineRule="atLeast"/>
      </w:pPr>
      <w:bookmarkStart w:id="55" w:name="Opinion_0"/>
      <w:bookmarkEnd w:id="55"/>
      <w:r>
        <w:rPr>
          <w:rFonts w:ascii="Arial" w:eastAsia="Arial" w:hAnsi="Arial" w:cs="Arial"/>
          <w:b/>
          <w:color w:val="000000"/>
          <w:sz w:val="28"/>
        </w:rPr>
        <w:t>Opinion</w:t>
      </w:r>
    </w:p>
    <w:p w:rsidR="00022B47" w:rsidRDefault="0025213E">
      <w:pPr>
        <w:pStyle w:val="Normal1"/>
        <w:spacing w:line="60" w:lineRule="exact"/>
      </w:pPr>
      <w:r>
        <w:rPr>
          <w:noProof/>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45096998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CC358A"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1"/>
      </w:pPr>
    </w:p>
    <w:p w:rsidR="00022B47" w:rsidRDefault="00000000">
      <w:pPr>
        <w:pStyle w:val="Normal1"/>
        <w:widowControl w:val="0"/>
        <w:spacing w:before="200" w:line="260" w:lineRule="atLeast"/>
        <w:jc w:val="both"/>
      </w:pPr>
      <w:bookmarkStart w:id="56" w:name="Bookmark_para_2_0"/>
      <w:bookmarkEnd w:id="56"/>
      <w:r>
        <w:rPr>
          <w:rFonts w:ascii="Arial" w:eastAsia="Arial" w:hAnsi="Arial" w:cs="Arial"/>
          <w:color w:val="000000"/>
          <w:sz w:val="20"/>
        </w:rPr>
        <w:t>KELLY, Circuit Judge.</w:t>
      </w:r>
    </w:p>
    <w:p w:rsidR="00022B47" w:rsidRDefault="00000000">
      <w:pPr>
        <w:pStyle w:val="Normal1"/>
        <w:widowControl w:val="0"/>
        <w:spacing w:before="200" w:line="260" w:lineRule="atLeast"/>
        <w:jc w:val="both"/>
      </w:pPr>
      <w:bookmarkStart w:id="57" w:name="Bookmark_para_3_0"/>
      <w:bookmarkEnd w:id="57"/>
      <w:r>
        <w:rPr>
          <w:rFonts w:ascii="Arial" w:eastAsia="Arial" w:hAnsi="Arial" w:cs="Arial"/>
          <w:color w:val="000000"/>
          <w:sz w:val="20"/>
        </w:rPr>
        <w:t xml:space="preserve">Carlos Hall, Sr., was held in pretrial custody at the Pulaski County Regional Detention Facility (the Jail) in Little Rock, Arkansas, for five weeks. </w:t>
      </w:r>
      <w:bookmarkStart w:id="58" w:name="Bookmark_I68YK6052SF7NG0010000400"/>
      <w:bookmarkEnd w:id="58"/>
      <w:r>
        <w:rPr>
          <w:rFonts w:ascii="Arial" w:eastAsia="Arial" w:hAnsi="Arial" w:cs="Arial"/>
          <w:color w:val="000000"/>
          <w:sz w:val="20"/>
        </w:rPr>
        <w:t>After he was released, Hall filed a suit for damages against a Pulaski County official, alleging deliberate indifference to his medical needs, unconstitutional conditions of confinement, and disability discrimination. The district court granted summary judgment to the defendant on all of Hall's claims. We affirm in part and reverse in part.</w:t>
      </w:r>
    </w:p>
    <w:p w:rsidR="00022B47" w:rsidRDefault="00000000">
      <w:pPr>
        <w:pStyle w:val="Normal1"/>
        <w:widowControl w:val="0"/>
        <w:spacing w:before="120" w:line="260" w:lineRule="atLeast"/>
      </w:pPr>
      <w:r>
        <w:rPr>
          <w:rFonts w:ascii="Arial" w:eastAsia="Arial" w:hAnsi="Arial" w:cs="Arial"/>
          <w:color w:val="000000"/>
          <w:sz w:val="20"/>
        </w:rPr>
        <w:t>I.</w:t>
      </w:r>
    </w:p>
    <w:p w:rsidR="00022B47" w:rsidRDefault="00000000">
      <w:pPr>
        <w:pStyle w:val="Normal1"/>
        <w:widowControl w:val="0"/>
        <w:spacing w:before="200" w:line="260" w:lineRule="atLeast"/>
        <w:jc w:val="both"/>
      </w:pPr>
      <w:bookmarkStart w:id="59" w:name="Bookmark_para_4_0"/>
      <w:bookmarkStart w:id="60" w:name="Bookmark_LNHNREFclscc1"/>
      <w:bookmarkStart w:id="61" w:name="Bookmark_I68YT8B128T3W90020000400"/>
      <w:bookmarkEnd w:id="59"/>
      <w:bookmarkEnd w:id="60"/>
      <w:bookmarkEnd w:id="61"/>
      <w:r>
        <w:rPr>
          <w:rFonts w:ascii="Arial" w:eastAsia="Arial" w:hAnsi="Arial" w:cs="Arial"/>
          <w:color w:val="000000"/>
          <w:sz w:val="20"/>
        </w:rPr>
        <w:t xml:space="preserve">For summary judgment purposes, we view the evidence in the light most favorable to the nonmoving party—here, Hall—and draw all reasonable inferences in his favor. </w:t>
      </w:r>
      <w:r>
        <w:rPr>
          <w:rFonts w:ascii="Arial" w:eastAsia="Arial" w:hAnsi="Arial" w:cs="Arial"/>
          <w:color w:val="000000"/>
          <w:sz w:val="20"/>
          <w:u w:val="single"/>
        </w:rPr>
        <w:t xml:space="preserve">See </w:t>
      </w:r>
      <w:bookmarkStart w:id="62" w:name="Bookmark_I68YT8B128T3W90010000400"/>
      <w:bookmarkEnd w:id="62"/>
      <w:r>
        <w:rPr>
          <w:rFonts w:ascii="Arial" w:eastAsia="Arial" w:hAnsi="Arial" w:cs="Arial"/>
          <w:color w:val="000000"/>
          <w:sz w:val="20"/>
          <w:u w:val="single"/>
        </w:rPr>
        <w:t>Triple H Debris Removal, Inc. v. Companion Prop. &amp; Cas. Ins. Co.</w:t>
      </w:r>
      <w:r>
        <w:rPr>
          <w:rFonts w:ascii="Arial" w:eastAsia="Arial" w:hAnsi="Arial" w:cs="Arial"/>
          <w:color w:val="000000"/>
          <w:sz w:val="20"/>
        </w:rPr>
        <w:t>, 560 F.3d 881, 882 (8th Cir. 2009).</w:t>
      </w:r>
    </w:p>
    <w:p w:rsidR="00022B47" w:rsidRDefault="00000000">
      <w:pPr>
        <w:pStyle w:val="Normal1"/>
        <w:widowControl w:val="0"/>
        <w:spacing w:before="200" w:line="260" w:lineRule="atLeast"/>
        <w:jc w:val="both"/>
      </w:pPr>
      <w:bookmarkStart w:id="63" w:name="Bookmark_para_5_0"/>
      <w:bookmarkEnd w:id="63"/>
      <w:r>
        <w:rPr>
          <w:rFonts w:ascii="Arial" w:eastAsia="Arial" w:hAnsi="Arial" w:cs="Arial"/>
          <w:color w:val="000000"/>
          <w:sz w:val="20"/>
        </w:rPr>
        <w:t>Hall has been paralyzed from the waist down since 2012, and he requires a wheelchair [*2]  for mobility. On April 11, 2019, Hall was arrested and booked into the Jail, where he remained in pretrial detention until he was released on May 20, 2019. Upon arriving at the Jail, Hall underwent a medical screening, during which the Jail noted that he was paralyzed and required a wheelchair, that he suffered from bowel incontinence, and that he utilized a catheter and ostomy bag. Because Hall used a wheelchair, the Jail assigned him to a lower bunk and placed him in lower-level housing.</w:t>
      </w:r>
    </w:p>
    <w:p w:rsidR="00022B47" w:rsidRDefault="00000000">
      <w:pPr>
        <w:pStyle w:val="Normal1"/>
        <w:widowControl w:val="0"/>
        <w:spacing w:before="200" w:line="260" w:lineRule="atLeast"/>
        <w:jc w:val="both"/>
      </w:pPr>
      <w:bookmarkStart w:id="64" w:name="Bookmark_para_6_0"/>
      <w:bookmarkEnd w:id="64"/>
      <w:r>
        <w:rPr>
          <w:rFonts w:ascii="Arial" w:eastAsia="Arial" w:hAnsi="Arial" w:cs="Arial"/>
          <w:color w:val="000000"/>
          <w:sz w:val="20"/>
        </w:rPr>
        <w:t>During his detention, Hall experienced daily difficulties with accessing his bed and the Jail's showers. Hall testified in a deposition that his living units</w:t>
      </w:r>
      <w:r>
        <w:rPr>
          <w:rFonts w:ascii="Arial" w:eastAsia="Arial" w:hAnsi="Arial" w:cs="Arial"/>
          <w:vertAlign w:val="superscript"/>
        </w:rPr>
        <w:footnoteReference w:customMarkFollows="1" w:id="2"/>
        <w:t>1</w:t>
      </w:r>
      <w:r>
        <w:rPr>
          <w:rFonts w:ascii="Arial" w:eastAsia="Arial" w:hAnsi="Arial" w:cs="Arial"/>
          <w:color w:val="000000"/>
          <w:sz w:val="20"/>
        </w:rPr>
        <w:t xml:space="preserve"> had "no arm rails" to allow him to enter his bed from his wheelchair. He also testified that the Jail's showers either had a "little step" that prevented him from entering the shower while seated in his wheelchair or had "shower chair[s]" that were difficult for him to "maneuver . . . on [his] own." Hall said that he repeatedly asked the Jail's staff to lift him in and out of his wheelchair and into the shower or his bed, but they either refused or told him that they were prohibited from doing so under "protocol." Because Hall lacked assistance [*3]  getting in and out of his wheelchair, he fell "hard" in his living unit and in the shower.</w:t>
      </w:r>
    </w:p>
    <w:p w:rsidR="00022B47" w:rsidRDefault="00000000">
      <w:pPr>
        <w:pStyle w:val="Normal1"/>
        <w:widowControl w:val="0"/>
        <w:spacing w:before="200" w:line="260" w:lineRule="atLeast"/>
        <w:jc w:val="both"/>
      </w:pPr>
      <w:bookmarkStart w:id="66" w:name="Bookmark_para_7_0"/>
      <w:bookmarkEnd w:id="66"/>
      <w:r>
        <w:rPr>
          <w:rFonts w:ascii="Arial" w:eastAsia="Arial" w:hAnsi="Arial" w:cs="Arial"/>
          <w:color w:val="000000"/>
          <w:sz w:val="20"/>
        </w:rPr>
        <w:t>Hall also faced difficulties accessing the toilet in his living units and cleansing himself after bladder or bowel movements. For example, Hall testified that one of the Jail's toilets was "useless" to him and that he could not "get on [it]." Hall said he once spent three days in "the same diaper" because he was unable to transfer from his wheelchair to the toilet. And the Jail's nurses documented on at least one occasion that Hall was observed with "soiled" clothing.</w:t>
      </w:r>
    </w:p>
    <w:p w:rsidR="00022B47" w:rsidRDefault="00000000">
      <w:pPr>
        <w:pStyle w:val="Normal1"/>
        <w:widowControl w:val="0"/>
        <w:spacing w:before="200" w:line="260" w:lineRule="atLeast"/>
        <w:jc w:val="both"/>
      </w:pPr>
      <w:bookmarkStart w:id="67" w:name="Bookmark_para_8_0"/>
      <w:bookmarkEnd w:id="67"/>
      <w:r>
        <w:rPr>
          <w:rFonts w:ascii="Arial" w:eastAsia="Arial" w:hAnsi="Arial" w:cs="Arial"/>
          <w:color w:val="000000"/>
          <w:sz w:val="20"/>
        </w:rPr>
        <w:t>Because the Jail's staff refused to physically assist Hall, he says that he was forced to ask other inmates to provide him with assistance getting out of his wheelchair and into his bed or the shower, and that he had to pay inmates to "wip[e] [his] backside" after his bowel movements. When Hall "ran out of commissary to pay people to help [him]," he remained bedbound. Hall described this experience as "humiliating."</w:t>
      </w:r>
    </w:p>
    <w:p w:rsidR="00022B47" w:rsidRDefault="00000000">
      <w:pPr>
        <w:pStyle w:val="Normal1"/>
        <w:widowControl w:val="0"/>
        <w:spacing w:before="200" w:line="260" w:lineRule="atLeast"/>
        <w:jc w:val="both"/>
      </w:pPr>
      <w:bookmarkStart w:id="68" w:name="Bookmark_para_9_0"/>
      <w:bookmarkEnd w:id="68"/>
      <w:r>
        <w:rPr>
          <w:rFonts w:ascii="Arial" w:eastAsia="Arial" w:hAnsi="Arial" w:cs="Arial"/>
          <w:color w:val="000000"/>
          <w:sz w:val="20"/>
        </w:rPr>
        <w:t>Additionally, Hall felt that the medical care he received in the Jail was inadequate. During his weeks-long detention, Hall was assessed by the Jail's medical professionals multiple times a week, and those professionals [*4]  also attended to Hall whenever he complained of pain, discomfort, or other health issues. And Hall regularly received his prescription medications from Jail staff during what the Jail called "pill call." But he testified that his lack of mobility caused him to miss two mental health appointments and one pill call.</w:t>
      </w:r>
    </w:p>
    <w:p w:rsidR="00022B47" w:rsidRDefault="00000000">
      <w:pPr>
        <w:pStyle w:val="Normal1"/>
        <w:widowControl w:val="0"/>
        <w:spacing w:before="200" w:line="260" w:lineRule="atLeast"/>
        <w:jc w:val="both"/>
      </w:pPr>
      <w:bookmarkStart w:id="69" w:name="Bookmark_para_10_0"/>
      <w:bookmarkEnd w:id="69"/>
      <w:r>
        <w:rPr>
          <w:rFonts w:ascii="Arial" w:eastAsia="Arial" w:hAnsi="Arial" w:cs="Arial"/>
          <w:color w:val="000000"/>
          <w:sz w:val="20"/>
        </w:rPr>
        <w:t>Hall also felt that the Jail did not care for his catheter during his detention. Hall was assessed by the Jail's medical staff and received treatment shortly after he reported that his catheter was leaking. Likewise, Hall was assessed by the Jail's staff when they suspected an infection at his catheter site, and the Jail later transported Hall to University of Arkansas for Medical Services (UAMS)—Hall's longtime source of medical care—to receive treatment for this infection.</w:t>
      </w:r>
    </w:p>
    <w:p w:rsidR="00022B47" w:rsidRDefault="00000000">
      <w:pPr>
        <w:pStyle w:val="Normal1"/>
        <w:widowControl w:val="0"/>
        <w:spacing w:before="200" w:line="260" w:lineRule="atLeast"/>
        <w:jc w:val="both"/>
      </w:pPr>
      <w:bookmarkStart w:id="70" w:name="Bookmark_para_11_0"/>
      <w:bookmarkEnd w:id="70"/>
      <w:r>
        <w:rPr>
          <w:rFonts w:ascii="Arial" w:eastAsia="Arial" w:hAnsi="Arial" w:cs="Arial"/>
          <w:color w:val="000000"/>
          <w:sz w:val="20"/>
        </w:rPr>
        <w:t>Hall further testified he developed bedsores at the Jail. But he received multiple physical examinations during his detention that revealed no abscesses, rashes, pressure sores, or ulcers. And Hall's medical records from the Jail and from UAMS show no diagnosis of bedsores.</w:t>
      </w:r>
    </w:p>
    <w:p w:rsidR="00022B47" w:rsidRDefault="00000000">
      <w:pPr>
        <w:pStyle w:val="Normal1"/>
        <w:widowControl w:val="0"/>
        <w:spacing w:before="200" w:line="260" w:lineRule="atLeast"/>
        <w:jc w:val="both"/>
      </w:pPr>
      <w:bookmarkStart w:id="71" w:name="Bookmark_para_12_0"/>
      <w:bookmarkEnd w:id="71"/>
      <w:r>
        <w:rPr>
          <w:rFonts w:ascii="Arial" w:eastAsia="Arial" w:hAnsi="Arial" w:cs="Arial"/>
          <w:color w:val="000000"/>
          <w:sz w:val="20"/>
        </w:rPr>
        <w:t>On October 11, 2019, Hall sued Pulaski County Sheriff Eric Higgins in his official capacity, and Higgins later removed the case to federal [*5]  court. Hall asserted 42 U.S.C. § 1983 claims for deliberate indifference to his medical needs and unconstitutional conditions of confinement, in violation of the Fourteenth Amendment,</w:t>
      </w:r>
      <w:r>
        <w:rPr>
          <w:rFonts w:ascii="Arial" w:eastAsia="Arial" w:hAnsi="Arial" w:cs="Arial"/>
          <w:vertAlign w:val="superscript"/>
        </w:rPr>
        <w:footnoteReference w:customMarkFollows="1" w:id="3"/>
        <w:t>2</w:t>
      </w:r>
      <w:r>
        <w:rPr>
          <w:rFonts w:ascii="Arial" w:eastAsia="Arial" w:hAnsi="Arial" w:cs="Arial"/>
          <w:color w:val="000000"/>
          <w:sz w:val="20"/>
        </w:rPr>
        <w:t xml:space="preserve"> as well as a claim of disability discrimination, in violation of the Arkansas Civil Rights Act (ACRA) and Title II of the Americans with Disabilities Act (ADA). Hall sought compensatory and punitive damages for his physical, mental, and emotional distress, as well as his medical expenses.</w:t>
      </w:r>
    </w:p>
    <w:p w:rsidR="00022B47" w:rsidRDefault="00000000">
      <w:pPr>
        <w:pStyle w:val="Normal1"/>
        <w:widowControl w:val="0"/>
        <w:spacing w:before="200" w:line="260" w:lineRule="atLeast"/>
        <w:jc w:val="both"/>
      </w:pPr>
      <w:bookmarkStart w:id="76" w:name="Bookmark_para_13_0"/>
      <w:bookmarkEnd w:id="76"/>
      <w:r>
        <w:rPr>
          <w:rFonts w:ascii="Arial" w:eastAsia="Arial" w:hAnsi="Arial" w:cs="Arial"/>
          <w:color w:val="000000"/>
          <w:sz w:val="20"/>
        </w:rPr>
        <w:t>On May 5, 2022, Sheriff Higgins moved for summary judgment on all claims, which the district court granted. The district court found that Hall could not show the Jail was deliberately indifferent to any serious medical need because Hall was assessed "no fewer than eighteen times during his 39-day detention," and medical records did not support Hall's arguments that the Jail ignored his medical issues. In considering Hall's conditions-of-confinement claim, the court ultimately granted summary judgment because Hall failed to show that any constitutional violation was the result of a Jail "custom, policy, or practice." As for Hall's disability discrimination claim, the district court concluded that no evidence in the record supported Hall's assertions [*6]  that he was denied access to a handicap-accessible living unit or that he was denied access to medical services because he was disabled. Hall now appeals.</w:t>
      </w:r>
    </w:p>
    <w:p w:rsidR="00022B47" w:rsidRDefault="00000000">
      <w:pPr>
        <w:pStyle w:val="Normal1"/>
        <w:widowControl w:val="0"/>
        <w:spacing w:before="120" w:line="260" w:lineRule="atLeast"/>
      </w:pPr>
      <w:r>
        <w:rPr>
          <w:rFonts w:ascii="Arial" w:eastAsia="Arial" w:hAnsi="Arial" w:cs="Arial"/>
          <w:color w:val="000000"/>
          <w:sz w:val="20"/>
        </w:rPr>
        <w:t>II.</w:t>
      </w:r>
    </w:p>
    <w:p w:rsidR="00022B47" w:rsidRDefault="00000000">
      <w:pPr>
        <w:pStyle w:val="Normal1"/>
        <w:widowControl w:val="0"/>
        <w:spacing w:before="200" w:line="260" w:lineRule="atLeast"/>
        <w:jc w:val="both"/>
      </w:pPr>
      <w:bookmarkStart w:id="77" w:name="Bookmark_para_14_0"/>
      <w:bookmarkStart w:id="78" w:name="Bookmark_LNHNREFclscc2"/>
      <w:bookmarkStart w:id="79" w:name="Bookmark_I68YT8B128T3WD0030000400"/>
      <w:bookmarkStart w:id="80" w:name="Bookmark_I68YT8B128T3WD0050000400"/>
      <w:bookmarkStart w:id="81" w:name="Bookmark_I68YT8B22D6NBW0020000400"/>
      <w:bookmarkEnd w:id="77"/>
      <w:bookmarkEnd w:id="78"/>
      <w:bookmarkEnd w:id="79"/>
      <w:bookmarkEnd w:id="80"/>
      <w:bookmarkEnd w:id="81"/>
      <w:r>
        <w:rPr>
          <w:rFonts w:ascii="Arial" w:eastAsia="Arial" w:hAnsi="Arial" w:cs="Arial"/>
          <w:color w:val="000000"/>
          <w:sz w:val="20"/>
        </w:rPr>
        <w:t xml:space="preserve">We review a district court's grant of summary judgment de novo. </w:t>
      </w:r>
      <w:bookmarkStart w:id="82" w:name="Bookmark_I68YT8B128T3WD0020000400"/>
      <w:bookmarkEnd w:id="82"/>
      <w:r>
        <w:rPr>
          <w:rFonts w:ascii="Arial" w:eastAsia="Arial" w:hAnsi="Arial" w:cs="Arial"/>
          <w:color w:val="000000"/>
          <w:sz w:val="20"/>
          <w:u w:val="single"/>
        </w:rPr>
        <w:t>Martinez v. W.W. Grainger, Inc.</w:t>
      </w:r>
      <w:r>
        <w:rPr>
          <w:rFonts w:ascii="Arial" w:eastAsia="Arial" w:hAnsi="Arial" w:cs="Arial"/>
          <w:color w:val="000000"/>
          <w:sz w:val="20"/>
        </w:rPr>
        <w:t xml:space="preserve">, 664 F.3d 225, 229 (8th Cir. 2011). Summary judgment is appropriate if "there is no genuine dispute as to any material fact and the moving party is entitled to judgment as a matter of law." </w:t>
      </w:r>
      <w:bookmarkStart w:id="83" w:name="Bookmark_I68YT8B128T3WD0040000400"/>
      <w:bookmarkEnd w:id="83"/>
      <w:r>
        <w:rPr>
          <w:rFonts w:ascii="Arial" w:eastAsia="Arial" w:hAnsi="Arial" w:cs="Arial"/>
          <w:color w:val="000000"/>
          <w:sz w:val="20"/>
          <w:u w:val="single"/>
        </w:rPr>
        <w:t>Meyer v. McKenzie Elec. Coop., Inc.</w:t>
      </w:r>
      <w:r>
        <w:rPr>
          <w:rFonts w:ascii="Arial" w:eastAsia="Arial" w:hAnsi="Arial" w:cs="Arial"/>
          <w:color w:val="000000"/>
          <w:sz w:val="20"/>
        </w:rPr>
        <w:t xml:space="preserve">, 947 F.3d 506, 508 (8th Cir. 2020); Fed. R. Civ. P. 56(a). We "may affirm the judgment on any basis supported by the record." </w:t>
      </w:r>
      <w:bookmarkStart w:id="84" w:name="Bookmark_I68YT8B22D6NBW0010000400"/>
      <w:bookmarkEnd w:id="84"/>
      <w:r>
        <w:rPr>
          <w:rFonts w:ascii="Arial" w:eastAsia="Arial" w:hAnsi="Arial" w:cs="Arial"/>
          <w:color w:val="000000"/>
          <w:sz w:val="20"/>
          <w:u w:val="single"/>
        </w:rPr>
        <w:t>Hohn v. BNSF Ry. Co.</w:t>
      </w:r>
      <w:r>
        <w:rPr>
          <w:rFonts w:ascii="Arial" w:eastAsia="Arial" w:hAnsi="Arial" w:cs="Arial"/>
          <w:color w:val="000000"/>
          <w:sz w:val="20"/>
        </w:rPr>
        <w:t>, 707 F.3d 995, 1000 (8th Cir. 2013).</w:t>
      </w:r>
    </w:p>
    <w:p w:rsidR="00022B47" w:rsidRDefault="00000000">
      <w:pPr>
        <w:pStyle w:val="Normal1"/>
        <w:widowControl w:val="0"/>
        <w:spacing w:before="120" w:line="260" w:lineRule="atLeast"/>
      </w:pPr>
      <w:r>
        <w:rPr>
          <w:rFonts w:ascii="Arial" w:eastAsia="Arial" w:hAnsi="Arial" w:cs="Arial"/>
          <w:color w:val="000000"/>
          <w:sz w:val="20"/>
        </w:rPr>
        <w:t>A.</w:t>
      </w:r>
    </w:p>
    <w:p w:rsidR="00022B47" w:rsidRDefault="00000000">
      <w:pPr>
        <w:pStyle w:val="Normal1"/>
        <w:widowControl w:val="0"/>
        <w:spacing w:before="200" w:line="260" w:lineRule="atLeast"/>
        <w:jc w:val="both"/>
      </w:pPr>
      <w:bookmarkStart w:id="85" w:name="Bookmark_para_15_0"/>
      <w:bookmarkStart w:id="86" w:name="Bookmark_I68YT8B22D6NBW0040000400"/>
      <w:bookmarkEnd w:id="85"/>
      <w:bookmarkEnd w:id="86"/>
      <w:r>
        <w:rPr>
          <w:rFonts w:ascii="Arial" w:eastAsia="Arial" w:hAnsi="Arial" w:cs="Arial"/>
          <w:color w:val="000000"/>
          <w:sz w:val="20"/>
        </w:rPr>
        <w:t xml:space="preserve">We begin with Hall's § 1983 deliberate indifference and conditions-of-confinement claims. </w:t>
      </w:r>
      <w:bookmarkStart w:id="87" w:name="Bookmark_I68YT8B22HM6B10030000400"/>
      <w:bookmarkEnd w:id="87"/>
      <w:r>
        <w:rPr>
          <w:rFonts w:ascii="Arial" w:eastAsia="Arial" w:hAnsi="Arial" w:cs="Arial"/>
          <w:color w:val="000000"/>
          <w:sz w:val="20"/>
        </w:rPr>
        <w:t xml:space="preserve">Hall's claims against Sheriff Higgins in his official capacity are equivalent to claims against Pulaski County. </w:t>
      </w:r>
      <w:bookmarkStart w:id="88" w:name="Bookmark_I68YT8B32N1R650020000400"/>
      <w:bookmarkEnd w:id="88"/>
      <w:r>
        <w:rPr>
          <w:rFonts w:ascii="Arial" w:eastAsia="Arial" w:hAnsi="Arial" w:cs="Arial"/>
          <w:color w:val="000000"/>
          <w:sz w:val="20"/>
          <w:u w:val="single"/>
        </w:rPr>
        <w:t xml:space="preserve">See </w:t>
      </w:r>
      <w:bookmarkStart w:id="89" w:name="Bookmark_I68YT8B22D6NBW0030000400"/>
      <w:bookmarkEnd w:id="89"/>
      <w:r>
        <w:rPr>
          <w:rFonts w:ascii="Arial" w:eastAsia="Arial" w:hAnsi="Arial" w:cs="Arial"/>
          <w:color w:val="000000"/>
          <w:sz w:val="20"/>
          <w:u w:val="single"/>
        </w:rPr>
        <w:t>Veatch v. Bartels Lutheran Home</w:t>
      </w:r>
      <w:r>
        <w:rPr>
          <w:rFonts w:ascii="Arial" w:eastAsia="Arial" w:hAnsi="Arial" w:cs="Arial"/>
          <w:color w:val="000000"/>
          <w:sz w:val="20"/>
        </w:rPr>
        <w:t>, 627 F.3d 1254, 1257 (8th Cir. 2010) (</w:t>
      </w:r>
      <w:bookmarkStart w:id="90" w:name="Bookmark_LNHNREFclscc3"/>
      <w:bookmarkEnd w:id="90"/>
      <w:r>
        <w:rPr>
          <w:rFonts w:ascii="Arial" w:eastAsia="Arial" w:hAnsi="Arial" w:cs="Arial"/>
          <w:color w:val="000000"/>
          <w:sz w:val="20"/>
        </w:rPr>
        <w:t xml:space="preserve">"A suit against a government officer in his official capacity is functionally equivalent to a suit against the employing governmental entity."); </w:t>
      </w:r>
      <w:bookmarkStart w:id="91" w:name="Bookmark_I68YT8B22D6NBW0050000400"/>
      <w:bookmarkEnd w:id="91"/>
      <w:r>
        <w:rPr>
          <w:rFonts w:ascii="Arial" w:eastAsia="Arial" w:hAnsi="Arial" w:cs="Arial"/>
          <w:color w:val="000000"/>
          <w:sz w:val="20"/>
          <w:u w:val="single"/>
        </w:rPr>
        <w:t>Liebe v. Norton</w:t>
      </w:r>
      <w:r>
        <w:rPr>
          <w:rFonts w:ascii="Arial" w:eastAsia="Arial" w:hAnsi="Arial" w:cs="Arial"/>
          <w:color w:val="000000"/>
          <w:sz w:val="20"/>
        </w:rPr>
        <w:t xml:space="preserve">, 157 F.3d 574, 578 (8th Cir. 1998) ("Because Appellant's suit against [the sheriff] is against [him] in his official capacity, it must be treated as a suit against the County."). </w:t>
      </w:r>
      <w:bookmarkStart w:id="92" w:name="Bookmark_LNHNREFclscc4"/>
      <w:bookmarkStart w:id="93" w:name="Bookmark_I68YT8B32N1R650020000400_2"/>
      <w:bookmarkStart w:id="94" w:name="Bookmark_I68YT8B22HM6B10030000400_2"/>
      <w:bookmarkEnd w:id="92"/>
      <w:bookmarkEnd w:id="93"/>
      <w:bookmarkEnd w:id="94"/>
      <w:r>
        <w:rPr>
          <w:rFonts w:ascii="Arial" w:eastAsia="Arial" w:hAnsi="Arial" w:cs="Arial"/>
          <w:color w:val="000000"/>
          <w:sz w:val="20"/>
        </w:rPr>
        <w:t xml:space="preserve">"[I]t is well established 'that a municipality cannot be held liable on a respondeat superior theory, that is, solely because it employs a tortfeasor.'" </w:t>
      </w:r>
      <w:bookmarkStart w:id="95" w:name="Bookmark_I68YT8B22HM6B10020000400"/>
      <w:bookmarkEnd w:id="95"/>
      <w:r>
        <w:rPr>
          <w:rFonts w:ascii="Arial" w:eastAsia="Arial" w:hAnsi="Arial" w:cs="Arial"/>
          <w:color w:val="000000"/>
          <w:sz w:val="20"/>
          <w:u w:val="single"/>
        </w:rPr>
        <w:t>Atkinson v. City of Mountain View</w:t>
      </w:r>
      <w:r>
        <w:rPr>
          <w:rFonts w:ascii="Arial" w:eastAsia="Arial" w:hAnsi="Arial" w:cs="Arial"/>
          <w:color w:val="000000"/>
          <w:sz w:val="20"/>
        </w:rPr>
        <w:t xml:space="preserve">, 709 F.3d 1201, 1214 (8th Cir. 2013) (quoting </w:t>
      </w:r>
      <w:bookmarkStart w:id="96" w:name="Bookmark_I68YT8B22HM6B10040000400"/>
      <w:bookmarkEnd w:id="96"/>
      <w:r>
        <w:rPr>
          <w:rFonts w:ascii="Arial" w:eastAsia="Arial" w:hAnsi="Arial" w:cs="Arial"/>
          <w:color w:val="000000"/>
          <w:sz w:val="20"/>
          <w:u w:val="single"/>
        </w:rPr>
        <w:t>Szabla v. City of Brooklyn Park</w:t>
      </w:r>
      <w:r>
        <w:rPr>
          <w:rFonts w:ascii="Arial" w:eastAsia="Arial" w:hAnsi="Arial" w:cs="Arial"/>
          <w:color w:val="000000"/>
          <w:sz w:val="20"/>
        </w:rPr>
        <w:t xml:space="preserve">, 486 F.3d 385, 389 (8th Cir. 2007) (en banc)). "A municipality can be liable under § 1983 only if a municipal policy or custom caused [*7]  a plaintiff to be deprived of a federal right or if the municipality failed to adequately train its employees." </w:t>
      </w:r>
      <w:bookmarkStart w:id="97" w:name="Bookmark_I68YT8B32N1R650010000400"/>
      <w:bookmarkEnd w:id="97"/>
      <w:r>
        <w:rPr>
          <w:rFonts w:ascii="Arial" w:eastAsia="Arial" w:hAnsi="Arial" w:cs="Arial"/>
          <w:color w:val="000000"/>
          <w:sz w:val="20"/>
          <w:u w:val="single"/>
        </w:rPr>
        <w:t>Snider v. City of Cape Girardeau</w:t>
      </w:r>
      <w:r>
        <w:rPr>
          <w:rFonts w:ascii="Arial" w:eastAsia="Arial" w:hAnsi="Arial" w:cs="Arial"/>
          <w:color w:val="000000"/>
          <w:sz w:val="20"/>
        </w:rPr>
        <w:t xml:space="preserve">, 752 F.3d 1149, 1160 (8th Cir. 2014); </w:t>
      </w:r>
      <w:r>
        <w:rPr>
          <w:rFonts w:ascii="Arial" w:eastAsia="Arial" w:hAnsi="Arial" w:cs="Arial"/>
          <w:color w:val="000000"/>
          <w:sz w:val="20"/>
          <w:u w:val="single"/>
        </w:rPr>
        <w:t xml:space="preserve">see also </w:t>
      </w:r>
      <w:bookmarkStart w:id="98" w:name="Bookmark_I68YT8B32N1R650030000400"/>
      <w:bookmarkEnd w:id="98"/>
      <w:r>
        <w:rPr>
          <w:rFonts w:ascii="Arial" w:eastAsia="Arial" w:hAnsi="Arial" w:cs="Arial"/>
          <w:color w:val="000000"/>
          <w:sz w:val="20"/>
          <w:u w:val="single"/>
        </w:rPr>
        <w:t>Ware v. Jackson County</w:t>
      </w:r>
      <w:r>
        <w:rPr>
          <w:rFonts w:ascii="Arial" w:eastAsia="Arial" w:hAnsi="Arial" w:cs="Arial"/>
          <w:color w:val="000000"/>
          <w:sz w:val="20"/>
        </w:rPr>
        <w:t>, 150 F.3d 873, 880 (8th Cir. 1998).</w:t>
      </w:r>
    </w:p>
    <w:p w:rsidR="00022B47" w:rsidRDefault="00000000">
      <w:pPr>
        <w:pStyle w:val="Normal1"/>
        <w:widowControl w:val="0"/>
        <w:spacing w:before="120" w:line="260" w:lineRule="atLeast"/>
      </w:pPr>
      <w:r>
        <w:rPr>
          <w:rFonts w:ascii="Arial" w:eastAsia="Arial" w:hAnsi="Arial" w:cs="Arial"/>
          <w:color w:val="000000"/>
          <w:sz w:val="20"/>
        </w:rPr>
        <w:t>1.</w:t>
      </w:r>
    </w:p>
    <w:p w:rsidR="00022B47" w:rsidRDefault="00000000">
      <w:pPr>
        <w:pStyle w:val="Normal1"/>
        <w:widowControl w:val="0"/>
        <w:spacing w:before="200" w:line="260" w:lineRule="atLeast"/>
        <w:jc w:val="both"/>
      </w:pPr>
      <w:bookmarkStart w:id="99" w:name="Bookmark_para_16_0"/>
      <w:bookmarkStart w:id="100" w:name="Bookmark_I68YT8B32N1R670010000400"/>
      <w:bookmarkStart w:id="101" w:name="Bookmark_I68YT8B32N1R670030000400"/>
      <w:bookmarkEnd w:id="99"/>
      <w:bookmarkEnd w:id="100"/>
      <w:bookmarkEnd w:id="101"/>
      <w:r>
        <w:rPr>
          <w:rFonts w:ascii="Arial" w:eastAsia="Arial" w:hAnsi="Arial" w:cs="Arial"/>
          <w:color w:val="000000"/>
          <w:sz w:val="20"/>
        </w:rPr>
        <w:t xml:space="preserve">We turn first to Hall's deliberate indifference claim. </w:t>
      </w:r>
      <w:bookmarkStart w:id="102" w:name="Bookmark_LNHNREFclscc5"/>
      <w:bookmarkStart w:id="103" w:name="Bookmark_I68YT8B42HM6BC0020000400"/>
      <w:bookmarkEnd w:id="102"/>
      <w:bookmarkEnd w:id="103"/>
      <w:r>
        <w:rPr>
          <w:rFonts w:ascii="Arial" w:eastAsia="Arial" w:hAnsi="Arial" w:cs="Arial"/>
          <w:color w:val="000000"/>
          <w:sz w:val="20"/>
        </w:rPr>
        <w:t xml:space="preserve">The Fourteenth Amendment protects pretrial detainees from officials'"deliberate indifference" to their "serious medical needs." </w:t>
      </w:r>
      <w:bookmarkStart w:id="104" w:name="Bookmark_I68YT8B32N1R650050000400"/>
      <w:bookmarkEnd w:id="104"/>
      <w:r>
        <w:rPr>
          <w:rFonts w:ascii="Arial" w:eastAsia="Arial" w:hAnsi="Arial" w:cs="Arial"/>
          <w:color w:val="000000"/>
          <w:sz w:val="20"/>
          <w:u w:val="single"/>
        </w:rPr>
        <w:t>Estelle v. Gamble</w:t>
      </w:r>
      <w:r>
        <w:rPr>
          <w:rFonts w:ascii="Arial" w:eastAsia="Arial" w:hAnsi="Arial" w:cs="Arial"/>
          <w:color w:val="000000"/>
          <w:sz w:val="20"/>
        </w:rPr>
        <w:t xml:space="preserve">, 429 U.S. 97, 104, 97 S. Ct. 285, 50 L. Ed. 2d 251 (1976). As a pretrial detainee, Hall "is entitled to at least as much protection under the Fourteenth Amendment as under the Eighth Amendment." </w:t>
      </w:r>
      <w:bookmarkStart w:id="105" w:name="Bookmark_I68YT8B32N1R670020000400"/>
      <w:bookmarkEnd w:id="105"/>
      <w:r>
        <w:rPr>
          <w:rFonts w:ascii="Arial" w:eastAsia="Arial" w:hAnsi="Arial" w:cs="Arial"/>
          <w:color w:val="000000"/>
          <w:sz w:val="20"/>
          <w:u w:val="single"/>
        </w:rPr>
        <w:t>Johnson</w:t>
      </w:r>
      <w:r>
        <w:rPr>
          <w:rFonts w:ascii="Arial" w:eastAsia="Arial" w:hAnsi="Arial" w:cs="Arial"/>
          <w:color w:val="000000"/>
          <w:sz w:val="20"/>
        </w:rPr>
        <w:t xml:space="preserve">, 929 F.3d at 575 (cleaned up); </w:t>
      </w:r>
      <w:r>
        <w:rPr>
          <w:rFonts w:ascii="Arial" w:eastAsia="Arial" w:hAnsi="Arial" w:cs="Arial"/>
          <w:color w:val="000000"/>
          <w:sz w:val="20"/>
          <w:u w:val="single"/>
        </w:rPr>
        <w:t xml:space="preserve">see </w:t>
      </w:r>
      <w:bookmarkStart w:id="106" w:name="Bookmark_I68YT8B32N1R670040000400"/>
      <w:bookmarkEnd w:id="106"/>
      <w:r>
        <w:rPr>
          <w:rFonts w:ascii="Arial" w:eastAsia="Arial" w:hAnsi="Arial" w:cs="Arial"/>
          <w:color w:val="000000"/>
          <w:sz w:val="20"/>
          <w:u w:val="single"/>
        </w:rPr>
        <w:t>Hartsfield v. Colburn</w:t>
      </w:r>
      <w:r>
        <w:rPr>
          <w:rFonts w:ascii="Arial" w:eastAsia="Arial" w:hAnsi="Arial" w:cs="Arial"/>
          <w:color w:val="000000"/>
          <w:sz w:val="20"/>
        </w:rPr>
        <w:t xml:space="preserve">, 491 F.3d 394, 396 (8th Cir. 2007) (noting that deliberate indifference is "the appropriate standard of culpability for all claims that prison officials failed to provide pretrial detainees with adequate . . . medical care"). </w:t>
      </w:r>
      <w:bookmarkStart w:id="107" w:name="Bookmark_I68YT8B42HM6BC0020000400_2"/>
      <w:bookmarkEnd w:id="107"/>
      <w:r>
        <w:rPr>
          <w:rFonts w:ascii="Arial" w:eastAsia="Arial" w:hAnsi="Arial" w:cs="Arial"/>
          <w:color w:val="000000"/>
          <w:sz w:val="20"/>
        </w:rPr>
        <w:t xml:space="preserve">To prove his deliberate indifference claim, Hall must show: "(1) he suffered from an objectively serious medical need, and (2) defendants knew of the need yet deliberately disregarded it." </w:t>
      </w:r>
      <w:bookmarkStart w:id="108" w:name="Bookmark_I68YT8B42HM6BC0010000400"/>
      <w:bookmarkEnd w:id="108"/>
      <w:r>
        <w:rPr>
          <w:rFonts w:ascii="Arial" w:eastAsia="Arial" w:hAnsi="Arial" w:cs="Arial"/>
          <w:color w:val="000000"/>
          <w:sz w:val="20"/>
          <w:u w:val="single"/>
        </w:rPr>
        <w:t>Johnson</w:t>
      </w:r>
      <w:r>
        <w:rPr>
          <w:rFonts w:ascii="Arial" w:eastAsia="Arial" w:hAnsi="Arial" w:cs="Arial"/>
          <w:color w:val="000000"/>
          <w:sz w:val="20"/>
        </w:rPr>
        <w:t xml:space="preserve">, 929 F.3d at 575 (quoting </w:t>
      </w:r>
      <w:bookmarkStart w:id="109" w:name="Bookmark_I68YT8B42HM6BC0030000400"/>
      <w:bookmarkEnd w:id="109"/>
      <w:r>
        <w:rPr>
          <w:rFonts w:ascii="Arial" w:eastAsia="Arial" w:hAnsi="Arial" w:cs="Arial"/>
          <w:color w:val="000000"/>
          <w:sz w:val="20"/>
          <w:u w:val="single"/>
        </w:rPr>
        <w:t>Hartsfield v. Colburn</w:t>
      </w:r>
      <w:r>
        <w:rPr>
          <w:rFonts w:ascii="Arial" w:eastAsia="Arial" w:hAnsi="Arial" w:cs="Arial"/>
          <w:color w:val="000000"/>
          <w:sz w:val="20"/>
        </w:rPr>
        <w:t>, 371 F.3d 454, 457 (8th Cir. 2004)).</w:t>
      </w:r>
    </w:p>
    <w:p w:rsidR="00022B47" w:rsidRDefault="00000000">
      <w:pPr>
        <w:pStyle w:val="Normal1"/>
        <w:widowControl w:val="0"/>
        <w:spacing w:before="200" w:line="260" w:lineRule="atLeast"/>
        <w:jc w:val="both"/>
      </w:pPr>
      <w:bookmarkStart w:id="110" w:name="Bookmark_para_17_0"/>
      <w:bookmarkStart w:id="111" w:name="Bookmark_LNHNREFclscc6"/>
      <w:bookmarkStart w:id="112" w:name="Bookmark_I68YT8B42N1R6F0010000400"/>
      <w:bookmarkStart w:id="113" w:name="Bookmark_I68YT8B42N1R6F0030000400"/>
      <w:bookmarkStart w:id="114" w:name="Bookmark_I68YT8B42N1R6F0050000400"/>
      <w:bookmarkEnd w:id="110"/>
      <w:bookmarkEnd w:id="111"/>
      <w:bookmarkEnd w:id="112"/>
      <w:bookmarkEnd w:id="113"/>
      <w:bookmarkEnd w:id="114"/>
      <w:r>
        <w:rPr>
          <w:rFonts w:ascii="Arial" w:eastAsia="Arial" w:hAnsi="Arial" w:cs="Arial"/>
          <w:color w:val="000000"/>
          <w:sz w:val="20"/>
        </w:rPr>
        <w:t xml:space="preserve">An objectively serious medical need is one that "has been diagnosed by a physician as requiring treatment or if it is so obvious that even a layperson would easily recognize the necessity for a doctor's attention." </w:t>
      </w:r>
      <w:bookmarkStart w:id="115" w:name="Bookmark_I68YT8B42HM6BC0050000400"/>
      <w:bookmarkEnd w:id="115"/>
      <w:r>
        <w:rPr>
          <w:rFonts w:ascii="Arial" w:eastAsia="Arial" w:hAnsi="Arial" w:cs="Arial"/>
          <w:color w:val="000000"/>
          <w:sz w:val="20"/>
          <w:u w:val="single"/>
        </w:rPr>
        <w:t>Barton v. Taber</w:t>
      </w:r>
      <w:r>
        <w:rPr>
          <w:rFonts w:ascii="Arial" w:eastAsia="Arial" w:hAnsi="Arial" w:cs="Arial"/>
          <w:color w:val="000000"/>
          <w:sz w:val="20"/>
        </w:rPr>
        <w:t xml:space="preserve">, 908 F.3d 1119, 1124 (8th Cir. 2018) (cleaned up). </w:t>
      </w:r>
      <w:bookmarkStart w:id="116" w:name="Bookmark_I68YT8B52SF7RY0020000400"/>
      <w:bookmarkEnd w:id="116"/>
      <w:r>
        <w:rPr>
          <w:rFonts w:ascii="Arial" w:eastAsia="Arial" w:hAnsi="Arial" w:cs="Arial"/>
          <w:color w:val="000000"/>
          <w:sz w:val="20"/>
        </w:rPr>
        <w:t xml:space="preserve">Deliberate disregard requires "more than negligence, more even than gross negligence," but less than "purposefully causing or knowingly bringing about a substantial risk [*8]  of serious harm to the inmate." </w:t>
      </w:r>
      <w:bookmarkStart w:id="117" w:name="Bookmark_I68YT8B42N1R6F0020000400"/>
      <w:bookmarkEnd w:id="117"/>
      <w:r>
        <w:rPr>
          <w:rFonts w:ascii="Arial" w:eastAsia="Arial" w:hAnsi="Arial" w:cs="Arial"/>
          <w:color w:val="000000"/>
          <w:sz w:val="20"/>
          <w:u w:val="single"/>
        </w:rPr>
        <w:t>Thompson v. King</w:t>
      </w:r>
      <w:r>
        <w:rPr>
          <w:rFonts w:ascii="Arial" w:eastAsia="Arial" w:hAnsi="Arial" w:cs="Arial"/>
          <w:color w:val="000000"/>
          <w:sz w:val="20"/>
        </w:rPr>
        <w:t xml:space="preserve">, 730 F.3d 742, 747 (8th Cir. 2013) (citations omitted). Thus, to be liable for deliberate indifference, a defendant "must both be aware of facts from which the inference could be drawn that a substantial risk of serious harm exists, and he must also draw the inference." </w:t>
      </w:r>
      <w:bookmarkStart w:id="118" w:name="Bookmark_I68YT8B42N1R6F0040000400"/>
      <w:bookmarkEnd w:id="118"/>
      <w:r>
        <w:rPr>
          <w:rFonts w:ascii="Arial" w:eastAsia="Arial" w:hAnsi="Arial" w:cs="Arial"/>
          <w:color w:val="000000"/>
          <w:sz w:val="20"/>
          <w:u w:val="single"/>
        </w:rPr>
        <w:t>Farmer v. Brennan</w:t>
      </w:r>
      <w:r>
        <w:rPr>
          <w:rFonts w:ascii="Arial" w:eastAsia="Arial" w:hAnsi="Arial" w:cs="Arial"/>
          <w:color w:val="000000"/>
          <w:sz w:val="20"/>
        </w:rPr>
        <w:t xml:space="preserve">, 511 U.S. 825, 837, 114 S. Ct. 1970, 128 L. Ed. 2d 811 (1994). </w:t>
      </w:r>
      <w:bookmarkStart w:id="119" w:name="Bookmark_I68YT8B52SF7RY0020000400_2"/>
      <w:bookmarkStart w:id="120" w:name="Bookmark_I68YT8B52SF7RY0040000400"/>
      <w:bookmarkEnd w:id="119"/>
      <w:bookmarkEnd w:id="120"/>
      <w:r>
        <w:rPr>
          <w:rFonts w:ascii="Arial" w:eastAsia="Arial" w:hAnsi="Arial" w:cs="Arial"/>
          <w:color w:val="000000"/>
          <w:sz w:val="20"/>
        </w:rPr>
        <w:t xml:space="preserve">"Deliberate indifference may be demonstrated by prison guards who intentionally deny or delay access to medical care or intentionally interfere with prescribed treatment, or by prison doctors who fail to respond to prisoner's serious medical needs." </w:t>
      </w:r>
      <w:bookmarkStart w:id="121" w:name="Bookmark_I68YT8B52SF7RY0010000400"/>
      <w:bookmarkEnd w:id="121"/>
      <w:r>
        <w:rPr>
          <w:rFonts w:ascii="Arial" w:eastAsia="Arial" w:hAnsi="Arial" w:cs="Arial"/>
          <w:color w:val="000000"/>
          <w:sz w:val="20"/>
          <w:u w:val="single"/>
        </w:rPr>
        <w:t>Dulany v. Carnahan</w:t>
      </w:r>
      <w:r>
        <w:rPr>
          <w:rFonts w:ascii="Arial" w:eastAsia="Arial" w:hAnsi="Arial" w:cs="Arial"/>
          <w:color w:val="000000"/>
          <w:sz w:val="20"/>
        </w:rPr>
        <w:t xml:space="preserve">, 132 F.3d 1234, 1239 (8th Cir. 1997). </w:t>
      </w:r>
      <w:bookmarkStart w:id="122" w:name="Bookmark_I68YT8B52SF7RY0040000400_2"/>
      <w:bookmarkEnd w:id="122"/>
      <w:r>
        <w:rPr>
          <w:rFonts w:ascii="Arial" w:eastAsia="Arial" w:hAnsi="Arial" w:cs="Arial"/>
          <w:color w:val="000000"/>
          <w:sz w:val="20"/>
        </w:rPr>
        <w:t xml:space="preserve">However, a detainee's mere disagreement with a medical professional's treatment decisions, alone, is insufficient. </w:t>
      </w:r>
      <w:r>
        <w:rPr>
          <w:rFonts w:ascii="Arial" w:eastAsia="Arial" w:hAnsi="Arial" w:cs="Arial"/>
          <w:color w:val="000000"/>
          <w:sz w:val="20"/>
          <w:u w:val="single"/>
        </w:rPr>
        <w:t xml:space="preserve">See </w:t>
      </w:r>
      <w:bookmarkStart w:id="123" w:name="Bookmark_I68YT8B52SF7RY0030000400"/>
      <w:bookmarkEnd w:id="123"/>
      <w:r>
        <w:rPr>
          <w:rFonts w:ascii="Arial" w:eastAsia="Arial" w:hAnsi="Arial" w:cs="Arial"/>
          <w:color w:val="000000"/>
          <w:sz w:val="20"/>
          <w:u w:val="single"/>
        </w:rPr>
        <w:t>Barr v. Pearson</w:t>
      </w:r>
      <w:r>
        <w:rPr>
          <w:rFonts w:ascii="Arial" w:eastAsia="Arial" w:hAnsi="Arial" w:cs="Arial"/>
          <w:color w:val="000000"/>
          <w:sz w:val="20"/>
        </w:rPr>
        <w:t>, 909 F.3d 919, 921-22 (8th Cir. 2018).</w:t>
      </w:r>
    </w:p>
    <w:p w:rsidR="00022B47" w:rsidRDefault="00000000">
      <w:pPr>
        <w:pStyle w:val="Normal1"/>
        <w:widowControl w:val="0"/>
        <w:spacing w:before="200" w:line="260" w:lineRule="atLeast"/>
        <w:jc w:val="both"/>
      </w:pPr>
      <w:bookmarkStart w:id="124" w:name="Bookmark_para_18_0"/>
      <w:bookmarkEnd w:id="124"/>
      <w:r>
        <w:rPr>
          <w:rFonts w:ascii="Arial" w:eastAsia="Arial" w:hAnsi="Arial" w:cs="Arial"/>
          <w:color w:val="000000"/>
          <w:sz w:val="20"/>
        </w:rPr>
        <w:t xml:space="preserve">Here, Hall contends that the Jail knew that his paraplegia could lead to the development of bedsores but deliberately disregarded that concern. Hall also contends that the Jail knew that he suffered from bladder incontinence but deliberately failed to adequately maintain his catheter. The evidence shows that the Jail provided Hall with regular and frequent medical attention to address his medical issues, including his concerns about bedsores and his catheter. Each time Hall requested medical treatment, he was seen by the Jail's medical professionals. [*9]  </w:t>
      </w:r>
      <w:bookmarkStart w:id="125" w:name="Bookmark_I68YT8B52D6NCJ0010000400"/>
      <w:bookmarkEnd w:id="125"/>
      <w:r>
        <w:rPr>
          <w:rFonts w:ascii="Arial" w:eastAsia="Arial" w:hAnsi="Arial" w:cs="Arial"/>
          <w:color w:val="000000"/>
          <w:sz w:val="20"/>
        </w:rPr>
        <w:t xml:space="preserve">Hall's lengthy medical records do not reveal any diagnosis of bedsores during his time at the Jail. And while Hall was diagnosed with a catheter infection, his catheter site was examined by the Jail's nurses when he complained of leakage, and when the nurses later observed signs of an infection at Hall's catheter site, he was transported to UAMS for treatment the same day. On this record, no reasonable jury could conclude that the Jail deliberately disregarded Hall's serious medical needs. Without a constitutional violation, Hall's deliberate indifference claim fails. </w:t>
      </w:r>
      <w:r>
        <w:rPr>
          <w:rFonts w:ascii="Arial" w:eastAsia="Arial" w:hAnsi="Arial" w:cs="Arial"/>
          <w:color w:val="000000"/>
          <w:sz w:val="20"/>
          <w:u w:val="single"/>
        </w:rPr>
        <w:t xml:space="preserve">See </w:t>
      </w:r>
      <w:bookmarkStart w:id="126" w:name="Bookmark_I68YT8B52SF7RY0050000400"/>
      <w:bookmarkEnd w:id="126"/>
      <w:r>
        <w:rPr>
          <w:rFonts w:ascii="Arial" w:eastAsia="Arial" w:hAnsi="Arial" w:cs="Arial"/>
          <w:color w:val="000000"/>
          <w:sz w:val="20"/>
          <w:u w:val="single"/>
        </w:rPr>
        <w:t>Morris v. Cradduck</w:t>
      </w:r>
      <w:r>
        <w:rPr>
          <w:rFonts w:ascii="Arial" w:eastAsia="Arial" w:hAnsi="Arial" w:cs="Arial"/>
          <w:color w:val="000000"/>
          <w:sz w:val="20"/>
        </w:rPr>
        <w:t>, 954 F.3d 1055, 1060 (8th Cir. 2020).</w:t>
      </w:r>
    </w:p>
    <w:p w:rsidR="00022B47" w:rsidRDefault="00000000">
      <w:pPr>
        <w:pStyle w:val="Normal1"/>
        <w:widowControl w:val="0"/>
        <w:spacing w:before="120" w:line="260" w:lineRule="atLeast"/>
      </w:pPr>
      <w:r>
        <w:rPr>
          <w:rFonts w:ascii="Arial" w:eastAsia="Arial" w:hAnsi="Arial" w:cs="Arial"/>
          <w:color w:val="000000"/>
          <w:sz w:val="20"/>
        </w:rPr>
        <w:t>2.</w:t>
      </w:r>
    </w:p>
    <w:p w:rsidR="00022B47" w:rsidRDefault="00000000">
      <w:pPr>
        <w:pStyle w:val="Normal1"/>
        <w:widowControl w:val="0"/>
        <w:spacing w:before="200" w:line="260" w:lineRule="atLeast"/>
        <w:jc w:val="both"/>
      </w:pPr>
      <w:bookmarkStart w:id="127" w:name="Bookmark_para_19_0"/>
      <w:bookmarkStart w:id="128" w:name="Bookmark_I68YT8B52D6NCJ0030000400"/>
      <w:bookmarkEnd w:id="127"/>
      <w:bookmarkEnd w:id="128"/>
      <w:r>
        <w:rPr>
          <w:rFonts w:ascii="Arial" w:eastAsia="Arial" w:hAnsi="Arial" w:cs="Arial"/>
          <w:color w:val="000000"/>
          <w:sz w:val="20"/>
        </w:rPr>
        <w:t xml:space="preserve">Next, we turn to Hall's conditions-of-confinement claim. </w:t>
      </w:r>
      <w:bookmarkStart w:id="129" w:name="Bookmark_LNHNREFclscc7"/>
      <w:bookmarkStart w:id="130" w:name="Bookmark_I68YT8B52HM6BR0020000400"/>
      <w:bookmarkEnd w:id="129"/>
      <w:bookmarkEnd w:id="130"/>
      <w:r>
        <w:rPr>
          <w:rFonts w:ascii="Arial" w:eastAsia="Arial" w:hAnsi="Arial" w:cs="Arial"/>
          <w:color w:val="000000"/>
          <w:sz w:val="20"/>
        </w:rPr>
        <w:t xml:space="preserve">Pretrial detainees are presumed innocent and cannot be punished before they have been convicted of a crime. </w:t>
      </w:r>
      <w:bookmarkStart w:id="131" w:name="Bookmark_I68YT8B62D6NCP0010000400"/>
      <w:bookmarkEnd w:id="131"/>
      <w:r>
        <w:rPr>
          <w:rFonts w:ascii="Arial" w:eastAsia="Arial" w:hAnsi="Arial" w:cs="Arial"/>
          <w:color w:val="000000"/>
          <w:sz w:val="20"/>
          <w:u w:val="single"/>
        </w:rPr>
        <w:t xml:space="preserve">See </w:t>
      </w:r>
      <w:bookmarkStart w:id="132" w:name="Bookmark_I68YT8B52D6NCJ0020000400"/>
      <w:bookmarkEnd w:id="132"/>
      <w:r>
        <w:rPr>
          <w:rFonts w:ascii="Arial" w:eastAsia="Arial" w:hAnsi="Arial" w:cs="Arial"/>
          <w:color w:val="000000"/>
          <w:sz w:val="20"/>
          <w:u w:val="single"/>
        </w:rPr>
        <w:t>Bell v. Wolfish</w:t>
      </w:r>
      <w:r>
        <w:rPr>
          <w:rFonts w:ascii="Arial" w:eastAsia="Arial" w:hAnsi="Arial" w:cs="Arial"/>
          <w:color w:val="000000"/>
          <w:sz w:val="20"/>
        </w:rPr>
        <w:t xml:space="preserve">, 441 U.S. 520, 535-37, 99 S. Ct. 1861, 60 L. Ed. 2d 447 (1979); </w:t>
      </w:r>
      <w:r>
        <w:rPr>
          <w:rFonts w:ascii="Arial" w:eastAsia="Arial" w:hAnsi="Arial" w:cs="Arial"/>
          <w:color w:val="000000"/>
          <w:sz w:val="20"/>
          <w:u w:val="single"/>
        </w:rPr>
        <w:t xml:space="preserve">see also </w:t>
      </w:r>
      <w:bookmarkStart w:id="133" w:name="Bookmark_I68YT8B52D6NCJ0040000400"/>
      <w:bookmarkEnd w:id="133"/>
      <w:r>
        <w:rPr>
          <w:rFonts w:ascii="Arial" w:eastAsia="Arial" w:hAnsi="Arial" w:cs="Arial"/>
          <w:color w:val="000000"/>
          <w:sz w:val="20"/>
          <w:u w:val="single"/>
        </w:rPr>
        <w:t>Stearns</w:t>
      </w:r>
      <w:r>
        <w:rPr>
          <w:rFonts w:ascii="Arial" w:eastAsia="Arial" w:hAnsi="Arial" w:cs="Arial"/>
          <w:color w:val="000000"/>
          <w:sz w:val="20"/>
        </w:rPr>
        <w:t xml:space="preserve">, 957 F.3d at 906-08. </w:t>
      </w:r>
      <w:bookmarkStart w:id="134" w:name="Bookmark_I68YT8B62D6NCP0010000400_2"/>
      <w:bookmarkStart w:id="135" w:name="Bookmark_I68YT8B52HM6BR0020000400_2"/>
      <w:bookmarkStart w:id="136" w:name="Bookmark_I68YT8B62D6NCP0030000400"/>
      <w:bookmarkEnd w:id="134"/>
      <w:bookmarkEnd w:id="135"/>
      <w:bookmarkEnd w:id="136"/>
      <w:r>
        <w:rPr>
          <w:rFonts w:ascii="Arial" w:eastAsia="Arial" w:hAnsi="Arial" w:cs="Arial"/>
          <w:color w:val="000000"/>
          <w:sz w:val="20"/>
        </w:rPr>
        <w:t xml:space="preserve">But "not every disability imposed during pretrial detention amounts to 'punishment' in the constitutional sense." </w:t>
      </w:r>
      <w:bookmarkStart w:id="137" w:name="Bookmark_I68YT8B52HM6BR0010000400"/>
      <w:bookmarkEnd w:id="137"/>
      <w:r>
        <w:rPr>
          <w:rFonts w:ascii="Arial" w:eastAsia="Arial" w:hAnsi="Arial" w:cs="Arial"/>
          <w:color w:val="000000"/>
          <w:sz w:val="20"/>
        </w:rPr>
        <w:t xml:space="preserve">Smith v. Copeland, 87 F.3d 265, 268 (8th Cir. 1996) (quoting </w:t>
      </w:r>
      <w:bookmarkStart w:id="138" w:name="Bookmark_I68YT8B52HM6BR0030000400"/>
      <w:bookmarkEnd w:id="138"/>
      <w:r>
        <w:rPr>
          <w:rFonts w:ascii="Arial" w:eastAsia="Arial" w:hAnsi="Arial" w:cs="Arial"/>
          <w:color w:val="000000"/>
          <w:sz w:val="20"/>
          <w:u w:val="single"/>
        </w:rPr>
        <w:t>Bell</w:t>
      </w:r>
      <w:r>
        <w:rPr>
          <w:rFonts w:ascii="Arial" w:eastAsia="Arial" w:hAnsi="Arial" w:cs="Arial"/>
          <w:color w:val="000000"/>
          <w:sz w:val="20"/>
        </w:rPr>
        <w:t xml:space="preserve">, 441 U.S. at 537). </w:t>
      </w:r>
      <w:bookmarkStart w:id="139" w:name="Bookmark_I68YT8B62D6NCP0030000400_2"/>
      <w:bookmarkEnd w:id="139"/>
      <w:r>
        <w:rPr>
          <w:rFonts w:ascii="Arial" w:eastAsia="Arial" w:hAnsi="Arial" w:cs="Arial"/>
          <w:color w:val="000000"/>
          <w:sz w:val="20"/>
        </w:rPr>
        <w:t xml:space="preserve">The "proper inquiry" is whether the conditions complained of by a pretrial detainee "amount to punishment." </w:t>
      </w:r>
      <w:bookmarkStart w:id="140" w:name="Bookmark_I68YT8B52HM6BR0050000400"/>
      <w:bookmarkEnd w:id="140"/>
      <w:r>
        <w:rPr>
          <w:rFonts w:ascii="Arial" w:eastAsia="Arial" w:hAnsi="Arial" w:cs="Arial"/>
          <w:color w:val="000000"/>
          <w:sz w:val="20"/>
          <w:u w:val="single"/>
        </w:rPr>
        <w:t>Bell</w:t>
      </w:r>
      <w:r>
        <w:rPr>
          <w:rFonts w:ascii="Arial" w:eastAsia="Arial" w:hAnsi="Arial" w:cs="Arial"/>
          <w:color w:val="000000"/>
          <w:sz w:val="20"/>
        </w:rPr>
        <w:t xml:space="preserve">, 441 U.S. at 535. </w:t>
      </w:r>
      <w:bookmarkStart w:id="141" w:name="Bookmark_I68YT8B62D6NCP0030000400_3"/>
      <w:bookmarkEnd w:id="141"/>
      <w:r>
        <w:rPr>
          <w:rFonts w:ascii="Arial" w:eastAsia="Arial" w:hAnsi="Arial" w:cs="Arial"/>
          <w:color w:val="000000"/>
          <w:sz w:val="20"/>
        </w:rPr>
        <w:t xml:space="preserve">Here, Hall must demonstrate that the conditions of his confinement at the Jail amounted to unconstitutional punishment by showing that the conditions were intended to be punitive, or that they "were [*10]  not reasonably related to a legitimate governmental purpose or were excessive in relation to that purpose." </w:t>
      </w:r>
      <w:bookmarkStart w:id="142" w:name="Bookmark_I68YT8B62D6NCP0020000400"/>
      <w:bookmarkEnd w:id="142"/>
      <w:r>
        <w:rPr>
          <w:rFonts w:ascii="Arial" w:eastAsia="Arial" w:hAnsi="Arial" w:cs="Arial"/>
          <w:color w:val="000000"/>
          <w:sz w:val="20"/>
          <w:u w:val="single"/>
        </w:rPr>
        <w:t>Stearns</w:t>
      </w:r>
      <w:r>
        <w:rPr>
          <w:rFonts w:ascii="Arial" w:eastAsia="Arial" w:hAnsi="Arial" w:cs="Arial"/>
          <w:color w:val="000000"/>
          <w:sz w:val="20"/>
        </w:rPr>
        <w:t>, 957 F.3d at 907.</w:t>
      </w:r>
    </w:p>
    <w:p w:rsidR="00022B47" w:rsidRDefault="00000000">
      <w:pPr>
        <w:pStyle w:val="Normal1"/>
        <w:widowControl w:val="0"/>
        <w:spacing w:before="200" w:line="260" w:lineRule="atLeast"/>
        <w:jc w:val="both"/>
      </w:pPr>
      <w:bookmarkStart w:id="143" w:name="Bookmark_para_20_0"/>
      <w:bookmarkEnd w:id="143"/>
      <w:r>
        <w:rPr>
          <w:rFonts w:ascii="Arial" w:eastAsia="Arial" w:hAnsi="Arial" w:cs="Arial"/>
          <w:color w:val="000000"/>
          <w:sz w:val="20"/>
        </w:rPr>
        <w:t>Hall argues the Jail allowed him to remain in his soiled waste for days, failed to provide him "necessary assistance" with "toileting and bathing," and failed to assist with transferring him from his wheelchair, all of which exposed him to dangerous falls and unsanitary living conditions during his confinement. However, even if we assume that Hall has shown he was subjected to conditions of confinement that amounted to punishment, we agree with the district court that this claim fails.</w:t>
      </w:r>
    </w:p>
    <w:p w:rsidR="00022B47" w:rsidRDefault="00000000">
      <w:pPr>
        <w:pStyle w:val="Normal1"/>
        <w:widowControl w:val="0"/>
        <w:spacing w:before="200" w:line="260" w:lineRule="atLeast"/>
        <w:jc w:val="both"/>
      </w:pPr>
      <w:bookmarkStart w:id="144" w:name="Bookmark_para_21_0"/>
      <w:bookmarkStart w:id="145" w:name="Bookmark_I7828P68S200000BR630001P"/>
      <w:bookmarkStart w:id="146" w:name="Bookmark_I7828P68WNN0000BR630001R"/>
      <w:bookmarkStart w:id="147" w:name="Bookmark_I68YT8B62D6NCP0050000400"/>
      <w:bookmarkEnd w:id="144"/>
      <w:bookmarkEnd w:id="145"/>
      <w:bookmarkEnd w:id="146"/>
      <w:bookmarkEnd w:id="147"/>
      <w:r>
        <w:rPr>
          <w:rFonts w:ascii="Arial" w:eastAsia="Arial" w:hAnsi="Arial" w:cs="Arial"/>
          <w:color w:val="000000"/>
          <w:sz w:val="20"/>
        </w:rPr>
        <w:t xml:space="preserve">Hall attempts to establish municipal liability based upon what he alleges are "numerous policies" of Pulaski County that "restricted the medical staff's ability to assist him in the [J]ail." </w:t>
      </w:r>
      <w:bookmarkStart w:id="148" w:name="Bookmark_LNHNREFclscc8"/>
      <w:bookmarkEnd w:id="148"/>
      <w:r>
        <w:rPr>
          <w:rFonts w:ascii="Arial" w:eastAsia="Arial" w:hAnsi="Arial" w:cs="Arial"/>
          <w:color w:val="000000"/>
          <w:sz w:val="20"/>
        </w:rPr>
        <w:t xml:space="preserve">"To prove the existence of a policy" for municipal liability purposes, Hall may point to "an official policy" or "a deliberate choice of a guiding principle or procedure made by the municipal official who has final authority regarding such matters." </w:t>
      </w:r>
      <w:bookmarkStart w:id="149" w:name="Bookmark_I68YT8B62D6NCP0040000400"/>
      <w:bookmarkEnd w:id="149"/>
      <w:r>
        <w:rPr>
          <w:rFonts w:ascii="Arial" w:eastAsia="Arial" w:hAnsi="Arial" w:cs="Arial"/>
          <w:color w:val="000000"/>
          <w:sz w:val="20"/>
          <w:u w:val="single"/>
        </w:rPr>
        <w:t>Schaffer v. Beringer</w:t>
      </w:r>
      <w:r>
        <w:rPr>
          <w:rFonts w:ascii="Arial" w:eastAsia="Arial" w:hAnsi="Arial" w:cs="Arial"/>
          <w:color w:val="000000"/>
          <w:sz w:val="20"/>
        </w:rPr>
        <w:t xml:space="preserve">, 842 F.3d 585, 596 (8th Cir. 2016) (quoting </w:t>
      </w:r>
      <w:bookmarkStart w:id="150" w:name="Bookmark_I68YT8B628T3X80010000400"/>
      <w:bookmarkEnd w:id="150"/>
      <w:r>
        <w:rPr>
          <w:rFonts w:ascii="Arial" w:eastAsia="Arial" w:hAnsi="Arial" w:cs="Arial"/>
          <w:color w:val="000000"/>
          <w:sz w:val="20"/>
          <w:u w:val="single"/>
        </w:rPr>
        <w:t>Mettler v. Whitledge</w:t>
      </w:r>
      <w:r>
        <w:rPr>
          <w:rFonts w:ascii="Arial" w:eastAsia="Arial" w:hAnsi="Arial" w:cs="Arial"/>
          <w:color w:val="000000"/>
          <w:sz w:val="20"/>
        </w:rPr>
        <w:t xml:space="preserve">, 165 F.3d 1197, 1204 (8th Cir. 1999)). </w:t>
      </w:r>
      <w:bookmarkStart w:id="151" w:name="Bookmark_I68YT8B628T3X80040000400"/>
      <w:bookmarkEnd w:id="151"/>
      <w:r>
        <w:rPr>
          <w:rFonts w:ascii="Arial" w:eastAsia="Arial" w:hAnsi="Arial" w:cs="Arial"/>
          <w:color w:val="000000"/>
          <w:sz w:val="20"/>
        </w:rPr>
        <w:t xml:space="preserve">Hall has not presented evidence of the existence of any official policy that "restrict[s]" care to disabled inmates. Indeed, Pulaski County's official [*11]  written policies provide for the "proper housing and handling" of detainees at the Jail "who have a disability or impairment," and for the provision of medical care by the Jail's medical professionals for "individuals with special needs." And Hall does not identify any evidence that evinces a deliberate choice of a guiding principle or procedure made by Pulaski County restricting the ability of the Jail's staff to assist disabled inmates. </w:t>
      </w:r>
      <w:bookmarkStart w:id="152" w:name="Bookmark_I68YT8B628T3X80040000400_2"/>
      <w:bookmarkEnd w:id="152"/>
      <w:r>
        <w:rPr>
          <w:rFonts w:ascii="Arial" w:eastAsia="Arial" w:hAnsi="Arial" w:cs="Arial"/>
          <w:color w:val="000000"/>
          <w:sz w:val="20"/>
          <w:u w:val="single"/>
        </w:rPr>
        <w:t xml:space="preserve">See </w:t>
      </w:r>
      <w:bookmarkStart w:id="153" w:name="Bookmark_I68YT8B628T3X80030000400"/>
      <w:bookmarkEnd w:id="153"/>
      <w:r>
        <w:rPr>
          <w:rFonts w:ascii="Arial" w:eastAsia="Arial" w:hAnsi="Arial" w:cs="Arial"/>
          <w:color w:val="000000"/>
          <w:sz w:val="20"/>
          <w:u w:val="single"/>
        </w:rPr>
        <w:t>Marsh v. Phelps County</w:t>
      </w:r>
      <w:r>
        <w:rPr>
          <w:rFonts w:ascii="Arial" w:eastAsia="Arial" w:hAnsi="Arial" w:cs="Arial"/>
          <w:color w:val="000000"/>
          <w:sz w:val="20"/>
        </w:rPr>
        <w:t>, 902 F.3d 745, 752-53 (8th Cir. 2018).</w:t>
      </w:r>
    </w:p>
    <w:p w:rsidR="00022B47" w:rsidRDefault="00000000">
      <w:pPr>
        <w:pStyle w:val="Normal1"/>
        <w:widowControl w:val="0"/>
        <w:spacing w:before="200" w:line="260" w:lineRule="atLeast"/>
        <w:jc w:val="both"/>
      </w:pPr>
      <w:bookmarkStart w:id="154" w:name="Bookmark_para_22_0"/>
      <w:bookmarkStart w:id="155" w:name="Bookmark_LNHNREFclscc9"/>
      <w:bookmarkEnd w:id="154"/>
      <w:bookmarkEnd w:id="155"/>
      <w:r>
        <w:rPr>
          <w:rFonts w:ascii="Arial" w:eastAsia="Arial" w:hAnsi="Arial" w:cs="Arial"/>
          <w:color w:val="000000"/>
          <w:sz w:val="20"/>
        </w:rPr>
        <w:t>A plaintiff may also establish municipal liability by way of an unofficial custom if he establishes:</w:t>
      </w:r>
    </w:p>
    <w:p w:rsidR="00022B47" w:rsidRDefault="00000000">
      <w:pPr>
        <w:pStyle w:val="Normal1"/>
        <w:widowControl w:val="0"/>
        <w:spacing w:before="200" w:line="260" w:lineRule="atLeast"/>
        <w:ind w:left="400"/>
        <w:jc w:val="both"/>
      </w:pPr>
      <w:bookmarkStart w:id="156" w:name="Bookmark_para_23_0"/>
      <w:bookmarkStart w:id="157" w:name="Bookmark_I7828P67XP00000BR630001G"/>
      <w:bookmarkStart w:id="158" w:name="Bookmark_I7828P68BHP0000BR630001K"/>
      <w:bookmarkStart w:id="159" w:name="Bookmark_I68YT8B62HM6BW0010000400"/>
      <w:bookmarkEnd w:id="156"/>
      <w:bookmarkEnd w:id="157"/>
      <w:bookmarkEnd w:id="158"/>
      <w:bookmarkEnd w:id="159"/>
      <w:r>
        <w:rPr>
          <w:rFonts w:ascii="Arial" w:eastAsia="Arial" w:hAnsi="Arial" w:cs="Arial"/>
          <w:color w:val="000000"/>
          <w:sz w:val="20"/>
        </w:rPr>
        <w:t>(1) the existence of a continuing, widespread, persistent pattern of unconstitutional misconduct by the governmental entity's employees; (2) deliberate indifference to or tacit authorization of such conduct by the governmental entity's policymaking officials after notice to the officials of that misconduct; and</w:t>
      </w:r>
    </w:p>
    <w:p w:rsidR="00022B47" w:rsidRDefault="00000000">
      <w:pPr>
        <w:pStyle w:val="Normal1"/>
        <w:widowControl w:val="0"/>
        <w:spacing w:before="200" w:line="260" w:lineRule="atLeast"/>
        <w:ind w:left="400"/>
        <w:jc w:val="both"/>
      </w:pPr>
      <w:bookmarkStart w:id="160" w:name="Bookmark_para_24_0"/>
      <w:bookmarkStart w:id="161" w:name="Bookmark_I68YT8B62HM6BW0010000400_2"/>
      <w:bookmarkStart w:id="162" w:name="Bookmark_I7828P67NDD0000BR630001D"/>
      <w:bookmarkStart w:id="163" w:name="Bookmark_I68YT8B62HM6BW0050000400"/>
      <w:bookmarkEnd w:id="160"/>
      <w:bookmarkEnd w:id="161"/>
      <w:bookmarkEnd w:id="162"/>
      <w:bookmarkEnd w:id="163"/>
      <w:r>
        <w:rPr>
          <w:rFonts w:ascii="Arial" w:eastAsia="Arial" w:hAnsi="Arial" w:cs="Arial"/>
          <w:color w:val="000000"/>
          <w:sz w:val="20"/>
        </w:rPr>
        <w:t>(3) that plaintiff was injured by acts pursuant to the governmental entity's custom, i.e., that the custom was a moving force behind the constitutional violation.</w:t>
      </w:r>
    </w:p>
    <w:p w:rsidR="00022B47" w:rsidRDefault="00000000">
      <w:pPr>
        <w:pStyle w:val="Normal1"/>
        <w:widowControl w:val="0"/>
        <w:spacing w:before="200" w:line="260" w:lineRule="atLeast"/>
        <w:jc w:val="both"/>
      </w:pPr>
      <w:bookmarkStart w:id="164" w:name="Bookmark_I68YT8B62HM6BW0050000400_2"/>
      <w:bookmarkStart w:id="165" w:name="Bookmark_I68YT8B62HM6BW0010000400_3"/>
      <w:bookmarkStart w:id="166" w:name="Bookmark_I68YT8B628T3X80050000400"/>
      <w:bookmarkEnd w:id="164"/>
      <w:bookmarkEnd w:id="165"/>
      <w:bookmarkEnd w:id="166"/>
      <w:r>
        <w:rPr>
          <w:rFonts w:ascii="Arial" w:eastAsia="Arial" w:hAnsi="Arial" w:cs="Arial"/>
          <w:color w:val="000000"/>
          <w:sz w:val="20"/>
          <w:u w:val="single"/>
        </w:rPr>
        <w:t>Brewington v. Keener</w:t>
      </w:r>
      <w:r>
        <w:rPr>
          <w:rFonts w:ascii="Arial" w:eastAsia="Arial" w:hAnsi="Arial" w:cs="Arial"/>
          <w:color w:val="000000"/>
          <w:sz w:val="20"/>
        </w:rPr>
        <w:t xml:space="preserve">, 902 F.3d 796, 801 (8th Cir. 2018) (quoting </w:t>
      </w:r>
      <w:bookmarkStart w:id="167" w:name="Bookmark_I68YT8B62HM6BW0020000400"/>
      <w:bookmarkEnd w:id="167"/>
      <w:r>
        <w:rPr>
          <w:rFonts w:ascii="Arial" w:eastAsia="Arial" w:hAnsi="Arial" w:cs="Arial"/>
          <w:color w:val="000000"/>
          <w:sz w:val="20"/>
          <w:u w:val="single"/>
        </w:rPr>
        <w:t>Corwin v. City of Independence</w:t>
      </w:r>
      <w:r>
        <w:rPr>
          <w:rFonts w:ascii="Arial" w:eastAsia="Arial" w:hAnsi="Arial" w:cs="Arial"/>
          <w:color w:val="000000"/>
          <w:sz w:val="20"/>
        </w:rPr>
        <w:t xml:space="preserve">, 829 F.3d 695, 700 (8th Cir. 2016)). "The pattern of unconstitutional conduct must be so pervasive and widespread so 'as to have the effect and force of law.'" </w:t>
      </w:r>
      <w:r>
        <w:rPr>
          <w:rFonts w:ascii="Arial" w:eastAsia="Arial" w:hAnsi="Arial" w:cs="Arial"/>
          <w:color w:val="000000"/>
          <w:sz w:val="20"/>
          <w:u w:val="single"/>
        </w:rPr>
        <w:t>Id.</w:t>
      </w:r>
      <w:r>
        <w:rPr>
          <w:rFonts w:ascii="Arial" w:eastAsia="Arial" w:hAnsi="Arial" w:cs="Arial"/>
          <w:color w:val="000000"/>
          <w:sz w:val="20"/>
        </w:rPr>
        <w:t xml:space="preserve"> (quoting </w:t>
      </w:r>
      <w:bookmarkStart w:id="168" w:name="Bookmark_I68YT8B62HM6BW0040000400"/>
      <w:bookmarkEnd w:id="168"/>
      <w:r>
        <w:rPr>
          <w:rFonts w:ascii="Arial" w:eastAsia="Arial" w:hAnsi="Arial" w:cs="Arial"/>
          <w:color w:val="000000"/>
          <w:sz w:val="20"/>
          <w:u w:val="single"/>
        </w:rPr>
        <w:t>Andrews v. Fowler</w:t>
      </w:r>
      <w:r>
        <w:rPr>
          <w:rFonts w:ascii="Arial" w:eastAsia="Arial" w:hAnsi="Arial" w:cs="Arial"/>
          <w:color w:val="000000"/>
          <w:sz w:val="20"/>
        </w:rPr>
        <w:t>, 98 F.3d 1069, 1075 (8th Cir. 1996)). Hall argues that his experience [*12]  at the Jail was not the result of "isolated acts of employee negligence," but rather was the product of a Jail custom of "refus[ing] to help him on a daily basis." The evidence supports a finding that Hall struggled with daily-living activities while detained at the Jail. But there is nothing in the record that indicates Hall's experience was the consequence of a "pervasive and widespread" custom or practice at the Jail, and his bare assertions of such a custom are insufficient to impose municipal liability on Pulaski County. The district court appropriately granted summary judgment on Hall's conditions-of-confinement claim.</w:t>
      </w:r>
    </w:p>
    <w:p w:rsidR="00022B47" w:rsidRDefault="00000000">
      <w:pPr>
        <w:pStyle w:val="Normal1"/>
        <w:widowControl w:val="0"/>
        <w:spacing w:before="120" w:line="260" w:lineRule="atLeast"/>
      </w:pPr>
      <w:r>
        <w:rPr>
          <w:rFonts w:ascii="Arial" w:eastAsia="Arial" w:hAnsi="Arial" w:cs="Arial"/>
          <w:color w:val="000000"/>
          <w:sz w:val="20"/>
        </w:rPr>
        <w:t>B.</w:t>
      </w:r>
    </w:p>
    <w:p w:rsidR="00022B47" w:rsidRDefault="00000000">
      <w:pPr>
        <w:pStyle w:val="Normal1"/>
        <w:widowControl w:val="0"/>
        <w:spacing w:before="200" w:line="260" w:lineRule="atLeast"/>
        <w:jc w:val="both"/>
      </w:pPr>
      <w:bookmarkStart w:id="169" w:name="Bookmark_para_25_0"/>
      <w:bookmarkStart w:id="170" w:name="Bookmark_I68YT8B72D6NCX0020000400"/>
      <w:bookmarkEnd w:id="169"/>
      <w:bookmarkEnd w:id="170"/>
      <w:r>
        <w:rPr>
          <w:rFonts w:ascii="Arial" w:eastAsia="Arial" w:hAnsi="Arial" w:cs="Arial"/>
          <w:color w:val="000000"/>
          <w:sz w:val="20"/>
        </w:rPr>
        <w:t xml:space="preserve">Hall contends that the district court erroneously granted summary judgment on his disability discrimination claim under the ADA and ACRA, which we consider together. </w:t>
      </w:r>
      <w:r>
        <w:rPr>
          <w:rFonts w:ascii="Arial" w:eastAsia="Arial" w:hAnsi="Arial" w:cs="Arial"/>
          <w:color w:val="000000"/>
          <w:sz w:val="20"/>
          <w:u w:val="single"/>
        </w:rPr>
        <w:t xml:space="preserve">See </w:t>
      </w:r>
      <w:bookmarkStart w:id="171" w:name="Bookmark_I68YT8B72D6NCX0010000400"/>
      <w:bookmarkEnd w:id="171"/>
      <w:r>
        <w:rPr>
          <w:rFonts w:ascii="Arial" w:eastAsia="Arial" w:hAnsi="Arial" w:cs="Arial"/>
          <w:color w:val="000000"/>
          <w:sz w:val="20"/>
          <w:u w:val="single"/>
        </w:rPr>
        <w:t>Duty v. Norton-Alcoa Proppants</w:t>
      </w:r>
      <w:r>
        <w:rPr>
          <w:rFonts w:ascii="Arial" w:eastAsia="Arial" w:hAnsi="Arial" w:cs="Arial"/>
          <w:color w:val="000000"/>
          <w:sz w:val="20"/>
        </w:rPr>
        <w:t>, 293 F.3d 481, 490 (8th Cir. 2002) (analyzing ADA and ACRA claims using the same standards).</w:t>
      </w:r>
    </w:p>
    <w:p w:rsidR="00022B47" w:rsidRDefault="00000000">
      <w:pPr>
        <w:pStyle w:val="Normal1"/>
        <w:widowControl w:val="0"/>
        <w:spacing w:before="200" w:line="260" w:lineRule="atLeast"/>
        <w:jc w:val="both"/>
      </w:pPr>
      <w:bookmarkStart w:id="172" w:name="Bookmark_para_26_0"/>
      <w:bookmarkStart w:id="173" w:name="Bookmark_I68YT8B72D6NCX0040000400"/>
      <w:bookmarkStart w:id="174" w:name="Bookmark_I68YT8B728T3XJ0010000400"/>
      <w:bookmarkEnd w:id="172"/>
      <w:bookmarkEnd w:id="173"/>
      <w:bookmarkEnd w:id="174"/>
      <w:r>
        <w:rPr>
          <w:rFonts w:ascii="Arial" w:eastAsia="Arial" w:hAnsi="Arial" w:cs="Arial"/>
          <w:color w:val="000000"/>
          <w:sz w:val="20"/>
        </w:rPr>
        <w:t xml:space="preserve">Title II of the ADA provides that "no qualified individual with a disability shall, by reason of such disability, be excluded from participation in or be denied the benefits of the services, programs, or activities of a public entity, or be subjected to discrimination by any such entity." 42 U.S.C. § 12132; </w:t>
      </w:r>
      <w:r>
        <w:rPr>
          <w:rFonts w:ascii="Arial" w:eastAsia="Arial" w:hAnsi="Arial" w:cs="Arial"/>
          <w:color w:val="000000"/>
          <w:sz w:val="20"/>
          <w:u w:val="single"/>
        </w:rPr>
        <w:t xml:space="preserve">see also </w:t>
      </w:r>
      <w:bookmarkStart w:id="175" w:name="Bookmark_I68YT8B72D6NCX0030000400"/>
      <w:bookmarkEnd w:id="175"/>
      <w:r>
        <w:rPr>
          <w:rFonts w:ascii="Arial" w:eastAsia="Arial" w:hAnsi="Arial" w:cs="Arial"/>
          <w:color w:val="000000"/>
          <w:sz w:val="20"/>
          <w:u w:val="single"/>
        </w:rPr>
        <w:t>Mason v. Corr. Med. Servs., Inc.</w:t>
      </w:r>
      <w:r>
        <w:rPr>
          <w:rFonts w:ascii="Arial" w:eastAsia="Arial" w:hAnsi="Arial" w:cs="Arial"/>
          <w:color w:val="000000"/>
          <w:sz w:val="20"/>
        </w:rPr>
        <w:t xml:space="preserve">, 559 F.3d 880, 886 (8th Cir. 2009). </w:t>
      </w:r>
      <w:bookmarkStart w:id="176" w:name="Bookmark_LNHNREFclscc10"/>
      <w:bookmarkStart w:id="177" w:name="Bookmark_I68YT8B728T3XJ0030000400"/>
      <w:bookmarkEnd w:id="176"/>
      <w:bookmarkEnd w:id="177"/>
      <w:r>
        <w:rPr>
          <w:rFonts w:ascii="Arial" w:eastAsia="Arial" w:hAnsi="Arial" w:cs="Arial"/>
          <w:color w:val="000000"/>
          <w:sz w:val="20"/>
        </w:rPr>
        <w:t xml:space="preserve">To prove his ADA claim, Hall must demonstrate [*13]  that he is a qualified individual with a disability and that because of his disability, he was excluded from participation in or denied benefits of the Jail's services, programs, or activities. </w:t>
      </w:r>
      <w:r>
        <w:rPr>
          <w:rFonts w:ascii="Arial" w:eastAsia="Arial" w:hAnsi="Arial" w:cs="Arial"/>
          <w:color w:val="000000"/>
          <w:sz w:val="20"/>
          <w:u w:val="single"/>
        </w:rPr>
        <w:t xml:space="preserve">See </w:t>
      </w:r>
      <w:bookmarkStart w:id="178" w:name="Bookmark_I68YT8B72D6NCX0050000400"/>
      <w:bookmarkEnd w:id="178"/>
      <w:r>
        <w:rPr>
          <w:rFonts w:ascii="Arial" w:eastAsia="Arial" w:hAnsi="Arial" w:cs="Arial"/>
          <w:color w:val="000000"/>
          <w:sz w:val="20"/>
          <w:u w:val="single"/>
        </w:rPr>
        <w:t>Baribeau v. City of Minneapolis</w:t>
      </w:r>
      <w:r>
        <w:rPr>
          <w:rFonts w:ascii="Arial" w:eastAsia="Arial" w:hAnsi="Arial" w:cs="Arial"/>
          <w:color w:val="000000"/>
          <w:sz w:val="20"/>
        </w:rPr>
        <w:t xml:space="preserve">, 596 F.3d 465, 484 (8th Cir. 2010). </w:t>
      </w:r>
      <w:bookmarkStart w:id="179" w:name="Bookmark_I68YT8B728T3XJ0030000400_2"/>
      <w:bookmarkEnd w:id="179"/>
      <w:r>
        <w:rPr>
          <w:rFonts w:ascii="Arial" w:eastAsia="Arial" w:hAnsi="Arial" w:cs="Arial"/>
          <w:color w:val="000000"/>
          <w:sz w:val="20"/>
        </w:rPr>
        <w:t xml:space="preserve">Furthermore, to recover compensatory damages, Hall must prove discriminatory intent, which can be shown by proffering evidence of the Jail's "deliberate indifference to the strong likelihood that pursuit of its questioned policies will likely result in a violation of federally protected rights." </w:t>
      </w:r>
      <w:bookmarkStart w:id="180" w:name="Bookmark_I68YT8B728T3XJ0020000400"/>
      <w:bookmarkEnd w:id="180"/>
      <w:r>
        <w:rPr>
          <w:rFonts w:ascii="Arial" w:eastAsia="Arial" w:hAnsi="Arial" w:cs="Arial"/>
          <w:color w:val="000000"/>
          <w:sz w:val="20"/>
          <w:u w:val="single"/>
        </w:rPr>
        <w:t>Meagley</w:t>
      </w:r>
      <w:r>
        <w:rPr>
          <w:rFonts w:ascii="Arial" w:eastAsia="Arial" w:hAnsi="Arial" w:cs="Arial"/>
          <w:color w:val="000000"/>
          <w:sz w:val="20"/>
        </w:rPr>
        <w:t>, 639 F.3d at 389 (citation omitted).</w:t>
      </w:r>
    </w:p>
    <w:p w:rsidR="00022B47" w:rsidRDefault="00000000">
      <w:pPr>
        <w:pStyle w:val="Normal1"/>
        <w:widowControl w:val="0"/>
        <w:spacing w:before="200" w:line="260" w:lineRule="atLeast"/>
        <w:jc w:val="both"/>
      </w:pPr>
      <w:bookmarkStart w:id="181" w:name="Bookmark_para_27_0"/>
      <w:bookmarkStart w:id="182" w:name="Bookmark_I68YT8B728T3XJ0050000400"/>
      <w:bookmarkStart w:id="183" w:name="Bookmark_I68YT8B82N1R760040000400"/>
      <w:bookmarkStart w:id="184" w:name="Bookmark_I68YT8B82SF7SN0010000400"/>
      <w:bookmarkEnd w:id="181"/>
      <w:bookmarkEnd w:id="182"/>
      <w:bookmarkEnd w:id="183"/>
      <w:bookmarkEnd w:id="184"/>
      <w:r>
        <w:rPr>
          <w:rFonts w:ascii="Arial" w:eastAsia="Arial" w:hAnsi="Arial" w:cs="Arial"/>
          <w:color w:val="000000"/>
          <w:sz w:val="20"/>
        </w:rPr>
        <w:t>Hall argues that the Jail discriminated against him because it failed to provide accommodations that would enable him to use or access the Jail's toilets,</w:t>
      </w:r>
      <w:r>
        <w:rPr>
          <w:rFonts w:ascii="Arial" w:eastAsia="Arial" w:hAnsi="Arial" w:cs="Arial"/>
          <w:vertAlign w:val="superscript"/>
        </w:rPr>
        <w:footnoteReference w:customMarkFollows="1" w:id="4"/>
        <w:t>3</w:t>
      </w:r>
      <w:r>
        <w:rPr>
          <w:rFonts w:ascii="Arial" w:eastAsia="Arial" w:hAnsi="Arial" w:cs="Arial"/>
          <w:color w:val="000000"/>
          <w:sz w:val="20"/>
        </w:rPr>
        <w:t xml:space="preserve"> beds, and certain medical care services, namely, two of his mental health appointments and one pill call.</w:t>
      </w:r>
      <w:r>
        <w:rPr>
          <w:rFonts w:ascii="Arial" w:eastAsia="Arial" w:hAnsi="Arial" w:cs="Arial"/>
          <w:vertAlign w:val="superscript"/>
        </w:rPr>
        <w:footnoteReference w:customMarkFollows="1" w:id="5"/>
        <w:t>4</w:t>
      </w:r>
      <w:r>
        <w:rPr>
          <w:rFonts w:ascii="Arial" w:eastAsia="Arial" w:hAnsi="Arial" w:cs="Arial"/>
          <w:color w:val="000000"/>
          <w:sz w:val="20"/>
        </w:rPr>
        <w:t xml:space="preserve"> </w:t>
      </w:r>
      <w:bookmarkStart w:id="192" w:name="Bookmark_LNHNREFclscc11"/>
      <w:bookmarkEnd w:id="192"/>
      <w:r>
        <w:rPr>
          <w:rFonts w:ascii="Arial" w:eastAsia="Arial" w:hAnsi="Arial" w:cs="Arial"/>
          <w:color w:val="000000"/>
          <w:sz w:val="20"/>
        </w:rPr>
        <w:t xml:space="preserve">The failure to make reasonable accommodations "is a separate form of prohibited discrimination." </w:t>
      </w:r>
      <w:bookmarkStart w:id="193" w:name="Bookmark_I68YT8B728T3XJ0040000400"/>
      <w:bookmarkEnd w:id="193"/>
      <w:r>
        <w:rPr>
          <w:rFonts w:ascii="Arial" w:eastAsia="Arial" w:hAnsi="Arial" w:cs="Arial"/>
          <w:color w:val="000000"/>
          <w:sz w:val="20"/>
          <w:u w:val="single"/>
        </w:rPr>
        <w:t>Peebles v. Potter</w:t>
      </w:r>
      <w:r>
        <w:rPr>
          <w:rFonts w:ascii="Arial" w:eastAsia="Arial" w:hAnsi="Arial" w:cs="Arial"/>
          <w:color w:val="000000"/>
          <w:sz w:val="20"/>
        </w:rPr>
        <w:t xml:space="preserve">, 354 F.3d 761, 766 (8th Cir. 2004); </w:t>
      </w:r>
      <w:r>
        <w:rPr>
          <w:rFonts w:ascii="Arial" w:eastAsia="Arial" w:hAnsi="Arial" w:cs="Arial"/>
          <w:color w:val="000000"/>
          <w:sz w:val="20"/>
          <w:u w:val="single"/>
        </w:rPr>
        <w:t xml:space="preserve">see also </w:t>
      </w:r>
      <w:bookmarkStart w:id="194" w:name="Bookmark_I68YT8B82N1R760010000400"/>
      <w:bookmarkEnd w:id="194"/>
      <w:r>
        <w:rPr>
          <w:rFonts w:ascii="Arial" w:eastAsia="Arial" w:hAnsi="Arial" w:cs="Arial"/>
          <w:color w:val="000000"/>
          <w:sz w:val="20"/>
          <w:u w:val="single"/>
        </w:rPr>
        <w:t>Withers v. Johnson</w:t>
      </w:r>
      <w:r>
        <w:rPr>
          <w:rFonts w:ascii="Arial" w:eastAsia="Arial" w:hAnsi="Arial" w:cs="Arial"/>
          <w:color w:val="000000"/>
          <w:sz w:val="20"/>
        </w:rPr>
        <w:t xml:space="preserve">, 763 F.3d 998, 1003 (8th Cir. 2014) ("Discrimination under the ADA . . . encompasses both disparate treatment because of a disability and failure to provide reasonable accommodations to a qualified individual's known disability."). Thus, a public entity must make reasonable accommodations where necessary to give "meaningful access" to programs or [*14]  benefits; mere "limited participation" by persons with disabilities is not equivalent to "meaningful access." </w:t>
      </w:r>
      <w:r>
        <w:rPr>
          <w:rFonts w:ascii="Arial" w:eastAsia="Arial" w:hAnsi="Arial" w:cs="Arial"/>
          <w:color w:val="000000"/>
          <w:sz w:val="20"/>
          <w:u w:val="single"/>
        </w:rPr>
        <w:t xml:space="preserve">See </w:t>
      </w:r>
      <w:bookmarkStart w:id="195" w:name="Bookmark_I68YT8B82N1R760030000400"/>
      <w:bookmarkEnd w:id="195"/>
      <w:r>
        <w:rPr>
          <w:rFonts w:ascii="Arial" w:eastAsia="Arial" w:hAnsi="Arial" w:cs="Arial"/>
          <w:color w:val="000000"/>
          <w:sz w:val="20"/>
          <w:u w:val="single"/>
        </w:rPr>
        <w:t>Randolph v. Rodgers</w:t>
      </w:r>
      <w:r>
        <w:rPr>
          <w:rFonts w:ascii="Arial" w:eastAsia="Arial" w:hAnsi="Arial" w:cs="Arial"/>
          <w:color w:val="000000"/>
          <w:sz w:val="20"/>
        </w:rPr>
        <w:t xml:space="preserve">, 170 F.3d 850, 858 (8th Cir. 1999). However, under Title II, a public entity may demonstrate as an affirmative defense that "the requested accommodation of the plaintiff's disability would constitute an undue burden." </w:t>
      </w:r>
      <w:bookmarkStart w:id="196" w:name="Bookmark_I68YT8B82N1R760050000400"/>
      <w:bookmarkEnd w:id="196"/>
      <w:r>
        <w:rPr>
          <w:rFonts w:ascii="Arial" w:eastAsia="Arial" w:hAnsi="Arial" w:cs="Arial"/>
          <w:color w:val="000000"/>
          <w:sz w:val="20"/>
          <w:u w:val="single"/>
        </w:rPr>
        <w:t>Gorman v. Bartch</w:t>
      </w:r>
      <w:r>
        <w:rPr>
          <w:rFonts w:ascii="Arial" w:eastAsia="Arial" w:hAnsi="Arial" w:cs="Arial"/>
          <w:color w:val="000000"/>
          <w:sz w:val="20"/>
        </w:rPr>
        <w:t>, 152 F.3d 907, 912 (8th Cir. 1998).</w:t>
      </w:r>
    </w:p>
    <w:p w:rsidR="00022B47" w:rsidRDefault="00000000">
      <w:pPr>
        <w:pStyle w:val="Normal1"/>
        <w:widowControl w:val="0"/>
        <w:spacing w:before="200" w:line="260" w:lineRule="atLeast"/>
        <w:jc w:val="both"/>
      </w:pPr>
      <w:bookmarkStart w:id="197" w:name="Bookmark_para_28_0"/>
      <w:bookmarkStart w:id="198" w:name="Bookmark_I68YT8B92D6ND90020000400"/>
      <w:bookmarkEnd w:id="197"/>
      <w:bookmarkEnd w:id="198"/>
      <w:r>
        <w:rPr>
          <w:rFonts w:ascii="Arial" w:eastAsia="Arial" w:hAnsi="Arial" w:cs="Arial"/>
          <w:color w:val="000000"/>
          <w:sz w:val="20"/>
        </w:rPr>
        <w:t xml:space="preserve">The parties here agree that Hall is a qualified individual with a disability. </w:t>
      </w:r>
      <w:r>
        <w:rPr>
          <w:rFonts w:ascii="Arial" w:eastAsia="Arial" w:hAnsi="Arial" w:cs="Arial"/>
          <w:color w:val="000000"/>
          <w:sz w:val="20"/>
          <w:u w:val="single"/>
        </w:rPr>
        <w:t>See</w:t>
      </w:r>
      <w:r>
        <w:rPr>
          <w:rFonts w:ascii="Arial" w:eastAsia="Arial" w:hAnsi="Arial" w:cs="Arial"/>
          <w:color w:val="000000"/>
          <w:sz w:val="20"/>
        </w:rPr>
        <w:t xml:space="preserve"> 42 U.S.C. § 12102(1)(A) (defining a disability as "a physical or mental impairment that substantially limits one or more major life activities"). And they agree that the Jail's toilets, beds, and medical care are a "service" under the ADA. </w:t>
      </w:r>
      <w:r>
        <w:rPr>
          <w:rFonts w:ascii="Arial" w:eastAsia="Arial" w:hAnsi="Arial" w:cs="Arial"/>
          <w:color w:val="000000"/>
          <w:sz w:val="20"/>
          <w:u w:val="single"/>
        </w:rPr>
        <w:t xml:space="preserve">See </w:t>
      </w:r>
      <w:bookmarkStart w:id="199" w:name="Bookmark_I68YT8B92D6ND90010000400"/>
      <w:bookmarkEnd w:id="199"/>
      <w:r>
        <w:rPr>
          <w:rFonts w:ascii="Arial" w:eastAsia="Arial" w:hAnsi="Arial" w:cs="Arial"/>
          <w:color w:val="000000"/>
          <w:sz w:val="20"/>
          <w:u w:val="single"/>
        </w:rPr>
        <w:t>Mason</w:t>
      </w:r>
      <w:r>
        <w:rPr>
          <w:rFonts w:ascii="Arial" w:eastAsia="Arial" w:hAnsi="Arial" w:cs="Arial"/>
          <w:color w:val="000000"/>
          <w:sz w:val="20"/>
        </w:rPr>
        <w:t>, 559 F.3d at 886 (</w:t>
      </w:r>
      <w:bookmarkStart w:id="200" w:name="Bookmark_LNHNREFclscc13"/>
      <w:bookmarkEnd w:id="200"/>
      <w:r>
        <w:rPr>
          <w:rFonts w:ascii="Arial" w:eastAsia="Arial" w:hAnsi="Arial" w:cs="Arial"/>
          <w:color w:val="000000"/>
          <w:sz w:val="20"/>
        </w:rPr>
        <w:t xml:space="preserve">noting that "[r]ecreational activities, medical services, and educational and vocational programs" are "benefits" under the ADA (citation omitted)); </w:t>
      </w:r>
      <w:bookmarkStart w:id="201" w:name="Bookmark_I68YT8B92D6ND90030000400"/>
      <w:bookmarkEnd w:id="201"/>
      <w:r>
        <w:rPr>
          <w:rFonts w:ascii="Arial" w:eastAsia="Arial" w:hAnsi="Arial" w:cs="Arial"/>
          <w:color w:val="000000"/>
          <w:sz w:val="20"/>
          <w:u w:val="single"/>
        </w:rPr>
        <w:t>Bahl v. County of Ramsey</w:t>
      </w:r>
      <w:r>
        <w:rPr>
          <w:rFonts w:ascii="Arial" w:eastAsia="Arial" w:hAnsi="Arial" w:cs="Arial"/>
          <w:color w:val="000000"/>
          <w:sz w:val="20"/>
        </w:rPr>
        <w:t>, 695 F.3d 778, 787 (8th Cir. 2012) (reading the ADA's "services, programs, or activities" language to encompass "anything a public entity does" (citation omitted)). The central question, then, is whether Hall was excluded from participation in, or denied the benefits of, these services because he is disabled.</w:t>
      </w:r>
    </w:p>
    <w:p w:rsidR="00022B47" w:rsidRDefault="00000000">
      <w:pPr>
        <w:pStyle w:val="Normal1"/>
        <w:widowControl w:val="0"/>
        <w:spacing w:before="200" w:line="260" w:lineRule="atLeast"/>
        <w:jc w:val="both"/>
      </w:pPr>
      <w:bookmarkStart w:id="202" w:name="Bookmark_para_29_0"/>
      <w:bookmarkEnd w:id="202"/>
      <w:r>
        <w:rPr>
          <w:rFonts w:ascii="Arial" w:eastAsia="Arial" w:hAnsi="Arial" w:cs="Arial"/>
          <w:color w:val="000000"/>
          <w:sz w:val="20"/>
        </w:rPr>
        <w:t>Sheriff Higgins proffered evidence that Hall's living units complied with ADA design standards, and that Hall missed the identified medical care appointments not because [*15]  he was disabled, but because he refused to go to the appointments. But Hall testified that he was unable to enter his bed or use the toilet in his living units because he lacked assistive devices or any aid getting in and out of his wheelchair, and he testified that he could not attend the medical appointments for the same reason. Based on this evidence, Hall has raised a genuine issue of fact with respect to whether the Jail accommodated his access to these services—that is, whether the Jail afforded him the same benefits as non-disabled detainees.</w:t>
      </w:r>
    </w:p>
    <w:p w:rsidR="00022B47" w:rsidRDefault="00000000">
      <w:pPr>
        <w:pStyle w:val="Normal1"/>
        <w:widowControl w:val="0"/>
        <w:spacing w:before="200" w:line="260" w:lineRule="atLeast"/>
        <w:jc w:val="both"/>
      </w:pPr>
      <w:bookmarkStart w:id="203" w:name="Bookmark_para_30_0"/>
      <w:bookmarkStart w:id="204" w:name="Bookmark_LNHNREFclscc14"/>
      <w:bookmarkStart w:id="205" w:name="Bookmark_I68YT8B92SF7SV0010000400"/>
      <w:bookmarkStart w:id="206" w:name="Bookmark_I68YT8B92SF7SV0030000400"/>
      <w:bookmarkEnd w:id="203"/>
      <w:bookmarkEnd w:id="204"/>
      <w:bookmarkEnd w:id="205"/>
      <w:bookmarkEnd w:id="206"/>
      <w:r>
        <w:rPr>
          <w:rFonts w:ascii="Arial" w:eastAsia="Arial" w:hAnsi="Arial" w:cs="Arial"/>
          <w:color w:val="000000"/>
          <w:sz w:val="20"/>
        </w:rPr>
        <w:t xml:space="preserve">But only a "known disability triggers the duty to reasonably accommodate," </w:t>
      </w:r>
      <w:bookmarkStart w:id="207" w:name="Bookmark_I68YT8B92D6ND90050000400"/>
      <w:bookmarkEnd w:id="207"/>
      <w:r>
        <w:rPr>
          <w:rFonts w:ascii="Arial" w:eastAsia="Arial" w:hAnsi="Arial" w:cs="Arial"/>
          <w:color w:val="000000"/>
          <w:sz w:val="20"/>
          <w:u w:val="single"/>
        </w:rPr>
        <w:t>Peebles</w:t>
      </w:r>
      <w:r>
        <w:rPr>
          <w:rFonts w:ascii="Arial" w:eastAsia="Arial" w:hAnsi="Arial" w:cs="Arial"/>
          <w:color w:val="000000"/>
          <w:sz w:val="20"/>
        </w:rPr>
        <w:t xml:space="preserve">, 354 F.3d at 767, and Sheriff Higgins contends that the Jail was unaware of Hall's need for certain accommodations. Specifically, Sheriff Higgins notes that Hall "never complained about toilet access during his detention" nor did Hall say that "he needed a cell with grab bars." Yet, Hall testified that he repeatedly informed the Jail's guards and nurses of his need for assistance transferring in and out of his wheelchair. And the record shows that Hall indeed submitted "grievances" to the Jail complaining, for example, that he could not "stand up," that he lacked help "changing or [*16]  cleaning" himself, and that he could not "transfer to a toilet [and] back to the chair." Moreover, at least one of Hall's disabilities—his paraplegia and the concomitant need for accommodations—was "obvious." </w:t>
      </w:r>
      <w:r>
        <w:rPr>
          <w:rFonts w:ascii="Arial" w:eastAsia="Arial" w:hAnsi="Arial" w:cs="Arial"/>
          <w:color w:val="000000"/>
          <w:sz w:val="20"/>
          <w:u w:val="single"/>
        </w:rPr>
        <w:t xml:space="preserve">See, e.g., </w:t>
      </w:r>
      <w:bookmarkStart w:id="208" w:name="Bookmark_I68YT8B92SF7SV0020000400"/>
      <w:bookmarkEnd w:id="208"/>
      <w:r>
        <w:rPr>
          <w:rFonts w:ascii="Arial" w:eastAsia="Arial" w:hAnsi="Arial" w:cs="Arial"/>
          <w:color w:val="000000"/>
          <w:sz w:val="20"/>
          <w:u w:val="single"/>
        </w:rPr>
        <w:t>Robertson v. Las Animas Cnty. Sheriff's Dep't</w:t>
      </w:r>
      <w:r>
        <w:rPr>
          <w:rFonts w:ascii="Arial" w:eastAsia="Arial" w:hAnsi="Arial" w:cs="Arial"/>
          <w:color w:val="000000"/>
          <w:sz w:val="20"/>
        </w:rPr>
        <w:t>, 500 F.3d 1185, 1197 (10th Cir. 2007) (</w:t>
      </w:r>
      <w:bookmarkStart w:id="209" w:name="Bookmark_LNHNREFclscc15"/>
      <w:bookmarkEnd w:id="209"/>
      <w:r>
        <w:rPr>
          <w:rFonts w:ascii="Arial" w:eastAsia="Arial" w:hAnsi="Arial" w:cs="Arial"/>
          <w:color w:val="000000"/>
          <w:sz w:val="20"/>
        </w:rPr>
        <w:t xml:space="preserve">noting that in "certain instances" a public entity "will know of the individual's need for an accommodation because it is 'obvious'"); </w:t>
      </w:r>
      <w:bookmarkStart w:id="210" w:name="Bookmark_I68YT8B92SF7SV0040000400"/>
      <w:bookmarkEnd w:id="210"/>
      <w:r>
        <w:rPr>
          <w:rFonts w:ascii="Arial" w:eastAsia="Arial" w:hAnsi="Arial" w:cs="Arial"/>
          <w:color w:val="000000"/>
          <w:sz w:val="20"/>
          <w:u w:val="single"/>
        </w:rPr>
        <w:t>Windham v. Harris County</w:t>
      </w:r>
      <w:r>
        <w:rPr>
          <w:rFonts w:ascii="Arial" w:eastAsia="Arial" w:hAnsi="Arial" w:cs="Arial"/>
          <w:color w:val="000000"/>
          <w:sz w:val="20"/>
        </w:rPr>
        <w:t>, 875 F.3d 229, 237 (5th Cir. 2017) (explaining that a plaintiff who fails to request an accommodation can still prevail if "the disability, resulting limitation, and necessary reasonable accommodation were open, obvious, and apparent to the entity's relevant agents" (cleaned up)). Thus, here too, a genuine issue of fact exists regarding whether the Jail was on notice that Hall needed accommodations.</w:t>
      </w:r>
    </w:p>
    <w:p w:rsidR="00022B47" w:rsidRDefault="00000000">
      <w:pPr>
        <w:pStyle w:val="Normal1"/>
        <w:widowControl w:val="0"/>
        <w:spacing w:before="200" w:line="260" w:lineRule="atLeast"/>
        <w:jc w:val="both"/>
      </w:pPr>
      <w:bookmarkStart w:id="211" w:name="Bookmark_para_31_0"/>
      <w:bookmarkStart w:id="212" w:name="Bookmark_I68YT8B92D6NDG0020000400"/>
      <w:bookmarkEnd w:id="211"/>
      <w:bookmarkEnd w:id="212"/>
      <w:r>
        <w:rPr>
          <w:rFonts w:ascii="Arial" w:eastAsia="Arial" w:hAnsi="Arial" w:cs="Arial"/>
          <w:color w:val="000000"/>
          <w:sz w:val="20"/>
        </w:rPr>
        <w:t xml:space="preserve">Sheriff Higgins nonetheless downplays Hall's testimony, asserting that Hall's "own statements" or self-serving allegations are insufficient to permit his claims to survive summary judgment. </w:t>
      </w:r>
      <w:bookmarkStart w:id="213" w:name="Bookmark_LNHNREFclscc16"/>
      <w:bookmarkStart w:id="214" w:name="Bookmark_I68YT8BB28T3Y40010000400"/>
      <w:bookmarkEnd w:id="213"/>
      <w:bookmarkEnd w:id="214"/>
      <w:r>
        <w:rPr>
          <w:rFonts w:ascii="Arial" w:eastAsia="Arial" w:hAnsi="Arial" w:cs="Arial"/>
          <w:color w:val="000000"/>
          <w:sz w:val="20"/>
        </w:rPr>
        <w:t xml:space="preserve">But a "party's own testimony is often self-serving," and that alone is not grounds for disregarding it entirely. </w:t>
      </w:r>
      <w:r>
        <w:rPr>
          <w:rFonts w:ascii="Arial" w:eastAsia="Arial" w:hAnsi="Arial" w:cs="Arial"/>
          <w:color w:val="000000"/>
          <w:sz w:val="20"/>
          <w:u w:val="single"/>
        </w:rPr>
        <w:t xml:space="preserve">See </w:t>
      </w:r>
      <w:bookmarkStart w:id="215" w:name="Bookmark_I68YT8B92D6NDG0010000400"/>
      <w:bookmarkEnd w:id="215"/>
      <w:r>
        <w:rPr>
          <w:rFonts w:ascii="Arial" w:eastAsia="Arial" w:hAnsi="Arial" w:cs="Arial"/>
          <w:color w:val="000000"/>
          <w:sz w:val="20"/>
          <w:u w:val="single"/>
        </w:rPr>
        <w:t>Argenyi v. Creighton Univ.</w:t>
      </w:r>
      <w:r>
        <w:rPr>
          <w:rFonts w:ascii="Arial" w:eastAsia="Arial" w:hAnsi="Arial" w:cs="Arial"/>
          <w:color w:val="000000"/>
          <w:sz w:val="20"/>
        </w:rPr>
        <w:t xml:space="preserve">, 703 F.3d 441, 446 (8th Cir. 2013) (quoting </w:t>
      </w:r>
      <w:bookmarkStart w:id="216" w:name="Bookmark_I68YT8B92D6NDG0030000400"/>
      <w:bookmarkEnd w:id="216"/>
      <w:r>
        <w:rPr>
          <w:rFonts w:ascii="Arial" w:eastAsia="Arial" w:hAnsi="Arial" w:cs="Arial"/>
          <w:color w:val="000000"/>
          <w:sz w:val="20"/>
          <w:u w:val="single"/>
        </w:rPr>
        <w:t>C.R. Pittman Constr. Co. v. Nat'l Fire Ins. Co. of Hartford</w:t>
      </w:r>
      <w:r>
        <w:rPr>
          <w:rFonts w:ascii="Arial" w:eastAsia="Arial" w:hAnsi="Arial" w:cs="Arial"/>
          <w:color w:val="000000"/>
          <w:sz w:val="20"/>
        </w:rPr>
        <w:t xml:space="preserve">, 453 F. App'x 439, 443 (5th Cir. 2011)). </w:t>
      </w:r>
      <w:bookmarkStart w:id="217" w:name="Bookmark_I68YT8BB28T3Y40010000400_2"/>
      <w:bookmarkStart w:id="218" w:name="Bookmark_I68YT8BB28T3Y40030000400"/>
      <w:bookmarkEnd w:id="217"/>
      <w:bookmarkEnd w:id="218"/>
      <w:r>
        <w:rPr>
          <w:rFonts w:ascii="Arial" w:eastAsia="Arial" w:hAnsi="Arial" w:cs="Arial"/>
          <w:color w:val="000000"/>
          <w:sz w:val="20"/>
        </w:rPr>
        <w:t xml:space="preserve">Here, Hall testified in detail about his personal experience at the Jail, and at summary judgment, it is not the role of the district court to weigh competing [*17]  evidence or "attempt to discern the truth of any factual issue." </w:t>
      </w:r>
      <w:bookmarkStart w:id="219" w:name="Bookmark_I68YT8B92D6NDG0050000400"/>
      <w:bookmarkEnd w:id="219"/>
      <w:r>
        <w:rPr>
          <w:rFonts w:ascii="Arial" w:eastAsia="Arial" w:hAnsi="Arial" w:cs="Arial"/>
          <w:color w:val="000000"/>
          <w:sz w:val="20"/>
          <w:u w:val="single"/>
        </w:rPr>
        <w:t>Morris v. City of Chillicothe</w:t>
      </w:r>
      <w:r>
        <w:rPr>
          <w:rFonts w:ascii="Arial" w:eastAsia="Arial" w:hAnsi="Arial" w:cs="Arial"/>
          <w:color w:val="000000"/>
          <w:sz w:val="20"/>
        </w:rPr>
        <w:t xml:space="preserve">, 512 F.3d 1013, 1018 (8th Cir. 2008). </w:t>
      </w:r>
      <w:bookmarkStart w:id="220" w:name="Bookmark_I68YT8BB28T3Y40030000400_2"/>
      <w:bookmarkEnd w:id="220"/>
      <w:r>
        <w:rPr>
          <w:rFonts w:ascii="Arial" w:eastAsia="Arial" w:hAnsi="Arial" w:cs="Arial"/>
          <w:color w:val="000000"/>
          <w:sz w:val="20"/>
        </w:rPr>
        <w:t xml:space="preserve">Accordingly, Hall's testimony is sufficient to survive summary judgment. </w:t>
      </w:r>
      <w:r>
        <w:rPr>
          <w:rFonts w:ascii="Arial" w:eastAsia="Arial" w:hAnsi="Arial" w:cs="Arial"/>
          <w:color w:val="000000"/>
          <w:sz w:val="20"/>
          <w:u w:val="single"/>
        </w:rPr>
        <w:t xml:space="preserve">See </w:t>
      </w:r>
      <w:bookmarkStart w:id="221" w:name="Bookmark_I68YT8BB28T3Y40020000400"/>
      <w:bookmarkEnd w:id="221"/>
      <w:r>
        <w:rPr>
          <w:rFonts w:ascii="Arial" w:eastAsia="Arial" w:hAnsi="Arial" w:cs="Arial"/>
          <w:color w:val="000000"/>
          <w:sz w:val="20"/>
          <w:u w:val="single"/>
        </w:rPr>
        <w:t>Argenyi</w:t>
      </w:r>
      <w:r>
        <w:rPr>
          <w:rFonts w:ascii="Arial" w:eastAsia="Arial" w:hAnsi="Arial" w:cs="Arial"/>
          <w:color w:val="000000"/>
          <w:sz w:val="20"/>
        </w:rPr>
        <w:t>, 703 F.3d at 446 (</w:t>
      </w:r>
      <w:bookmarkStart w:id="222" w:name="Bookmark_LNHNREFclscc17"/>
      <w:bookmarkEnd w:id="222"/>
      <w:r>
        <w:rPr>
          <w:rFonts w:ascii="Arial" w:eastAsia="Arial" w:hAnsi="Arial" w:cs="Arial"/>
          <w:color w:val="000000"/>
          <w:sz w:val="20"/>
        </w:rPr>
        <w:t>"In [an ADA] case such as this it is especially important to consider the complainant's testimony carefully because 'the individual with a disability is most familiar with his or her disability and is in the best position to determine what type of aid or service will be effective.'" (citation omitted)). And viewing the evidence in the light most favorable to Hall, a reasonable factfinder could conclude that the Jail failed to provide him with meaningful access to beds, toilets, and the identified medical care services. We reverse and remand on Hall's disability discrimination claim.</w:t>
      </w:r>
      <w:r>
        <w:rPr>
          <w:rFonts w:ascii="Arial" w:eastAsia="Arial" w:hAnsi="Arial" w:cs="Arial"/>
          <w:vertAlign w:val="superscript"/>
        </w:rPr>
        <w:footnoteReference w:customMarkFollows="1" w:id="6"/>
        <w:t>5</w:t>
      </w:r>
    </w:p>
    <w:p w:rsidR="00022B47" w:rsidRDefault="00000000">
      <w:pPr>
        <w:pStyle w:val="Normal1"/>
        <w:widowControl w:val="0"/>
        <w:spacing w:before="120" w:line="260" w:lineRule="atLeast"/>
      </w:pPr>
      <w:r>
        <w:rPr>
          <w:rFonts w:ascii="Arial" w:eastAsia="Arial" w:hAnsi="Arial" w:cs="Arial"/>
          <w:color w:val="000000"/>
          <w:sz w:val="20"/>
        </w:rPr>
        <w:t>III.</w:t>
      </w:r>
    </w:p>
    <w:p w:rsidR="00022B47" w:rsidRDefault="00000000">
      <w:pPr>
        <w:pStyle w:val="Normal1"/>
        <w:widowControl w:val="0"/>
        <w:spacing w:before="200" w:line="260" w:lineRule="atLeast"/>
        <w:jc w:val="both"/>
      </w:pPr>
      <w:bookmarkStart w:id="224" w:name="Bookmark_para_32_0"/>
      <w:bookmarkEnd w:id="224"/>
      <w:r>
        <w:rPr>
          <w:rFonts w:ascii="Arial" w:eastAsia="Arial" w:hAnsi="Arial" w:cs="Arial"/>
          <w:color w:val="000000"/>
          <w:sz w:val="20"/>
        </w:rPr>
        <w:t>We affirm summary judgment on Hall's § 1983 deliberate indifference and conditions-of-confinement claims. But because triable issues remain on Hall's disability discrimination claim under the ADA and ACRA, we reverse and remand for further proceedings consistent with this opinion.</w:t>
      </w:r>
    </w:p>
    <w:p w:rsidR="00022B47" w:rsidRDefault="00022B47">
      <w:pPr>
        <w:pStyle w:val="Normal1"/>
      </w:pPr>
    </w:p>
    <w:p w:rsidR="00022B47" w:rsidRDefault="00000000">
      <w:pPr>
        <w:pStyle w:val="Normal1"/>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15846603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664424" id="Line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2"/>
        <w:sectPr w:rsidR="00022B47">
          <w:headerReference w:type="even" r:id="rId18"/>
          <w:headerReference w:type="default" r:id="rId19"/>
          <w:footerReference w:type="even" r:id="rId20"/>
          <w:footerReference w:type="default" r:id="rId21"/>
          <w:headerReference w:type="first" r:id="rId22"/>
          <w:footerReference w:type="first" r:id="rId23"/>
          <w:pgSz w:w="12240" w:h="15840"/>
          <w:pgMar w:top="840" w:right="1000" w:bottom="840" w:left="1000" w:header="400" w:footer="400" w:gutter="0"/>
          <w:cols w:space="720"/>
          <w:titlePg/>
        </w:sectPr>
      </w:pPr>
    </w:p>
    <w:p w:rsidR="00022B47" w:rsidRDefault="00022B47">
      <w:pPr>
        <w:pStyle w:val="Normal2"/>
      </w:pPr>
    </w:p>
    <w:p w:rsidR="00022B47" w:rsidRDefault="00000000">
      <w:pPr>
        <w:pStyle w:val="Heading11"/>
        <w:keepNext w:val="0"/>
        <w:widowControl w:val="0"/>
        <w:spacing w:after="200" w:line="340" w:lineRule="atLeast"/>
        <w:jc w:val="center"/>
      </w:pPr>
      <w:r>
        <w:rPr>
          <w:rFonts w:eastAsia="Arial"/>
          <w:color w:val="000000"/>
          <w:sz w:val="28"/>
        </w:rPr>
        <w:t>EEOC v. Charter Commc'ns, LLC</w:t>
      </w:r>
    </w:p>
    <w:p w:rsidR="00022B47" w:rsidRDefault="00000000">
      <w:pPr>
        <w:pStyle w:val="Normal2"/>
        <w:widowControl w:val="0"/>
        <w:spacing w:before="120" w:line="260" w:lineRule="atLeast"/>
        <w:jc w:val="center"/>
      </w:pPr>
      <w:r>
        <w:rPr>
          <w:rFonts w:ascii="Arial" w:eastAsia="Arial" w:hAnsi="Arial" w:cs="Arial"/>
          <w:color w:val="000000"/>
          <w:sz w:val="20"/>
        </w:rPr>
        <w:t>United States Court of Appeals for the Seventh Circuit</w:t>
      </w:r>
    </w:p>
    <w:p w:rsidR="00022B47" w:rsidRDefault="00000000">
      <w:pPr>
        <w:pStyle w:val="Normal2"/>
        <w:widowControl w:val="0"/>
        <w:spacing w:before="120" w:line="260" w:lineRule="atLeast"/>
        <w:jc w:val="center"/>
      </w:pPr>
      <w:r>
        <w:rPr>
          <w:rFonts w:ascii="Arial" w:eastAsia="Arial" w:hAnsi="Arial" w:cs="Arial"/>
          <w:color w:val="000000"/>
          <w:sz w:val="20"/>
        </w:rPr>
        <w:t>September 22, 2022, Argued; July 28, 2023, Decided</w:t>
      </w:r>
    </w:p>
    <w:p w:rsidR="00022B47" w:rsidRDefault="00000000">
      <w:pPr>
        <w:pStyle w:val="Normal2"/>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22-1231</w:t>
      </w:r>
    </w:p>
    <w:p w:rsidR="00022B47" w:rsidRDefault="00022B47">
      <w:pPr>
        <w:pStyle w:val="Normal2"/>
        <w:widowControl w:val="0"/>
        <w:spacing w:line="240" w:lineRule="atLeast"/>
        <w:jc w:val="both"/>
      </w:pPr>
      <w:bookmarkStart w:id="225" w:name="Bookmark_3"/>
      <w:bookmarkEnd w:id="225"/>
    </w:p>
    <w:p w:rsidR="00022B47" w:rsidRDefault="00000000">
      <w:pPr>
        <w:pStyle w:val="Normal2"/>
        <w:widowControl w:val="0"/>
        <w:spacing w:before="200" w:line="240" w:lineRule="atLeast"/>
      </w:pPr>
      <w:bookmarkStart w:id="226" w:name="Reporter_1"/>
      <w:bookmarkEnd w:id="226"/>
      <w:r>
        <w:rPr>
          <w:rFonts w:ascii="Arial" w:eastAsia="Arial" w:hAnsi="Arial" w:cs="Arial"/>
          <w:b/>
          <w:color w:val="000000"/>
          <w:sz w:val="18"/>
        </w:rPr>
        <w:t>Reporter</w:t>
      </w:r>
    </w:p>
    <w:p w:rsidR="00022B47" w:rsidRDefault="00000000">
      <w:pPr>
        <w:pStyle w:val="Normal2"/>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2023 U.S. App. LEXIS 19528 *; 75 F.4th 729</w:t>
      </w:r>
    </w:p>
    <w:p w:rsidR="00022B47" w:rsidRDefault="00000000">
      <w:pPr>
        <w:pStyle w:val="Normal2"/>
        <w:widowControl w:val="0"/>
        <w:spacing w:before="120" w:line="260" w:lineRule="atLeast"/>
      </w:pPr>
      <w:r>
        <w:rPr>
          <w:rFonts w:ascii="Arial" w:eastAsia="Arial" w:hAnsi="Arial" w:cs="Arial"/>
          <w:color w:val="000000"/>
          <w:sz w:val="20"/>
        </w:rPr>
        <w:t>EQUAL EMPLOYMENT OPPORTUNITY COMMISSION, Plaintiff-Appellant, v. CHARTER COMMUNICATIONS, LLC, Defendant-Appellee.</w:t>
      </w:r>
    </w:p>
    <w:p w:rsidR="00022B47" w:rsidRDefault="00000000">
      <w:pPr>
        <w:pStyle w:val="Normal2"/>
        <w:widowControl w:val="0"/>
        <w:spacing w:before="240" w:line="260" w:lineRule="atLeast"/>
        <w:jc w:val="both"/>
      </w:pPr>
      <w:bookmarkStart w:id="227" w:name="Prior_History_1"/>
      <w:bookmarkEnd w:id="227"/>
      <w:r>
        <w:rPr>
          <w:rFonts w:ascii="Arial" w:eastAsia="Arial" w:hAnsi="Arial" w:cs="Arial"/>
          <w:b/>
          <w:color w:val="000000"/>
          <w:sz w:val="20"/>
        </w:rPr>
        <w:t>Prior History:</w:t>
      </w:r>
      <w:r>
        <w:rPr>
          <w:rFonts w:ascii="Arial" w:eastAsia="Arial" w:hAnsi="Arial" w:cs="Arial"/>
          <w:color w:val="000000"/>
          <w:sz w:val="20"/>
        </w:rPr>
        <w:t> </w:t>
      </w:r>
      <w:bookmarkStart w:id="228" w:name="Bookmark_para_1_1"/>
      <w:bookmarkEnd w:id="228"/>
      <w:r>
        <w:rPr>
          <w:rFonts w:ascii="Arial" w:eastAsia="Arial" w:hAnsi="Arial" w:cs="Arial"/>
          <w:color w:val="000000"/>
          <w:sz w:val="20"/>
        </w:rPr>
        <w:t> [*1] Appeal from the United States District Court for the Eastern District of Wisconsin. No. 2:18-cv-01333-BHL — Brett H. Ludwig, Judge.</w:t>
      </w:r>
    </w:p>
    <w:p w:rsidR="00022B47" w:rsidRDefault="00000000">
      <w:pPr>
        <w:pStyle w:val="Normal2"/>
        <w:widowControl w:val="0"/>
        <w:spacing w:before="120" w:line="260" w:lineRule="atLeast"/>
      </w:pPr>
      <w:r>
        <w:rPr>
          <w:rFonts w:ascii="Arial" w:eastAsia="Arial" w:hAnsi="Arial" w:cs="Arial"/>
          <w:color w:val="000000"/>
          <w:sz w:val="20"/>
        </w:rPr>
        <w:t>EEOC v. Charter Communs. LLC, 2021 U.S. Dist. LEXIS 241026, 2021 WL 5988637 (E.D. Wis., Dec. 17, 2021)</w:t>
      </w:r>
    </w:p>
    <w:p w:rsidR="00022B47" w:rsidRDefault="00000000">
      <w:pPr>
        <w:pStyle w:val="Normal2"/>
        <w:widowControl w:val="0"/>
        <w:spacing w:before="240" w:line="260" w:lineRule="atLeast"/>
      </w:pPr>
      <w:bookmarkStart w:id="229" w:name="Counsel_1"/>
      <w:bookmarkEnd w:id="229"/>
      <w:r>
        <w:rPr>
          <w:rFonts w:ascii="Arial" w:eastAsia="Arial" w:hAnsi="Arial" w:cs="Arial"/>
          <w:b/>
          <w:color w:val="000000"/>
          <w:sz w:val="20"/>
        </w:rPr>
        <w:t>Counsel:</w:t>
      </w:r>
      <w:r>
        <w:rPr>
          <w:rFonts w:ascii="Arial" w:eastAsia="Arial" w:hAnsi="Arial" w:cs="Arial"/>
          <w:color w:val="000000"/>
          <w:sz w:val="20"/>
        </w:rPr>
        <w:t> For EQUAL EMPLOYMENT OPPORTUNITY COMMISSION, Plaintiff - Appellant: Chelsea Sharon, Attorney, EQUAL EMPLOYMENT OPPORTUNITY COMMISSION, Washington, DC.</w:t>
      </w:r>
    </w:p>
    <w:p w:rsidR="00022B47" w:rsidRDefault="00000000">
      <w:pPr>
        <w:pStyle w:val="Normal2"/>
        <w:widowControl w:val="0"/>
        <w:spacing w:before="120" w:line="260" w:lineRule="atLeast"/>
      </w:pPr>
      <w:r>
        <w:rPr>
          <w:rFonts w:ascii="Arial" w:eastAsia="Arial" w:hAnsi="Arial" w:cs="Arial"/>
          <w:color w:val="000000"/>
          <w:sz w:val="20"/>
        </w:rPr>
        <w:t>For CHARTER COMMUNICATIONS, LLC, Defendant - Appellee: Sari M. Alamuddin, Attorney, James Looby, Attorney, MORGAN, LEWIS &amp; BOCKIUS LLP, Chicago, IL; William R. Peterson, Attorney, MORGAN LEWIS, Houston, TX.</w:t>
      </w:r>
    </w:p>
    <w:p w:rsidR="00022B47" w:rsidRDefault="00000000">
      <w:pPr>
        <w:pStyle w:val="Normal2"/>
        <w:widowControl w:val="0"/>
        <w:spacing w:before="240" w:line="260" w:lineRule="atLeast"/>
      </w:pPr>
      <w:bookmarkStart w:id="230" w:name="Judges_1"/>
      <w:bookmarkEnd w:id="230"/>
      <w:r>
        <w:rPr>
          <w:rFonts w:ascii="Arial" w:eastAsia="Arial" w:hAnsi="Arial" w:cs="Arial"/>
          <w:b/>
          <w:color w:val="000000"/>
          <w:sz w:val="20"/>
        </w:rPr>
        <w:t>Judges:</w:t>
      </w:r>
      <w:r>
        <w:rPr>
          <w:rFonts w:ascii="Arial" w:eastAsia="Arial" w:hAnsi="Arial" w:cs="Arial"/>
          <w:color w:val="000000"/>
          <w:sz w:val="20"/>
        </w:rPr>
        <w:t> Before WOOD, HAMILTON, and ST. EVE, Circuit Judges.</w:t>
      </w:r>
    </w:p>
    <w:p w:rsidR="00022B47" w:rsidRDefault="00000000">
      <w:pPr>
        <w:pStyle w:val="Normal2"/>
        <w:widowControl w:val="0"/>
        <w:spacing w:before="240" w:line="260" w:lineRule="atLeast"/>
      </w:pPr>
      <w:bookmarkStart w:id="231" w:name="Opinion_by_0"/>
      <w:bookmarkEnd w:id="231"/>
      <w:r>
        <w:rPr>
          <w:rFonts w:ascii="Arial" w:eastAsia="Arial" w:hAnsi="Arial" w:cs="Arial"/>
          <w:b/>
          <w:color w:val="000000"/>
          <w:sz w:val="20"/>
        </w:rPr>
        <w:t>Opinion by:</w:t>
      </w:r>
      <w:r>
        <w:rPr>
          <w:rFonts w:ascii="Arial" w:eastAsia="Arial" w:hAnsi="Arial" w:cs="Arial"/>
          <w:color w:val="000000"/>
          <w:sz w:val="20"/>
        </w:rPr>
        <w:t> HAMILTON</w:t>
      </w:r>
    </w:p>
    <w:p w:rsidR="00022B47" w:rsidRDefault="00000000">
      <w:pPr>
        <w:pStyle w:val="Normal2"/>
        <w:keepNext/>
        <w:widowControl w:val="0"/>
        <w:spacing w:before="240" w:line="340" w:lineRule="atLeast"/>
      </w:pPr>
      <w:bookmarkStart w:id="232" w:name="Opinion_1"/>
      <w:bookmarkEnd w:id="232"/>
      <w:r>
        <w:rPr>
          <w:rFonts w:ascii="Arial" w:eastAsia="Arial" w:hAnsi="Arial" w:cs="Arial"/>
          <w:b/>
          <w:color w:val="000000"/>
          <w:sz w:val="28"/>
        </w:rPr>
        <w:t>Opinion</w:t>
      </w:r>
    </w:p>
    <w:p w:rsidR="00022B47" w:rsidRDefault="0025213E">
      <w:pPr>
        <w:pStyle w:val="Normal2"/>
        <w:spacing w:line="60" w:lineRule="exact"/>
      </w:pPr>
      <w:r>
        <w:rPr>
          <w:noProof/>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79898089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65C60A" id="Line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2"/>
      </w:pPr>
    </w:p>
    <w:p w:rsidR="00022B47" w:rsidRDefault="00000000">
      <w:pPr>
        <w:pStyle w:val="Normal2"/>
        <w:widowControl w:val="0"/>
        <w:spacing w:before="200" w:line="260" w:lineRule="atLeast"/>
        <w:jc w:val="both"/>
      </w:pPr>
      <w:bookmarkStart w:id="233" w:name="Bookmark_para_2_1"/>
      <w:bookmarkEnd w:id="233"/>
      <w:r>
        <w:rPr>
          <w:rFonts w:ascii="Arial" w:eastAsia="Arial" w:hAnsi="Arial" w:cs="Arial"/>
          <w:color w:val="000000"/>
          <w:sz w:val="20"/>
        </w:rPr>
        <w:t xml:space="preserve">Hamilton, </w:t>
      </w:r>
      <w:r>
        <w:rPr>
          <w:rFonts w:ascii="Arial" w:eastAsia="Arial" w:hAnsi="Arial" w:cs="Arial"/>
          <w:i/>
          <w:color w:val="000000"/>
          <w:sz w:val="20"/>
        </w:rPr>
        <w:t>Circuit Judge</w:t>
      </w:r>
      <w:r>
        <w:rPr>
          <w:rFonts w:ascii="Arial" w:eastAsia="Arial" w:hAnsi="Arial" w:cs="Arial"/>
          <w:color w:val="000000"/>
          <w:sz w:val="20"/>
        </w:rPr>
        <w:t>. In this case we apply the Americans with Disabilities Act to an employee whose disability made it difficult to commute safely to his workplace. The main question is whether the employee was entitled to a modified work schedule as an accommodation to make his commute safer. We conclude that the answer is "maybe" and that the case should not have been resolved on summary judgment.</w:t>
      </w:r>
    </w:p>
    <w:p w:rsidR="00022B47" w:rsidRDefault="00000000">
      <w:pPr>
        <w:pStyle w:val="Normal2"/>
        <w:widowControl w:val="0"/>
        <w:spacing w:before="200" w:line="260" w:lineRule="atLeast"/>
        <w:jc w:val="both"/>
      </w:pPr>
      <w:bookmarkStart w:id="234" w:name="Bookmark_para_3_1"/>
      <w:bookmarkEnd w:id="234"/>
      <w:r>
        <w:rPr>
          <w:rFonts w:ascii="Arial" w:eastAsia="Arial" w:hAnsi="Arial" w:cs="Arial"/>
          <w:color w:val="000000"/>
          <w:sz w:val="20"/>
        </w:rPr>
        <w:t xml:space="preserve">To summarize, James Kimmons worked in a call center for defendant Charter Communications. Cataracts in both eyes made his vision blurry and made seeing in the dark difficult, and thus made nighttime driving unsafe. Public transit was not an option on his schedule. </w:t>
      </w:r>
      <w:bookmarkStart w:id="235" w:name="Bookmark_I68VKRDP2D6NBP0020000400"/>
      <w:bookmarkEnd w:id="235"/>
      <w:r>
        <w:rPr>
          <w:rFonts w:ascii="Arial" w:eastAsia="Arial" w:hAnsi="Arial" w:cs="Arial"/>
          <w:color w:val="000000"/>
          <w:sz w:val="20"/>
        </w:rPr>
        <w:t xml:space="preserve">Kimmons asked for [*2]  an earlier work schedule to reduce his nighttime driving for his long drive home from work. Charter granted his first request for a thirty-day change but denied his request to extend the schedule. Alleging that Charter unlawfully failed to accommodate Kimmons' disability, the Equal Employment Opportunity Commission filed this suit. The district court granted summary judgment to Charter, holding that the employer had no obligation to accommodate Kimmons' commute because his disability did not affect his ability to perform any essential function of his job once he arrived at the workplace. </w:t>
      </w:r>
      <w:bookmarkStart w:id="236" w:name="Bookmark_I68VKRDP2D6NBP0010000400"/>
      <w:bookmarkEnd w:id="236"/>
      <w:r>
        <w:rPr>
          <w:rFonts w:ascii="Arial" w:eastAsia="Arial" w:hAnsi="Arial" w:cs="Arial"/>
          <w:i/>
          <w:color w:val="000000"/>
          <w:sz w:val="20"/>
        </w:rPr>
        <w:t>EEOC v. Charter Commc'ns LLC</w:t>
      </w:r>
      <w:r>
        <w:rPr>
          <w:rFonts w:ascii="Arial" w:eastAsia="Arial" w:hAnsi="Arial" w:cs="Arial"/>
          <w:color w:val="000000"/>
          <w:sz w:val="20"/>
        </w:rPr>
        <w:t>, No. 18-cv-1333-bhl, 2021 U.S. Dist. LEXIS 241026, 2021 WL 5988637 (E.D. Wis. Dec. 17, 2021).</w:t>
      </w:r>
    </w:p>
    <w:p w:rsidR="00022B47" w:rsidRDefault="00000000">
      <w:pPr>
        <w:pStyle w:val="Normal2"/>
        <w:widowControl w:val="0"/>
        <w:spacing w:before="200" w:line="260" w:lineRule="atLeast"/>
        <w:jc w:val="both"/>
      </w:pPr>
      <w:bookmarkStart w:id="237" w:name="Bookmark_para_4_1"/>
      <w:bookmarkStart w:id="238" w:name="Bookmark_I68VKRDP2D6NBP0040000400"/>
      <w:bookmarkEnd w:id="237"/>
      <w:bookmarkEnd w:id="238"/>
      <w:r>
        <w:rPr>
          <w:rFonts w:ascii="Arial" w:eastAsia="Arial" w:hAnsi="Arial" w:cs="Arial"/>
          <w:color w:val="000000"/>
          <w:sz w:val="20"/>
        </w:rPr>
        <w:t xml:space="preserve">The broad question here is whether an employee with a disability can be entitled to a work-schedule accommodation to allow him to commute more safely. Different circuits have articulated different approaches, though as we explain below, we do not disagree with the results they have reached. Compare </w:t>
      </w:r>
      <w:bookmarkStart w:id="239" w:name="Bookmark_I68VKRDP2D6NBP0030000400"/>
      <w:bookmarkEnd w:id="239"/>
      <w:r>
        <w:rPr>
          <w:rFonts w:ascii="Arial" w:eastAsia="Arial" w:hAnsi="Arial" w:cs="Arial"/>
          <w:i/>
          <w:color w:val="000000"/>
          <w:sz w:val="20"/>
        </w:rPr>
        <w:t>Colwell v. Rite Aid Corp.</w:t>
      </w:r>
      <w:r>
        <w:rPr>
          <w:rFonts w:ascii="Arial" w:eastAsia="Arial" w:hAnsi="Arial" w:cs="Arial"/>
          <w:color w:val="000000"/>
          <w:sz w:val="20"/>
        </w:rPr>
        <w:t xml:space="preserve">, 602 F.3d 495, 504 (3d Cir. 2010) (reversing summary judgment for employer; employee's vision problems made driving at night dangerous, and ADA could require schedule change to accommodate disability), and </w:t>
      </w:r>
      <w:bookmarkStart w:id="240" w:name="Bookmark_I68VKRDP2D6NBP0050000400"/>
      <w:bookmarkEnd w:id="240"/>
      <w:r>
        <w:rPr>
          <w:rFonts w:ascii="Arial" w:eastAsia="Arial" w:hAnsi="Arial" w:cs="Arial"/>
          <w:i/>
          <w:color w:val="000000"/>
          <w:sz w:val="20"/>
        </w:rPr>
        <w:t>Lyons v. Legal Aid Society</w:t>
      </w:r>
      <w:r>
        <w:rPr>
          <w:rFonts w:ascii="Arial" w:eastAsia="Arial" w:hAnsi="Arial" w:cs="Arial"/>
          <w:color w:val="000000"/>
          <w:sz w:val="20"/>
        </w:rPr>
        <w:t xml:space="preserve">, 68 F.3d 1512, 1516-17 (2d Cir. 1995) (reversing dismissal on pleadings; employee's difficulty in walking could require accommodation in the form of parking space near [*3]  work), with </w:t>
      </w:r>
      <w:bookmarkStart w:id="241" w:name="Bookmark_I68VKRDS2D6NBW0020000400"/>
      <w:bookmarkEnd w:id="241"/>
      <w:r>
        <w:rPr>
          <w:rFonts w:ascii="Arial" w:eastAsia="Arial" w:hAnsi="Arial" w:cs="Arial"/>
          <w:i/>
          <w:color w:val="000000"/>
          <w:sz w:val="20"/>
        </w:rPr>
        <w:t>Unrein v. PHC-Fort Morgan, Inc.</w:t>
      </w:r>
      <w:r>
        <w:rPr>
          <w:rFonts w:ascii="Arial" w:eastAsia="Arial" w:hAnsi="Arial" w:cs="Arial"/>
          <w:color w:val="000000"/>
          <w:sz w:val="20"/>
        </w:rPr>
        <w:t xml:space="preserve">, 993 F.3d 873, 878-79 (10th Cir. 2021) (affirming judgment for employer; where employee became legally blind and had long commute, ADA did not require employer to allow unpredictably flexible schedule depending on employee's ability to obtain rides), and </w:t>
      </w:r>
      <w:bookmarkStart w:id="242" w:name="Bookmark_I68VKRDS2D6NBW0040000400"/>
      <w:bookmarkEnd w:id="242"/>
      <w:r>
        <w:rPr>
          <w:rFonts w:ascii="Arial" w:eastAsia="Arial" w:hAnsi="Arial" w:cs="Arial"/>
          <w:i/>
          <w:color w:val="000000"/>
          <w:sz w:val="20"/>
        </w:rPr>
        <w:t>Regan v. Faurecia Automotive Seating, Inc.</w:t>
      </w:r>
      <w:r>
        <w:rPr>
          <w:rFonts w:ascii="Arial" w:eastAsia="Arial" w:hAnsi="Arial" w:cs="Arial"/>
          <w:color w:val="000000"/>
          <w:sz w:val="20"/>
        </w:rPr>
        <w:t>, 679 F.3d 475, 479-80 (6th Cir. 2012) (affirming summary judgment for employer; employee's narcolepsy affecting safety of long commute posed problem outside work environment, so ADA did not require accommodation).</w:t>
      </w:r>
    </w:p>
    <w:p w:rsidR="00022B47" w:rsidRDefault="00000000">
      <w:pPr>
        <w:pStyle w:val="Normal2"/>
        <w:widowControl w:val="0"/>
        <w:spacing w:before="200" w:line="260" w:lineRule="atLeast"/>
        <w:jc w:val="both"/>
      </w:pPr>
      <w:bookmarkStart w:id="243" w:name="Bookmark_para_5_1"/>
      <w:bookmarkStart w:id="244" w:name="Bookmark_LNHNREFclscc1_0"/>
      <w:bookmarkEnd w:id="243"/>
      <w:bookmarkEnd w:id="244"/>
      <w:r>
        <w:rPr>
          <w:rFonts w:ascii="Arial" w:eastAsia="Arial" w:hAnsi="Arial" w:cs="Arial"/>
          <w:color w:val="000000"/>
          <w:sz w:val="20"/>
        </w:rPr>
        <w:t xml:space="preserve">Based on the ADA's language, its history, and our circuit's precedents, and taking guidance from other circuits, we decline to adopt a bright-line rule to the effect that an employer never has a duty of reasonable accommodation under the ADA regarding how its employees with disabilities get to work. We have no doubt that getting to and from work is in most cases the responsibility of an employee, not the employer. But if a qualified employee's disability interferes with his ability to get to work, the employee </w:t>
      </w:r>
      <w:r>
        <w:rPr>
          <w:rFonts w:ascii="Arial" w:eastAsia="Arial" w:hAnsi="Arial" w:cs="Arial"/>
          <w:i/>
          <w:color w:val="000000"/>
          <w:sz w:val="20"/>
        </w:rPr>
        <w:t>may</w:t>
      </w:r>
      <w:r>
        <w:rPr>
          <w:rFonts w:ascii="Arial" w:eastAsia="Arial" w:hAnsi="Arial" w:cs="Arial"/>
          <w:color w:val="000000"/>
          <w:sz w:val="20"/>
        </w:rPr>
        <w:t xml:space="preserve"> be entitled to a work-schedule accommodation if commuting to work is a prerequisite to an essential job function, such as attendance in the workplace, and if the accommodation is reasonable under all the circumstances. The requested accommodation here, a second thirty-day change [*4]  to the employee's work schedule, was not, at least as a matter of law, unreasonable given Kimmons' circumstances and his job with this particular employer. His vision impairment interfered with commuting to work safely, and attendance was an essential function of his job. There is also a genuine dispute of material fact as to whether Kimmons was actually disabled.</w:t>
      </w:r>
    </w:p>
    <w:p w:rsidR="00022B47" w:rsidRDefault="00000000">
      <w:pPr>
        <w:pStyle w:val="Normal2"/>
        <w:widowControl w:val="0"/>
        <w:spacing w:before="200" w:line="260" w:lineRule="atLeast"/>
        <w:jc w:val="both"/>
      </w:pPr>
      <w:bookmarkStart w:id="245" w:name="Bookmark_para_6_1"/>
      <w:bookmarkEnd w:id="245"/>
      <w:r>
        <w:rPr>
          <w:rFonts w:ascii="Arial" w:eastAsia="Arial" w:hAnsi="Arial" w:cs="Arial"/>
          <w:color w:val="000000"/>
          <w:sz w:val="20"/>
        </w:rPr>
        <w:t>Before going further, we must note that the parties, the district court, and we have approached this case as one in which Kimmons' physical presence at the workplace was an essential function of the job. During the Covid-19 pandemic, of course, many employers and tens of millions of employees found ways to accomplish work without having many employees physically present at the workplace. We do not address here issues about whether and when physical presence is an essential job function.</w:t>
      </w:r>
    </w:p>
    <w:p w:rsidR="00022B47" w:rsidRDefault="00000000">
      <w:pPr>
        <w:pStyle w:val="Normal2"/>
        <w:widowControl w:val="0"/>
        <w:spacing w:before="120" w:line="260" w:lineRule="atLeast"/>
      </w:pPr>
      <w:r>
        <w:rPr>
          <w:rFonts w:ascii="Arial" w:eastAsia="Arial" w:hAnsi="Arial" w:cs="Arial"/>
          <w:color w:val="000000"/>
          <w:sz w:val="20"/>
        </w:rPr>
        <w:t xml:space="preserve">I. </w:t>
      </w:r>
      <w:r>
        <w:rPr>
          <w:rFonts w:ascii="Arial" w:eastAsia="Arial" w:hAnsi="Arial" w:cs="Arial"/>
          <w:i/>
          <w:color w:val="000000"/>
          <w:sz w:val="20"/>
        </w:rPr>
        <w:t>Factual and Procedural Background</w:t>
      </w:r>
    </w:p>
    <w:p w:rsidR="00022B47" w:rsidRDefault="00000000">
      <w:pPr>
        <w:pStyle w:val="Normal2"/>
        <w:widowControl w:val="0"/>
        <w:spacing w:before="200" w:line="260" w:lineRule="atLeast"/>
        <w:jc w:val="both"/>
      </w:pPr>
      <w:bookmarkStart w:id="246" w:name="Bookmark_para_7_1"/>
      <w:bookmarkStart w:id="247" w:name="Bookmark_LNHNREFclscc2_0"/>
      <w:bookmarkStart w:id="248" w:name="Bookmark_I68VKRDS2SF7RH0020000400"/>
      <w:bookmarkEnd w:id="246"/>
      <w:bookmarkEnd w:id="247"/>
      <w:bookmarkEnd w:id="248"/>
      <w:r>
        <w:rPr>
          <w:rFonts w:ascii="Arial" w:eastAsia="Arial" w:hAnsi="Arial" w:cs="Arial"/>
          <w:color w:val="000000"/>
          <w:sz w:val="20"/>
        </w:rPr>
        <w:t xml:space="preserve">We review the district court's summary judgment decision de novo, viewing all evidence and drawing all reasonable inferences in the non-moving party's favor. </w:t>
      </w:r>
      <w:bookmarkStart w:id="249" w:name="Bookmark_I68VKRDS2SF7RH0010000400"/>
      <w:bookmarkEnd w:id="249"/>
      <w:r>
        <w:rPr>
          <w:rFonts w:ascii="Arial" w:eastAsia="Arial" w:hAnsi="Arial" w:cs="Arial"/>
          <w:i/>
          <w:color w:val="000000"/>
          <w:sz w:val="20"/>
        </w:rPr>
        <w:t>EEOC v. Sears, Roebuck &amp; Co.</w:t>
      </w:r>
      <w:r>
        <w:rPr>
          <w:rFonts w:ascii="Arial" w:eastAsia="Arial" w:hAnsi="Arial" w:cs="Arial"/>
          <w:color w:val="000000"/>
          <w:sz w:val="20"/>
        </w:rPr>
        <w:t>, 417 F.3d 789, 796 (7th Cir. 2005) (</w:t>
      </w:r>
      <w:r>
        <w:rPr>
          <w:rFonts w:ascii="Arial" w:eastAsia="Arial" w:hAnsi="Arial" w:cs="Arial"/>
          <w:i/>
          <w:color w:val="000000"/>
          <w:sz w:val="20"/>
        </w:rPr>
        <w:t>Sears II</w:t>
      </w:r>
      <w:r>
        <w:rPr>
          <w:rFonts w:ascii="Arial" w:eastAsia="Arial" w:hAnsi="Arial" w:cs="Arial"/>
          <w:color w:val="000000"/>
          <w:sz w:val="20"/>
        </w:rPr>
        <w:t>). We may affirm summary judgment only if the record shows "no genuine dispute as to any material fact and the movant is entitled to judgment [*5]  as a matter of law." Fed. R. Civ. P. 56(a).</w:t>
      </w:r>
    </w:p>
    <w:p w:rsidR="00022B47" w:rsidRDefault="00000000">
      <w:pPr>
        <w:pStyle w:val="Normal2"/>
        <w:widowControl w:val="0"/>
        <w:spacing w:before="120" w:line="260" w:lineRule="atLeast"/>
      </w:pPr>
      <w:r>
        <w:rPr>
          <w:rFonts w:ascii="Arial" w:eastAsia="Arial" w:hAnsi="Arial" w:cs="Arial"/>
          <w:color w:val="000000"/>
          <w:sz w:val="20"/>
        </w:rPr>
        <w:t xml:space="preserve">A. </w:t>
      </w:r>
      <w:r>
        <w:rPr>
          <w:rFonts w:ascii="Arial" w:eastAsia="Arial" w:hAnsi="Arial" w:cs="Arial"/>
          <w:i/>
          <w:color w:val="000000"/>
          <w:sz w:val="20"/>
        </w:rPr>
        <w:t>Kimmons' Vision Impairment</w:t>
      </w:r>
    </w:p>
    <w:p w:rsidR="00022B47" w:rsidRDefault="00000000">
      <w:pPr>
        <w:pStyle w:val="Normal2"/>
        <w:widowControl w:val="0"/>
        <w:spacing w:before="200" w:line="260" w:lineRule="atLeast"/>
        <w:jc w:val="both"/>
      </w:pPr>
      <w:bookmarkStart w:id="250" w:name="Bookmark_para_8_1"/>
      <w:bookmarkEnd w:id="250"/>
      <w:r>
        <w:rPr>
          <w:rFonts w:ascii="Arial" w:eastAsia="Arial" w:hAnsi="Arial" w:cs="Arial"/>
          <w:color w:val="000000"/>
          <w:sz w:val="20"/>
        </w:rPr>
        <w:t>James Kimmons was diagnosed in 2016 with early cataracts in the center of his vision that might qualify for surgery. Although Kimmons' cataracts were rated as mild, even mild cataracts at the center of a person's vision can cause problems. In low-light conditions, traffic lights glare, and road objects blur. An optometrist recommended that even if he wore glasses, Kimmons ought to avoid driving at night.</w:t>
      </w:r>
    </w:p>
    <w:p w:rsidR="00022B47" w:rsidRDefault="00000000">
      <w:pPr>
        <w:pStyle w:val="Normal2"/>
        <w:widowControl w:val="0"/>
        <w:spacing w:before="120" w:line="260" w:lineRule="atLeast"/>
      </w:pPr>
      <w:r>
        <w:rPr>
          <w:rFonts w:ascii="Arial" w:eastAsia="Arial" w:hAnsi="Arial" w:cs="Arial"/>
          <w:color w:val="000000"/>
          <w:sz w:val="20"/>
        </w:rPr>
        <w:t xml:space="preserve">B. </w:t>
      </w:r>
      <w:r>
        <w:rPr>
          <w:rFonts w:ascii="Arial" w:eastAsia="Arial" w:hAnsi="Arial" w:cs="Arial"/>
          <w:i/>
          <w:color w:val="000000"/>
          <w:sz w:val="20"/>
        </w:rPr>
        <w:t>Kimmons' Request for an Accommodation</w:t>
      </w:r>
    </w:p>
    <w:p w:rsidR="00022B47" w:rsidRDefault="00000000">
      <w:pPr>
        <w:pStyle w:val="Normal2"/>
        <w:widowControl w:val="0"/>
        <w:spacing w:before="200" w:line="260" w:lineRule="atLeast"/>
        <w:jc w:val="both"/>
      </w:pPr>
      <w:bookmarkStart w:id="251" w:name="Bookmark_para_9_1"/>
      <w:bookmarkEnd w:id="251"/>
      <w:r>
        <w:rPr>
          <w:rFonts w:ascii="Arial" w:eastAsia="Arial" w:hAnsi="Arial" w:cs="Arial"/>
          <w:color w:val="000000"/>
          <w:sz w:val="20"/>
        </w:rPr>
        <w:t>In 2016, Kimmons lived in Racine, Wisconsin, and began working at Charter's call center in Milwaukee, a one-hour drive away. Kimmons' shift started at 12:00 PM and ended at 9:00 PM, so his commute home required nighttime driving. To reduce the hazard of driving after dark, Kimmons asked Charter to modify his work schedule in August 2016. He asked to start earlier and leave earlier. Charter granted his request, allowing him to start at 10:00 AM and end at 7:00 PM, but for only thirty days. Though not a perfect solution, the accommodation at least allowed Kimmons to be off the highway sometime before dark at that time of year.</w:t>
      </w:r>
    </w:p>
    <w:p w:rsidR="00022B47" w:rsidRDefault="00000000">
      <w:pPr>
        <w:pStyle w:val="Normal2"/>
        <w:widowControl w:val="0"/>
        <w:spacing w:before="200" w:line="260" w:lineRule="atLeast"/>
        <w:jc w:val="both"/>
      </w:pPr>
      <w:bookmarkStart w:id="252" w:name="Bookmark_para_10_1"/>
      <w:bookmarkEnd w:id="252"/>
      <w:r>
        <w:rPr>
          <w:rFonts w:ascii="Arial" w:eastAsia="Arial" w:hAnsi="Arial" w:cs="Arial"/>
          <w:color w:val="000000"/>
          <w:sz w:val="20"/>
        </w:rPr>
        <w:t>Before the thirty days ended, Kimmons asked to extend his modified schedule [*6]  for another thirty days while he tried to move closer to the workplace. Charter's internal policy permitted work-schedule changes, but Charter summarily denied this request the same day. When Kimmons appealed the company's decision, the company responded that "assistance with your commute" is "not required under the ADA. The Company has been kind enough to temporarily change your shift while you attempted to find alternative assistance for your commute, even though it had no legal obligation to do so." Charter recommended that Kimmons try public transportation or carpooling with other employees who lived near him, and "consider all of your own options to manage your transportation."</w:t>
      </w:r>
    </w:p>
    <w:p w:rsidR="00022B47" w:rsidRDefault="00000000">
      <w:pPr>
        <w:pStyle w:val="Normal2"/>
        <w:widowControl w:val="0"/>
        <w:spacing w:before="200" w:line="260" w:lineRule="atLeast"/>
        <w:jc w:val="both"/>
      </w:pPr>
      <w:bookmarkStart w:id="253" w:name="Bookmark_para_11_1"/>
      <w:bookmarkEnd w:id="253"/>
      <w:r>
        <w:rPr>
          <w:rFonts w:ascii="Arial" w:eastAsia="Arial" w:hAnsi="Arial" w:cs="Arial"/>
          <w:color w:val="000000"/>
          <w:sz w:val="20"/>
        </w:rPr>
        <w:t>Back to his later work schedule, Kimmons tried other options for commuting. He tried public transportation, but a check with the local bus system confirmed that no buses operated after 9:00 PM. He tried carpooling with other employees. But when Kimmons asked the company for names of other employees who lived near him, the company said the information was confidential. As for other options, it was clear that a taxi or ride-share service would cost more money than Charter was paying him. Kimmons alleges there [*7]  was never a time he worked in the Milwaukee call center when he drove himself to the office. Instead, through a combination of public transportation and friends, Kimmons managed to get to work, a travel arrangement that was frequently unreliable. Because Kimmons discovered he could not afford it, he ultimately did not move to Milwaukee. For unrelated reasons, Kimmons' employment with Charter ended in January 2017.</w:t>
      </w:r>
    </w:p>
    <w:p w:rsidR="00022B47" w:rsidRDefault="00000000">
      <w:pPr>
        <w:pStyle w:val="Normal2"/>
        <w:widowControl w:val="0"/>
        <w:spacing w:before="120" w:line="260" w:lineRule="atLeast"/>
      </w:pPr>
      <w:r>
        <w:rPr>
          <w:rFonts w:ascii="Arial" w:eastAsia="Arial" w:hAnsi="Arial" w:cs="Arial"/>
          <w:color w:val="000000"/>
          <w:sz w:val="20"/>
        </w:rPr>
        <w:t xml:space="preserve">C. </w:t>
      </w:r>
      <w:r>
        <w:rPr>
          <w:rFonts w:ascii="Arial" w:eastAsia="Arial" w:hAnsi="Arial" w:cs="Arial"/>
          <w:i/>
          <w:color w:val="000000"/>
          <w:sz w:val="20"/>
        </w:rPr>
        <w:t>The District Court Proceedings</w:t>
      </w:r>
    </w:p>
    <w:p w:rsidR="00022B47" w:rsidRDefault="00000000">
      <w:pPr>
        <w:pStyle w:val="Normal2"/>
        <w:widowControl w:val="0"/>
        <w:spacing w:before="200" w:line="260" w:lineRule="atLeast"/>
        <w:jc w:val="both"/>
      </w:pPr>
      <w:bookmarkStart w:id="254" w:name="Bookmark_para_12_1"/>
      <w:bookmarkEnd w:id="254"/>
      <w:r>
        <w:rPr>
          <w:rFonts w:ascii="Arial" w:eastAsia="Arial" w:hAnsi="Arial" w:cs="Arial"/>
          <w:color w:val="000000"/>
          <w:sz w:val="20"/>
        </w:rPr>
        <w:t>Kimmons filed a charge with the Equal Employment Opportunity Commission, which invited Charter to conciliate in 2018. Those efforts failed. The EEOC then filed this suit against Charter alleging that the company violated the Americans with Disabilities Act by failing to accommodate Kimmons' disability. 42 U.S.C. § 12112(b)(5). The EEOC sought damages and injunctive relief.</w:t>
      </w:r>
    </w:p>
    <w:p w:rsidR="00022B47" w:rsidRDefault="00000000">
      <w:pPr>
        <w:pStyle w:val="Normal2"/>
        <w:widowControl w:val="0"/>
        <w:spacing w:before="200" w:line="260" w:lineRule="atLeast"/>
        <w:jc w:val="both"/>
      </w:pPr>
      <w:bookmarkStart w:id="255" w:name="Bookmark_para_13_1"/>
      <w:bookmarkStart w:id="256" w:name="Bookmark_I68VKRDS2SF7RH0040000400"/>
      <w:bookmarkEnd w:id="255"/>
      <w:bookmarkEnd w:id="256"/>
      <w:r>
        <w:rPr>
          <w:rFonts w:ascii="Arial" w:eastAsia="Arial" w:hAnsi="Arial" w:cs="Arial"/>
          <w:color w:val="000000"/>
          <w:sz w:val="20"/>
        </w:rPr>
        <w:t xml:space="preserve">Charter moved for summary judgment, which the district court granted. The court read our decision in </w:t>
      </w:r>
      <w:bookmarkStart w:id="257" w:name="Bookmark_I68VKRDS2SF7RH0030000400"/>
      <w:bookmarkEnd w:id="257"/>
      <w:r>
        <w:rPr>
          <w:rFonts w:ascii="Arial" w:eastAsia="Arial" w:hAnsi="Arial" w:cs="Arial"/>
          <w:i/>
          <w:color w:val="000000"/>
          <w:sz w:val="20"/>
        </w:rPr>
        <w:t>Brumfield v. City of Chicago</w:t>
      </w:r>
      <w:r>
        <w:rPr>
          <w:rFonts w:ascii="Arial" w:eastAsia="Arial" w:hAnsi="Arial" w:cs="Arial"/>
          <w:color w:val="000000"/>
          <w:sz w:val="20"/>
        </w:rPr>
        <w:t xml:space="preserve">, 735 F.3d 619, 631-32 (7th Cir. 2013), as foreclosing Kimmons' request for a work-schedule accommodation because he did not need any accommodation to perform an essential job function once he arrived at work. </w:t>
      </w:r>
      <w:bookmarkStart w:id="258" w:name="Bookmark_I68VKRDS2SF7RH0050000400"/>
      <w:bookmarkEnd w:id="258"/>
      <w:r>
        <w:rPr>
          <w:rFonts w:ascii="Arial" w:eastAsia="Arial" w:hAnsi="Arial" w:cs="Arial"/>
          <w:i/>
          <w:color w:val="000000"/>
          <w:sz w:val="20"/>
        </w:rPr>
        <w:t>EEOC v. Charter Commc'ns</w:t>
      </w:r>
      <w:r>
        <w:rPr>
          <w:rFonts w:ascii="Arial" w:eastAsia="Arial" w:hAnsi="Arial" w:cs="Arial"/>
          <w:color w:val="000000"/>
          <w:sz w:val="20"/>
        </w:rPr>
        <w:t>, 2021 U.S. Dist. LEXIS 241026, 2021 WL 5988637, at *4.</w:t>
      </w:r>
    </w:p>
    <w:p w:rsidR="00022B47" w:rsidRDefault="00000000">
      <w:pPr>
        <w:pStyle w:val="Normal2"/>
        <w:widowControl w:val="0"/>
        <w:spacing w:before="120" w:line="260" w:lineRule="atLeast"/>
      </w:pPr>
      <w:r>
        <w:rPr>
          <w:rFonts w:ascii="Arial" w:eastAsia="Arial" w:hAnsi="Arial" w:cs="Arial"/>
          <w:color w:val="000000"/>
          <w:sz w:val="20"/>
        </w:rPr>
        <w:t xml:space="preserve">II. </w:t>
      </w:r>
      <w:r>
        <w:rPr>
          <w:rFonts w:ascii="Arial" w:eastAsia="Arial" w:hAnsi="Arial" w:cs="Arial"/>
          <w:i/>
          <w:color w:val="000000"/>
          <w:sz w:val="20"/>
        </w:rPr>
        <w:t>Whether Kimmons Had a Disability</w:t>
      </w:r>
    </w:p>
    <w:p w:rsidR="00022B47" w:rsidRDefault="00000000">
      <w:pPr>
        <w:pStyle w:val="Normal2"/>
        <w:widowControl w:val="0"/>
        <w:spacing w:before="200" w:line="260" w:lineRule="atLeast"/>
        <w:jc w:val="both"/>
      </w:pPr>
      <w:bookmarkStart w:id="259" w:name="Bookmark_para_14_1"/>
      <w:bookmarkStart w:id="260" w:name="Bookmark_I68VKRDS28T3WN0030000400"/>
      <w:bookmarkEnd w:id="259"/>
      <w:bookmarkEnd w:id="260"/>
      <w:r>
        <w:rPr>
          <w:rFonts w:ascii="Arial" w:eastAsia="Arial" w:hAnsi="Arial" w:cs="Arial"/>
          <w:color w:val="000000"/>
          <w:sz w:val="20"/>
        </w:rPr>
        <w:t xml:space="preserve">The parties dispute whether Kimmons had a disability within the meaning of the ADA. The district court assumed that he [*8]  did, </w:t>
      </w:r>
      <w:bookmarkStart w:id="261" w:name="Bookmark_I68VKRDS28T3WN0020000400"/>
      <w:bookmarkEnd w:id="261"/>
      <w:r>
        <w:rPr>
          <w:rFonts w:ascii="Arial" w:eastAsia="Arial" w:hAnsi="Arial" w:cs="Arial"/>
          <w:i/>
          <w:color w:val="000000"/>
          <w:sz w:val="20"/>
        </w:rPr>
        <w:t>EEOC v. Charter Commc'ns</w:t>
      </w:r>
      <w:r>
        <w:rPr>
          <w:rFonts w:ascii="Arial" w:eastAsia="Arial" w:hAnsi="Arial" w:cs="Arial"/>
          <w:color w:val="000000"/>
          <w:sz w:val="20"/>
        </w:rPr>
        <w:t xml:space="preserve">, 2021 U.S. Dist. LEXIS 241026, 2021 WL 5988637, at *3, and based on the evidence and the standard for a motion for summary judgment, we do the same. </w:t>
      </w:r>
      <w:bookmarkStart w:id="262" w:name="Bookmark_LNHNREFclscc3_0"/>
      <w:bookmarkEnd w:id="262"/>
      <w:r>
        <w:rPr>
          <w:rFonts w:ascii="Arial" w:eastAsia="Arial" w:hAnsi="Arial" w:cs="Arial"/>
          <w:color w:val="000000"/>
          <w:sz w:val="20"/>
        </w:rPr>
        <w:t xml:space="preserve">A "disability" under the ADA includes "a physical or mental impairment that substantially limits one or more of the major life activities of such individual." 42 U.S.C. § 12102(1). The definition of "substantially limits" was broadened by the ADA Amendments Act of 2008. Under those amendments, "substantially limits" is to be interpreted consistently with the findings and purposes of the 2008 amendments, 42 U.S.C. § 12102(4)(B), which are set forth in Sections 2 and 3 of the ADA Amendments Act of 2008, Pub. L. No. 110-325, 122 Stat. 3553 (2008). </w:t>
      </w:r>
      <w:bookmarkStart w:id="263" w:name="Bookmark_I68VKRDS28T3WN0050000400"/>
      <w:bookmarkEnd w:id="263"/>
      <w:r>
        <w:rPr>
          <w:rFonts w:ascii="Arial" w:eastAsia="Arial" w:hAnsi="Arial" w:cs="Arial"/>
          <w:color w:val="000000"/>
          <w:sz w:val="20"/>
        </w:rPr>
        <w:t xml:space="preserve">Those amendments' findings and purposes expressly reject case law previously holding that for an impairment to be substantially limiting, it must "prevent[ ] or severely restrict[ ] the individual from doing activities that are of central importance to most people's daily lives." ADA Amendments Act of 2008 § 2(b)(4). The 2008 amendments further expressed "Congress' expectation" that the EEOC would revise its regulations accordingly. § 2(b)(6). Under those revised regulations, "'substantially limits' shall be construed broadly in favor of expansive coverage," such that an impairment is a disability if it "substantially limits the ability of an individual to perform a major life activity as compared to most people in the general population." 29 C.F.R. § 1630.2(j)(1)(ii) [*9] , as amended, </w:t>
      </w:r>
      <w:bookmarkStart w:id="264" w:name="Bookmark_I68VKRDS28T3WN0040000400"/>
      <w:bookmarkEnd w:id="264"/>
      <w:r>
        <w:rPr>
          <w:rFonts w:ascii="Arial" w:eastAsia="Arial" w:hAnsi="Arial" w:cs="Arial"/>
          <w:color w:val="000000"/>
          <w:sz w:val="20"/>
        </w:rPr>
        <w:t>76 Fed. Reg. 16978, 17000 (Mar. 25, 2011).</w:t>
      </w:r>
    </w:p>
    <w:p w:rsidR="00022B47" w:rsidRDefault="00000000">
      <w:pPr>
        <w:pStyle w:val="Normal2"/>
        <w:widowControl w:val="0"/>
        <w:spacing w:before="200" w:line="260" w:lineRule="atLeast"/>
        <w:jc w:val="both"/>
      </w:pPr>
      <w:bookmarkStart w:id="265" w:name="Bookmark_para_15_1"/>
      <w:bookmarkEnd w:id="265"/>
      <w:r>
        <w:rPr>
          <w:rFonts w:ascii="Arial" w:eastAsia="Arial" w:hAnsi="Arial" w:cs="Arial"/>
          <w:color w:val="000000"/>
          <w:sz w:val="20"/>
        </w:rPr>
        <w:t>The EEOC argues that Kimmons' cataracts amounted to a disability. Kimmons testified that "everything is just ... opaque.... You just get glare. You don't actually see an object." His optometrist explained that having cataracts is like "throwing debris against a window in your house. If you have enough of that block the window, you can't see anymore." Kimmons' testimony about his inability to drive safely at night is evidence of how his vision impairment affects major life activities, such as walking, seeing, and working. See 42 U.S.C. § 12102(2) (list of major life activities).</w:t>
      </w:r>
    </w:p>
    <w:p w:rsidR="00022B47" w:rsidRDefault="00000000">
      <w:pPr>
        <w:pStyle w:val="Normal2"/>
        <w:widowControl w:val="0"/>
        <w:spacing w:before="200" w:line="260" w:lineRule="atLeast"/>
        <w:jc w:val="both"/>
      </w:pPr>
      <w:bookmarkStart w:id="266" w:name="Bookmark_para_16_1"/>
      <w:bookmarkEnd w:id="266"/>
      <w:r>
        <w:rPr>
          <w:rFonts w:ascii="Arial" w:eastAsia="Arial" w:hAnsi="Arial" w:cs="Arial"/>
          <w:color w:val="000000"/>
          <w:sz w:val="20"/>
        </w:rPr>
        <w:t xml:space="preserve">Charter argues that Kimmons is not disabled, citing among other things progress notes from a different doctor who evaluated Kimmons. </w:t>
      </w:r>
      <w:bookmarkStart w:id="267" w:name="Bookmark_I68VKRDT2D6NC50020000400"/>
      <w:bookmarkEnd w:id="267"/>
      <w:r>
        <w:rPr>
          <w:rFonts w:ascii="Arial" w:eastAsia="Arial" w:hAnsi="Arial" w:cs="Arial"/>
          <w:color w:val="000000"/>
          <w:sz w:val="20"/>
        </w:rPr>
        <w:t xml:space="preserve">That doctor's note did not indicate that Kimmons expressed any concerns about his vision or driving at night. And that doctor added information about how Kimmons' vision affected major life activities only because Kimmons requested it. The factual dispute means that we cannot affirm summary judgment on the alternative ground that Kimmons did not have a disability. See, e.g., </w:t>
      </w:r>
      <w:bookmarkStart w:id="268" w:name="Bookmark_I68VKRDT2D6NC50010000400"/>
      <w:bookmarkEnd w:id="268"/>
      <w:r>
        <w:rPr>
          <w:rFonts w:ascii="Arial" w:eastAsia="Arial" w:hAnsi="Arial" w:cs="Arial"/>
          <w:i/>
          <w:color w:val="000000"/>
          <w:sz w:val="20"/>
        </w:rPr>
        <w:t>EEOC v. Sears, Roebuck &amp; Co.</w:t>
      </w:r>
      <w:r>
        <w:rPr>
          <w:rFonts w:ascii="Arial" w:eastAsia="Arial" w:hAnsi="Arial" w:cs="Arial"/>
          <w:color w:val="000000"/>
          <w:sz w:val="20"/>
        </w:rPr>
        <w:t>, 233 F.3d 432, 439 (7th Cir. 2000) (</w:t>
      </w:r>
      <w:r>
        <w:rPr>
          <w:rFonts w:ascii="Arial" w:eastAsia="Arial" w:hAnsi="Arial" w:cs="Arial"/>
          <w:i/>
          <w:color w:val="000000"/>
          <w:sz w:val="20"/>
        </w:rPr>
        <w:t>Sears I</w:t>
      </w:r>
      <w:r>
        <w:rPr>
          <w:rFonts w:ascii="Arial" w:eastAsia="Arial" w:hAnsi="Arial" w:cs="Arial"/>
          <w:color w:val="000000"/>
          <w:sz w:val="20"/>
        </w:rPr>
        <w:t>) (reversing summary judgment granted on similar ground).</w:t>
      </w:r>
    </w:p>
    <w:p w:rsidR="00022B47" w:rsidRDefault="00000000">
      <w:pPr>
        <w:pStyle w:val="Normal2"/>
        <w:widowControl w:val="0"/>
        <w:spacing w:before="120" w:line="260" w:lineRule="atLeast"/>
      </w:pPr>
      <w:r>
        <w:rPr>
          <w:rFonts w:ascii="Arial" w:eastAsia="Arial" w:hAnsi="Arial" w:cs="Arial"/>
          <w:color w:val="000000"/>
          <w:sz w:val="20"/>
        </w:rPr>
        <w:t xml:space="preserve">III. </w:t>
      </w:r>
      <w:r>
        <w:rPr>
          <w:rFonts w:ascii="Arial" w:eastAsia="Arial" w:hAnsi="Arial" w:cs="Arial"/>
          <w:i/>
          <w:color w:val="000000"/>
          <w:sz w:val="20"/>
        </w:rPr>
        <w:t>Effects on an Essential Job Function</w:t>
      </w:r>
    </w:p>
    <w:p w:rsidR="00022B47" w:rsidRDefault="00000000">
      <w:pPr>
        <w:pStyle w:val="Normal2"/>
        <w:widowControl w:val="0"/>
        <w:spacing w:before="200" w:line="260" w:lineRule="atLeast"/>
        <w:jc w:val="both"/>
      </w:pPr>
      <w:bookmarkStart w:id="269" w:name="Bookmark_para_17_1"/>
      <w:bookmarkEnd w:id="269"/>
      <w:r>
        <w:rPr>
          <w:rFonts w:ascii="Arial" w:eastAsia="Arial" w:hAnsi="Arial" w:cs="Arial"/>
          <w:color w:val="000000"/>
          <w:sz w:val="20"/>
        </w:rPr>
        <w:t xml:space="preserve">The [*10]  next question is whether Kimmons was entitled to a modified schedule to accommodate his disability-related difficulties in commuting. To answer that question, we consider the ADA's statutory language, its history, and case law. </w:t>
      </w:r>
      <w:bookmarkStart w:id="270" w:name="Bookmark_LNHNREFclscc4_0"/>
      <w:bookmarkEnd w:id="270"/>
      <w:r>
        <w:rPr>
          <w:rFonts w:ascii="Arial" w:eastAsia="Arial" w:hAnsi="Arial" w:cs="Arial"/>
          <w:color w:val="000000"/>
          <w:sz w:val="20"/>
        </w:rPr>
        <w:t>We determine that if an employee's disability substantially interferes with his ability to travel to and from work, the employee may be entitled to a reasonable accommodation if commuting to work is a prerequisite to an essential job function, including attendance in the workplace, and if the accommodation is reasonable under all the circumstances.</w:t>
      </w:r>
    </w:p>
    <w:p w:rsidR="00022B47" w:rsidRDefault="00000000">
      <w:pPr>
        <w:pStyle w:val="Normal2"/>
        <w:widowControl w:val="0"/>
        <w:spacing w:before="200" w:line="260" w:lineRule="atLeast"/>
        <w:jc w:val="both"/>
      </w:pPr>
      <w:bookmarkStart w:id="271" w:name="Bookmark_para_18_1"/>
      <w:bookmarkStart w:id="272" w:name="Bookmark_LNHNREFclscc5_0"/>
      <w:bookmarkEnd w:id="271"/>
      <w:bookmarkEnd w:id="272"/>
      <w:r>
        <w:rPr>
          <w:rFonts w:ascii="Arial" w:eastAsia="Arial" w:hAnsi="Arial" w:cs="Arial"/>
          <w:color w:val="000000"/>
          <w:sz w:val="20"/>
        </w:rPr>
        <w:t>The Americans with Disabilities Act begins with Congress's findings, which include that "individuals with disabilities continually encounter ... the discriminatory effects of ... transportation ... barriers." 42 U.S.C. § 12101(a)(5). To counter these effects, among others, the ADA requires an employer to make "reasonable accommodations" for an employee with a disability, absent undue hardship on the employer's operations. § 12112(b)(5)(A). The ADA provides a non-exclusive, illustrative list of potential accommodations. That list includes "part-time or modified work schedules." § 12111(9)(B). That's what Kimmons wanted here.</w:t>
      </w:r>
    </w:p>
    <w:p w:rsidR="00022B47" w:rsidRDefault="00000000">
      <w:pPr>
        <w:pStyle w:val="Normal2"/>
        <w:widowControl w:val="0"/>
        <w:spacing w:before="200" w:line="260" w:lineRule="atLeast"/>
        <w:jc w:val="both"/>
      </w:pPr>
      <w:bookmarkStart w:id="273" w:name="Bookmark_para_19_1"/>
      <w:bookmarkEnd w:id="273"/>
      <w:r>
        <w:rPr>
          <w:rFonts w:ascii="Arial" w:eastAsia="Arial" w:hAnsi="Arial" w:cs="Arial"/>
          <w:color w:val="000000"/>
          <w:sz w:val="20"/>
        </w:rPr>
        <w:t xml:space="preserve">Modified work schedules also appear in the ADA's legislative history. The [*11]  report of the House Committee on Education and Labor explained that reasonable accommodations could include "modified work schedules" to accommodate some people with disabilities who are "denied employment opportunities because they cannot work a standard schedule." H.R. Rep. No. 101-485, pt. 2, at 62-63 (1990), as reprinted in 1990 U.S.C.C.A.N. 303, 335-36. The House Report added: "Other persons who may require modified work schedules are persons who depend on a public transportation system that is not currently fully accessible." </w:t>
      </w:r>
      <w:r>
        <w:rPr>
          <w:rFonts w:ascii="Arial" w:eastAsia="Arial" w:hAnsi="Arial" w:cs="Arial"/>
          <w:i/>
          <w:color w:val="000000"/>
          <w:sz w:val="20"/>
        </w:rPr>
        <w:t>Id.</w:t>
      </w:r>
      <w:r>
        <w:rPr>
          <w:rFonts w:ascii="Arial" w:eastAsia="Arial" w:hAnsi="Arial" w:cs="Arial"/>
          <w:color w:val="000000"/>
          <w:sz w:val="20"/>
        </w:rPr>
        <w:t xml:space="preserve"> The report also said that an accommodation could extend to helping an employee get to work, noting that a qualified person with a disability seeking employment at a store that is "located in an inaccessible mall" would be entitled to reasonable accommodation in helping him "get to the job site." H.R. Rep. No. 101-485, pt. 2, at 61, as reprinted in 1990 U.S.C.C.A.N. at 334. The report of the Senate Committee on Labor and Human Resources also endorsed modified work schedules as potentially reasonable accommodations and noted that "modified work schedules can be a no-cost way of accommodation." S. Rep. No. 101-116 at 31 (1989).</w:t>
      </w:r>
    </w:p>
    <w:p w:rsidR="00022B47" w:rsidRDefault="00000000">
      <w:pPr>
        <w:pStyle w:val="Normal2"/>
        <w:widowControl w:val="0"/>
        <w:spacing w:before="200" w:line="260" w:lineRule="atLeast"/>
        <w:jc w:val="both"/>
      </w:pPr>
      <w:bookmarkStart w:id="274" w:name="Bookmark_para_20_1"/>
      <w:bookmarkStart w:id="275" w:name="Bookmark_LNHNREFclscc6_0"/>
      <w:bookmarkStart w:id="276" w:name="Bookmark_I68VKRDT2D6NC50040000400"/>
      <w:bookmarkStart w:id="277" w:name="Bookmark_I68VKRDT2D6NC60010000400"/>
      <w:bookmarkEnd w:id="274"/>
      <w:bookmarkEnd w:id="275"/>
      <w:bookmarkEnd w:id="276"/>
      <w:bookmarkEnd w:id="277"/>
      <w:r>
        <w:rPr>
          <w:rFonts w:ascii="Arial" w:eastAsia="Arial" w:hAnsi="Arial" w:cs="Arial"/>
          <w:color w:val="000000"/>
          <w:sz w:val="20"/>
        </w:rPr>
        <w:t xml:space="preserve">Consistent with this statutory language and its history, [*12]  our cases have recognized that a work-schedule accommodation can sometimes be required. For example, in </w:t>
      </w:r>
      <w:bookmarkStart w:id="278" w:name="Bookmark_I68VKRDT2D6NC50030000400"/>
      <w:bookmarkEnd w:id="278"/>
      <w:r>
        <w:rPr>
          <w:rFonts w:ascii="Arial" w:eastAsia="Arial" w:hAnsi="Arial" w:cs="Arial"/>
          <w:i/>
          <w:color w:val="000000"/>
          <w:sz w:val="20"/>
        </w:rPr>
        <w:t>Gile v. United Airlines, Inc.</w:t>
      </w:r>
      <w:r>
        <w:rPr>
          <w:rFonts w:ascii="Arial" w:eastAsia="Arial" w:hAnsi="Arial" w:cs="Arial"/>
          <w:color w:val="000000"/>
          <w:sz w:val="20"/>
        </w:rPr>
        <w:t>, 213 F.3d 365, 368 (7th Cir. 2000) (</w:t>
      </w:r>
      <w:r>
        <w:rPr>
          <w:rFonts w:ascii="Arial" w:eastAsia="Arial" w:hAnsi="Arial" w:cs="Arial"/>
          <w:i/>
          <w:color w:val="000000"/>
          <w:sz w:val="20"/>
        </w:rPr>
        <w:t>Gile II</w:t>
      </w:r>
      <w:r>
        <w:rPr>
          <w:rFonts w:ascii="Arial" w:eastAsia="Arial" w:hAnsi="Arial" w:cs="Arial"/>
          <w:color w:val="000000"/>
          <w:sz w:val="20"/>
        </w:rPr>
        <w:t xml:space="preserve">), we affirmed a jury verdict for an employee who asked for a modified work schedule—daytime shifts—to accommodate her disabilities. Although "a shift transfer may not have cured" the employee's condition, a "rational jury easily could conclude that a shift transfer would have alleviated [the employee's] symptoms such that [the employee] could have performed her job." </w:t>
      </w:r>
      <w:bookmarkStart w:id="279" w:name="Bookmark_I68VKRDT2D6NC50050000400"/>
      <w:bookmarkEnd w:id="279"/>
      <w:r>
        <w:rPr>
          <w:rFonts w:ascii="Arial" w:eastAsia="Arial" w:hAnsi="Arial" w:cs="Arial"/>
          <w:i/>
          <w:color w:val="000000"/>
          <w:sz w:val="20"/>
        </w:rPr>
        <w:t>Id.</w:t>
      </w:r>
      <w:r>
        <w:rPr>
          <w:rFonts w:ascii="Arial" w:eastAsia="Arial" w:hAnsi="Arial" w:cs="Arial"/>
          <w:color w:val="000000"/>
          <w:sz w:val="20"/>
        </w:rPr>
        <w:t xml:space="preserve"> at 373.</w:t>
      </w:r>
    </w:p>
    <w:p w:rsidR="00022B47" w:rsidRDefault="00000000">
      <w:pPr>
        <w:pStyle w:val="Normal2"/>
        <w:widowControl w:val="0"/>
        <w:spacing w:before="200" w:line="260" w:lineRule="atLeast"/>
        <w:jc w:val="both"/>
      </w:pPr>
      <w:bookmarkStart w:id="280" w:name="Bookmark_para_21_1"/>
      <w:bookmarkStart w:id="281" w:name="Bookmark_I68VKRDT2D6NC60030000400"/>
      <w:bookmarkStart w:id="282" w:name="Bookmark_I68VKRDT2D6NC60050000400"/>
      <w:bookmarkEnd w:id="280"/>
      <w:bookmarkEnd w:id="281"/>
      <w:bookmarkEnd w:id="282"/>
      <w:r>
        <w:rPr>
          <w:rFonts w:ascii="Arial" w:eastAsia="Arial" w:hAnsi="Arial" w:cs="Arial"/>
          <w:color w:val="000000"/>
          <w:sz w:val="20"/>
        </w:rPr>
        <w:t xml:space="preserve">In </w:t>
      </w:r>
      <w:r>
        <w:rPr>
          <w:rFonts w:ascii="Arial" w:eastAsia="Arial" w:hAnsi="Arial" w:cs="Arial"/>
          <w:i/>
          <w:color w:val="000000"/>
          <w:sz w:val="20"/>
        </w:rPr>
        <w:t>Sears II</w:t>
      </w:r>
      <w:r>
        <w:rPr>
          <w:rFonts w:ascii="Arial" w:eastAsia="Arial" w:hAnsi="Arial" w:cs="Arial"/>
          <w:color w:val="000000"/>
          <w:sz w:val="20"/>
        </w:rPr>
        <w:t xml:space="preserve">, we addressed mobility issues, though at and around the workplace rather than in a commute. </w:t>
      </w:r>
      <w:bookmarkStart w:id="283" w:name="Bookmark_I68VKRDT2D6NC60020000400"/>
      <w:bookmarkEnd w:id="283"/>
      <w:r>
        <w:rPr>
          <w:rFonts w:ascii="Arial" w:eastAsia="Arial" w:hAnsi="Arial" w:cs="Arial"/>
          <w:color w:val="000000"/>
          <w:sz w:val="20"/>
        </w:rPr>
        <w:t xml:space="preserve">417 F.3d 789. There, the employee worked in retail but developed a condition that limited her ability to walk more than one city block. </w:t>
      </w:r>
      <w:bookmarkStart w:id="284" w:name="Bookmark_I68VKRDT2D6NC60040000400"/>
      <w:bookmarkEnd w:id="284"/>
      <w:r>
        <w:rPr>
          <w:rFonts w:ascii="Arial" w:eastAsia="Arial" w:hAnsi="Arial" w:cs="Arial"/>
          <w:i/>
          <w:color w:val="000000"/>
          <w:sz w:val="20"/>
        </w:rPr>
        <w:t>Id.</w:t>
      </w:r>
      <w:r>
        <w:rPr>
          <w:rFonts w:ascii="Arial" w:eastAsia="Arial" w:hAnsi="Arial" w:cs="Arial"/>
          <w:color w:val="000000"/>
          <w:sz w:val="20"/>
        </w:rPr>
        <w:t xml:space="preserve"> at 792-94. </w:t>
      </w:r>
      <w:bookmarkStart w:id="285" w:name="Bookmark_I68VKRDT2HM6BB0020000400"/>
      <w:bookmarkEnd w:id="285"/>
      <w:r>
        <w:rPr>
          <w:rFonts w:ascii="Arial" w:eastAsia="Arial" w:hAnsi="Arial" w:cs="Arial"/>
          <w:color w:val="000000"/>
          <w:sz w:val="20"/>
        </w:rPr>
        <w:t xml:space="preserve">She asked for accommodations that would shorten her walk through the large retail store and avoid the need to take a long walk to a mall food court for lunch breaks. The employer effectively denied these requested accommodations, and we reversed summary judgment for the employer. The employee was "able to perform all of the aspects of her job but simply had trouble getting to and from her workstation within the store." </w:t>
      </w:r>
      <w:bookmarkStart w:id="286" w:name="Bookmark_I68VKRDT2HM6BB0010000400"/>
      <w:bookmarkEnd w:id="286"/>
      <w:r>
        <w:rPr>
          <w:rFonts w:ascii="Arial" w:eastAsia="Arial" w:hAnsi="Arial" w:cs="Arial"/>
          <w:i/>
          <w:color w:val="000000"/>
          <w:sz w:val="20"/>
        </w:rPr>
        <w:t>Id.</w:t>
      </w:r>
      <w:r>
        <w:rPr>
          <w:rFonts w:ascii="Arial" w:eastAsia="Arial" w:hAnsi="Arial" w:cs="Arial"/>
          <w:color w:val="000000"/>
          <w:sz w:val="20"/>
        </w:rPr>
        <w:t xml:space="preserve"> at 802. Getting to the employee's workstation was a prerequisite for [*13]  her performing </w:t>
      </w:r>
      <w:r>
        <w:rPr>
          <w:rFonts w:ascii="Arial" w:eastAsia="Arial" w:hAnsi="Arial" w:cs="Arial"/>
          <w:i/>
          <w:color w:val="000000"/>
          <w:sz w:val="20"/>
        </w:rPr>
        <w:t>any</w:t>
      </w:r>
      <w:r>
        <w:rPr>
          <w:rFonts w:ascii="Arial" w:eastAsia="Arial" w:hAnsi="Arial" w:cs="Arial"/>
          <w:color w:val="000000"/>
          <w:sz w:val="20"/>
        </w:rPr>
        <w:t xml:space="preserve"> essential function of her job.</w:t>
      </w:r>
    </w:p>
    <w:p w:rsidR="00022B47" w:rsidRDefault="00000000">
      <w:pPr>
        <w:pStyle w:val="Normal2"/>
        <w:widowControl w:val="0"/>
        <w:spacing w:before="200" w:line="260" w:lineRule="atLeast"/>
        <w:jc w:val="both"/>
      </w:pPr>
      <w:bookmarkStart w:id="287" w:name="Bookmark_para_22_1"/>
      <w:bookmarkEnd w:id="287"/>
      <w:r>
        <w:rPr>
          <w:rFonts w:ascii="Arial" w:eastAsia="Arial" w:hAnsi="Arial" w:cs="Arial"/>
          <w:i/>
          <w:color w:val="000000"/>
          <w:sz w:val="20"/>
        </w:rPr>
        <w:t>Gile II</w:t>
      </w:r>
      <w:r>
        <w:rPr>
          <w:rFonts w:ascii="Arial" w:eastAsia="Arial" w:hAnsi="Arial" w:cs="Arial"/>
          <w:color w:val="000000"/>
          <w:sz w:val="20"/>
        </w:rPr>
        <w:t xml:space="preserve"> and </w:t>
      </w:r>
      <w:r>
        <w:rPr>
          <w:rFonts w:ascii="Arial" w:eastAsia="Arial" w:hAnsi="Arial" w:cs="Arial"/>
          <w:i/>
          <w:color w:val="000000"/>
          <w:sz w:val="20"/>
        </w:rPr>
        <w:t>Sears II</w:t>
      </w:r>
      <w:r>
        <w:rPr>
          <w:rFonts w:ascii="Arial" w:eastAsia="Arial" w:hAnsi="Arial" w:cs="Arial"/>
          <w:color w:val="000000"/>
          <w:sz w:val="20"/>
        </w:rPr>
        <w:t xml:space="preserve"> inform our analysis but do not control this case since neither addressed commuting between home and workplace. We find more pointed guidance from four decisions by four other circuits, though their language tends to point in opposite directions. We address them in chronological order.</w:t>
      </w:r>
    </w:p>
    <w:p w:rsidR="00022B47" w:rsidRDefault="00000000">
      <w:pPr>
        <w:pStyle w:val="Normal2"/>
        <w:widowControl w:val="0"/>
        <w:spacing w:before="200" w:line="260" w:lineRule="atLeast"/>
        <w:jc w:val="both"/>
      </w:pPr>
      <w:bookmarkStart w:id="288" w:name="Bookmark_para_23_1"/>
      <w:bookmarkStart w:id="289" w:name="Bookmark_I68VKRDT2HM6BB0040000400"/>
      <w:bookmarkEnd w:id="288"/>
      <w:bookmarkEnd w:id="289"/>
      <w:r>
        <w:rPr>
          <w:rFonts w:ascii="Arial" w:eastAsia="Arial" w:hAnsi="Arial" w:cs="Arial"/>
          <w:color w:val="000000"/>
          <w:sz w:val="20"/>
        </w:rPr>
        <w:t xml:space="preserve">In </w:t>
      </w:r>
      <w:bookmarkStart w:id="290" w:name="Bookmark_I68VKRDT2HM6BB0030000400"/>
      <w:bookmarkEnd w:id="290"/>
      <w:r>
        <w:rPr>
          <w:rFonts w:ascii="Arial" w:eastAsia="Arial" w:hAnsi="Arial" w:cs="Arial"/>
          <w:i/>
          <w:color w:val="000000"/>
          <w:sz w:val="20"/>
        </w:rPr>
        <w:t>Lyons v. Legal Aid Society</w:t>
      </w:r>
      <w:r>
        <w:rPr>
          <w:rFonts w:ascii="Arial" w:eastAsia="Arial" w:hAnsi="Arial" w:cs="Arial"/>
          <w:color w:val="000000"/>
          <w:sz w:val="20"/>
        </w:rPr>
        <w:t xml:space="preserve">, the plaintiff was an attorney who had been severely injured in a traffic accident. </w:t>
      </w:r>
      <w:bookmarkStart w:id="291" w:name="Bookmark_I68VKRDT2HM6BB0050000400"/>
      <w:bookmarkEnd w:id="291"/>
      <w:r>
        <w:rPr>
          <w:rFonts w:ascii="Arial" w:eastAsia="Arial" w:hAnsi="Arial" w:cs="Arial"/>
          <w:color w:val="000000"/>
          <w:sz w:val="20"/>
        </w:rPr>
        <w:t>68 F.3d at 1513. After years of surgery and therapy, she was able to return to work, but she could walk only short distances and with great difficulty. She could not manage public transit from her home to her office. She asked her employer to accommodate her disability by paying for a parking space near her office and the courts where she would practice. The employer refused, so the employee spent between 15 and 26 percent of her net salary for a parking space. She sued under the ADA and the Rehabilitation Act. The district court dismissed on the pleadings.</w:t>
      </w:r>
    </w:p>
    <w:p w:rsidR="00022B47" w:rsidRDefault="00000000">
      <w:pPr>
        <w:pStyle w:val="Normal2"/>
        <w:widowControl w:val="0"/>
        <w:spacing w:before="200" w:line="260" w:lineRule="atLeast"/>
        <w:jc w:val="both"/>
      </w:pPr>
      <w:bookmarkStart w:id="292" w:name="Bookmark_para_24_1"/>
      <w:bookmarkStart w:id="293" w:name="Bookmark_I68VKRDT2N1R6B0030000400"/>
      <w:bookmarkStart w:id="294" w:name="Bookmark_I68VKRDT2N1R6B0050000400"/>
      <w:bookmarkEnd w:id="292"/>
      <w:bookmarkEnd w:id="293"/>
      <w:bookmarkEnd w:id="294"/>
      <w:r>
        <w:rPr>
          <w:rFonts w:ascii="Arial" w:eastAsia="Arial" w:hAnsi="Arial" w:cs="Arial"/>
          <w:color w:val="000000"/>
          <w:sz w:val="20"/>
        </w:rPr>
        <w:t xml:space="preserve">The Second Circuit reversed, recognizing the broad and flexible reach of reasonable accommodations under both statutes. </w:t>
      </w:r>
      <w:bookmarkStart w:id="295" w:name="Bookmark_I68VKRDT2N1R6B0020000400"/>
      <w:bookmarkEnd w:id="295"/>
      <w:r>
        <w:rPr>
          <w:rFonts w:ascii="Arial" w:eastAsia="Arial" w:hAnsi="Arial" w:cs="Arial"/>
          <w:color w:val="000000"/>
          <w:sz w:val="20"/>
        </w:rPr>
        <w:t xml:space="preserve">68 F.3d at 1515-16. The employer argued that it did not provide parking or commuting help for any other employees, [*14]  so it should not be required to help the plaintiff. The Second Circuit disagreed: "whether it is reasonable to require an employer to provide parking spaces may well be susceptible to differing answers depending on, </w:t>
      </w:r>
      <w:r>
        <w:rPr>
          <w:rFonts w:ascii="Arial" w:eastAsia="Arial" w:hAnsi="Arial" w:cs="Arial"/>
          <w:i/>
          <w:color w:val="000000"/>
          <w:sz w:val="20"/>
        </w:rPr>
        <w:t>e.g.</w:t>
      </w:r>
      <w:r>
        <w:rPr>
          <w:rFonts w:ascii="Arial" w:eastAsia="Arial" w:hAnsi="Arial" w:cs="Arial"/>
          <w:color w:val="000000"/>
          <w:sz w:val="20"/>
        </w:rPr>
        <w:t xml:space="preserve">, the employer's geographic location and financial resources, and ... the determination of the reasonableness of such a requirement will normally require some development of a factual record." </w:t>
      </w:r>
      <w:bookmarkStart w:id="296" w:name="Bookmark_I68VKRDT2N1R6B0040000400"/>
      <w:bookmarkEnd w:id="296"/>
      <w:r>
        <w:rPr>
          <w:rFonts w:ascii="Arial" w:eastAsia="Arial" w:hAnsi="Arial" w:cs="Arial"/>
          <w:i/>
          <w:color w:val="000000"/>
          <w:sz w:val="20"/>
        </w:rPr>
        <w:t>Id.</w:t>
      </w:r>
      <w:r>
        <w:rPr>
          <w:rFonts w:ascii="Arial" w:eastAsia="Arial" w:hAnsi="Arial" w:cs="Arial"/>
          <w:color w:val="000000"/>
          <w:sz w:val="20"/>
        </w:rPr>
        <w:t xml:space="preserve"> at 1516.</w:t>
      </w:r>
    </w:p>
    <w:p w:rsidR="00022B47" w:rsidRDefault="00000000">
      <w:pPr>
        <w:pStyle w:val="Normal2"/>
        <w:widowControl w:val="0"/>
        <w:spacing w:before="200" w:line="260" w:lineRule="atLeast"/>
        <w:jc w:val="both"/>
      </w:pPr>
      <w:bookmarkStart w:id="297" w:name="Bookmark_para_25_1"/>
      <w:bookmarkStart w:id="298" w:name="Bookmark_I68VKRDT2SF7RP0020000400"/>
      <w:bookmarkStart w:id="299" w:name="Bookmark_I68VKRDT2SF7RP0040000400"/>
      <w:bookmarkEnd w:id="297"/>
      <w:bookmarkEnd w:id="298"/>
      <w:bookmarkEnd w:id="299"/>
      <w:r>
        <w:rPr>
          <w:rFonts w:ascii="Arial" w:eastAsia="Arial" w:hAnsi="Arial" w:cs="Arial"/>
          <w:color w:val="000000"/>
          <w:sz w:val="20"/>
        </w:rPr>
        <w:t xml:space="preserve">In observations that we endorse here, the Second Circuit wrote that "the accommodation obligation does not require the employer to make accommodations that are 'primarily for the [individual's] personal benefit,' such as an 'adjustment or modification [that] assists the individual throughout his or her daily activities, on and off the job,' or to provide 'any amenity or convenience that is not job-related.'" </w:t>
      </w:r>
      <w:bookmarkStart w:id="300" w:name="Bookmark_I68VKRDT2SF7RP0010000400"/>
      <w:bookmarkEnd w:id="300"/>
      <w:r>
        <w:rPr>
          <w:rFonts w:ascii="Arial" w:eastAsia="Arial" w:hAnsi="Arial" w:cs="Arial"/>
          <w:color w:val="000000"/>
          <w:sz w:val="20"/>
        </w:rPr>
        <w:t xml:space="preserve">68 F.3d at 1516, quoting EEOC's Interpretive Guidance on Title I of the Americans with Disabilities Act, 29 C.F.R. pt. 1630, app. at 412 (1995); accord, 29 C.F.R. pt. 1630, app. at 424 (2022). </w:t>
      </w:r>
      <w:bookmarkStart w:id="301" w:name="Bookmark_I68VKRDT2HM6BC0030000400"/>
      <w:bookmarkEnd w:id="301"/>
      <w:r>
        <w:rPr>
          <w:rFonts w:ascii="Arial" w:eastAsia="Arial" w:hAnsi="Arial" w:cs="Arial"/>
          <w:color w:val="000000"/>
          <w:sz w:val="20"/>
        </w:rPr>
        <w:t xml:space="preserve">On the pleadings, at least, the </w:t>
      </w:r>
      <w:bookmarkStart w:id="302" w:name="Bookmark_I68VKRDT2SF7RP0030000400"/>
      <w:bookmarkEnd w:id="302"/>
      <w:r>
        <w:rPr>
          <w:rFonts w:ascii="Arial" w:eastAsia="Arial" w:hAnsi="Arial" w:cs="Arial"/>
          <w:i/>
          <w:color w:val="000000"/>
          <w:sz w:val="20"/>
        </w:rPr>
        <w:t>Lyons</w:t>
      </w:r>
      <w:r>
        <w:rPr>
          <w:rFonts w:ascii="Arial" w:eastAsia="Arial" w:hAnsi="Arial" w:cs="Arial"/>
          <w:color w:val="000000"/>
          <w:sz w:val="20"/>
        </w:rPr>
        <w:t xml:space="preserve"> court rejected the employer's contention that a paid parking space would be only "an additional fringe benefit in the nature of a 'personal amenity' unrelated to the 'essential functions'" of the employee's job. </w:t>
      </w:r>
      <w:bookmarkStart w:id="303" w:name="Bookmark_I68VKRDT2SF7RP0050000400"/>
      <w:bookmarkEnd w:id="303"/>
      <w:r>
        <w:rPr>
          <w:rFonts w:ascii="Arial" w:eastAsia="Arial" w:hAnsi="Arial" w:cs="Arial"/>
          <w:i/>
          <w:color w:val="000000"/>
          <w:sz w:val="20"/>
        </w:rPr>
        <w:t>Id.</w:t>
      </w:r>
      <w:r>
        <w:rPr>
          <w:rFonts w:ascii="Arial" w:eastAsia="Arial" w:hAnsi="Arial" w:cs="Arial"/>
          <w:color w:val="000000"/>
          <w:sz w:val="20"/>
        </w:rPr>
        <w:t xml:space="preserve"> at 1517. </w:t>
      </w:r>
      <w:bookmarkStart w:id="304" w:name="Bookmark_I68VKRDT2HM6BC0030000400_2"/>
      <w:bookmarkEnd w:id="304"/>
      <w:r>
        <w:rPr>
          <w:rFonts w:ascii="Arial" w:eastAsia="Arial" w:hAnsi="Arial" w:cs="Arial"/>
          <w:color w:val="000000"/>
          <w:sz w:val="20"/>
        </w:rPr>
        <w:t xml:space="preserve">The reasoning of </w:t>
      </w:r>
      <w:bookmarkStart w:id="305" w:name="Bookmark_I68VKRDT2HM6BC0030000400_3"/>
      <w:bookmarkStart w:id="306" w:name="Bookmark_I68VKRDT2HM6BC0020000400"/>
      <w:bookmarkEnd w:id="305"/>
      <w:bookmarkEnd w:id="306"/>
      <w:r>
        <w:rPr>
          <w:rFonts w:ascii="Arial" w:eastAsia="Arial" w:hAnsi="Arial" w:cs="Arial"/>
          <w:i/>
          <w:color w:val="000000"/>
          <w:sz w:val="20"/>
        </w:rPr>
        <w:t>Lyons</w:t>
      </w:r>
      <w:r>
        <w:rPr>
          <w:rFonts w:ascii="Arial" w:eastAsia="Arial" w:hAnsi="Arial" w:cs="Arial"/>
          <w:color w:val="000000"/>
          <w:sz w:val="20"/>
        </w:rPr>
        <w:t xml:space="preserve"> favors the EEOC's position in this case, treating the reasonableness of the requested accommodation [*15]  as a disputed issue of fact.</w:t>
      </w:r>
    </w:p>
    <w:p w:rsidR="00022B47" w:rsidRDefault="00000000">
      <w:pPr>
        <w:pStyle w:val="Normal2"/>
        <w:widowControl w:val="0"/>
        <w:spacing w:before="200" w:line="260" w:lineRule="atLeast"/>
        <w:jc w:val="both"/>
      </w:pPr>
      <w:bookmarkStart w:id="307" w:name="Bookmark_para_26_1"/>
      <w:bookmarkStart w:id="308" w:name="Bookmark_I68VKRDT2HM6BC0050000400"/>
      <w:bookmarkEnd w:id="307"/>
      <w:bookmarkEnd w:id="308"/>
      <w:r>
        <w:rPr>
          <w:rFonts w:ascii="Arial" w:eastAsia="Arial" w:hAnsi="Arial" w:cs="Arial"/>
          <w:color w:val="000000"/>
          <w:sz w:val="20"/>
        </w:rPr>
        <w:t xml:space="preserve">The Third Circuit took a similar approach in a case with facts remarkably close to this case. In </w:t>
      </w:r>
      <w:bookmarkStart w:id="309" w:name="Bookmark_I68VKRDT2HM6BC0040000400"/>
      <w:bookmarkEnd w:id="309"/>
      <w:r>
        <w:rPr>
          <w:rFonts w:ascii="Arial" w:eastAsia="Arial" w:hAnsi="Arial" w:cs="Arial"/>
          <w:i/>
          <w:color w:val="000000"/>
          <w:sz w:val="20"/>
        </w:rPr>
        <w:t>Colwell v. Rite Aid Corp.</w:t>
      </w:r>
      <w:r>
        <w:rPr>
          <w:rFonts w:ascii="Arial" w:eastAsia="Arial" w:hAnsi="Arial" w:cs="Arial"/>
          <w:color w:val="000000"/>
          <w:sz w:val="20"/>
        </w:rPr>
        <w:t xml:space="preserve">, the plaintiff was a retail clerk in a pharmacy who worked both daytime and evening shifts. </w:t>
      </w:r>
      <w:bookmarkStart w:id="310" w:name="Bookmark_I68VKRDT2N1R6C0010000400"/>
      <w:bookmarkEnd w:id="310"/>
      <w:r>
        <w:rPr>
          <w:rFonts w:ascii="Arial" w:eastAsia="Arial" w:hAnsi="Arial" w:cs="Arial"/>
          <w:color w:val="000000"/>
          <w:sz w:val="20"/>
        </w:rPr>
        <w:t>602 F.3d at 498. After she was employed, she lost her vision in one eye, which made it dangerous and difficult for her to drive to work at night. Public transit was not available at night. The plaintiff asked to be assigned only daytime shifts, but the employer refused. The plaintiff sued under the ADA for a modified work schedule. The district court granted summary judgment for the employer on the theory adopted by the district court here, that the plaintiff did not need any accommodations to do her work once she arrived at the workplace.</w:t>
      </w:r>
    </w:p>
    <w:p w:rsidR="00022B47" w:rsidRDefault="00000000">
      <w:pPr>
        <w:pStyle w:val="Normal2"/>
        <w:widowControl w:val="0"/>
        <w:spacing w:before="200" w:line="260" w:lineRule="atLeast"/>
        <w:jc w:val="both"/>
      </w:pPr>
      <w:bookmarkStart w:id="311" w:name="Bookmark_para_27_1"/>
      <w:bookmarkStart w:id="312" w:name="Bookmark_I68VKRDT2N1R6C0040000400"/>
      <w:bookmarkEnd w:id="311"/>
      <w:bookmarkEnd w:id="312"/>
      <w:r>
        <w:rPr>
          <w:rFonts w:ascii="Arial" w:eastAsia="Arial" w:hAnsi="Arial" w:cs="Arial"/>
          <w:color w:val="000000"/>
          <w:sz w:val="20"/>
        </w:rPr>
        <w:t xml:space="preserve">The Third Circuit reversed. </w:t>
      </w:r>
      <w:bookmarkStart w:id="313" w:name="Bookmark_I68VKRDT28T3WT0010000400"/>
      <w:bookmarkEnd w:id="313"/>
      <w:r>
        <w:rPr>
          <w:rFonts w:ascii="Arial" w:eastAsia="Arial" w:hAnsi="Arial" w:cs="Arial"/>
          <w:color w:val="000000"/>
          <w:sz w:val="20"/>
        </w:rPr>
        <w:t xml:space="preserve">Its opinion noted the statutory, regulatory, and legislative history points we have cited above, as well as the Second Circuit's decision in </w:t>
      </w:r>
      <w:r>
        <w:rPr>
          <w:rFonts w:ascii="Arial" w:eastAsia="Arial" w:hAnsi="Arial" w:cs="Arial"/>
          <w:i/>
          <w:color w:val="000000"/>
          <w:sz w:val="20"/>
        </w:rPr>
        <w:t>Lyons</w:t>
      </w:r>
      <w:r>
        <w:rPr>
          <w:rFonts w:ascii="Arial" w:eastAsia="Arial" w:hAnsi="Arial" w:cs="Arial"/>
          <w:color w:val="000000"/>
          <w:sz w:val="20"/>
        </w:rPr>
        <w:t xml:space="preserve">. </w:t>
      </w:r>
      <w:bookmarkStart w:id="314" w:name="Bookmark_I68VKRDT2N1R6C0030000400"/>
      <w:bookmarkEnd w:id="314"/>
      <w:r>
        <w:rPr>
          <w:rFonts w:ascii="Arial" w:eastAsia="Arial" w:hAnsi="Arial" w:cs="Arial"/>
          <w:color w:val="000000"/>
          <w:sz w:val="20"/>
        </w:rPr>
        <w:t xml:space="preserve">602 F.3d at 505. </w:t>
      </w:r>
      <w:bookmarkStart w:id="315" w:name="Bookmark_LNHNREFclscc7_0"/>
      <w:bookmarkStart w:id="316" w:name="Bookmark_I68VKRDT28T3WT0030000400"/>
      <w:bookmarkEnd w:id="315"/>
      <w:bookmarkEnd w:id="316"/>
      <w:r>
        <w:rPr>
          <w:rFonts w:ascii="Arial" w:eastAsia="Arial" w:hAnsi="Arial" w:cs="Arial"/>
          <w:color w:val="000000"/>
          <w:sz w:val="20"/>
        </w:rPr>
        <w:t xml:space="preserve">"We therefore hold that under certain circumstances the ADA can obligate an employer to accommodate an employee's disability-related difficulties in getting to work, if reasonable. </w:t>
      </w:r>
      <w:bookmarkStart w:id="317" w:name="Bookmark_I68VKRDT28T3WT0030000400_2"/>
      <w:bookmarkStart w:id="318" w:name="Bookmark_I68VKRDT28T3WT0010000400_2"/>
      <w:bookmarkStart w:id="319" w:name="Bookmark_I68VKRDT28T3WT0050000400"/>
      <w:bookmarkEnd w:id="317"/>
      <w:bookmarkEnd w:id="318"/>
      <w:bookmarkEnd w:id="319"/>
      <w:r>
        <w:rPr>
          <w:rFonts w:ascii="Arial" w:eastAsia="Arial" w:hAnsi="Arial" w:cs="Arial"/>
          <w:color w:val="000000"/>
          <w:sz w:val="20"/>
        </w:rPr>
        <w:t xml:space="preserve">One such circumstance is when the requested accommodation is a change to a workplace condition that [*16]  is entirely within an employer's control and that would allow the employee to get to work and perform her job." </w:t>
      </w:r>
      <w:bookmarkStart w:id="320" w:name="Bookmark_I68VKRDT2N1R6C0050000400"/>
      <w:bookmarkEnd w:id="320"/>
      <w:r>
        <w:rPr>
          <w:rFonts w:ascii="Arial" w:eastAsia="Arial" w:hAnsi="Arial" w:cs="Arial"/>
          <w:i/>
          <w:color w:val="000000"/>
          <w:sz w:val="20"/>
        </w:rPr>
        <w:t>Id.</w:t>
      </w:r>
      <w:r>
        <w:rPr>
          <w:rFonts w:ascii="Arial" w:eastAsia="Arial" w:hAnsi="Arial" w:cs="Arial"/>
          <w:color w:val="000000"/>
          <w:sz w:val="20"/>
        </w:rPr>
        <w:t xml:space="preserve"> at 505-06, citing 29 C.F.R. § 1630.2(o)(1)(ii)-(iii) (2005) (defining reasonable accommodations). </w:t>
      </w:r>
      <w:bookmarkStart w:id="321" w:name="Bookmark_I68VKRDT28T3WT0050000400_2"/>
      <w:bookmarkEnd w:id="321"/>
      <w:r>
        <w:rPr>
          <w:rFonts w:ascii="Arial" w:eastAsia="Arial" w:hAnsi="Arial" w:cs="Arial"/>
          <w:color w:val="000000"/>
          <w:sz w:val="20"/>
        </w:rPr>
        <w:t xml:space="preserve">Rejecting a sharp line between on-site accommodations and transportation accommodations, the Third Circuit wrote: "As a cashier, Colwell was certainly required to be at work to perform any of the functions of her job, and any change in shifts is clearly a change in a workplace condition entirely under the employer's control." </w:t>
      </w:r>
      <w:bookmarkStart w:id="322" w:name="Bookmark_I68VKRDT28T3WT0020000400"/>
      <w:bookmarkEnd w:id="322"/>
      <w:r>
        <w:rPr>
          <w:rFonts w:ascii="Arial" w:eastAsia="Arial" w:hAnsi="Arial" w:cs="Arial"/>
          <w:i/>
          <w:color w:val="000000"/>
          <w:sz w:val="20"/>
        </w:rPr>
        <w:t>Id.</w:t>
      </w:r>
      <w:r>
        <w:rPr>
          <w:rFonts w:ascii="Arial" w:eastAsia="Arial" w:hAnsi="Arial" w:cs="Arial"/>
          <w:color w:val="000000"/>
          <w:sz w:val="20"/>
        </w:rPr>
        <w:t xml:space="preserve"> at 506. </w:t>
      </w:r>
      <w:bookmarkStart w:id="323" w:name="Bookmark_I68VKRDT28T3WT0050000400_3"/>
      <w:bookmarkStart w:id="324" w:name="Bookmark_I68VKRDT2D6NC80020000400"/>
      <w:bookmarkEnd w:id="323"/>
      <w:bookmarkEnd w:id="324"/>
      <w:r>
        <w:rPr>
          <w:rFonts w:ascii="Arial" w:eastAsia="Arial" w:hAnsi="Arial" w:cs="Arial"/>
          <w:color w:val="000000"/>
          <w:sz w:val="20"/>
        </w:rPr>
        <w:t xml:space="preserve">The plaintiff in </w:t>
      </w:r>
      <w:bookmarkStart w:id="325" w:name="Bookmark_I68VKRDT2D6NC80020000400_2"/>
      <w:bookmarkStart w:id="326" w:name="Bookmark_I68VKRDT28T3WT0050000400_4"/>
      <w:bookmarkStart w:id="327" w:name="Bookmark_I68VKRDT28T3WT0040000400"/>
      <w:bookmarkEnd w:id="325"/>
      <w:bookmarkEnd w:id="326"/>
      <w:bookmarkEnd w:id="327"/>
      <w:r>
        <w:rPr>
          <w:rFonts w:ascii="Arial" w:eastAsia="Arial" w:hAnsi="Arial" w:cs="Arial"/>
          <w:i/>
          <w:color w:val="000000"/>
          <w:sz w:val="20"/>
        </w:rPr>
        <w:t>Colwell</w:t>
      </w:r>
      <w:r>
        <w:rPr>
          <w:rFonts w:ascii="Arial" w:eastAsia="Arial" w:hAnsi="Arial" w:cs="Arial"/>
          <w:color w:val="000000"/>
          <w:sz w:val="20"/>
        </w:rPr>
        <w:t xml:space="preserve"> was also not actually asking for help "in the method or means of her commute," but only a change in schedule </w:t>
      </w:r>
      <w:r>
        <w:rPr>
          <w:rFonts w:ascii="Arial" w:eastAsia="Arial" w:hAnsi="Arial" w:cs="Arial"/>
          <w:i/>
          <w:color w:val="000000"/>
          <w:sz w:val="20"/>
        </w:rPr>
        <w:t>that was within the employer's control. Id.</w:t>
      </w:r>
      <w:r>
        <w:rPr>
          <w:rFonts w:ascii="Arial" w:eastAsia="Arial" w:hAnsi="Arial" w:cs="Arial"/>
          <w:color w:val="000000"/>
          <w:sz w:val="20"/>
        </w:rPr>
        <w:t xml:space="preserve"> The reasoning of </w:t>
      </w:r>
      <w:bookmarkStart w:id="328" w:name="Bookmark_I68VKRDT2D6NC80020000400_3"/>
      <w:bookmarkStart w:id="329" w:name="Bookmark_I68VKRDT2D6NC80010000400"/>
      <w:bookmarkEnd w:id="328"/>
      <w:bookmarkEnd w:id="329"/>
      <w:r>
        <w:rPr>
          <w:rFonts w:ascii="Arial" w:eastAsia="Arial" w:hAnsi="Arial" w:cs="Arial"/>
          <w:i/>
          <w:color w:val="000000"/>
          <w:sz w:val="20"/>
        </w:rPr>
        <w:t>Colwell</w:t>
      </w:r>
      <w:r>
        <w:rPr>
          <w:rFonts w:ascii="Arial" w:eastAsia="Arial" w:hAnsi="Arial" w:cs="Arial"/>
          <w:color w:val="000000"/>
          <w:sz w:val="20"/>
        </w:rPr>
        <w:t xml:space="preserve"> squarely supports the EEOC's position in this case.</w:t>
      </w:r>
    </w:p>
    <w:p w:rsidR="00022B47" w:rsidRDefault="00000000">
      <w:pPr>
        <w:pStyle w:val="Normal2"/>
        <w:widowControl w:val="0"/>
        <w:spacing w:before="200" w:line="260" w:lineRule="atLeast"/>
        <w:jc w:val="both"/>
      </w:pPr>
      <w:bookmarkStart w:id="330" w:name="Bookmark_para_28_1"/>
      <w:bookmarkStart w:id="331" w:name="Bookmark_I68VKRDT2D6NC80040000400"/>
      <w:bookmarkEnd w:id="330"/>
      <w:bookmarkEnd w:id="331"/>
      <w:r>
        <w:rPr>
          <w:rFonts w:ascii="Arial" w:eastAsia="Arial" w:hAnsi="Arial" w:cs="Arial"/>
          <w:color w:val="000000"/>
          <w:sz w:val="20"/>
        </w:rPr>
        <w:t xml:space="preserve">On the other hand, defendant Charter finds support for its position in the Sixth Circuit's decision in </w:t>
      </w:r>
      <w:bookmarkStart w:id="332" w:name="Bookmark_I68VKRDT2D6NC80030000400"/>
      <w:bookmarkEnd w:id="332"/>
      <w:r>
        <w:rPr>
          <w:rFonts w:ascii="Arial" w:eastAsia="Arial" w:hAnsi="Arial" w:cs="Arial"/>
          <w:i/>
          <w:color w:val="000000"/>
          <w:sz w:val="20"/>
        </w:rPr>
        <w:t>Regan v. Faurecia Automotive Seating, Inc.</w:t>
      </w:r>
      <w:r>
        <w:rPr>
          <w:rFonts w:ascii="Arial" w:eastAsia="Arial" w:hAnsi="Arial" w:cs="Arial"/>
          <w:color w:val="000000"/>
          <w:sz w:val="20"/>
        </w:rPr>
        <w:t xml:space="preserve">, which affirmed summary judgment for the employer. </w:t>
      </w:r>
      <w:bookmarkStart w:id="333" w:name="Bookmark_I68VKRDT2D6NC80050000400"/>
      <w:bookmarkEnd w:id="333"/>
      <w:r>
        <w:rPr>
          <w:rFonts w:ascii="Arial" w:eastAsia="Arial" w:hAnsi="Arial" w:cs="Arial"/>
          <w:color w:val="000000"/>
          <w:sz w:val="20"/>
        </w:rPr>
        <w:t>679 F.3d at 480. There, the employee had narcolepsy but had managed her commute until two changes occurred. First, she moved seventy-nine miles away from her job, so that her commute took two to four hours each way. Second, her employer changed the schedule for her department for efficiency reasons. The later schedule meant that [*17]  the employee had to commute during heavier traffic, which she found much more tiring and dangerous for her. She asked to modify her work schedule back to the earlier time she had managed to cope with, but the employer refused. She sued under the ADA, and the district court granted summary judgment for the employer.</w:t>
      </w:r>
    </w:p>
    <w:p w:rsidR="00022B47" w:rsidRDefault="00000000">
      <w:pPr>
        <w:pStyle w:val="Normal2"/>
        <w:widowControl w:val="0"/>
        <w:spacing w:before="200" w:line="260" w:lineRule="atLeast"/>
        <w:jc w:val="both"/>
      </w:pPr>
      <w:bookmarkStart w:id="334" w:name="Bookmark_para_29_1"/>
      <w:bookmarkStart w:id="335" w:name="Bookmark_I68VKRDT2SF7RS0030000400"/>
      <w:bookmarkStart w:id="336" w:name="Bookmark_I68VKRDT2SF7RS0050000400"/>
      <w:bookmarkEnd w:id="334"/>
      <w:bookmarkEnd w:id="335"/>
      <w:bookmarkEnd w:id="336"/>
      <w:r>
        <w:rPr>
          <w:rFonts w:ascii="Arial" w:eastAsia="Arial" w:hAnsi="Arial" w:cs="Arial"/>
          <w:color w:val="000000"/>
          <w:sz w:val="20"/>
        </w:rPr>
        <w:t xml:space="preserve">The Sixth Circuit affirmed, citing a non-precedential Ninth Circuit decision and several district court decisions denying similar accommodations on the theory that the relevant barriers were outside the work environment. </w:t>
      </w:r>
      <w:bookmarkStart w:id="337" w:name="Bookmark_I68VKRDT2SF7RS0020000400"/>
      <w:bookmarkEnd w:id="337"/>
      <w:r>
        <w:rPr>
          <w:rFonts w:ascii="Arial" w:eastAsia="Arial" w:hAnsi="Arial" w:cs="Arial"/>
          <w:color w:val="000000"/>
          <w:sz w:val="20"/>
        </w:rPr>
        <w:t xml:space="preserve">679 F.3d at 480. The opinion did not cite </w:t>
      </w:r>
      <w:bookmarkStart w:id="338" w:name="Bookmark_I68VKRDT2SF7RS0040000400"/>
      <w:bookmarkEnd w:id="338"/>
      <w:r>
        <w:rPr>
          <w:rFonts w:ascii="Arial" w:eastAsia="Arial" w:hAnsi="Arial" w:cs="Arial"/>
          <w:i/>
          <w:color w:val="000000"/>
          <w:sz w:val="20"/>
        </w:rPr>
        <w:t>Colwell</w:t>
      </w:r>
      <w:r>
        <w:rPr>
          <w:rFonts w:ascii="Arial" w:eastAsia="Arial" w:hAnsi="Arial" w:cs="Arial"/>
          <w:color w:val="000000"/>
          <w:sz w:val="20"/>
        </w:rPr>
        <w:t xml:space="preserve"> or </w:t>
      </w:r>
      <w:bookmarkStart w:id="339" w:name="Bookmark_I68VKRDT2SF7RS0050000400_2"/>
      <w:bookmarkStart w:id="340" w:name="Bookmark_I68VKRDT2SF7RS0030000400_2"/>
      <w:bookmarkStart w:id="341" w:name="Bookmark_I68VKRDT28T3WV0010000400"/>
      <w:bookmarkEnd w:id="339"/>
      <w:bookmarkEnd w:id="340"/>
      <w:bookmarkEnd w:id="341"/>
      <w:r>
        <w:rPr>
          <w:rFonts w:ascii="Arial" w:eastAsia="Arial" w:hAnsi="Arial" w:cs="Arial"/>
          <w:i/>
          <w:color w:val="000000"/>
          <w:sz w:val="20"/>
        </w:rPr>
        <w:t>Lyons</w:t>
      </w:r>
      <w:r>
        <w:rPr>
          <w:rFonts w:ascii="Arial" w:eastAsia="Arial" w:hAnsi="Arial" w:cs="Arial"/>
          <w:color w:val="000000"/>
          <w:sz w:val="20"/>
        </w:rPr>
        <w:t xml:space="preserve">. The Sixth Circuit also noted that the plaintiff had not presented evidence or argument supporting her theory that her proposed schedule would actually provide a commute with lighter traffic. The court summarized its decision in terms of convenience: the ADA "does not require [defendant] to accommodate Regan's request for a commute during more convenient hours." </w:t>
      </w:r>
      <w:r>
        <w:rPr>
          <w:rFonts w:ascii="Arial" w:eastAsia="Arial" w:hAnsi="Arial" w:cs="Arial"/>
          <w:i/>
          <w:color w:val="000000"/>
          <w:sz w:val="20"/>
        </w:rPr>
        <w:t>Id.</w:t>
      </w:r>
    </w:p>
    <w:p w:rsidR="00022B47" w:rsidRDefault="00000000">
      <w:pPr>
        <w:pStyle w:val="Normal2"/>
        <w:widowControl w:val="0"/>
        <w:spacing w:before="200" w:line="260" w:lineRule="atLeast"/>
        <w:jc w:val="both"/>
      </w:pPr>
      <w:bookmarkStart w:id="342" w:name="Bookmark_para_30_1"/>
      <w:bookmarkStart w:id="343" w:name="Bookmark_I68VKRDT28T3WV0040000400"/>
      <w:bookmarkEnd w:id="342"/>
      <w:bookmarkEnd w:id="343"/>
      <w:r>
        <w:rPr>
          <w:rFonts w:ascii="Arial" w:eastAsia="Arial" w:hAnsi="Arial" w:cs="Arial"/>
          <w:color w:val="000000"/>
          <w:sz w:val="20"/>
        </w:rPr>
        <w:t xml:space="preserve">Also supporting defendant Charter's position is the Tenth Circuit's decision in </w:t>
      </w:r>
      <w:bookmarkStart w:id="344" w:name="Bookmark_I68VKRDT28T3WV0030000400"/>
      <w:bookmarkEnd w:id="344"/>
      <w:r>
        <w:rPr>
          <w:rFonts w:ascii="Arial" w:eastAsia="Arial" w:hAnsi="Arial" w:cs="Arial"/>
          <w:i/>
          <w:color w:val="000000"/>
          <w:sz w:val="20"/>
        </w:rPr>
        <w:t>Unrein v. PHC-Fort Morgan, Inc.</w:t>
      </w:r>
      <w:r>
        <w:rPr>
          <w:rFonts w:ascii="Arial" w:eastAsia="Arial" w:hAnsi="Arial" w:cs="Arial"/>
          <w:color w:val="000000"/>
          <w:sz w:val="20"/>
        </w:rPr>
        <w:t xml:space="preserve">, which also presented facts close to this case, but with a few key differences. </w:t>
      </w:r>
      <w:bookmarkStart w:id="345" w:name="Bookmark_I68VKRDT28T3WV0050000400"/>
      <w:bookmarkEnd w:id="345"/>
      <w:r>
        <w:rPr>
          <w:rFonts w:ascii="Arial" w:eastAsia="Arial" w:hAnsi="Arial" w:cs="Arial"/>
          <w:color w:val="000000"/>
          <w:sz w:val="20"/>
        </w:rPr>
        <w:t>993 F.3d at 878-79. The employee there had been a dietitian at a hospital for nearly twenty years, with a one-way commute [*18]  of sixty miles. But she then developed an eye disease that rendered her legally blind. Once she got to work, she could do her job with magnifying equipment the employer had provided at her request. Getting to work was the problem. She could not drive herself, and public transportation and ride services were not available to her. She tried to count on family and friends for rides, but she could not get to work on a reliable schedule. She asked for an accommodation in the form of a flexible schedule, which she and the employer tried for fifteen months. The experiment was a failure. The employee's attendance was erratic and unreliable, and her employment ultimately ended. She sued under the ADA for failure to accommodate her vision disability. Entering judgment against her, the district court found that the plaintiff's physical presence at the hospital on a set and predictable schedule was an essential job function.</w:t>
      </w:r>
    </w:p>
    <w:p w:rsidR="00022B47" w:rsidRDefault="00000000">
      <w:pPr>
        <w:pStyle w:val="Normal2"/>
        <w:widowControl w:val="0"/>
        <w:spacing w:before="200" w:line="260" w:lineRule="atLeast"/>
        <w:jc w:val="both"/>
      </w:pPr>
      <w:bookmarkStart w:id="346" w:name="Bookmark_para_31_1"/>
      <w:bookmarkStart w:id="347" w:name="Bookmark_I68VKRDT2HM6BD0030000400"/>
      <w:bookmarkEnd w:id="346"/>
      <w:bookmarkEnd w:id="347"/>
      <w:r>
        <w:rPr>
          <w:rFonts w:ascii="Arial" w:eastAsia="Arial" w:hAnsi="Arial" w:cs="Arial"/>
          <w:color w:val="000000"/>
          <w:sz w:val="20"/>
        </w:rPr>
        <w:t xml:space="preserve">The Tenth Circuit affirmed. It found that the requested accommodation was "unreasonable, both as a matter of law and common sense." </w:t>
      </w:r>
      <w:bookmarkStart w:id="348" w:name="Bookmark_I68VKRDT2HM6BD0020000400"/>
      <w:bookmarkEnd w:id="348"/>
      <w:r>
        <w:rPr>
          <w:rFonts w:ascii="Arial" w:eastAsia="Arial" w:hAnsi="Arial" w:cs="Arial"/>
          <w:color w:val="000000"/>
          <w:sz w:val="20"/>
        </w:rPr>
        <w:t xml:space="preserve">993 F.3d at 878. </w:t>
      </w:r>
      <w:bookmarkStart w:id="349" w:name="Bookmark_I68VKRDT2HM6BD0050000400"/>
      <w:bookmarkEnd w:id="349"/>
      <w:r>
        <w:rPr>
          <w:rFonts w:ascii="Arial" w:eastAsia="Arial" w:hAnsi="Arial" w:cs="Arial"/>
          <w:color w:val="000000"/>
          <w:sz w:val="20"/>
        </w:rPr>
        <w:t xml:space="preserve">The accommodation would not have allowed plaintiff to fulfill the essential job function of being physically present on a predictable schedule. [*19]  </w:t>
      </w:r>
      <w:bookmarkStart w:id="350" w:name="Bookmark_I68VKRDT2HM6BD0050000400_2"/>
      <w:bookmarkStart w:id="351" w:name="Bookmark_I68VKRDT2N1R6D0020000400"/>
      <w:bookmarkEnd w:id="350"/>
      <w:bookmarkEnd w:id="351"/>
      <w:r>
        <w:rPr>
          <w:rFonts w:ascii="Arial" w:eastAsia="Arial" w:hAnsi="Arial" w:cs="Arial"/>
          <w:color w:val="000000"/>
          <w:sz w:val="20"/>
        </w:rPr>
        <w:t xml:space="preserve">The opinion observed more broadly that the plaintiff was seeking an accommodation for a transportation barrier, "a problem she faces outside the workplace unrelated to an essential job function or a privilege of employment." </w:t>
      </w:r>
      <w:r>
        <w:rPr>
          <w:rFonts w:ascii="Arial" w:eastAsia="Arial" w:hAnsi="Arial" w:cs="Arial"/>
          <w:i/>
          <w:color w:val="000000"/>
          <w:sz w:val="20"/>
        </w:rPr>
        <w:t>Id.</w:t>
      </w:r>
      <w:r>
        <w:rPr>
          <w:rFonts w:ascii="Arial" w:eastAsia="Arial" w:hAnsi="Arial" w:cs="Arial"/>
          <w:color w:val="000000"/>
          <w:sz w:val="20"/>
        </w:rPr>
        <w:t xml:space="preserve"> The employer did not and could not control where the plaintiff lived, whether public transit was available, or whether friends and family could give her rides, whereas plaintiff had the power on her own to eliminate the transportation barrier by moving closer to the hospital or finding more reliable rides. </w:t>
      </w:r>
      <w:bookmarkStart w:id="352" w:name="Bookmark_I68VKRDT2HM6BD0040000400"/>
      <w:bookmarkEnd w:id="352"/>
      <w:r>
        <w:rPr>
          <w:rFonts w:ascii="Arial" w:eastAsia="Arial" w:hAnsi="Arial" w:cs="Arial"/>
          <w:i/>
          <w:color w:val="000000"/>
          <w:sz w:val="20"/>
        </w:rPr>
        <w:t>Id.</w:t>
      </w:r>
      <w:r>
        <w:rPr>
          <w:rFonts w:ascii="Arial" w:eastAsia="Arial" w:hAnsi="Arial" w:cs="Arial"/>
          <w:color w:val="000000"/>
          <w:sz w:val="20"/>
        </w:rPr>
        <w:t xml:space="preserve"> at 878-79. </w:t>
      </w:r>
      <w:bookmarkStart w:id="353" w:name="Bookmark_LNHNREFclscc8_0"/>
      <w:bookmarkStart w:id="354" w:name="Bookmark_I68VKRDT2N1R6D0020000400_2"/>
      <w:bookmarkEnd w:id="353"/>
      <w:bookmarkEnd w:id="354"/>
      <w:r>
        <w:rPr>
          <w:rFonts w:ascii="Arial" w:eastAsia="Arial" w:hAnsi="Arial" w:cs="Arial"/>
          <w:color w:val="000000"/>
          <w:sz w:val="20"/>
        </w:rPr>
        <w:t xml:space="preserve">"Whether a transportation barrier is caused by a broken car or legal blindness and unreliable rides, the analysis of an employer's obligations should not change if transportation is unrelated to an essential job function and not a privilege of employment." </w:t>
      </w:r>
      <w:bookmarkStart w:id="355" w:name="Bookmark_I68VKRDT2N1R6D0010000400"/>
      <w:bookmarkEnd w:id="355"/>
      <w:r>
        <w:rPr>
          <w:rFonts w:ascii="Arial" w:eastAsia="Arial" w:hAnsi="Arial" w:cs="Arial"/>
          <w:i/>
          <w:color w:val="000000"/>
          <w:sz w:val="20"/>
        </w:rPr>
        <w:t>Id.</w:t>
      </w:r>
      <w:r>
        <w:rPr>
          <w:rFonts w:ascii="Arial" w:eastAsia="Arial" w:hAnsi="Arial" w:cs="Arial"/>
          <w:color w:val="000000"/>
          <w:sz w:val="20"/>
        </w:rPr>
        <w:t xml:space="preserve"> at 879.</w:t>
      </w:r>
      <w:r>
        <w:rPr>
          <w:rFonts w:ascii="Arial" w:eastAsia="Arial" w:hAnsi="Arial" w:cs="Arial"/>
          <w:vertAlign w:val="superscript"/>
        </w:rPr>
        <w:footnoteReference w:customMarkFollows="1" w:id="7"/>
        <w:t>1</w:t>
      </w:r>
    </w:p>
    <w:p w:rsidR="00022B47" w:rsidRDefault="00000000">
      <w:pPr>
        <w:pStyle w:val="Normal2"/>
        <w:widowControl w:val="0"/>
        <w:spacing w:before="200" w:line="260" w:lineRule="atLeast"/>
        <w:jc w:val="both"/>
      </w:pPr>
      <w:bookmarkStart w:id="371" w:name="Bookmark_para_32_1"/>
      <w:bookmarkStart w:id="372" w:name="Bookmark_I68VKRDV28T3WX0010000400"/>
      <w:bookmarkEnd w:id="371"/>
      <w:bookmarkEnd w:id="372"/>
      <w:r>
        <w:rPr>
          <w:rFonts w:ascii="Arial" w:eastAsia="Arial" w:hAnsi="Arial" w:cs="Arial"/>
          <w:color w:val="000000"/>
          <w:sz w:val="20"/>
        </w:rPr>
        <w:t xml:space="preserve">We could not follow all of the language in all four of these opinions, but we do not necessarily disagree with the results of any of these cases. </w:t>
      </w:r>
      <w:bookmarkStart w:id="373" w:name="Bookmark_I68VKRDV28T3WX0030000400"/>
      <w:bookmarkEnd w:id="373"/>
      <w:r>
        <w:rPr>
          <w:rFonts w:ascii="Arial" w:eastAsia="Arial" w:hAnsi="Arial" w:cs="Arial"/>
          <w:color w:val="000000"/>
          <w:sz w:val="20"/>
        </w:rPr>
        <w:t xml:space="preserve">The plaintiff in </w:t>
      </w:r>
      <w:bookmarkStart w:id="374" w:name="Bookmark_I68VKRDT2N1R6F0050000400"/>
      <w:bookmarkEnd w:id="374"/>
      <w:r>
        <w:rPr>
          <w:rFonts w:ascii="Arial" w:eastAsia="Arial" w:hAnsi="Arial" w:cs="Arial"/>
          <w:i/>
          <w:color w:val="000000"/>
          <w:sz w:val="20"/>
        </w:rPr>
        <w:t>Regan</w:t>
      </w:r>
      <w:r>
        <w:rPr>
          <w:rFonts w:ascii="Arial" w:eastAsia="Arial" w:hAnsi="Arial" w:cs="Arial"/>
          <w:color w:val="000000"/>
          <w:sz w:val="20"/>
        </w:rPr>
        <w:t xml:space="preserve"> had chosen to move much farther away from her job, and that choice aggravated the effects of her disability on her ability to commute safely. </w:t>
      </w:r>
      <w:bookmarkStart w:id="375" w:name="Bookmark_I68VKRDV28T3WX0030000400_2"/>
      <w:bookmarkEnd w:id="375"/>
      <w:r>
        <w:rPr>
          <w:rFonts w:ascii="Arial" w:eastAsia="Arial" w:hAnsi="Arial" w:cs="Arial"/>
          <w:color w:val="000000"/>
          <w:sz w:val="20"/>
        </w:rPr>
        <w:t xml:space="preserve">The plaintiff in </w:t>
      </w:r>
      <w:bookmarkStart w:id="376" w:name="Bookmark_I68VKRDV28T3WX0030000400_3"/>
      <w:bookmarkStart w:id="377" w:name="Bookmark_I68VKRDV28T3WX0020000400"/>
      <w:bookmarkEnd w:id="376"/>
      <w:bookmarkEnd w:id="377"/>
      <w:r>
        <w:rPr>
          <w:rFonts w:ascii="Arial" w:eastAsia="Arial" w:hAnsi="Arial" w:cs="Arial"/>
          <w:i/>
          <w:color w:val="000000"/>
          <w:sz w:val="20"/>
        </w:rPr>
        <w:t>Unrein</w:t>
      </w:r>
      <w:r>
        <w:rPr>
          <w:rFonts w:ascii="Arial" w:eastAsia="Arial" w:hAnsi="Arial" w:cs="Arial"/>
          <w:color w:val="000000"/>
          <w:sz w:val="20"/>
        </w:rPr>
        <w:t xml:space="preserve"> was asking for an accommodation that would have made it impossible for her to [*20]  meet the essential job function of being physically present on a reliable schedule.</w:t>
      </w:r>
    </w:p>
    <w:p w:rsidR="00022B47" w:rsidRDefault="00000000">
      <w:pPr>
        <w:pStyle w:val="Normal2"/>
        <w:widowControl w:val="0"/>
        <w:spacing w:before="200" w:line="260" w:lineRule="atLeast"/>
        <w:jc w:val="both"/>
      </w:pPr>
      <w:bookmarkStart w:id="378" w:name="Bookmark_para_33_0"/>
      <w:bookmarkEnd w:id="378"/>
      <w:r>
        <w:rPr>
          <w:rFonts w:ascii="Arial" w:eastAsia="Arial" w:hAnsi="Arial" w:cs="Arial"/>
          <w:color w:val="000000"/>
          <w:sz w:val="20"/>
        </w:rPr>
        <w:t xml:space="preserve">We offer two general observations about these cases: First, where a disability makes it difficult for an employee to travel to and from work safely, the employee usually controls some key variables, most important where the employee lives, but the employer controls another key variable, the work schedule. As if looking through opposite ends of a telescope, concentrating on the variables the employee controls weighs in favor of the employer, while concentrating on the employer's control over work schedules can weigh in favor of the employee. </w:t>
      </w:r>
      <w:bookmarkStart w:id="379" w:name="Bookmark_I68VKRDV28T3WX0050000400"/>
      <w:bookmarkEnd w:id="379"/>
      <w:r>
        <w:rPr>
          <w:rFonts w:ascii="Arial" w:eastAsia="Arial" w:hAnsi="Arial" w:cs="Arial"/>
          <w:color w:val="000000"/>
          <w:sz w:val="20"/>
        </w:rPr>
        <w:t xml:space="preserve">These cases present problems that arise from the </w:t>
      </w:r>
      <w:r>
        <w:rPr>
          <w:rFonts w:ascii="Arial" w:eastAsia="Arial" w:hAnsi="Arial" w:cs="Arial"/>
          <w:i/>
          <w:color w:val="000000"/>
          <w:sz w:val="20"/>
        </w:rPr>
        <w:t>combination</w:t>
      </w:r>
      <w:r>
        <w:rPr>
          <w:rFonts w:ascii="Arial" w:eastAsia="Arial" w:hAnsi="Arial" w:cs="Arial"/>
          <w:color w:val="000000"/>
          <w:sz w:val="20"/>
        </w:rPr>
        <w:t xml:space="preserve"> of employee choices and employer choices. Charter nonetheless invites us to draw a bright line between barriers inside the workplace, versus outside the workplace, directing us to EEOC enforcement guidance, </w:t>
      </w:r>
      <w:r>
        <w:rPr>
          <w:rFonts w:ascii="Arial" w:eastAsia="Arial" w:hAnsi="Arial" w:cs="Arial"/>
          <w:i/>
          <w:color w:val="000000"/>
          <w:sz w:val="20"/>
        </w:rPr>
        <w:t>EEOC Enforcement Guidance: Reasonable Accommodation and Undue Hardship Under the ADA</w:t>
      </w:r>
      <w:r>
        <w:rPr>
          <w:rFonts w:ascii="Arial" w:eastAsia="Arial" w:hAnsi="Arial" w:cs="Arial"/>
          <w:color w:val="000000"/>
          <w:sz w:val="20"/>
        </w:rPr>
        <w:t xml:space="preserve">, No. 915.002 (Oct. 17, 2002), https://www.eeoc.gov/laws/guidance/enforcement-guidance-reasonable-accommodation-and-undue-hardship-under-ada. Yet that guidance did not go so far as Charter argues. Rather, it advised that [*21]  workplace barriers may include "rules concerning when work is performed." </w:t>
      </w:r>
      <w:r>
        <w:rPr>
          <w:rFonts w:ascii="Arial" w:eastAsia="Arial" w:hAnsi="Arial" w:cs="Arial"/>
          <w:i/>
          <w:color w:val="000000"/>
          <w:sz w:val="20"/>
        </w:rPr>
        <w:t>Id.</w:t>
      </w:r>
      <w:r>
        <w:rPr>
          <w:rFonts w:ascii="Arial" w:eastAsia="Arial" w:hAnsi="Arial" w:cs="Arial"/>
          <w:color w:val="000000"/>
          <w:sz w:val="20"/>
        </w:rPr>
        <w:t xml:space="preserve">; see also </w:t>
      </w:r>
      <w:bookmarkStart w:id="380" w:name="Bookmark_I68VKRDV28T3WX0040000400"/>
      <w:bookmarkEnd w:id="380"/>
      <w:r>
        <w:rPr>
          <w:rFonts w:ascii="Arial" w:eastAsia="Arial" w:hAnsi="Arial" w:cs="Arial"/>
          <w:i/>
          <w:color w:val="000000"/>
          <w:sz w:val="20"/>
        </w:rPr>
        <w:t>Colwell</w:t>
      </w:r>
      <w:r>
        <w:rPr>
          <w:rFonts w:ascii="Arial" w:eastAsia="Arial" w:hAnsi="Arial" w:cs="Arial"/>
          <w:color w:val="000000"/>
          <w:sz w:val="20"/>
        </w:rPr>
        <w:t>, 602 F.3d at 506 (change in shifts could be reasonable accommodation for effects of disability on commuting safely). Given the statutory reference to modified work schedules as reasonable accommodations and the explanatory references in the legislative history, we decline to draw a bright line between accommodations at the employer's workplace and accommodations that address transportation problems.</w:t>
      </w:r>
    </w:p>
    <w:p w:rsidR="00022B47" w:rsidRDefault="00000000">
      <w:pPr>
        <w:pStyle w:val="Normal2"/>
        <w:widowControl w:val="0"/>
        <w:spacing w:before="200" w:line="260" w:lineRule="atLeast"/>
        <w:jc w:val="both"/>
      </w:pPr>
      <w:bookmarkStart w:id="381" w:name="Bookmark_para_34_0"/>
      <w:bookmarkEnd w:id="381"/>
      <w:r>
        <w:rPr>
          <w:rFonts w:ascii="Arial" w:eastAsia="Arial" w:hAnsi="Arial" w:cs="Arial"/>
          <w:color w:val="000000"/>
          <w:sz w:val="20"/>
        </w:rPr>
        <w:t xml:space="preserve">Second, we repeat that in most cases, an employer has no duty to help an employee with a disability with the method and means of his commute to and from work, assuming the employer does not offer such help to employees without disabilities. Charter warns of "potential unfettered abuse" in accommodation requests, again directing our attention to further EEOC guidance. See </w:t>
      </w:r>
      <w:r>
        <w:rPr>
          <w:rFonts w:ascii="Arial" w:eastAsia="Arial" w:hAnsi="Arial" w:cs="Arial"/>
          <w:i/>
          <w:color w:val="000000"/>
          <w:sz w:val="20"/>
        </w:rPr>
        <w:t>EEOC Informal Discussion Letter, ADA: Reasonable Accommodation</w:t>
      </w:r>
      <w:r>
        <w:rPr>
          <w:rFonts w:ascii="Arial" w:eastAsia="Arial" w:hAnsi="Arial" w:cs="Arial"/>
          <w:color w:val="000000"/>
          <w:sz w:val="20"/>
        </w:rPr>
        <w:t xml:space="preserve"> (June 20, 2001), https://www.eeoc.gov/foia/eeoc-informal-discussion-letter-47. That guidance also did not go as far as Charter argues. Rather, it recognized, just as we have, that "it is the employee's responsibility to arrange how s/he will get to and from work" while also recognizing that [*22]  "[r]easonable accommodation may be required to address other issues involving an employee's commute to and from work," such as "adjustment to his/her working hours if [public] transportation is limited ... ." </w:t>
      </w:r>
      <w:r>
        <w:rPr>
          <w:rFonts w:ascii="Arial" w:eastAsia="Arial" w:hAnsi="Arial" w:cs="Arial"/>
          <w:i/>
          <w:color w:val="000000"/>
          <w:sz w:val="20"/>
        </w:rPr>
        <w:t>Id.</w:t>
      </w:r>
      <w:r>
        <w:rPr>
          <w:rFonts w:ascii="Arial" w:eastAsia="Arial" w:hAnsi="Arial" w:cs="Arial"/>
          <w:color w:val="000000"/>
          <w:sz w:val="20"/>
        </w:rPr>
        <w:t xml:space="preserve"> </w:t>
      </w:r>
      <w:bookmarkStart w:id="382" w:name="Bookmark_LNHNREFclscc9_0"/>
      <w:bookmarkEnd w:id="382"/>
      <w:r>
        <w:rPr>
          <w:rFonts w:ascii="Arial" w:eastAsia="Arial" w:hAnsi="Arial" w:cs="Arial"/>
          <w:color w:val="000000"/>
          <w:sz w:val="20"/>
        </w:rPr>
        <w:t>In the relatively rare cases like this one, where an employee with a disability seeks an accommodation to make commuting safer, we expect the ADA's terms requiring that any accommodation be reasonable under the circumstances and not impose an undue burden on the employer (including other employees), as well as the statutory requirement that the employee with a disability be able to carry out the essential job functions, should protect employers from unreasonable demands. See 42 U.S.C. §§ 12111(8), (9) &amp; (10), 12112(b)(5).</w:t>
      </w:r>
    </w:p>
    <w:p w:rsidR="00022B47" w:rsidRDefault="00000000">
      <w:pPr>
        <w:pStyle w:val="Normal2"/>
        <w:widowControl w:val="0"/>
        <w:spacing w:before="200" w:line="260" w:lineRule="atLeast"/>
        <w:jc w:val="both"/>
      </w:pPr>
      <w:bookmarkStart w:id="383" w:name="Bookmark_para_35_0"/>
      <w:bookmarkStart w:id="384" w:name="Bookmark_I68VKRDV2HM6BG0020000400"/>
      <w:bookmarkStart w:id="385" w:name="Bookmark_I68VKRDV2D6NCD0010000400"/>
      <w:bookmarkEnd w:id="383"/>
      <w:bookmarkEnd w:id="384"/>
      <w:bookmarkEnd w:id="385"/>
      <w:r>
        <w:rPr>
          <w:rFonts w:ascii="Arial" w:eastAsia="Arial" w:hAnsi="Arial" w:cs="Arial"/>
          <w:color w:val="000000"/>
          <w:sz w:val="20"/>
        </w:rPr>
        <w:t xml:space="preserve">Before turning to the details as to whether Kimmons' request for an accommodation in this case was reasonable, we also explain why our decision in </w:t>
      </w:r>
      <w:bookmarkStart w:id="386" w:name="Bookmark_I68VKRDV2HM6BG0010000400"/>
      <w:bookmarkEnd w:id="386"/>
      <w:r>
        <w:rPr>
          <w:rFonts w:ascii="Arial" w:eastAsia="Arial" w:hAnsi="Arial" w:cs="Arial"/>
          <w:i/>
          <w:color w:val="000000"/>
          <w:sz w:val="20"/>
        </w:rPr>
        <w:t>Brumfield v. City of Chicago</w:t>
      </w:r>
      <w:r>
        <w:rPr>
          <w:rFonts w:ascii="Arial" w:eastAsia="Arial" w:hAnsi="Arial" w:cs="Arial"/>
          <w:color w:val="000000"/>
          <w:sz w:val="20"/>
        </w:rPr>
        <w:t xml:space="preserve">, 735 F.3d 619 (7th Cir. 2013), does not resolve this case. The district court here understood </w:t>
      </w:r>
      <w:r>
        <w:rPr>
          <w:rFonts w:ascii="Arial" w:eastAsia="Arial" w:hAnsi="Arial" w:cs="Arial"/>
          <w:i/>
          <w:color w:val="000000"/>
          <w:sz w:val="20"/>
        </w:rPr>
        <w:t>Brumfield</w:t>
      </w:r>
      <w:r>
        <w:rPr>
          <w:rFonts w:ascii="Arial" w:eastAsia="Arial" w:hAnsi="Arial" w:cs="Arial"/>
          <w:color w:val="000000"/>
          <w:sz w:val="20"/>
        </w:rPr>
        <w:t xml:space="preserve"> to hold that the ADA requires no accommodation if the employee's disability does not affect his ability to perform essential job functions once the employee is at work. </w:t>
      </w:r>
      <w:bookmarkStart w:id="387" w:name="Bookmark_I68VKRDV2HM6BG0030000400"/>
      <w:bookmarkEnd w:id="387"/>
      <w:r>
        <w:rPr>
          <w:rFonts w:ascii="Arial" w:eastAsia="Arial" w:hAnsi="Arial" w:cs="Arial"/>
          <w:i/>
          <w:color w:val="000000"/>
          <w:sz w:val="20"/>
        </w:rPr>
        <w:t>EEOC v. Charter Commc'ns</w:t>
      </w:r>
      <w:r>
        <w:rPr>
          <w:rFonts w:ascii="Arial" w:eastAsia="Arial" w:hAnsi="Arial" w:cs="Arial"/>
          <w:color w:val="000000"/>
          <w:sz w:val="20"/>
        </w:rPr>
        <w:t xml:space="preserve">, 2021 U.S. Dist. LEXIS 241026, 2021 WL 5988637, at *3. We do not read </w:t>
      </w:r>
      <w:r>
        <w:rPr>
          <w:rFonts w:ascii="Arial" w:eastAsia="Arial" w:hAnsi="Arial" w:cs="Arial"/>
          <w:i/>
          <w:color w:val="000000"/>
          <w:sz w:val="20"/>
        </w:rPr>
        <w:t>Brumfield</w:t>
      </w:r>
      <w:r>
        <w:rPr>
          <w:rFonts w:ascii="Arial" w:eastAsia="Arial" w:hAnsi="Arial" w:cs="Arial"/>
          <w:color w:val="000000"/>
          <w:sz w:val="20"/>
        </w:rPr>
        <w:t xml:space="preserve"> so broadly. The plaintiff in </w:t>
      </w:r>
      <w:r>
        <w:rPr>
          <w:rFonts w:ascii="Arial" w:eastAsia="Arial" w:hAnsi="Arial" w:cs="Arial"/>
          <w:i/>
          <w:color w:val="000000"/>
          <w:sz w:val="20"/>
        </w:rPr>
        <w:t>Brumfield</w:t>
      </w:r>
      <w:r>
        <w:rPr>
          <w:rFonts w:ascii="Arial" w:eastAsia="Arial" w:hAnsi="Arial" w:cs="Arial"/>
          <w:color w:val="000000"/>
          <w:sz w:val="20"/>
        </w:rPr>
        <w:t xml:space="preserve"> was a police officer who had been fired after [*23]  several incidents, including one in which she feigned an injury in front of her supervisor. </w:t>
      </w:r>
      <w:bookmarkStart w:id="388" w:name="Bookmark_I68VKRDV2HM6BG0050000400"/>
      <w:bookmarkEnd w:id="388"/>
      <w:r>
        <w:rPr>
          <w:rFonts w:ascii="Arial" w:eastAsia="Arial" w:hAnsi="Arial" w:cs="Arial"/>
          <w:color w:val="000000"/>
          <w:sz w:val="20"/>
        </w:rPr>
        <w:t>735 F.3d at 622-23. She had unspecified psychological problems that led to several evaluations of fitness for duty, but she passed those evaluations without anyone identifying any need for any workplace accommodations. The case presented a complex procedural history including several different suits and issues of claim preclusion, and our opinion addressed primarily the relationship between Title I and Title II of the ADA, holding that Title II does not apply to public employment issues, which are governed by Title I.</w:t>
      </w:r>
    </w:p>
    <w:p w:rsidR="00022B47" w:rsidRDefault="00000000">
      <w:pPr>
        <w:pStyle w:val="Normal2"/>
        <w:widowControl w:val="0"/>
        <w:spacing w:before="200" w:line="260" w:lineRule="atLeast"/>
        <w:jc w:val="both"/>
      </w:pPr>
      <w:bookmarkStart w:id="389" w:name="Bookmark_para_36_0"/>
      <w:bookmarkStart w:id="390" w:name="Bookmark_I68VKRDV2D6NCD0030000400"/>
      <w:bookmarkStart w:id="391" w:name="Bookmark_I68VKRDV2D6NCD0050000400"/>
      <w:bookmarkEnd w:id="389"/>
      <w:bookmarkEnd w:id="390"/>
      <w:bookmarkEnd w:id="391"/>
      <w:r>
        <w:rPr>
          <w:rFonts w:ascii="Arial" w:eastAsia="Arial" w:hAnsi="Arial" w:cs="Arial"/>
          <w:color w:val="000000"/>
          <w:sz w:val="20"/>
        </w:rPr>
        <w:t xml:space="preserve">The concluding portion of our opinion addressed the plaintiff's attempt to assert a claim for failure to accommodate, but, remarkably, the plaintiff never seems to have identified an accommodation she needed or wanted, and our opinion did not identify one either. See </w:t>
      </w:r>
      <w:bookmarkStart w:id="392" w:name="Bookmark_I68VKRDV2D6NCD0020000400"/>
      <w:bookmarkEnd w:id="392"/>
      <w:r>
        <w:rPr>
          <w:rFonts w:ascii="Arial" w:eastAsia="Arial" w:hAnsi="Arial" w:cs="Arial"/>
          <w:color w:val="000000"/>
          <w:sz w:val="20"/>
        </w:rPr>
        <w:t xml:space="preserve">735 F.3d at 630. The principal point of our rather abstract discussion of the duty to accommodate was that if the employee can do his or her job without any accommodation, the ADA does not require the employer to provide any. </w:t>
      </w:r>
      <w:bookmarkStart w:id="393" w:name="Bookmark_I68VKRDV2D6NCD0040000400"/>
      <w:bookmarkEnd w:id="393"/>
      <w:r>
        <w:rPr>
          <w:rFonts w:ascii="Arial" w:eastAsia="Arial" w:hAnsi="Arial" w:cs="Arial"/>
          <w:i/>
          <w:color w:val="000000"/>
          <w:sz w:val="20"/>
        </w:rPr>
        <w:t>Id.</w:t>
      </w:r>
      <w:r>
        <w:rPr>
          <w:rFonts w:ascii="Arial" w:eastAsia="Arial" w:hAnsi="Arial" w:cs="Arial"/>
          <w:color w:val="000000"/>
          <w:sz w:val="20"/>
        </w:rPr>
        <w:t xml:space="preserve"> at 632. </w:t>
      </w:r>
      <w:bookmarkStart w:id="394" w:name="Bookmark_I68VKRDV2SF7RX0020000400"/>
      <w:bookmarkEnd w:id="394"/>
      <w:r>
        <w:rPr>
          <w:rFonts w:ascii="Arial" w:eastAsia="Arial" w:hAnsi="Arial" w:cs="Arial"/>
          <w:color w:val="000000"/>
          <w:sz w:val="20"/>
        </w:rPr>
        <w:t xml:space="preserve">That was clearly correct as applied to Brumfield, who apparently did not identify any accommodation she needed or even wanted, other than possibly [*24]  the right to engage in unprofessional conduct at work, such as feigning injuries. We simply did not address in </w:t>
      </w:r>
      <w:r>
        <w:rPr>
          <w:rFonts w:ascii="Arial" w:eastAsia="Arial" w:hAnsi="Arial" w:cs="Arial"/>
          <w:i/>
          <w:color w:val="000000"/>
          <w:sz w:val="20"/>
        </w:rPr>
        <w:t>Brumfield</w:t>
      </w:r>
      <w:r>
        <w:rPr>
          <w:rFonts w:ascii="Arial" w:eastAsia="Arial" w:hAnsi="Arial" w:cs="Arial"/>
          <w:color w:val="000000"/>
          <w:sz w:val="20"/>
        </w:rPr>
        <w:t xml:space="preserve"> the more nuanced problems that can arise regarding attendance at work, as in this case, including the statutory reference to modified work schedules and the legislative history references to employees without accessible public transit, or accommodations that may be needed for an employee with a disability to perform essential job functions more safely or less painfully. See, e.g., </w:t>
      </w:r>
      <w:bookmarkStart w:id="395" w:name="Bookmark_I68VKRDV2SF7RX0010000400"/>
      <w:bookmarkEnd w:id="395"/>
      <w:r>
        <w:rPr>
          <w:rFonts w:ascii="Arial" w:eastAsia="Arial" w:hAnsi="Arial" w:cs="Arial"/>
          <w:i/>
          <w:color w:val="000000"/>
          <w:sz w:val="20"/>
        </w:rPr>
        <w:t>Hill v. Associates for Renewal in Educ., Inc.</w:t>
      </w:r>
      <w:r>
        <w:rPr>
          <w:rFonts w:ascii="Arial" w:eastAsia="Arial" w:hAnsi="Arial" w:cs="Arial"/>
          <w:color w:val="000000"/>
          <w:sz w:val="20"/>
        </w:rPr>
        <w:t xml:space="preserve">, 897 F.3d 232, 234, 239, 437 U.S. App. D.C. 379 (D.C. Cir. 2018) (reversing summary judgment against employee and holding that employee's disability from amputated leg made job functions "difficult and painful" and a "reasonable jury could conclude that forcing [the employee] to work with pain when that pain could be alleviated by his requested accommodation violates the ADA."). Our opinion in </w:t>
      </w:r>
      <w:r>
        <w:rPr>
          <w:rFonts w:ascii="Arial" w:eastAsia="Arial" w:hAnsi="Arial" w:cs="Arial"/>
          <w:i/>
          <w:color w:val="000000"/>
          <w:sz w:val="20"/>
        </w:rPr>
        <w:t>Brumfield</w:t>
      </w:r>
      <w:r>
        <w:rPr>
          <w:rFonts w:ascii="Arial" w:eastAsia="Arial" w:hAnsi="Arial" w:cs="Arial"/>
          <w:color w:val="000000"/>
          <w:sz w:val="20"/>
        </w:rPr>
        <w:t xml:space="preserve"> should not be read as holding that the ADA imposes no duty to offer reasonable accommodations that affect safety or pain that an employee may be motivated to overcome. In any event, the parties all agree here that attendance at work was an essential job function for Kimmons, and evidence would support a finding that the requested accommodation here would [*25]  have allowed him to meet that requirement more safely.</w:t>
      </w:r>
    </w:p>
    <w:p w:rsidR="00022B47" w:rsidRDefault="00000000">
      <w:pPr>
        <w:pStyle w:val="Normal2"/>
        <w:widowControl w:val="0"/>
        <w:spacing w:before="120" w:line="260" w:lineRule="atLeast"/>
      </w:pPr>
      <w:r>
        <w:rPr>
          <w:rFonts w:ascii="Arial" w:eastAsia="Arial" w:hAnsi="Arial" w:cs="Arial"/>
          <w:color w:val="000000"/>
          <w:sz w:val="20"/>
        </w:rPr>
        <w:t xml:space="preserve">IV. </w:t>
      </w:r>
      <w:r>
        <w:rPr>
          <w:rFonts w:ascii="Arial" w:eastAsia="Arial" w:hAnsi="Arial" w:cs="Arial"/>
          <w:i/>
          <w:color w:val="000000"/>
          <w:sz w:val="20"/>
        </w:rPr>
        <w:t>Kimmons' Requested Accommodation</w:t>
      </w:r>
    </w:p>
    <w:p w:rsidR="00022B47" w:rsidRDefault="00000000">
      <w:pPr>
        <w:pStyle w:val="Normal2"/>
        <w:widowControl w:val="0"/>
        <w:spacing w:before="120" w:line="260" w:lineRule="atLeast"/>
      </w:pPr>
      <w:r>
        <w:rPr>
          <w:rFonts w:ascii="Arial" w:eastAsia="Arial" w:hAnsi="Arial" w:cs="Arial"/>
          <w:color w:val="000000"/>
          <w:sz w:val="20"/>
        </w:rPr>
        <w:t xml:space="preserve">A. </w:t>
      </w:r>
      <w:r>
        <w:rPr>
          <w:rFonts w:ascii="Arial" w:eastAsia="Arial" w:hAnsi="Arial" w:cs="Arial"/>
          <w:i/>
          <w:color w:val="000000"/>
          <w:sz w:val="20"/>
        </w:rPr>
        <w:t>Case-by-Case Evaluation of Scheduling Issues</w:t>
      </w:r>
    </w:p>
    <w:p w:rsidR="00022B47" w:rsidRDefault="00000000">
      <w:pPr>
        <w:pStyle w:val="Normal2"/>
        <w:widowControl w:val="0"/>
        <w:spacing w:before="200" w:line="260" w:lineRule="atLeast"/>
        <w:jc w:val="both"/>
      </w:pPr>
      <w:bookmarkStart w:id="396" w:name="Bookmark_para_37_0"/>
      <w:bookmarkStart w:id="397" w:name="Bookmark_LNHNREFclscc10_0"/>
      <w:bookmarkStart w:id="398" w:name="Bookmark_I68VKRDV2SF7RX0040000400"/>
      <w:bookmarkStart w:id="399" w:name="Bookmark_I68VKRDV2D6NCG0010000400"/>
      <w:bookmarkEnd w:id="396"/>
      <w:bookmarkEnd w:id="397"/>
      <w:bookmarkEnd w:id="398"/>
      <w:bookmarkEnd w:id="399"/>
      <w:r>
        <w:rPr>
          <w:rFonts w:ascii="Arial" w:eastAsia="Arial" w:hAnsi="Arial" w:cs="Arial"/>
          <w:color w:val="000000"/>
          <w:sz w:val="20"/>
        </w:rPr>
        <w:t xml:space="preserve">From what we have said, deciding whether a work-schedule accommodation of a disability that affects a commute is reasonable depends on a highly fact-specific inquiry that considers the needs of both employer and employee. The employee bears the burden to make a preliminary showing that his requested accommodation is reasonable on its face. 42 U.S.C. §§ 12111(10) &amp; 12112(b)(5)(A); </w:t>
      </w:r>
      <w:bookmarkStart w:id="400" w:name="Bookmark_I68VKRDV2SF7RX0030000400"/>
      <w:bookmarkEnd w:id="400"/>
      <w:r>
        <w:rPr>
          <w:rFonts w:ascii="Arial" w:eastAsia="Arial" w:hAnsi="Arial" w:cs="Arial"/>
          <w:i/>
          <w:color w:val="000000"/>
          <w:sz w:val="20"/>
        </w:rPr>
        <w:t>U.S. Airways, Inc. v. Barnett</w:t>
      </w:r>
      <w:r>
        <w:rPr>
          <w:rFonts w:ascii="Arial" w:eastAsia="Arial" w:hAnsi="Arial" w:cs="Arial"/>
          <w:color w:val="000000"/>
          <w:sz w:val="20"/>
        </w:rPr>
        <w:t xml:space="preserve">, 535 U.S. 391, 401-02, 122 S. Ct. 1516, 152 L. Ed. 2d 589 (2002). </w:t>
      </w:r>
      <w:bookmarkStart w:id="401" w:name="Bookmark_I68VKRDV2D6NCG0030000400"/>
      <w:bookmarkEnd w:id="401"/>
      <w:r>
        <w:rPr>
          <w:rFonts w:ascii="Arial" w:eastAsia="Arial" w:hAnsi="Arial" w:cs="Arial"/>
          <w:color w:val="000000"/>
          <w:sz w:val="20"/>
        </w:rPr>
        <w:t xml:space="preserve">An employer may defend on the grounds that no accommodations would be reasonable and/or that the proposed accommodations would impose an undue hardship on its operations, with the employer bearing the burden of showing undue hardship. § 12112(b)(5)(A); </w:t>
      </w:r>
      <w:bookmarkStart w:id="402" w:name="Bookmark_I68VKRDV2SF7RX0050000400"/>
      <w:bookmarkEnd w:id="402"/>
      <w:r>
        <w:rPr>
          <w:rFonts w:ascii="Arial" w:eastAsia="Arial" w:hAnsi="Arial" w:cs="Arial"/>
          <w:i/>
          <w:color w:val="000000"/>
          <w:sz w:val="20"/>
        </w:rPr>
        <w:t>Conners v. Wilkie</w:t>
      </w:r>
      <w:r>
        <w:rPr>
          <w:rFonts w:ascii="Arial" w:eastAsia="Arial" w:hAnsi="Arial" w:cs="Arial"/>
          <w:color w:val="000000"/>
          <w:sz w:val="20"/>
        </w:rPr>
        <w:t xml:space="preserve">, 984 F.3d 1255, 1260 (7th Cir. 2021). </w:t>
      </w:r>
      <w:bookmarkStart w:id="403" w:name="Bookmark_I68VKRDV2D6NCG0030000400_2"/>
      <w:bookmarkEnd w:id="403"/>
      <w:r>
        <w:rPr>
          <w:rFonts w:ascii="Arial" w:eastAsia="Arial" w:hAnsi="Arial" w:cs="Arial"/>
          <w:color w:val="000000"/>
          <w:sz w:val="20"/>
        </w:rPr>
        <w:t xml:space="preserve">Many factors may be relevant, including the efficacy of a proposed accommodation and its effects on the employer's business operation, effects on other employees' workloads and schedules, and in some cases effects on seniority systems and collective bargaining agreements. See generally § 12111(10); </w:t>
      </w:r>
      <w:bookmarkStart w:id="404" w:name="Bookmark_I68VKRDV2D6NCG0020000400"/>
      <w:bookmarkEnd w:id="404"/>
      <w:r>
        <w:rPr>
          <w:rFonts w:ascii="Arial" w:eastAsia="Arial" w:hAnsi="Arial" w:cs="Arial"/>
          <w:i/>
          <w:color w:val="000000"/>
          <w:sz w:val="20"/>
        </w:rPr>
        <w:t>Barnett</w:t>
      </w:r>
      <w:r>
        <w:rPr>
          <w:rFonts w:ascii="Arial" w:eastAsia="Arial" w:hAnsi="Arial" w:cs="Arial"/>
          <w:color w:val="000000"/>
          <w:sz w:val="20"/>
        </w:rPr>
        <w:t>, 535 U.S. at 400-02. The analysis should emphasize employee responsibility for the factors within the employee's control, without losing sight of the employer's control over work schedules.</w:t>
      </w:r>
    </w:p>
    <w:p w:rsidR="00022B47" w:rsidRDefault="00000000">
      <w:pPr>
        <w:pStyle w:val="Normal2"/>
        <w:widowControl w:val="0"/>
        <w:spacing w:before="120" w:line="260" w:lineRule="atLeast"/>
      </w:pPr>
      <w:r>
        <w:rPr>
          <w:rFonts w:ascii="Arial" w:eastAsia="Arial" w:hAnsi="Arial" w:cs="Arial"/>
          <w:color w:val="000000"/>
          <w:sz w:val="20"/>
        </w:rPr>
        <w:t xml:space="preserve">1. </w:t>
      </w:r>
      <w:r>
        <w:rPr>
          <w:rFonts w:ascii="Arial" w:eastAsia="Arial" w:hAnsi="Arial" w:cs="Arial"/>
          <w:i/>
          <w:color w:val="000000"/>
          <w:sz w:val="20"/>
        </w:rPr>
        <w:t>Accommodating [*26]  a Disability, Not Personal Preferences</w:t>
      </w:r>
    </w:p>
    <w:p w:rsidR="00022B47" w:rsidRDefault="00000000">
      <w:pPr>
        <w:pStyle w:val="Normal2"/>
        <w:widowControl w:val="0"/>
        <w:spacing w:before="200" w:line="260" w:lineRule="atLeast"/>
        <w:jc w:val="both"/>
      </w:pPr>
      <w:bookmarkStart w:id="405" w:name="Bookmark_para_38_0"/>
      <w:bookmarkStart w:id="406" w:name="Bookmark_LNHNREFclscc11_0"/>
      <w:bookmarkEnd w:id="405"/>
      <w:bookmarkEnd w:id="406"/>
      <w:r>
        <w:rPr>
          <w:rFonts w:ascii="Arial" w:eastAsia="Arial" w:hAnsi="Arial" w:cs="Arial"/>
          <w:color w:val="000000"/>
          <w:sz w:val="20"/>
        </w:rPr>
        <w:t xml:space="preserve">An employee's proposed accommodation must ameliorate the disability, not merely serve personal preferences or convenience. </w:t>
      </w:r>
      <w:bookmarkStart w:id="407" w:name="Bookmark_I68VKRDV2D6NCG0050000400"/>
      <w:bookmarkEnd w:id="407"/>
      <w:r>
        <w:rPr>
          <w:rFonts w:ascii="Arial" w:eastAsia="Arial" w:hAnsi="Arial" w:cs="Arial"/>
          <w:color w:val="000000"/>
          <w:sz w:val="20"/>
        </w:rPr>
        <w:t xml:space="preserve">For disability-related difficulties getting to and from the workplace, the employee must still show how an obstacle or risk of harm could affect an essential function, but that may include workplace attendance. The employee must also show that the requested accommodation would be effective. </w:t>
      </w:r>
      <w:bookmarkStart w:id="408" w:name="Bookmark_I68VKRDV2D6NCJ0010000400"/>
      <w:bookmarkStart w:id="409" w:name="Bookmark_I68VKRDV2D6NCG0040000400"/>
      <w:bookmarkEnd w:id="408"/>
      <w:bookmarkEnd w:id="409"/>
      <w:r>
        <w:rPr>
          <w:rFonts w:ascii="Arial" w:eastAsia="Arial" w:hAnsi="Arial" w:cs="Arial"/>
          <w:i/>
          <w:color w:val="000000"/>
          <w:sz w:val="20"/>
        </w:rPr>
        <w:t>Gile II</w:t>
      </w:r>
      <w:r>
        <w:rPr>
          <w:rFonts w:ascii="Arial" w:eastAsia="Arial" w:hAnsi="Arial" w:cs="Arial"/>
          <w:color w:val="000000"/>
          <w:sz w:val="20"/>
        </w:rPr>
        <w:t xml:space="preserve">, 213 F.3d at 372 ("an employer need not grant a disabled employee's request for an accommodation that would be an 'inefficacious change'"), quoting </w:t>
      </w:r>
      <w:bookmarkStart w:id="410" w:name="Bookmark_I68VKRDV2N1R6M0010000400"/>
      <w:bookmarkEnd w:id="410"/>
      <w:r>
        <w:rPr>
          <w:rFonts w:ascii="Arial" w:eastAsia="Arial" w:hAnsi="Arial" w:cs="Arial"/>
          <w:i/>
          <w:color w:val="000000"/>
          <w:sz w:val="20"/>
        </w:rPr>
        <w:t>Vande Zande v. Wisconsin Dep't of Admin.</w:t>
      </w:r>
      <w:r>
        <w:rPr>
          <w:rFonts w:ascii="Arial" w:eastAsia="Arial" w:hAnsi="Arial" w:cs="Arial"/>
          <w:color w:val="000000"/>
          <w:sz w:val="20"/>
        </w:rPr>
        <w:t xml:space="preserve">, 44 F.3d 538, 542 (7th Cir. 1995); see also </w:t>
      </w:r>
      <w:bookmarkStart w:id="411" w:name="Bookmark_I68VKRDV2N1R6M0030000400"/>
      <w:bookmarkEnd w:id="411"/>
      <w:r>
        <w:rPr>
          <w:rFonts w:ascii="Arial" w:eastAsia="Arial" w:hAnsi="Arial" w:cs="Arial"/>
          <w:i/>
          <w:color w:val="000000"/>
          <w:sz w:val="20"/>
        </w:rPr>
        <w:t>Regan</w:t>
      </w:r>
      <w:r>
        <w:rPr>
          <w:rFonts w:ascii="Arial" w:eastAsia="Arial" w:hAnsi="Arial" w:cs="Arial"/>
          <w:color w:val="000000"/>
          <w:sz w:val="20"/>
        </w:rPr>
        <w:t xml:space="preserve">, 679 F.3d at 478-80 (employee failed to show schedule change would actually ease burden on her; request seemed to address convenience rather than need). </w:t>
      </w:r>
      <w:bookmarkStart w:id="412" w:name="Bookmark_I68VKRDV2D6NCJ0010000400_2"/>
      <w:bookmarkEnd w:id="412"/>
      <w:r>
        <w:rPr>
          <w:rFonts w:ascii="Arial" w:eastAsia="Arial" w:hAnsi="Arial" w:cs="Arial"/>
          <w:color w:val="000000"/>
          <w:sz w:val="20"/>
        </w:rPr>
        <w:t xml:space="preserve">Without strong justification, all that remains is a "non-work related barrier[ ] created by personal lifestyle choices," which the ADA does not require the employer to help remedy. </w:t>
      </w:r>
      <w:bookmarkStart w:id="413" w:name="Bookmark_I68VKRDV2N1R6M0050000400"/>
      <w:bookmarkEnd w:id="413"/>
      <w:r>
        <w:rPr>
          <w:rFonts w:ascii="Arial" w:eastAsia="Arial" w:hAnsi="Arial" w:cs="Arial"/>
          <w:i/>
          <w:color w:val="000000"/>
          <w:sz w:val="20"/>
        </w:rPr>
        <w:t>Unrein</w:t>
      </w:r>
      <w:r>
        <w:rPr>
          <w:rFonts w:ascii="Arial" w:eastAsia="Arial" w:hAnsi="Arial" w:cs="Arial"/>
          <w:color w:val="000000"/>
          <w:sz w:val="20"/>
        </w:rPr>
        <w:t>, 993 F.3d at 874.</w:t>
      </w:r>
    </w:p>
    <w:p w:rsidR="00022B47" w:rsidRDefault="00000000">
      <w:pPr>
        <w:pStyle w:val="Normal2"/>
        <w:widowControl w:val="0"/>
        <w:spacing w:before="200" w:line="260" w:lineRule="atLeast"/>
        <w:jc w:val="both"/>
      </w:pPr>
      <w:bookmarkStart w:id="414" w:name="Bookmark_para_39"/>
      <w:bookmarkStart w:id="415" w:name="Bookmark_LNHNREFclscc12_0"/>
      <w:bookmarkStart w:id="416" w:name="Bookmark_I68VKRDV2D6NCJ0030000400"/>
      <w:bookmarkEnd w:id="414"/>
      <w:bookmarkEnd w:id="415"/>
      <w:bookmarkEnd w:id="416"/>
      <w:r>
        <w:rPr>
          <w:rFonts w:ascii="Arial" w:eastAsia="Arial" w:hAnsi="Arial" w:cs="Arial"/>
          <w:color w:val="000000"/>
          <w:sz w:val="20"/>
        </w:rPr>
        <w:t xml:space="preserve">We recognize that employees with and without disabilities usually choose where to live and have a variety of options available to reach their workplaces. Employers usually bear no responsibility for helping an employee with a disability commute to and from work. Reliable and accessible public [*27]  transportation, carpooling, or simply moving closer to the job may make it "common sense" in many cases that the commute-related barrier is one the employee alone "has the power to eliminate." See </w:t>
      </w:r>
      <w:bookmarkStart w:id="417" w:name="Bookmark_I68VKRDV2D6NCJ0020000400"/>
      <w:bookmarkEnd w:id="417"/>
      <w:r>
        <w:rPr>
          <w:rFonts w:ascii="Arial" w:eastAsia="Arial" w:hAnsi="Arial" w:cs="Arial"/>
          <w:i/>
          <w:color w:val="000000"/>
          <w:sz w:val="20"/>
        </w:rPr>
        <w:t>Unrein</w:t>
      </w:r>
      <w:r>
        <w:rPr>
          <w:rFonts w:ascii="Arial" w:eastAsia="Arial" w:hAnsi="Arial" w:cs="Arial"/>
          <w:color w:val="000000"/>
          <w:sz w:val="20"/>
        </w:rPr>
        <w:t>, 993 F.3d at 878-79.</w:t>
      </w:r>
    </w:p>
    <w:p w:rsidR="00022B47" w:rsidRDefault="00000000">
      <w:pPr>
        <w:pStyle w:val="Normal2"/>
        <w:widowControl w:val="0"/>
        <w:spacing w:before="200" w:line="260" w:lineRule="atLeast"/>
        <w:jc w:val="both"/>
      </w:pPr>
      <w:bookmarkStart w:id="418" w:name="Bookmark_para_40"/>
      <w:bookmarkEnd w:id="418"/>
      <w:r>
        <w:rPr>
          <w:rFonts w:ascii="Arial" w:eastAsia="Arial" w:hAnsi="Arial" w:cs="Arial"/>
          <w:color w:val="000000"/>
          <w:sz w:val="20"/>
        </w:rPr>
        <w:t>At the same time, courts should focus on the precise accommodation at issue, for it may well be that a temporary accommodation at work may enable an employee to stay on the job while making longer-term changes, such as moving closer to the job and/or moving within reach of public transit. That's the sort of temporary accommodation that Charter denied Kimmons in this case when he asked for an additional thirty days of an earlier work schedule while he tried to arrange a move.</w:t>
      </w:r>
    </w:p>
    <w:p w:rsidR="00022B47" w:rsidRDefault="00000000">
      <w:pPr>
        <w:pStyle w:val="Normal2"/>
        <w:widowControl w:val="0"/>
        <w:spacing w:before="200" w:line="260" w:lineRule="atLeast"/>
        <w:jc w:val="both"/>
      </w:pPr>
      <w:bookmarkStart w:id="419" w:name="Bookmark_para_41"/>
      <w:bookmarkStart w:id="420" w:name="Bookmark_LNHNREFclscc13_0"/>
      <w:bookmarkStart w:id="421" w:name="Bookmark_I68VKRDV2D6NCJ0050000400"/>
      <w:bookmarkEnd w:id="419"/>
      <w:bookmarkEnd w:id="420"/>
      <w:bookmarkEnd w:id="421"/>
      <w:r>
        <w:rPr>
          <w:rFonts w:ascii="Arial" w:eastAsia="Arial" w:hAnsi="Arial" w:cs="Arial"/>
          <w:color w:val="000000"/>
          <w:sz w:val="20"/>
        </w:rPr>
        <w:t xml:space="preserve">Whether an employee with a disability can show that his or her commuting situation is the unusual exception requiring accommodation from an employer will depend on many facts, including the benefits of the accommodation, alternatives to the accommodation, the cost to the employer, and consequences for others. An employee who has chosen to live far from the workplace or failed to take advantage of other reasonable options, including public transportation, will rarely if ever be entitled to an employer's help in remedying [*28]  the problems. See, e.g., </w:t>
      </w:r>
      <w:bookmarkStart w:id="422" w:name="Bookmark_I68VKRDV2D6NCJ0040000400"/>
      <w:bookmarkEnd w:id="422"/>
      <w:r>
        <w:rPr>
          <w:rFonts w:ascii="Arial" w:eastAsia="Arial" w:hAnsi="Arial" w:cs="Arial"/>
          <w:i/>
          <w:color w:val="000000"/>
          <w:sz w:val="20"/>
        </w:rPr>
        <w:t>Regan</w:t>
      </w:r>
      <w:r>
        <w:rPr>
          <w:rFonts w:ascii="Arial" w:eastAsia="Arial" w:hAnsi="Arial" w:cs="Arial"/>
          <w:color w:val="000000"/>
          <w:sz w:val="20"/>
        </w:rPr>
        <w:t xml:space="preserve">, 679 F.3d at 478 (employee chose to move seventy-nine miles away from workplace); </w:t>
      </w:r>
      <w:bookmarkStart w:id="423" w:name="Bookmark_I68VKRDV2SF7S20010000400"/>
      <w:bookmarkEnd w:id="423"/>
      <w:r>
        <w:rPr>
          <w:rFonts w:ascii="Arial" w:eastAsia="Arial" w:hAnsi="Arial" w:cs="Arial"/>
          <w:i/>
          <w:color w:val="000000"/>
          <w:sz w:val="20"/>
        </w:rPr>
        <w:t>Kimble v. Potter</w:t>
      </w:r>
      <w:r>
        <w:rPr>
          <w:rFonts w:ascii="Arial" w:eastAsia="Arial" w:hAnsi="Arial" w:cs="Arial"/>
          <w:color w:val="000000"/>
          <w:sz w:val="20"/>
        </w:rPr>
        <w:t xml:space="preserve">, No. 06 C 2589, 2009 U.S. Dist. LEXIS 60303, 2009 WL 2045379, at *7-8 (N.D. Ill. July 13, 2009) (granting summary judgment against disabled employee where employee "did not assist herself ... by relocating to an area ... that substantially lengthened her commute, or by ignoring altogether Chicago's extensive public transportation system"); but see, e.g., </w:t>
      </w:r>
      <w:bookmarkStart w:id="424" w:name="Bookmark_I68VKRDV2SF7S20030000400"/>
      <w:bookmarkEnd w:id="424"/>
      <w:r>
        <w:rPr>
          <w:rFonts w:ascii="Arial" w:eastAsia="Arial" w:hAnsi="Arial" w:cs="Arial"/>
          <w:i/>
          <w:color w:val="000000"/>
          <w:sz w:val="20"/>
        </w:rPr>
        <w:t>Fuller v. Belleville Area Cmty. Coll. Dist. No. 522</w:t>
      </w:r>
      <w:r>
        <w:rPr>
          <w:rFonts w:ascii="Arial" w:eastAsia="Arial" w:hAnsi="Arial" w:cs="Arial"/>
          <w:color w:val="000000"/>
          <w:sz w:val="20"/>
        </w:rPr>
        <w:t>, No. 3:18-cv-01123-GCS, 2020 U.S. Dist. LEXIS 46708, 2020 WL 1287743, at *1 (N.D. Ill. Mar. 18, 2020) (denying motion to dismiss where employer rejected request for transfer to closer facility after employer relocated its workplace to location that required vision-impaired employee to commute up to eight hours on public transportation).</w:t>
      </w:r>
    </w:p>
    <w:p w:rsidR="00022B47" w:rsidRDefault="00000000">
      <w:pPr>
        <w:pStyle w:val="Normal2"/>
        <w:widowControl w:val="0"/>
        <w:spacing w:before="120" w:line="260" w:lineRule="atLeast"/>
      </w:pPr>
      <w:r>
        <w:rPr>
          <w:rFonts w:ascii="Arial" w:eastAsia="Arial" w:hAnsi="Arial" w:cs="Arial"/>
          <w:color w:val="000000"/>
          <w:sz w:val="20"/>
        </w:rPr>
        <w:t xml:space="preserve">2. </w:t>
      </w:r>
      <w:r>
        <w:rPr>
          <w:rFonts w:ascii="Arial" w:eastAsia="Arial" w:hAnsi="Arial" w:cs="Arial"/>
          <w:i/>
          <w:color w:val="000000"/>
          <w:sz w:val="20"/>
        </w:rPr>
        <w:t>Undue Hardship on the Employer</w:t>
      </w:r>
    </w:p>
    <w:p w:rsidR="00022B47" w:rsidRDefault="00000000">
      <w:pPr>
        <w:pStyle w:val="Normal2"/>
        <w:widowControl w:val="0"/>
        <w:spacing w:before="200" w:line="260" w:lineRule="atLeast"/>
        <w:jc w:val="both"/>
      </w:pPr>
      <w:bookmarkStart w:id="425" w:name="Bookmark_para_42"/>
      <w:bookmarkStart w:id="426" w:name="Bookmark_LNHNREFclscc14_0"/>
      <w:bookmarkStart w:id="427" w:name="Bookmark_I68VKRDW2N1R6T0010000400"/>
      <w:bookmarkEnd w:id="425"/>
      <w:bookmarkEnd w:id="426"/>
      <w:bookmarkEnd w:id="427"/>
      <w:r>
        <w:rPr>
          <w:rFonts w:ascii="Arial" w:eastAsia="Arial" w:hAnsi="Arial" w:cs="Arial"/>
          <w:color w:val="000000"/>
          <w:sz w:val="20"/>
        </w:rPr>
        <w:t xml:space="preserve">Even if the employee makes his preliminary showing, the employer can show the requested accommodation's costs or other burdens are undue. 42 U.S.C. § 12111(10). For example, the employee's proposed accommodation must not pose a "prohibitively weighty" administrative burden on the employer. In </w:t>
      </w:r>
      <w:bookmarkStart w:id="428" w:name="Bookmark_I68VKRDV2SF7S20050000400"/>
      <w:bookmarkEnd w:id="428"/>
      <w:r>
        <w:rPr>
          <w:rFonts w:ascii="Arial" w:eastAsia="Arial" w:hAnsi="Arial" w:cs="Arial"/>
          <w:i/>
          <w:color w:val="000000"/>
          <w:sz w:val="20"/>
        </w:rPr>
        <w:t>Filar v. Board of Educ.</w:t>
      </w:r>
      <w:r>
        <w:rPr>
          <w:rFonts w:ascii="Arial" w:eastAsia="Arial" w:hAnsi="Arial" w:cs="Arial"/>
          <w:color w:val="000000"/>
          <w:sz w:val="20"/>
        </w:rPr>
        <w:t xml:space="preserve">, 526 F.3d 1054, 1059 (7th Cir. 2008), the employee was a substitute teacher who was expected to be available to work at schools all over Chicago. Her hip condition made it painful to walk and made her unable to drive. </w:t>
      </w:r>
      <w:bookmarkStart w:id="429" w:name="Bookmark_I68VKRDW2N1R6T0030000400"/>
      <w:bookmarkEnd w:id="429"/>
      <w:r>
        <w:rPr>
          <w:rFonts w:ascii="Arial" w:eastAsia="Arial" w:hAnsi="Arial" w:cs="Arial"/>
          <w:color w:val="000000"/>
          <w:sz w:val="20"/>
        </w:rPr>
        <w:t xml:space="preserve">She was denied a request to be staffed at a location "with minimum walking distance from public transportation." She lost [*29]  her accommodation claim on summary judgment. </w:t>
      </w:r>
      <w:bookmarkStart w:id="430" w:name="Bookmark_I68VKRDW2N1R6T0050000400"/>
      <w:bookmarkEnd w:id="430"/>
      <w:r>
        <w:rPr>
          <w:rFonts w:ascii="Arial" w:eastAsia="Arial" w:hAnsi="Arial" w:cs="Arial"/>
          <w:color w:val="000000"/>
          <w:sz w:val="20"/>
        </w:rPr>
        <w:t xml:space="preserve">We affirmed on that claim, partly because it was administratively unreasonable. </w:t>
      </w:r>
      <w:bookmarkStart w:id="431" w:name="Bookmark_I68VKRDW2N1R6T0020000400"/>
      <w:bookmarkEnd w:id="431"/>
      <w:r>
        <w:rPr>
          <w:rFonts w:ascii="Arial" w:eastAsia="Arial" w:hAnsi="Arial" w:cs="Arial"/>
          <w:i/>
          <w:color w:val="000000"/>
          <w:sz w:val="20"/>
        </w:rPr>
        <w:t>Id.</w:t>
      </w:r>
      <w:r>
        <w:rPr>
          <w:rFonts w:ascii="Arial" w:eastAsia="Arial" w:hAnsi="Arial" w:cs="Arial"/>
          <w:color w:val="000000"/>
          <w:sz w:val="20"/>
        </w:rPr>
        <w:t xml:space="preserve"> at 1068. </w:t>
      </w:r>
      <w:bookmarkStart w:id="432" w:name="Bookmark_I68VKRDW2N1R6T0050000400_2"/>
      <w:bookmarkEnd w:id="432"/>
      <w:r>
        <w:rPr>
          <w:rFonts w:ascii="Arial" w:eastAsia="Arial" w:hAnsi="Arial" w:cs="Arial"/>
          <w:color w:val="000000"/>
          <w:sz w:val="20"/>
        </w:rPr>
        <w:t xml:space="preserve">Among the hundreds of potential worksites, among the thousands of potential buses, among the over-ten-thousand potential bus stops, the </w:t>
      </w:r>
      <w:bookmarkStart w:id="433" w:name="Bookmark_I68VKRDW2N1R6T0050000400_3"/>
      <w:bookmarkStart w:id="434" w:name="Bookmark_I68VKRDW2N1R6T0040000400"/>
      <w:bookmarkEnd w:id="433"/>
      <w:bookmarkEnd w:id="434"/>
      <w:r>
        <w:rPr>
          <w:rFonts w:ascii="Arial" w:eastAsia="Arial" w:hAnsi="Arial" w:cs="Arial"/>
          <w:i/>
          <w:color w:val="000000"/>
          <w:sz w:val="20"/>
        </w:rPr>
        <w:t>Filar</w:t>
      </w:r>
      <w:r>
        <w:rPr>
          <w:rFonts w:ascii="Arial" w:eastAsia="Arial" w:hAnsi="Arial" w:cs="Arial"/>
          <w:color w:val="000000"/>
          <w:sz w:val="20"/>
        </w:rPr>
        <w:t xml:space="preserve"> employee failed to specify which ones would accommodate her disability, a request "too barebones" to be reasonable. </w:t>
      </w:r>
      <w:r>
        <w:rPr>
          <w:rFonts w:ascii="Arial" w:eastAsia="Arial" w:hAnsi="Arial" w:cs="Arial"/>
          <w:i/>
          <w:color w:val="000000"/>
          <w:sz w:val="20"/>
        </w:rPr>
        <w:t>Id.</w:t>
      </w:r>
    </w:p>
    <w:p w:rsidR="00022B47" w:rsidRDefault="00000000">
      <w:pPr>
        <w:pStyle w:val="Normal2"/>
        <w:widowControl w:val="0"/>
        <w:spacing w:before="200" w:line="260" w:lineRule="atLeast"/>
        <w:jc w:val="both"/>
      </w:pPr>
      <w:bookmarkStart w:id="435" w:name="Bookmark_para_43"/>
      <w:bookmarkStart w:id="436" w:name="Bookmark_I68VKRDW28T3X80020000400"/>
      <w:bookmarkEnd w:id="435"/>
      <w:bookmarkEnd w:id="436"/>
      <w:r>
        <w:rPr>
          <w:rFonts w:ascii="Arial" w:eastAsia="Arial" w:hAnsi="Arial" w:cs="Arial"/>
          <w:color w:val="000000"/>
          <w:sz w:val="20"/>
        </w:rPr>
        <w:t xml:space="preserve">Any analysis for work-schedule accommodations for commuting will likely need to consider whether the accommodation would unduly burden the business operation. In </w:t>
      </w:r>
      <w:bookmarkStart w:id="437" w:name="Bookmark_I68VKRDW28T3X80010000400"/>
      <w:bookmarkEnd w:id="437"/>
      <w:r>
        <w:rPr>
          <w:rFonts w:ascii="Arial" w:eastAsia="Arial" w:hAnsi="Arial" w:cs="Arial"/>
          <w:i/>
          <w:color w:val="000000"/>
          <w:sz w:val="20"/>
        </w:rPr>
        <w:t>Unrein</w:t>
      </w:r>
      <w:r>
        <w:rPr>
          <w:rFonts w:ascii="Arial" w:eastAsia="Arial" w:hAnsi="Arial" w:cs="Arial"/>
          <w:color w:val="000000"/>
          <w:sz w:val="20"/>
        </w:rPr>
        <w:t xml:space="preserve">, for example, the employer originally had granted a work-schedule accommodation to help an employee to commute to work more safely. </w:t>
      </w:r>
      <w:bookmarkStart w:id="438" w:name="Bookmark_I68VKRDW28T3X80030000400"/>
      <w:bookmarkEnd w:id="438"/>
      <w:r>
        <w:rPr>
          <w:rFonts w:ascii="Arial" w:eastAsia="Arial" w:hAnsi="Arial" w:cs="Arial"/>
          <w:color w:val="000000"/>
          <w:sz w:val="20"/>
        </w:rPr>
        <w:t xml:space="preserve">993 F.3d at 875. </w:t>
      </w:r>
      <w:bookmarkStart w:id="439" w:name="Bookmark_I68VKRDW2N1R6W0010000400"/>
      <w:bookmarkEnd w:id="439"/>
      <w:r>
        <w:rPr>
          <w:rFonts w:ascii="Arial" w:eastAsia="Arial" w:hAnsi="Arial" w:cs="Arial"/>
          <w:color w:val="000000"/>
          <w:sz w:val="20"/>
        </w:rPr>
        <w:t xml:space="preserve">But the accommodation resulted in the employee's unpredictable attendance, worse performance, and worse customer satisfaction. </w:t>
      </w:r>
      <w:r>
        <w:rPr>
          <w:rFonts w:ascii="Arial" w:eastAsia="Arial" w:hAnsi="Arial" w:cs="Arial"/>
          <w:i/>
          <w:color w:val="000000"/>
          <w:sz w:val="20"/>
        </w:rPr>
        <w:t>Id.</w:t>
      </w:r>
      <w:r>
        <w:rPr>
          <w:rFonts w:ascii="Arial" w:eastAsia="Arial" w:hAnsi="Arial" w:cs="Arial"/>
          <w:color w:val="000000"/>
          <w:sz w:val="20"/>
        </w:rPr>
        <w:t xml:space="preserve"> In that case, moreover, the employee was asking for an accommodation that would not have enabled her to perform the essential job function of being physically present at the job on a predictable and reliable schedule. </w:t>
      </w:r>
      <w:bookmarkStart w:id="440" w:name="Bookmark_I68VKRDW28T3X80050000400"/>
      <w:bookmarkEnd w:id="440"/>
      <w:r>
        <w:rPr>
          <w:rFonts w:ascii="Arial" w:eastAsia="Arial" w:hAnsi="Arial" w:cs="Arial"/>
          <w:i/>
          <w:color w:val="000000"/>
          <w:sz w:val="20"/>
        </w:rPr>
        <w:t>Id.</w:t>
      </w:r>
      <w:r>
        <w:rPr>
          <w:rFonts w:ascii="Arial" w:eastAsia="Arial" w:hAnsi="Arial" w:cs="Arial"/>
          <w:color w:val="000000"/>
          <w:sz w:val="20"/>
        </w:rPr>
        <w:t xml:space="preserve"> at 878.</w:t>
      </w:r>
    </w:p>
    <w:p w:rsidR="00022B47" w:rsidRDefault="00000000">
      <w:pPr>
        <w:pStyle w:val="Normal2"/>
        <w:widowControl w:val="0"/>
        <w:spacing w:before="120" w:line="260" w:lineRule="atLeast"/>
      </w:pPr>
      <w:r>
        <w:rPr>
          <w:rFonts w:ascii="Arial" w:eastAsia="Arial" w:hAnsi="Arial" w:cs="Arial"/>
          <w:color w:val="000000"/>
          <w:sz w:val="20"/>
        </w:rPr>
        <w:t xml:space="preserve">3. </w:t>
      </w:r>
      <w:r>
        <w:rPr>
          <w:rFonts w:ascii="Arial" w:eastAsia="Arial" w:hAnsi="Arial" w:cs="Arial"/>
          <w:i/>
          <w:color w:val="000000"/>
          <w:sz w:val="20"/>
        </w:rPr>
        <w:t>Other Considerations</w:t>
      </w:r>
    </w:p>
    <w:p w:rsidR="00022B47" w:rsidRDefault="00000000">
      <w:pPr>
        <w:pStyle w:val="Normal2"/>
        <w:widowControl w:val="0"/>
        <w:spacing w:before="200" w:line="260" w:lineRule="atLeast"/>
        <w:jc w:val="both"/>
      </w:pPr>
      <w:bookmarkStart w:id="441" w:name="Bookmark_para_44"/>
      <w:bookmarkStart w:id="442" w:name="Bookmark_I68VKRDW2N1R6W0030000400"/>
      <w:bookmarkStart w:id="443" w:name="Bookmark_I68VKRDW2N1R6W0050000400"/>
      <w:bookmarkEnd w:id="441"/>
      <w:bookmarkEnd w:id="442"/>
      <w:bookmarkEnd w:id="443"/>
      <w:r>
        <w:rPr>
          <w:rFonts w:ascii="Arial" w:eastAsia="Arial" w:hAnsi="Arial" w:cs="Arial"/>
          <w:color w:val="000000"/>
          <w:sz w:val="20"/>
        </w:rPr>
        <w:t xml:space="preserve">We also do not intend to endorse an interpretation of the ADA where "no good deed goes unpunished." </w:t>
      </w:r>
      <w:bookmarkStart w:id="444" w:name="Bookmark_LNHNREFclscc15_0"/>
      <w:bookmarkEnd w:id="444"/>
      <w:r>
        <w:rPr>
          <w:rFonts w:ascii="Arial" w:eastAsia="Arial" w:hAnsi="Arial" w:cs="Arial"/>
          <w:color w:val="000000"/>
          <w:sz w:val="20"/>
        </w:rPr>
        <w:t xml:space="preserve">If the employer goes further than the law requires, [*30]  it should not be "punished for its generosity by being deemed to have conceded the reasonableness of so far-reaching an accommodation." </w:t>
      </w:r>
      <w:bookmarkStart w:id="445" w:name="Bookmark_I68VKRDW2N1R6W0020000400"/>
      <w:bookmarkEnd w:id="445"/>
      <w:r>
        <w:rPr>
          <w:rFonts w:ascii="Arial" w:eastAsia="Arial" w:hAnsi="Arial" w:cs="Arial"/>
          <w:i/>
          <w:color w:val="000000"/>
          <w:sz w:val="20"/>
        </w:rPr>
        <w:t>Vande Zande</w:t>
      </w:r>
      <w:r>
        <w:rPr>
          <w:rFonts w:ascii="Arial" w:eastAsia="Arial" w:hAnsi="Arial" w:cs="Arial"/>
          <w:color w:val="000000"/>
          <w:sz w:val="20"/>
        </w:rPr>
        <w:t xml:space="preserve">, 44 F.3d at 545-46 (employer allowed some work from home but should not be required to allow full-time work from home). We have recognized situations where the employer sufficiently accommodated commute-related barriers posed by an employee's disability. See, e.g., </w:t>
      </w:r>
      <w:bookmarkStart w:id="446" w:name="Bookmark_I68VKRDW2N1R6W0040000400"/>
      <w:bookmarkEnd w:id="446"/>
      <w:r>
        <w:rPr>
          <w:rFonts w:ascii="Arial" w:eastAsia="Arial" w:hAnsi="Arial" w:cs="Arial"/>
          <w:i/>
          <w:color w:val="000000"/>
          <w:sz w:val="20"/>
        </w:rPr>
        <w:t>Cloe v. City of Indianapolis</w:t>
      </w:r>
      <w:r>
        <w:rPr>
          <w:rFonts w:ascii="Arial" w:eastAsia="Arial" w:hAnsi="Arial" w:cs="Arial"/>
          <w:color w:val="000000"/>
          <w:sz w:val="20"/>
        </w:rPr>
        <w:t xml:space="preserve">, 712 F.3d 1171, 1178-79 (7th Cir. 2013) (affirming summary judgment for employer who accommodated employee's walking disability by providing closer parking space); </w:t>
      </w:r>
      <w:bookmarkStart w:id="447" w:name="Bookmark_I68VKRDW28T3XB0010000400"/>
      <w:bookmarkEnd w:id="447"/>
      <w:r>
        <w:rPr>
          <w:rFonts w:ascii="Arial" w:eastAsia="Arial" w:hAnsi="Arial" w:cs="Arial"/>
          <w:i/>
          <w:color w:val="000000"/>
          <w:sz w:val="20"/>
        </w:rPr>
        <w:t>Yochim v. Carson</w:t>
      </w:r>
      <w:r>
        <w:rPr>
          <w:rFonts w:ascii="Arial" w:eastAsia="Arial" w:hAnsi="Arial" w:cs="Arial"/>
          <w:color w:val="000000"/>
          <w:sz w:val="20"/>
        </w:rPr>
        <w:t xml:space="preserve">, 935 F.3d 586, 588, 592-93 (7th Cir. 2019) (affirming summary judgment for employer who accommodated employee's carpal-tunnel disability by providing a flexible schedule so employee could avoid enduring pain on public transportation.); see also </w:t>
      </w:r>
      <w:bookmarkStart w:id="448" w:name="Bookmark_I68VKRDW28T3XB0030000400"/>
      <w:bookmarkEnd w:id="448"/>
      <w:r>
        <w:rPr>
          <w:rFonts w:ascii="Arial" w:eastAsia="Arial" w:hAnsi="Arial" w:cs="Arial"/>
          <w:i/>
          <w:color w:val="000000"/>
          <w:sz w:val="20"/>
        </w:rPr>
        <w:t>Kramer v. Homeward Bound, Inc.</w:t>
      </w:r>
      <w:r>
        <w:rPr>
          <w:rFonts w:ascii="Arial" w:eastAsia="Arial" w:hAnsi="Arial" w:cs="Arial"/>
          <w:color w:val="000000"/>
          <w:sz w:val="20"/>
        </w:rPr>
        <w:t>, No. 14-cv-15-slc, 2015 U.S. Dist. LEXIS 94503, 2015 WL 4459967, at *6-8 (W.D. Wis. July 21, 2015) (granting summary judgment for employer who accommodated employee's epilepsy "by having others drive her to appointments and by paying cab fare" during period employee could not safely drive herself).</w:t>
      </w:r>
    </w:p>
    <w:p w:rsidR="00022B47" w:rsidRDefault="00000000">
      <w:pPr>
        <w:pStyle w:val="Normal2"/>
        <w:widowControl w:val="0"/>
        <w:spacing w:before="200" w:line="260" w:lineRule="atLeast"/>
        <w:jc w:val="both"/>
      </w:pPr>
      <w:bookmarkStart w:id="449" w:name="Bookmark_para_45"/>
      <w:bookmarkStart w:id="450" w:name="Bookmark_LNHNREFclscc16_0"/>
      <w:bookmarkStart w:id="451" w:name="Bookmark_I68VKRDX28T3XF0010000400"/>
      <w:bookmarkStart w:id="452" w:name="Bookmark_I68VKRDX2D6ND00020000400"/>
      <w:bookmarkEnd w:id="449"/>
      <w:bookmarkEnd w:id="450"/>
      <w:bookmarkEnd w:id="451"/>
      <w:bookmarkEnd w:id="452"/>
      <w:r>
        <w:rPr>
          <w:rFonts w:ascii="Arial" w:eastAsia="Arial" w:hAnsi="Arial" w:cs="Arial"/>
          <w:color w:val="000000"/>
          <w:sz w:val="20"/>
        </w:rPr>
        <w:t xml:space="preserve">We also emphasize that the employer need not provide the exact accommodation the employee asks for, which we have said repeatedly. </w:t>
      </w:r>
      <w:bookmarkStart w:id="453" w:name="Bookmark_I68VKRDX2D6ND00040000400"/>
      <w:bookmarkEnd w:id="453"/>
      <w:r>
        <w:rPr>
          <w:rFonts w:ascii="Arial" w:eastAsia="Arial" w:hAnsi="Arial" w:cs="Arial"/>
          <w:color w:val="000000"/>
          <w:sz w:val="20"/>
        </w:rPr>
        <w:t xml:space="preserve">E.g., </w:t>
      </w:r>
      <w:bookmarkStart w:id="454" w:name="Bookmark_I68VKRDW28T3XB0050000400"/>
      <w:bookmarkEnd w:id="454"/>
      <w:r>
        <w:rPr>
          <w:rFonts w:ascii="Arial" w:eastAsia="Arial" w:hAnsi="Arial" w:cs="Arial"/>
          <w:i/>
          <w:color w:val="000000"/>
          <w:sz w:val="20"/>
        </w:rPr>
        <w:t>Sears II</w:t>
      </w:r>
      <w:r>
        <w:rPr>
          <w:rFonts w:ascii="Arial" w:eastAsia="Arial" w:hAnsi="Arial" w:cs="Arial"/>
          <w:color w:val="000000"/>
          <w:sz w:val="20"/>
        </w:rPr>
        <w:t xml:space="preserve">, 417 F.3d at 802; </w:t>
      </w:r>
      <w:bookmarkStart w:id="455" w:name="Bookmark_I68VKRDX28T3XF0020000400"/>
      <w:bookmarkEnd w:id="455"/>
      <w:r>
        <w:rPr>
          <w:rFonts w:ascii="Arial" w:eastAsia="Arial" w:hAnsi="Arial" w:cs="Arial"/>
          <w:i/>
          <w:color w:val="000000"/>
          <w:sz w:val="20"/>
        </w:rPr>
        <w:t>Jay v. Intermet Wagner Inc.</w:t>
      </w:r>
      <w:r>
        <w:rPr>
          <w:rFonts w:ascii="Arial" w:eastAsia="Arial" w:hAnsi="Arial" w:cs="Arial"/>
          <w:color w:val="000000"/>
          <w:sz w:val="20"/>
        </w:rPr>
        <w:t xml:space="preserve">, 233 F.3d 1014, 1017 (7th Cir. 2000); </w:t>
      </w:r>
      <w:bookmarkStart w:id="456" w:name="Bookmark_I68VKRDX28T3XF0040000400"/>
      <w:bookmarkEnd w:id="456"/>
      <w:r>
        <w:rPr>
          <w:rFonts w:ascii="Arial" w:eastAsia="Arial" w:hAnsi="Arial" w:cs="Arial"/>
          <w:i/>
          <w:color w:val="000000"/>
          <w:sz w:val="20"/>
        </w:rPr>
        <w:t>Gile v. United Airlines, Inc.</w:t>
      </w:r>
      <w:r>
        <w:rPr>
          <w:rFonts w:ascii="Arial" w:eastAsia="Arial" w:hAnsi="Arial" w:cs="Arial"/>
          <w:color w:val="000000"/>
          <w:sz w:val="20"/>
        </w:rPr>
        <w:t>, 95 F.3d 492, 499 (7th Cir. 1996) (</w:t>
      </w:r>
      <w:r>
        <w:rPr>
          <w:rFonts w:ascii="Arial" w:eastAsia="Arial" w:hAnsi="Arial" w:cs="Arial"/>
          <w:i/>
          <w:color w:val="000000"/>
          <w:sz w:val="20"/>
        </w:rPr>
        <w:t>Gile I</w:t>
      </w:r>
      <w:r>
        <w:rPr>
          <w:rFonts w:ascii="Arial" w:eastAsia="Arial" w:hAnsi="Arial" w:cs="Arial"/>
          <w:color w:val="000000"/>
          <w:sz w:val="20"/>
        </w:rPr>
        <w:t xml:space="preserve">). </w:t>
      </w:r>
      <w:bookmarkStart w:id="457" w:name="Bookmark_I68VKRDX2SF7SF0010000400"/>
      <w:bookmarkEnd w:id="457"/>
      <w:r>
        <w:rPr>
          <w:rFonts w:ascii="Arial" w:eastAsia="Arial" w:hAnsi="Arial" w:cs="Arial"/>
          <w:color w:val="000000"/>
          <w:sz w:val="20"/>
        </w:rPr>
        <w:t xml:space="preserve">The employer has no duty "to expend even modest amounts of money to bring about an absolute identity in working conditions between disabled [*31]  and nondisabled workers." </w:t>
      </w:r>
      <w:bookmarkStart w:id="458" w:name="Bookmark_I68VKRDX2D6ND00010000400"/>
      <w:bookmarkEnd w:id="458"/>
      <w:r>
        <w:rPr>
          <w:rFonts w:ascii="Arial" w:eastAsia="Arial" w:hAnsi="Arial" w:cs="Arial"/>
          <w:i/>
          <w:color w:val="000000"/>
          <w:sz w:val="20"/>
        </w:rPr>
        <w:t>Vande Zande</w:t>
      </w:r>
      <w:r>
        <w:rPr>
          <w:rFonts w:ascii="Arial" w:eastAsia="Arial" w:hAnsi="Arial" w:cs="Arial"/>
          <w:color w:val="000000"/>
          <w:sz w:val="20"/>
        </w:rPr>
        <w:t xml:space="preserve">, 44 F.3d at 546 (affirming summary judgment against disabled employee who could reach workplace bathroom sink but wanted employer to remodel kitchen sink as well). </w:t>
      </w:r>
      <w:bookmarkStart w:id="459" w:name="Bookmark_I68VKRDX2SF7SF0010000400_2"/>
      <w:bookmarkStart w:id="460" w:name="Bookmark_I68VKRDX2D6ND00040000400_2"/>
      <w:bookmarkEnd w:id="459"/>
      <w:bookmarkEnd w:id="460"/>
      <w:r>
        <w:rPr>
          <w:rFonts w:ascii="Arial" w:eastAsia="Arial" w:hAnsi="Arial" w:cs="Arial"/>
          <w:color w:val="000000"/>
          <w:sz w:val="20"/>
        </w:rPr>
        <w:t xml:space="preserve">An employer is not required to bend over backwards to accommodate a disabled employee or "expend enormous sums in order to bring about a trivial improvement in the life of a disabled employee." </w:t>
      </w:r>
      <w:bookmarkStart w:id="461" w:name="Bookmark_I68VKRDX2D6ND00030000400"/>
      <w:bookmarkEnd w:id="461"/>
      <w:r>
        <w:rPr>
          <w:rFonts w:ascii="Arial" w:eastAsia="Arial" w:hAnsi="Arial" w:cs="Arial"/>
          <w:i/>
          <w:color w:val="000000"/>
          <w:sz w:val="20"/>
        </w:rPr>
        <w:t>Id.</w:t>
      </w:r>
      <w:r>
        <w:rPr>
          <w:rFonts w:ascii="Arial" w:eastAsia="Arial" w:hAnsi="Arial" w:cs="Arial"/>
          <w:color w:val="000000"/>
          <w:sz w:val="20"/>
        </w:rPr>
        <w:t xml:space="preserve"> at 542-43, 545. Instead, "[t]he duty of reasonable accommodation is satisfied when the employer does what is necessary to enable the disabled worker to work in reasonable comfort." </w:t>
      </w:r>
      <w:bookmarkStart w:id="462" w:name="Bookmark_I68VKRDX2D6ND00050000400"/>
      <w:bookmarkEnd w:id="462"/>
      <w:r>
        <w:rPr>
          <w:rFonts w:ascii="Arial" w:eastAsia="Arial" w:hAnsi="Arial" w:cs="Arial"/>
          <w:i/>
          <w:color w:val="000000"/>
          <w:sz w:val="20"/>
        </w:rPr>
        <w:t>Id.</w:t>
      </w:r>
      <w:r>
        <w:rPr>
          <w:rFonts w:ascii="Arial" w:eastAsia="Arial" w:hAnsi="Arial" w:cs="Arial"/>
          <w:color w:val="000000"/>
          <w:sz w:val="20"/>
        </w:rPr>
        <w:t xml:space="preserve"> at 546.</w:t>
      </w:r>
    </w:p>
    <w:p w:rsidR="00022B47" w:rsidRDefault="00000000">
      <w:pPr>
        <w:pStyle w:val="Normal2"/>
        <w:widowControl w:val="0"/>
        <w:spacing w:before="200" w:line="260" w:lineRule="atLeast"/>
        <w:jc w:val="both"/>
      </w:pPr>
      <w:bookmarkStart w:id="463" w:name="Bookmark_para_46"/>
      <w:bookmarkEnd w:id="463"/>
      <w:r>
        <w:rPr>
          <w:rFonts w:ascii="Arial" w:eastAsia="Arial" w:hAnsi="Arial" w:cs="Arial"/>
          <w:color w:val="000000"/>
          <w:sz w:val="20"/>
        </w:rPr>
        <w:t>We also emphasize that this opinion does not attempt to identify all factors that might be relevant in determining whether a proposed accommodation affecting the ability of an employee with a disability to travel to and from work would be reasonable or would impose an undue hardship on an employer's operations. Based on this case and those from other circuits discussed above, we expect that such cases will require a close look at the facts of the specific case rather than rely on bright-line rules.</w:t>
      </w:r>
    </w:p>
    <w:p w:rsidR="00022B47" w:rsidRDefault="00000000">
      <w:pPr>
        <w:pStyle w:val="Normal2"/>
        <w:widowControl w:val="0"/>
        <w:spacing w:before="120" w:line="260" w:lineRule="atLeast"/>
      </w:pPr>
      <w:r>
        <w:rPr>
          <w:rFonts w:ascii="Arial" w:eastAsia="Arial" w:hAnsi="Arial" w:cs="Arial"/>
          <w:color w:val="000000"/>
          <w:sz w:val="20"/>
        </w:rPr>
        <w:t xml:space="preserve">B. </w:t>
      </w:r>
      <w:r>
        <w:rPr>
          <w:rFonts w:ascii="Arial" w:eastAsia="Arial" w:hAnsi="Arial" w:cs="Arial"/>
          <w:i/>
          <w:color w:val="000000"/>
          <w:sz w:val="20"/>
        </w:rPr>
        <w:t>Kimmons' Requested Accommodation</w:t>
      </w:r>
    </w:p>
    <w:p w:rsidR="00022B47" w:rsidRDefault="00000000">
      <w:pPr>
        <w:pStyle w:val="Normal2"/>
        <w:widowControl w:val="0"/>
        <w:spacing w:before="200" w:line="260" w:lineRule="atLeast"/>
        <w:jc w:val="both"/>
      </w:pPr>
      <w:bookmarkStart w:id="464" w:name="Bookmark_para_47"/>
      <w:bookmarkEnd w:id="464"/>
      <w:r>
        <w:rPr>
          <w:rFonts w:ascii="Arial" w:eastAsia="Arial" w:hAnsi="Arial" w:cs="Arial"/>
          <w:color w:val="000000"/>
          <w:sz w:val="20"/>
        </w:rPr>
        <w:t>We now return more specifically to Kimmons' requested accommodation, an extension of his shift change for another thirty days [*32]  while he tried to move closer to the workplace. On this record, a jury could find that would have been a reasonable accommodation. Kimmons ultimately did not move closer, but neither he nor Charter could know this when Charter denied Kimmons' request. His vision impairment could have interfered with his commute due to his difficulty driving safely at night and a lack of safe and reliable transportation alternatives. His disability-related difficulties could have interfered with the essential job function of regular attendance because he was unable to commute safely after his assigned shift.</w:t>
      </w:r>
    </w:p>
    <w:p w:rsidR="00022B47" w:rsidRDefault="00000000">
      <w:pPr>
        <w:pStyle w:val="Normal2"/>
        <w:widowControl w:val="0"/>
        <w:spacing w:before="200" w:line="260" w:lineRule="atLeast"/>
        <w:jc w:val="both"/>
      </w:pPr>
      <w:bookmarkStart w:id="465" w:name="Bookmark_para_48"/>
      <w:bookmarkEnd w:id="465"/>
      <w:r>
        <w:rPr>
          <w:rFonts w:ascii="Arial" w:eastAsia="Arial" w:hAnsi="Arial" w:cs="Arial"/>
          <w:color w:val="000000"/>
          <w:sz w:val="20"/>
        </w:rPr>
        <w:t xml:space="preserve">Charter points out that the proposed accommodation might have been inadequate. That is possible but not undisputed. </w:t>
      </w:r>
      <w:bookmarkStart w:id="466" w:name="Bookmark_I68VKRDX2SF7SF0030000400"/>
      <w:bookmarkEnd w:id="466"/>
      <w:r>
        <w:rPr>
          <w:rFonts w:ascii="Arial" w:eastAsia="Arial" w:hAnsi="Arial" w:cs="Arial"/>
          <w:color w:val="000000"/>
          <w:sz w:val="20"/>
        </w:rPr>
        <w:t xml:space="preserve">And even if Kimmons had to drive at least one way in darkness during the winter, the proposed accommodation could still have been reasonable. </w:t>
      </w:r>
      <w:bookmarkStart w:id="467" w:name="Bookmark_LNHNREFclscc17_0"/>
      <w:bookmarkStart w:id="468" w:name="Bookmark_I68VKRDX2SF7SF0050000400"/>
      <w:bookmarkEnd w:id="467"/>
      <w:bookmarkEnd w:id="468"/>
      <w:r>
        <w:rPr>
          <w:rFonts w:ascii="Arial" w:eastAsia="Arial" w:hAnsi="Arial" w:cs="Arial"/>
          <w:color w:val="000000"/>
          <w:sz w:val="20"/>
        </w:rPr>
        <w:t xml:space="preserve">An accommodation that mitigates the employee's difficulty need not cure all problems. After all, in </w:t>
      </w:r>
      <w:r>
        <w:rPr>
          <w:rFonts w:ascii="Arial" w:eastAsia="Arial" w:hAnsi="Arial" w:cs="Arial"/>
          <w:i/>
          <w:color w:val="000000"/>
          <w:sz w:val="20"/>
        </w:rPr>
        <w:t>Gile II</w:t>
      </w:r>
      <w:r>
        <w:rPr>
          <w:rFonts w:ascii="Arial" w:eastAsia="Arial" w:hAnsi="Arial" w:cs="Arial"/>
          <w:color w:val="000000"/>
          <w:sz w:val="20"/>
        </w:rPr>
        <w:t xml:space="preserve">, "a shift transfer may not have cured" the employee's condition, but "a shift transfer would have alleviated [the employee's] symptoms such that [the employee] could have performed the job." </w:t>
      </w:r>
      <w:bookmarkStart w:id="469" w:name="Bookmark_I68VKRDX2SF7SF0020000400"/>
      <w:bookmarkEnd w:id="469"/>
      <w:r>
        <w:rPr>
          <w:rFonts w:ascii="Arial" w:eastAsia="Arial" w:hAnsi="Arial" w:cs="Arial"/>
          <w:color w:val="000000"/>
          <w:sz w:val="20"/>
        </w:rPr>
        <w:t xml:space="preserve">213 F.3d at 373. </w:t>
      </w:r>
      <w:bookmarkStart w:id="470" w:name="Bookmark_I68VKRDX2SF7SF0050000400_2"/>
      <w:bookmarkEnd w:id="470"/>
      <w:r>
        <w:rPr>
          <w:rFonts w:ascii="Arial" w:eastAsia="Arial" w:hAnsi="Arial" w:cs="Arial"/>
          <w:color w:val="000000"/>
          <w:sz w:val="20"/>
        </w:rPr>
        <w:t>In Kimmons' case, avoiding driving at night [*33]  some of the time could be deemed reasonable.</w:t>
      </w:r>
      <w:r>
        <w:rPr>
          <w:rFonts w:ascii="Arial" w:eastAsia="Arial" w:hAnsi="Arial" w:cs="Arial"/>
          <w:vertAlign w:val="superscript"/>
        </w:rPr>
        <w:footnoteReference w:customMarkFollows="1" w:id="8"/>
        <w:t>2</w:t>
      </w:r>
    </w:p>
    <w:p w:rsidR="00022B47" w:rsidRDefault="00000000">
      <w:pPr>
        <w:pStyle w:val="Normal2"/>
        <w:widowControl w:val="0"/>
        <w:spacing w:before="200" w:line="260" w:lineRule="atLeast"/>
        <w:jc w:val="both"/>
      </w:pPr>
      <w:bookmarkStart w:id="475" w:name="Bookmark_para_49"/>
      <w:bookmarkEnd w:id="475"/>
      <w:r>
        <w:rPr>
          <w:rFonts w:ascii="Arial" w:eastAsia="Arial" w:hAnsi="Arial" w:cs="Arial"/>
          <w:color w:val="000000"/>
          <w:sz w:val="20"/>
        </w:rPr>
        <w:t>Charter has not demonstrated as a matter of law that the accommodation would have imposed an undue hardship. Charter also has not shown that the accommodation would have imposed unfair burdens on other employees or would have been too costly. This record simply does not establish beyond dispute that the requested accommodation would have been unreasonable or imposed an undue hardship.</w:t>
      </w:r>
    </w:p>
    <w:p w:rsidR="00022B47" w:rsidRDefault="00000000">
      <w:pPr>
        <w:pStyle w:val="Normal2"/>
        <w:widowControl w:val="0"/>
        <w:spacing w:before="200" w:line="260" w:lineRule="atLeast"/>
        <w:jc w:val="both"/>
      </w:pPr>
      <w:bookmarkStart w:id="476" w:name="Bookmark_para_50"/>
      <w:bookmarkEnd w:id="476"/>
      <w:r>
        <w:rPr>
          <w:rFonts w:ascii="Arial" w:eastAsia="Arial" w:hAnsi="Arial" w:cs="Arial"/>
          <w:color w:val="000000"/>
          <w:sz w:val="20"/>
        </w:rPr>
        <w:t>Kimmons was not asking for an unaccountable, work-when-able schedule or a permanent accommodation. He did not demand the company itself transport him to work. He asked only for a temporary work schedule that would start and end two hours earlier while he found time to move closer. A jury could have found his requested accommodation to be reasonable.</w:t>
      </w:r>
    </w:p>
    <w:p w:rsidR="00022B47" w:rsidRDefault="00000000">
      <w:pPr>
        <w:pStyle w:val="Normal2"/>
        <w:widowControl w:val="0"/>
        <w:spacing w:before="240" w:line="260" w:lineRule="atLeast"/>
      </w:pPr>
      <w:r>
        <w:br/>
      </w:r>
      <w:r>
        <w:rPr>
          <w:rFonts w:ascii="Arial" w:eastAsia="Arial" w:hAnsi="Arial" w:cs="Arial"/>
          <w:i/>
          <w:color w:val="000000"/>
          <w:sz w:val="20"/>
        </w:rPr>
        <w:t>Conclusion</w:t>
      </w:r>
    </w:p>
    <w:p w:rsidR="00022B47" w:rsidRDefault="00000000">
      <w:pPr>
        <w:pStyle w:val="Normal2"/>
        <w:widowControl w:val="0"/>
        <w:spacing w:before="200" w:line="260" w:lineRule="atLeast"/>
        <w:jc w:val="both"/>
      </w:pPr>
      <w:bookmarkStart w:id="477" w:name="Bookmark_para_51"/>
      <w:bookmarkStart w:id="478" w:name="Bookmark_LNHNREFclscc18"/>
      <w:bookmarkEnd w:id="477"/>
      <w:bookmarkEnd w:id="478"/>
      <w:r>
        <w:rPr>
          <w:rFonts w:ascii="Arial" w:eastAsia="Arial" w:hAnsi="Arial" w:cs="Arial"/>
          <w:color w:val="000000"/>
          <w:sz w:val="20"/>
        </w:rPr>
        <w:t xml:space="preserve">We prescribe no bright-line rules as to when an employee's disability interferes with essential job attendance or whether particular accommodations are reasonable. </w:t>
      </w:r>
      <w:bookmarkStart w:id="479" w:name="Bookmark_I68VCM1T2SF8H00010000400"/>
      <w:bookmarkEnd w:id="479"/>
      <w:r>
        <w:rPr>
          <w:rFonts w:ascii="Arial" w:eastAsia="Arial" w:hAnsi="Arial" w:cs="Arial"/>
          <w:color w:val="000000"/>
          <w:sz w:val="20"/>
        </w:rPr>
        <w:t>Those questions are reserved for analysis under the facts of a particular case. But if a qualified individual's disability substantially interferes with his ability to get to work and attendance at work is an essential function, an employer may [*34]  sometimes be required to provide a commute-related accommodation, if reasonable under the circumstances.</w:t>
      </w:r>
    </w:p>
    <w:p w:rsidR="00022B47" w:rsidRDefault="00000000">
      <w:pPr>
        <w:pStyle w:val="Normal2"/>
        <w:widowControl w:val="0"/>
        <w:spacing w:before="200" w:line="260" w:lineRule="atLeast"/>
        <w:jc w:val="both"/>
      </w:pPr>
      <w:bookmarkStart w:id="480" w:name="Bookmark_para_52"/>
      <w:bookmarkEnd w:id="480"/>
      <w:r>
        <w:rPr>
          <w:rFonts w:ascii="Arial" w:eastAsia="Arial" w:hAnsi="Arial" w:cs="Arial"/>
          <w:color w:val="000000"/>
          <w:sz w:val="20"/>
        </w:rPr>
        <w:t>The judgment of the district court is REVERSED and the case is REMANDED for further proceedings consistent with this opinion.</w:t>
      </w:r>
    </w:p>
    <w:p w:rsidR="00022B47" w:rsidRDefault="00022B47">
      <w:pPr>
        <w:pStyle w:val="Normal2"/>
      </w:pPr>
    </w:p>
    <w:p w:rsidR="00022B47" w:rsidRDefault="00000000">
      <w:pPr>
        <w:pStyle w:val="Normal2"/>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22289900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0905CF" id="Line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3"/>
        <w:sectPr w:rsidR="00022B47">
          <w:headerReference w:type="even" r:id="rId24"/>
          <w:headerReference w:type="default" r:id="rId25"/>
          <w:footerReference w:type="even" r:id="rId26"/>
          <w:footerReference w:type="default" r:id="rId27"/>
          <w:headerReference w:type="first" r:id="rId28"/>
          <w:footerReference w:type="first" r:id="rId29"/>
          <w:pgSz w:w="12240" w:h="15840"/>
          <w:pgMar w:top="840" w:right="1000" w:bottom="840" w:left="1000" w:header="400" w:footer="400" w:gutter="0"/>
          <w:cols w:space="720"/>
          <w:titlePg/>
        </w:sectPr>
      </w:pPr>
    </w:p>
    <w:p w:rsidR="00022B47" w:rsidRDefault="00022B47">
      <w:pPr>
        <w:pStyle w:val="Normal3"/>
      </w:pPr>
    </w:p>
    <w:p w:rsidR="00022B47" w:rsidRDefault="00000000">
      <w:pPr>
        <w:pStyle w:val="Heading12"/>
        <w:keepNext w:val="0"/>
        <w:widowControl w:val="0"/>
        <w:spacing w:after="200" w:line="340" w:lineRule="atLeast"/>
        <w:jc w:val="center"/>
      </w:pPr>
      <w:r>
        <w:rPr>
          <w:rFonts w:eastAsia="Arial"/>
          <w:color w:val="000000"/>
          <w:sz w:val="28"/>
        </w:rPr>
        <w:t>Garcia v. City of Lubbock</w:t>
      </w:r>
    </w:p>
    <w:p w:rsidR="00022B47" w:rsidRDefault="00000000">
      <w:pPr>
        <w:pStyle w:val="Normal3"/>
        <w:widowControl w:val="0"/>
        <w:spacing w:before="120" w:line="260" w:lineRule="atLeast"/>
        <w:jc w:val="center"/>
      </w:pPr>
      <w:r>
        <w:rPr>
          <w:rFonts w:ascii="Arial" w:eastAsia="Arial" w:hAnsi="Arial" w:cs="Arial"/>
          <w:color w:val="000000"/>
          <w:sz w:val="20"/>
        </w:rPr>
        <w:t>United States Court of Appeals for the Fifth Circuit</w:t>
      </w:r>
    </w:p>
    <w:p w:rsidR="00022B47" w:rsidRDefault="00000000">
      <w:pPr>
        <w:pStyle w:val="Normal3"/>
        <w:widowControl w:val="0"/>
        <w:spacing w:before="120" w:line="260" w:lineRule="atLeast"/>
        <w:jc w:val="center"/>
      </w:pPr>
      <w:r>
        <w:rPr>
          <w:rFonts w:ascii="Arial" w:eastAsia="Arial" w:hAnsi="Arial" w:cs="Arial"/>
          <w:color w:val="000000"/>
          <w:sz w:val="20"/>
        </w:rPr>
        <w:t>July 20, 2023, Filed</w:t>
      </w:r>
    </w:p>
    <w:p w:rsidR="00022B47" w:rsidRDefault="00000000">
      <w:pPr>
        <w:pStyle w:val="Normal3"/>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21-11134</w:t>
      </w:r>
    </w:p>
    <w:p w:rsidR="00022B47" w:rsidRDefault="00022B47">
      <w:pPr>
        <w:pStyle w:val="Normal3"/>
        <w:widowControl w:val="0"/>
        <w:spacing w:line="240" w:lineRule="atLeast"/>
        <w:jc w:val="both"/>
      </w:pPr>
      <w:bookmarkStart w:id="481" w:name="Bookmark_4"/>
      <w:bookmarkEnd w:id="481"/>
    </w:p>
    <w:p w:rsidR="00022B47" w:rsidRDefault="00000000">
      <w:pPr>
        <w:pStyle w:val="Normal3"/>
        <w:widowControl w:val="0"/>
        <w:spacing w:before="200" w:line="240" w:lineRule="atLeast"/>
      </w:pPr>
      <w:bookmarkStart w:id="482" w:name="Reporter_2"/>
      <w:bookmarkEnd w:id="482"/>
      <w:r>
        <w:rPr>
          <w:rFonts w:ascii="Arial" w:eastAsia="Arial" w:hAnsi="Arial" w:cs="Arial"/>
          <w:b/>
          <w:color w:val="000000"/>
          <w:sz w:val="18"/>
        </w:rPr>
        <w:t>Reporter</w:t>
      </w:r>
    </w:p>
    <w:p w:rsidR="00022B47" w:rsidRDefault="00000000">
      <w:pPr>
        <w:pStyle w:val="Normal3"/>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2023 U.S. App. LEXIS 18513 *; 2023 WL 4636896</w:t>
      </w:r>
    </w:p>
    <w:p w:rsidR="00022B47" w:rsidRDefault="00000000">
      <w:pPr>
        <w:pStyle w:val="Normal3"/>
        <w:widowControl w:val="0"/>
        <w:spacing w:before="120" w:line="260" w:lineRule="atLeast"/>
      </w:pPr>
      <w:r>
        <w:rPr>
          <w:rFonts w:ascii="Arial" w:eastAsia="Arial" w:hAnsi="Arial" w:cs="Arial"/>
          <w:color w:val="000000"/>
          <w:sz w:val="20"/>
        </w:rPr>
        <w:t>RAUL GARCIA, Plaintiff—Appellant, versus CITY OF LUBBOCK, TEXAS; LUBBOCK COUNTY, TEXAS; MARK ELLISON; JOSHUA CONKLIN; PAUL CARTWRIGHT; CHRISTOPHER MENDEZ; NATALIE YBARRA; M. MONZINGO; CLEADON S. BIGHAM; MONICA LOPEZ; KELLY ROWE; DUSTIN HOOD; LAURA MALDONADO; CHRISTOPHER MARTINEZ, Defendants—Appellees.</w:t>
      </w:r>
    </w:p>
    <w:p w:rsidR="00022B47" w:rsidRDefault="00000000">
      <w:pPr>
        <w:pStyle w:val="Normal3"/>
        <w:widowControl w:val="0"/>
        <w:spacing w:before="240" w:line="260" w:lineRule="atLeast"/>
        <w:jc w:val="both"/>
      </w:pPr>
      <w:bookmarkStart w:id="483" w:name="Notice_0"/>
      <w:bookmarkEnd w:id="483"/>
      <w:r>
        <w:rPr>
          <w:rFonts w:ascii="Arial" w:eastAsia="Arial" w:hAnsi="Arial" w:cs="Arial"/>
          <w:b/>
          <w:color w:val="000000"/>
          <w:sz w:val="20"/>
        </w:rPr>
        <w:t>Notice:</w:t>
      </w:r>
      <w:r>
        <w:rPr>
          <w:rFonts w:ascii="Arial" w:eastAsia="Arial" w:hAnsi="Arial" w:cs="Arial"/>
          <w:color w:val="000000"/>
          <w:sz w:val="20"/>
        </w:rPr>
        <w:t> </w:t>
      </w:r>
      <w:bookmarkStart w:id="484" w:name="Bookmark_para_1_2"/>
      <w:bookmarkEnd w:id="484"/>
      <w:r>
        <w:rPr>
          <w:rFonts w:ascii="Arial" w:eastAsia="Arial" w:hAnsi="Arial" w:cs="Arial"/>
          <w:color w:val="000000"/>
          <w:sz w:val="20"/>
        </w:rPr>
        <w:t>PLEASE REFER TO FEDERAL RULES OF APPELLATE PROCEDURE RULE 32.1 GOVERNING THE CITATION TO UNPUBLISHED OPINIONS.</w:t>
      </w:r>
    </w:p>
    <w:p w:rsidR="00022B47" w:rsidRDefault="00000000">
      <w:pPr>
        <w:pStyle w:val="Normal3"/>
        <w:widowControl w:val="0"/>
        <w:spacing w:before="240" w:line="260" w:lineRule="atLeast"/>
        <w:jc w:val="both"/>
      </w:pPr>
      <w:bookmarkStart w:id="485" w:name="Prior_History_2"/>
      <w:bookmarkEnd w:id="485"/>
      <w:r>
        <w:rPr>
          <w:rFonts w:ascii="Arial" w:eastAsia="Arial" w:hAnsi="Arial" w:cs="Arial"/>
          <w:b/>
          <w:color w:val="000000"/>
          <w:sz w:val="20"/>
        </w:rPr>
        <w:t>Prior History:</w:t>
      </w:r>
      <w:r>
        <w:rPr>
          <w:rFonts w:ascii="Arial" w:eastAsia="Arial" w:hAnsi="Arial" w:cs="Arial"/>
          <w:color w:val="000000"/>
          <w:sz w:val="20"/>
        </w:rPr>
        <w:t> </w:t>
      </w:r>
      <w:bookmarkStart w:id="486" w:name="Bookmark_para_2_2"/>
      <w:bookmarkEnd w:id="486"/>
      <w:r>
        <w:rPr>
          <w:rFonts w:ascii="Arial" w:eastAsia="Arial" w:hAnsi="Arial" w:cs="Arial"/>
          <w:color w:val="000000"/>
          <w:sz w:val="20"/>
        </w:rPr>
        <w:t> [*1] Appeal from the United States District Court for the Northern District of Texas. USDC No. 5:20-CV-53.</w:t>
      </w:r>
    </w:p>
    <w:p w:rsidR="00022B47" w:rsidRDefault="00000000">
      <w:pPr>
        <w:pStyle w:val="Normal3"/>
        <w:widowControl w:val="0"/>
        <w:spacing w:before="120" w:line="260" w:lineRule="atLeast"/>
      </w:pPr>
      <w:r>
        <w:rPr>
          <w:rFonts w:ascii="Arial" w:eastAsia="Arial" w:hAnsi="Arial" w:cs="Arial"/>
          <w:color w:val="000000"/>
          <w:sz w:val="20"/>
        </w:rPr>
        <w:t>Garcia v. City of Lubbock, 2020 U.S. Dist. LEXIS 246834 (N.D. Tex., Sept. 9, 2020)</w:t>
      </w:r>
    </w:p>
    <w:p w:rsidR="00022B47" w:rsidRDefault="00000000">
      <w:pPr>
        <w:pStyle w:val="Normal3"/>
        <w:widowControl w:val="0"/>
        <w:spacing w:before="120" w:line="260" w:lineRule="atLeast"/>
      </w:pPr>
      <w:r>
        <w:rPr>
          <w:rFonts w:ascii="Arial" w:eastAsia="Arial" w:hAnsi="Arial" w:cs="Arial"/>
          <w:color w:val="000000"/>
          <w:sz w:val="20"/>
        </w:rPr>
        <w:t>Garcia v. City of Lubbock, 487 F. Supp. 3d 555, 2020 U.S. Dist. LEXIS 247123, 2020 WL 8024130 (N.D. Tex., June 26, 2020)</w:t>
      </w:r>
    </w:p>
    <w:p w:rsidR="00022B47" w:rsidRDefault="00000000">
      <w:pPr>
        <w:pStyle w:val="Normal3"/>
        <w:widowControl w:val="0"/>
        <w:spacing w:before="120" w:line="260" w:lineRule="atLeast"/>
      </w:pPr>
      <w:r>
        <w:rPr>
          <w:rFonts w:ascii="Arial" w:eastAsia="Arial" w:hAnsi="Arial" w:cs="Arial"/>
          <w:color w:val="000000"/>
          <w:sz w:val="20"/>
        </w:rPr>
        <w:t>Garcia v. City of Lubbock, Texas, 2020 U.S. Dist. LEXIS 246860, 2020 WL 7979173 (N.D. Tex., May 4, 2020)</w:t>
      </w:r>
    </w:p>
    <w:p w:rsidR="00022B47" w:rsidRDefault="00000000">
      <w:pPr>
        <w:pStyle w:val="Normal3"/>
        <w:widowControl w:val="0"/>
        <w:spacing w:before="240" w:line="260" w:lineRule="atLeast"/>
      </w:pPr>
      <w:bookmarkStart w:id="487" w:name="Counsel_2"/>
      <w:bookmarkEnd w:id="487"/>
      <w:r>
        <w:rPr>
          <w:rFonts w:ascii="Arial" w:eastAsia="Arial" w:hAnsi="Arial" w:cs="Arial"/>
          <w:b/>
          <w:color w:val="000000"/>
          <w:sz w:val="20"/>
        </w:rPr>
        <w:t>Counsel:</w:t>
      </w:r>
      <w:r>
        <w:rPr>
          <w:rFonts w:ascii="Arial" w:eastAsia="Arial" w:hAnsi="Arial" w:cs="Arial"/>
          <w:color w:val="000000"/>
          <w:sz w:val="20"/>
        </w:rPr>
        <w:t> For Raul Garcia, Plaintiff - Appellant: Susan E. Hutchison, Hutchison &amp; Foreman, P.L.L.C., Fort Worth, TX; Stanley Rafe Foreman, Esq., Hutchison &amp; Foreman, P.L.L.C., Lubbock, TX.</w:t>
      </w:r>
    </w:p>
    <w:p w:rsidR="00022B47" w:rsidRDefault="00000000">
      <w:pPr>
        <w:pStyle w:val="Normal3"/>
        <w:widowControl w:val="0"/>
        <w:spacing w:before="120" w:line="260" w:lineRule="atLeast"/>
      </w:pPr>
      <w:r>
        <w:rPr>
          <w:rFonts w:ascii="Arial" w:eastAsia="Arial" w:hAnsi="Arial" w:cs="Arial"/>
          <w:color w:val="000000"/>
          <w:sz w:val="20"/>
        </w:rPr>
        <w:t>For City of Lubbock, Texas, Defendant - Appellee: Jeffrey Clay Hartsell, City Attorney's Office, Lubbock, TX.</w:t>
      </w:r>
    </w:p>
    <w:p w:rsidR="00022B47" w:rsidRDefault="00000000">
      <w:pPr>
        <w:pStyle w:val="Normal3"/>
        <w:widowControl w:val="0"/>
        <w:spacing w:before="120" w:line="260" w:lineRule="atLeast"/>
      </w:pPr>
      <w:r>
        <w:rPr>
          <w:rFonts w:ascii="Arial" w:eastAsia="Arial" w:hAnsi="Arial" w:cs="Arial"/>
          <w:color w:val="000000"/>
          <w:sz w:val="20"/>
        </w:rPr>
        <w:t>For Lubbock County, Texas, Paul Cartwright, Christopher Mendez, Natalie Ybarra, M. Monzingo, Cleadon S. Bigham, Monica Lopez, Kelly Rowe, Dustin Hood, Laura Maldonado, Christopher Martinez, Defendants - Appellees: Matt Douglas Matzner, Esq., Morgan Day Vaughan, Crenshaw, Dupree &amp; Milam, L.L.P., Lubbock, TX.</w:t>
      </w:r>
    </w:p>
    <w:p w:rsidR="00022B47" w:rsidRDefault="00000000">
      <w:pPr>
        <w:pStyle w:val="Normal3"/>
        <w:widowControl w:val="0"/>
        <w:spacing w:before="120" w:line="260" w:lineRule="atLeast"/>
      </w:pPr>
      <w:r>
        <w:rPr>
          <w:rFonts w:ascii="Arial" w:eastAsia="Arial" w:hAnsi="Arial" w:cs="Arial"/>
          <w:color w:val="000000"/>
          <w:sz w:val="20"/>
        </w:rPr>
        <w:t>For Mark Ellison, Joshua Conklin, Defendants - Appellees: Camie Wade, Thompson &amp; Kerby Law Office, Lubbock, TX.</w:t>
      </w:r>
    </w:p>
    <w:p w:rsidR="00022B47" w:rsidRDefault="00000000">
      <w:pPr>
        <w:pStyle w:val="Normal3"/>
        <w:widowControl w:val="0"/>
        <w:spacing w:before="240" w:line="260" w:lineRule="atLeast"/>
      </w:pPr>
      <w:bookmarkStart w:id="488" w:name="Judges_2"/>
      <w:bookmarkEnd w:id="488"/>
      <w:r>
        <w:rPr>
          <w:rFonts w:ascii="Arial" w:eastAsia="Arial" w:hAnsi="Arial" w:cs="Arial"/>
          <w:b/>
          <w:color w:val="000000"/>
          <w:sz w:val="20"/>
        </w:rPr>
        <w:t>Judges:</w:t>
      </w:r>
      <w:r>
        <w:rPr>
          <w:rFonts w:ascii="Arial" w:eastAsia="Arial" w:hAnsi="Arial" w:cs="Arial"/>
          <w:color w:val="000000"/>
          <w:sz w:val="20"/>
        </w:rPr>
        <w:t> Before STEWART, DENNIS, and HIGGINSON, Circuit Judges.</w:t>
      </w:r>
    </w:p>
    <w:p w:rsidR="00022B47" w:rsidRDefault="00000000">
      <w:pPr>
        <w:pStyle w:val="Normal3"/>
        <w:keepNext/>
        <w:widowControl w:val="0"/>
        <w:spacing w:before="240" w:line="340" w:lineRule="atLeast"/>
      </w:pPr>
      <w:bookmarkStart w:id="489" w:name="Opinion_2"/>
      <w:bookmarkEnd w:id="489"/>
      <w:r>
        <w:rPr>
          <w:rFonts w:ascii="Arial" w:eastAsia="Arial" w:hAnsi="Arial" w:cs="Arial"/>
          <w:b/>
          <w:color w:val="000000"/>
          <w:sz w:val="28"/>
        </w:rPr>
        <w:t>Opinion</w:t>
      </w:r>
    </w:p>
    <w:p w:rsidR="00022B47" w:rsidRDefault="0025213E">
      <w:pPr>
        <w:pStyle w:val="Normal3"/>
        <w:spacing w:line="60" w:lineRule="exact"/>
      </w:pPr>
      <w:r>
        <w:rPr>
          <w:noProof/>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935808660"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A56CEB" id="Line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3"/>
      </w:pPr>
    </w:p>
    <w:p w:rsidR="00022B47" w:rsidRDefault="00000000">
      <w:pPr>
        <w:pStyle w:val="Normal3"/>
        <w:widowControl w:val="0"/>
        <w:spacing w:before="200" w:line="260" w:lineRule="atLeast"/>
        <w:jc w:val="both"/>
      </w:pPr>
      <w:bookmarkStart w:id="490" w:name="Bookmark_para_3_2"/>
      <w:bookmarkEnd w:id="490"/>
      <w:r>
        <w:rPr>
          <w:rFonts w:ascii="Arial" w:eastAsia="Arial" w:hAnsi="Arial" w:cs="Arial"/>
          <w:smallCaps/>
          <w:color w:val="000000"/>
          <w:sz w:val="20"/>
        </w:rPr>
        <w:t>Per Curiam</w:t>
      </w:r>
      <w:r>
        <w:rPr>
          <w:rFonts w:ascii="Arial" w:eastAsia="Arial" w:hAnsi="Arial" w:cs="Arial"/>
          <w:color w:val="000000"/>
          <w:sz w:val="20"/>
        </w:rPr>
        <w:t>:</w:t>
      </w:r>
      <w:r>
        <w:rPr>
          <w:rFonts w:ascii="Arial" w:eastAsia="Arial" w:hAnsi="Arial" w:cs="Arial"/>
          <w:vertAlign w:val="superscript"/>
        </w:rPr>
        <w:footnoteReference w:customMarkFollows="1" w:id="9"/>
        <w:t>*</w:t>
      </w:r>
    </w:p>
    <w:p w:rsidR="00022B47" w:rsidRDefault="00000000">
      <w:pPr>
        <w:pStyle w:val="Normal3"/>
        <w:widowControl w:val="0"/>
        <w:spacing w:before="200" w:line="260" w:lineRule="atLeast"/>
        <w:jc w:val="both"/>
      </w:pPr>
      <w:bookmarkStart w:id="492" w:name="Bookmark_para_4_2"/>
      <w:bookmarkStart w:id="493" w:name="Bookmark_I68SNW0K2SF7WR0010000400"/>
      <w:bookmarkEnd w:id="492"/>
      <w:bookmarkEnd w:id="493"/>
      <w:r>
        <w:rPr>
          <w:rFonts w:ascii="Arial" w:eastAsia="Arial" w:hAnsi="Arial" w:cs="Arial"/>
          <w:color w:val="000000"/>
          <w:sz w:val="20"/>
        </w:rPr>
        <w:t>Raul Garcia appeals the district court's dismissal of his claims against numerous police officers and jail staff involved in his arrest and subsequent booking in Lubbock County ("the County") jail. He sufficiently alleged an unconstitutional practice which demonstrates deliberate indifference under a failure-to-train theory [*2]  by Sheriff Rowe, so we REVERSE the district court's grant of qualified immunity as to him. Regarding the remaining police officers and jail staff, Garcia's pleadings either fail to state a claim or they do not defeat qualified immunity. Therefore, we AFFIRM the district court's dismissal of these parties. Garcia also appeals the district court's summary judgment in favor of the County for alleged constitutional and Americans with Disabilities Act ("ADA") violations. Because he does not create a genuine dispute of material fact on these claims, we AFFIRM.</w:t>
      </w:r>
    </w:p>
    <w:p w:rsidR="00022B47" w:rsidRDefault="00000000">
      <w:pPr>
        <w:pStyle w:val="Normal3"/>
        <w:widowControl w:val="0"/>
        <w:spacing w:before="240" w:line="260" w:lineRule="atLeast"/>
      </w:pPr>
      <w:r>
        <w:br/>
      </w:r>
      <w:r>
        <w:rPr>
          <w:rFonts w:ascii="Arial" w:eastAsia="Arial" w:hAnsi="Arial" w:cs="Arial"/>
          <w:b/>
          <w:color w:val="000000"/>
          <w:sz w:val="20"/>
        </w:rPr>
        <w:t xml:space="preserve">I. </w:t>
      </w:r>
      <w:r>
        <w:rPr>
          <w:rFonts w:ascii="Arial" w:eastAsia="Arial" w:hAnsi="Arial" w:cs="Arial"/>
          <w:b/>
          <w:smallCaps/>
          <w:color w:val="000000"/>
          <w:sz w:val="20"/>
        </w:rPr>
        <w:t>Background</w:t>
      </w:r>
    </w:p>
    <w:p w:rsidR="00022B47" w:rsidRDefault="00000000">
      <w:pPr>
        <w:pStyle w:val="Normal3"/>
        <w:widowControl w:val="0"/>
        <w:spacing w:before="120" w:line="260" w:lineRule="atLeast"/>
      </w:pPr>
      <w:r>
        <w:rPr>
          <w:rFonts w:ascii="Arial" w:eastAsia="Arial" w:hAnsi="Arial" w:cs="Arial"/>
          <w:color w:val="000000"/>
          <w:sz w:val="20"/>
        </w:rPr>
        <w:t xml:space="preserve">A. </w:t>
      </w:r>
      <w:r>
        <w:rPr>
          <w:rFonts w:ascii="Arial" w:eastAsia="Arial" w:hAnsi="Arial" w:cs="Arial"/>
          <w:i/>
          <w:color w:val="000000"/>
          <w:sz w:val="20"/>
        </w:rPr>
        <w:t>Garcia's Arrest</w:t>
      </w:r>
    </w:p>
    <w:p w:rsidR="00022B47" w:rsidRDefault="00000000">
      <w:pPr>
        <w:pStyle w:val="Normal3"/>
        <w:widowControl w:val="0"/>
        <w:spacing w:before="200" w:line="260" w:lineRule="atLeast"/>
        <w:jc w:val="both"/>
      </w:pPr>
      <w:bookmarkStart w:id="494" w:name="Bookmark_para_5_2"/>
      <w:bookmarkEnd w:id="494"/>
      <w:r>
        <w:rPr>
          <w:rFonts w:ascii="Arial" w:eastAsia="Arial" w:hAnsi="Arial" w:cs="Arial"/>
          <w:color w:val="000000"/>
          <w:sz w:val="20"/>
        </w:rPr>
        <w:t>On May 18, 2018, the Lubbock Police Department ("LPD") received a call from a United Supermarket reporting that a customer refused to leave. LPD Officers Mark Ellison and Joshua Conklin were sent to the scene. They arrived at the supermarket and found the store manager and Garcia standing outside in the entryway. Officer Ellison talked to the store manager to get his account of the events that had taken place while Officer Conklin engaged Garcia.</w:t>
      </w:r>
    </w:p>
    <w:p w:rsidR="00022B47" w:rsidRDefault="00000000">
      <w:pPr>
        <w:pStyle w:val="Normal3"/>
        <w:widowControl w:val="0"/>
        <w:spacing w:before="200" w:line="260" w:lineRule="atLeast"/>
        <w:jc w:val="both"/>
      </w:pPr>
      <w:bookmarkStart w:id="495" w:name="Bookmark_para_6_2"/>
      <w:bookmarkEnd w:id="495"/>
      <w:r>
        <w:rPr>
          <w:rFonts w:ascii="Arial" w:eastAsia="Arial" w:hAnsi="Arial" w:cs="Arial"/>
          <w:color w:val="000000"/>
          <w:sz w:val="20"/>
        </w:rPr>
        <w:t>Officer Conklin first asked Garcia if anyone could come pick him up or if he drove himself to the supermarket. He was unresponsive. He then asked Garcia where he lived, to which he stated, "down the [*3]  street." Garcia was in a fatigued state throughout the discussion but was able to tell Officer Conklin that he knew he was at a United Supermarket, although he was wrong about the specific location. Officer Ellison asked him how much he had to drink. He did not respond directly to Officer Ellison's question, instead only nodding and shaking his head.</w:t>
      </w:r>
    </w:p>
    <w:p w:rsidR="00022B47" w:rsidRDefault="00000000">
      <w:pPr>
        <w:pStyle w:val="Normal3"/>
        <w:widowControl w:val="0"/>
        <w:spacing w:before="200" w:line="260" w:lineRule="atLeast"/>
        <w:jc w:val="both"/>
      </w:pPr>
      <w:bookmarkStart w:id="496" w:name="Bookmark_para_7_2"/>
      <w:bookmarkEnd w:id="496"/>
      <w:r>
        <w:rPr>
          <w:rFonts w:ascii="Arial" w:eastAsia="Arial" w:hAnsi="Arial" w:cs="Arial"/>
          <w:color w:val="000000"/>
          <w:sz w:val="20"/>
        </w:rPr>
        <w:t>After questioning Garcia for some time and not receiving clear answers, the officers placed him in handcuffs. Officer Ellison's body-camera footage shows that Garcia was wearing two silicone wristbands when he was handcuffed, but it is unclear whether there were any words on the wristbands or some other indicator that the bracelets were designed to alert others to a medical condition that Garcia suffered from. While Garcia was cuffed, the officers continued to question him and he was able to provide his full name and date of birth. Before placing him in their vehicle, the officers again asked if there was anyone that they could call to pick him up. He did not respond.</w:t>
      </w:r>
    </w:p>
    <w:p w:rsidR="00022B47" w:rsidRDefault="00000000">
      <w:pPr>
        <w:pStyle w:val="Normal3"/>
        <w:widowControl w:val="0"/>
        <w:spacing w:before="200" w:line="260" w:lineRule="atLeast"/>
        <w:jc w:val="both"/>
      </w:pPr>
      <w:bookmarkStart w:id="497" w:name="Bookmark_para_8_2"/>
      <w:bookmarkEnd w:id="497"/>
      <w:r>
        <w:rPr>
          <w:rFonts w:ascii="Arial" w:eastAsia="Arial" w:hAnsi="Arial" w:cs="Arial"/>
          <w:color w:val="000000"/>
          <w:sz w:val="20"/>
        </w:rPr>
        <w:t>Because the officers could not call anyone to pick Garcia up, Officer Ellison transported him to the Lubbock County Detention Center (the "LCDC"). Officer Ellison testified [*4]  that, on the way to the detention center, Garcia fell asleep and had to be woken up. When they arrived, Officer Ellison called for assistance in removing him from the vehicle because he was uncooperative. The LCDC Response Team assisted him out of the vehicle and escorted him to a processing cell. Members of the LCDC staff testified that he appeared intoxicated, slurred his speech, and was unsteady on his feet. Sergeant Cartwright decided to temporarily bypass medical screening because he thought Garcia needed to sober up before he could answer the screening questions.</w:t>
      </w:r>
    </w:p>
    <w:p w:rsidR="00022B47" w:rsidRDefault="00000000">
      <w:pPr>
        <w:pStyle w:val="Normal3"/>
        <w:widowControl w:val="0"/>
        <w:spacing w:before="120" w:line="260" w:lineRule="atLeast"/>
      </w:pPr>
      <w:r>
        <w:rPr>
          <w:rFonts w:ascii="Arial" w:eastAsia="Arial" w:hAnsi="Arial" w:cs="Arial"/>
          <w:color w:val="000000"/>
          <w:sz w:val="20"/>
        </w:rPr>
        <w:t xml:space="preserve">B. </w:t>
      </w:r>
      <w:r>
        <w:rPr>
          <w:rFonts w:ascii="Arial" w:eastAsia="Arial" w:hAnsi="Arial" w:cs="Arial"/>
          <w:i/>
          <w:color w:val="000000"/>
          <w:sz w:val="20"/>
        </w:rPr>
        <w:t>Garcia's Processing Following His Arrest</w:t>
      </w:r>
    </w:p>
    <w:p w:rsidR="00022B47" w:rsidRDefault="00000000">
      <w:pPr>
        <w:pStyle w:val="Normal3"/>
        <w:widowControl w:val="0"/>
        <w:spacing w:before="200" w:line="260" w:lineRule="atLeast"/>
        <w:jc w:val="both"/>
      </w:pPr>
      <w:bookmarkStart w:id="498" w:name="Bookmark_para_9_2"/>
      <w:bookmarkEnd w:id="498"/>
      <w:r>
        <w:rPr>
          <w:rFonts w:ascii="Arial" w:eastAsia="Arial" w:hAnsi="Arial" w:cs="Arial"/>
          <w:color w:val="000000"/>
          <w:sz w:val="20"/>
        </w:rPr>
        <w:t>After delivering Garcia to LCDC, Officer Ellison completed the arrest intake form and indicated that he did not believe that Garcia was at risk due to a medical condition. The form also indicated that Garcia was offered medical assistance but declined it. Laura Maldonado booked Garcia into the jail. After the booking process, he was placed in a processing cell, patted down, and was uncuffed. Maldonado then catalogued his property, but never included any medical bracelets in the inventory of his belongings.</w:t>
      </w:r>
    </w:p>
    <w:p w:rsidR="00022B47" w:rsidRDefault="00000000">
      <w:pPr>
        <w:pStyle w:val="Normal3"/>
        <w:widowControl w:val="0"/>
        <w:spacing w:before="200" w:line="260" w:lineRule="atLeast"/>
        <w:jc w:val="both"/>
      </w:pPr>
      <w:bookmarkStart w:id="499" w:name="Bookmark_para_10_2"/>
      <w:bookmarkEnd w:id="499"/>
      <w:r>
        <w:rPr>
          <w:rFonts w:ascii="Arial" w:eastAsia="Arial" w:hAnsi="Arial" w:cs="Arial"/>
          <w:color w:val="000000"/>
          <w:sz w:val="20"/>
        </w:rPr>
        <w:t>Garcia was subsequently placed in his cell under close watch protocol, [*5]  with LCDC staff Cleadon S. Bigham and Monica Lopez responsible for checking on him every fifteen minutes. After almost three hours, they discovered Garcia lying on his stomach and snoring loudly. Bigham stated that he and Sergeant Dustin Hood rolled him onto his side and called for medical assistance. Both medical staff and detention officers attempted to wake him, but he remained unresponsive. Emergency medical services were called, and he was transported to University Medical Center ("UMC").</w:t>
      </w:r>
    </w:p>
    <w:p w:rsidR="00022B47" w:rsidRDefault="00000000">
      <w:pPr>
        <w:pStyle w:val="Normal3"/>
        <w:widowControl w:val="0"/>
        <w:spacing w:before="200" w:line="260" w:lineRule="atLeast"/>
        <w:jc w:val="both"/>
      </w:pPr>
      <w:bookmarkStart w:id="500" w:name="Bookmark_para_11_2"/>
      <w:bookmarkEnd w:id="500"/>
      <w:r>
        <w:rPr>
          <w:rFonts w:ascii="Arial" w:eastAsia="Arial" w:hAnsi="Arial" w:cs="Arial"/>
          <w:color w:val="000000"/>
          <w:sz w:val="20"/>
        </w:rPr>
        <w:t>UMC diagnosed Garcia with diabetic ketoacidosis, a life-threatening complication of diabetes. Lab tests at UMC confirmed that no alcohol or narcotics were present in his system. Garcia now alleges that he suffered complications and permanent effects because the County and its employees failed to treat his condition. He sued all parties involved in his arrest and jail booking.</w:t>
      </w:r>
    </w:p>
    <w:p w:rsidR="00022B47" w:rsidRDefault="00000000">
      <w:pPr>
        <w:pStyle w:val="Normal3"/>
        <w:widowControl w:val="0"/>
        <w:spacing w:before="120" w:line="260" w:lineRule="atLeast"/>
      </w:pPr>
      <w:r>
        <w:rPr>
          <w:rFonts w:ascii="Arial" w:eastAsia="Arial" w:hAnsi="Arial" w:cs="Arial"/>
          <w:color w:val="000000"/>
          <w:sz w:val="20"/>
        </w:rPr>
        <w:t xml:space="preserve">C. </w:t>
      </w:r>
      <w:r>
        <w:rPr>
          <w:rFonts w:ascii="Arial" w:eastAsia="Arial" w:hAnsi="Arial" w:cs="Arial"/>
          <w:i/>
          <w:color w:val="000000"/>
          <w:sz w:val="20"/>
        </w:rPr>
        <w:t>District Court Proceedings</w:t>
      </w:r>
    </w:p>
    <w:p w:rsidR="00022B47" w:rsidRDefault="00000000">
      <w:pPr>
        <w:pStyle w:val="Normal3"/>
        <w:widowControl w:val="0"/>
        <w:spacing w:before="200" w:line="260" w:lineRule="atLeast"/>
        <w:jc w:val="both"/>
      </w:pPr>
      <w:bookmarkStart w:id="501" w:name="Bookmark_para_12_2"/>
      <w:bookmarkEnd w:id="501"/>
      <w:r>
        <w:rPr>
          <w:rFonts w:ascii="Arial" w:eastAsia="Arial" w:hAnsi="Arial" w:cs="Arial"/>
          <w:color w:val="000000"/>
          <w:sz w:val="20"/>
        </w:rPr>
        <w:t>Garcia filed his Original Complaint on March 6, 2020. He alleged numerous civil rights violations under 42 U.S.C. § 1983. On April 2, 2020, the County, Sheriff Kelly Rowe, Sergeant Hood, and the jail employees (except Bigham, Mendez, and Lopez) moved to dismiss Garcia's claims against them under Rule 12(b)(6). Bigham, Mendez, [*6]  and Lopez later filed separate motions to dismiss on the same grounds. Officers Conklin and Ellison did not move to dismiss the claims against them, instead asserting the affirmative defense of qualified immunity. The district court granted all of the motions and dismissed Garcia's suit with prejudice, but granted him leave to amend his failure-to-train claims against Rowe and Hood.</w:t>
      </w:r>
      <w:r>
        <w:rPr>
          <w:rFonts w:ascii="Arial" w:eastAsia="Arial" w:hAnsi="Arial" w:cs="Arial"/>
          <w:vertAlign w:val="superscript"/>
        </w:rPr>
        <w:footnoteReference w:customMarkFollows="1" w:id="10"/>
        <w:t>1</w:t>
      </w:r>
    </w:p>
    <w:p w:rsidR="00022B47" w:rsidRDefault="00000000">
      <w:pPr>
        <w:pStyle w:val="Normal3"/>
        <w:widowControl w:val="0"/>
        <w:spacing w:before="200" w:line="260" w:lineRule="atLeast"/>
        <w:jc w:val="both"/>
      </w:pPr>
      <w:bookmarkStart w:id="503" w:name="Bookmark_para_13_2"/>
      <w:bookmarkEnd w:id="503"/>
      <w:r>
        <w:rPr>
          <w:rFonts w:ascii="Arial" w:eastAsia="Arial" w:hAnsi="Arial" w:cs="Arial"/>
          <w:color w:val="000000"/>
          <w:sz w:val="20"/>
        </w:rPr>
        <w:t>The City of Lubbock ("the City") and the County both moved for summary judgment and the district court granted their motions. Regarding the City, the district court reasoned that Garcia failed to raise a genuine dispute of material fact that: (1) there was a constitutional violation; (2) the officers acted with deliberate indifference; and (3) there was an official policy in place that resulted in a constitutional violation.</w:t>
      </w:r>
    </w:p>
    <w:p w:rsidR="00022B47" w:rsidRDefault="00000000">
      <w:pPr>
        <w:pStyle w:val="Normal3"/>
        <w:widowControl w:val="0"/>
        <w:spacing w:before="200" w:line="260" w:lineRule="atLeast"/>
        <w:jc w:val="both"/>
      </w:pPr>
      <w:bookmarkStart w:id="504" w:name="Bookmark_para_14_2"/>
      <w:bookmarkEnd w:id="504"/>
      <w:r>
        <w:rPr>
          <w:rFonts w:ascii="Arial" w:eastAsia="Arial" w:hAnsi="Arial" w:cs="Arial"/>
          <w:color w:val="000000"/>
          <w:sz w:val="20"/>
        </w:rPr>
        <w:t>As to the County, the district court held that Garcia failed to raise a genuine dispute of material fact that: (1) there was an official policy that resulted in a constitutional violation; (2) the detention officers were deliberately indifferent; (3) the officers were not adequately trained; or (4) the detention officers were aware of his medical condition prior to calling for emergency [*7]  medical assistance. Garcia timely appealed.</w:t>
      </w:r>
    </w:p>
    <w:p w:rsidR="00022B47" w:rsidRDefault="00000000">
      <w:pPr>
        <w:pStyle w:val="Normal3"/>
        <w:widowControl w:val="0"/>
        <w:spacing w:before="200" w:line="260" w:lineRule="atLeast"/>
        <w:jc w:val="both"/>
      </w:pPr>
      <w:bookmarkStart w:id="505" w:name="Bookmark_para_15_2"/>
      <w:bookmarkEnd w:id="505"/>
      <w:r>
        <w:rPr>
          <w:rFonts w:ascii="Arial" w:eastAsia="Arial" w:hAnsi="Arial" w:cs="Arial"/>
          <w:color w:val="000000"/>
          <w:sz w:val="20"/>
        </w:rPr>
        <w:t>On appeal Garcia argues that the district erred in dismissing Rowe, Hood, Bigham, Mendez, Lopez, and the other individual employees under Rule 12(b)(6) and on qualified immunity grounds. He also asks that we reconsider the district court's summary judgment in favor of the County.</w:t>
      </w:r>
      <w:r>
        <w:rPr>
          <w:rFonts w:ascii="Arial" w:eastAsia="Arial" w:hAnsi="Arial" w:cs="Arial"/>
          <w:vertAlign w:val="superscript"/>
        </w:rPr>
        <w:footnoteReference w:customMarkFollows="1" w:id="11"/>
        <w:t>2</w:t>
      </w:r>
    </w:p>
    <w:p w:rsidR="00022B47" w:rsidRDefault="00000000">
      <w:pPr>
        <w:pStyle w:val="Normal3"/>
        <w:widowControl w:val="0"/>
        <w:spacing w:before="240" w:line="260" w:lineRule="atLeast"/>
      </w:pPr>
      <w:r>
        <w:br/>
      </w:r>
      <w:r>
        <w:rPr>
          <w:rFonts w:ascii="Arial" w:eastAsia="Arial" w:hAnsi="Arial" w:cs="Arial"/>
          <w:b/>
          <w:color w:val="000000"/>
          <w:sz w:val="20"/>
        </w:rPr>
        <w:t xml:space="preserve">II. </w:t>
      </w:r>
      <w:r>
        <w:rPr>
          <w:rFonts w:ascii="Arial" w:eastAsia="Arial" w:hAnsi="Arial" w:cs="Arial"/>
          <w:b/>
          <w:smallCaps/>
          <w:color w:val="000000"/>
          <w:sz w:val="20"/>
        </w:rPr>
        <w:t>Standards of Review</w:t>
      </w:r>
    </w:p>
    <w:p w:rsidR="00022B47" w:rsidRDefault="00000000">
      <w:pPr>
        <w:pStyle w:val="Normal3"/>
        <w:widowControl w:val="0"/>
        <w:spacing w:before="120" w:line="260" w:lineRule="atLeast"/>
      </w:pPr>
      <w:r>
        <w:rPr>
          <w:rFonts w:ascii="Arial" w:eastAsia="Arial" w:hAnsi="Arial" w:cs="Arial"/>
          <w:color w:val="000000"/>
          <w:sz w:val="20"/>
        </w:rPr>
        <w:t xml:space="preserve">A. </w:t>
      </w:r>
      <w:r>
        <w:rPr>
          <w:rFonts w:ascii="Arial" w:eastAsia="Arial" w:hAnsi="Arial" w:cs="Arial"/>
          <w:i/>
          <w:color w:val="000000"/>
          <w:sz w:val="20"/>
        </w:rPr>
        <w:t>Motion to Dismiss</w:t>
      </w:r>
    </w:p>
    <w:p w:rsidR="00022B47" w:rsidRDefault="00000000">
      <w:pPr>
        <w:pStyle w:val="Normal3"/>
        <w:widowControl w:val="0"/>
        <w:spacing w:before="200" w:line="260" w:lineRule="atLeast"/>
        <w:jc w:val="both"/>
      </w:pPr>
      <w:bookmarkStart w:id="507" w:name="Bookmark_para_16_2"/>
      <w:bookmarkStart w:id="508" w:name="Bookmark_LNHNREFclscc1_1"/>
      <w:bookmarkStart w:id="509" w:name="Bookmark_I68SX06G2HM6PF0020000400"/>
      <w:bookmarkStart w:id="510" w:name="Bookmark_I68SX06G2HM6PF0040000400"/>
      <w:bookmarkStart w:id="511" w:name="Bookmark_I68SX06G2D6NRD0010000400"/>
      <w:bookmarkEnd w:id="507"/>
      <w:bookmarkEnd w:id="508"/>
      <w:bookmarkEnd w:id="509"/>
      <w:bookmarkEnd w:id="510"/>
      <w:bookmarkEnd w:id="511"/>
      <w:r>
        <w:rPr>
          <w:rFonts w:ascii="Arial" w:eastAsia="Arial" w:hAnsi="Arial" w:cs="Arial"/>
          <w:color w:val="000000"/>
          <w:sz w:val="20"/>
        </w:rPr>
        <w:t xml:space="preserve">We review dismissals under Rule 12(b)(6) de novo, "accepting all well-pleaded facts as true and viewing those facts in the light most favorable to the plaintiffs." </w:t>
      </w:r>
      <w:bookmarkStart w:id="512" w:name="Bookmark_I68SX06G2HM6PF0010000400"/>
      <w:bookmarkEnd w:id="512"/>
      <w:r>
        <w:rPr>
          <w:rFonts w:ascii="Arial" w:eastAsia="Arial" w:hAnsi="Arial" w:cs="Arial"/>
          <w:i/>
          <w:color w:val="000000"/>
          <w:sz w:val="20"/>
        </w:rPr>
        <w:t>Littell v. Hous. Indep. Sch. Dist.</w:t>
      </w:r>
      <w:r>
        <w:rPr>
          <w:rFonts w:ascii="Arial" w:eastAsia="Arial" w:hAnsi="Arial" w:cs="Arial"/>
          <w:color w:val="000000"/>
          <w:sz w:val="20"/>
        </w:rPr>
        <w:t xml:space="preserve">, 894 F.3d 616, 622 (5th Cir. 2018). To survive a motion to dismiss, a plaintiff must plead "enough facts to state a claim to relief that is plausible on its face." </w:t>
      </w:r>
      <w:bookmarkStart w:id="513" w:name="Bookmark_I68SX06G2HM6PF0030000400"/>
      <w:bookmarkEnd w:id="513"/>
      <w:r>
        <w:rPr>
          <w:rFonts w:ascii="Arial" w:eastAsia="Arial" w:hAnsi="Arial" w:cs="Arial"/>
          <w:i/>
          <w:color w:val="000000"/>
          <w:sz w:val="20"/>
        </w:rPr>
        <w:t>Bell Atl. Corp. v. Twombly</w:t>
      </w:r>
      <w:r>
        <w:rPr>
          <w:rFonts w:ascii="Arial" w:eastAsia="Arial" w:hAnsi="Arial" w:cs="Arial"/>
          <w:color w:val="000000"/>
          <w:sz w:val="20"/>
        </w:rPr>
        <w:t xml:space="preserve">, 550 U.S. 544, 570, 127 S. Ct. 1955, 167 L. Ed. 2d 929 (2007). "A claim has facial plausibility when the plaintiff pleads factual content that allows the court to draw the reasonable inference that the defendant is liable for the misconduct alleged." </w:t>
      </w:r>
      <w:bookmarkStart w:id="514" w:name="Bookmark_I68SX06G2HM6PF0050000400"/>
      <w:bookmarkEnd w:id="514"/>
      <w:r>
        <w:rPr>
          <w:rFonts w:ascii="Arial" w:eastAsia="Arial" w:hAnsi="Arial" w:cs="Arial"/>
          <w:i/>
          <w:color w:val="000000"/>
          <w:sz w:val="20"/>
        </w:rPr>
        <w:t>Ashcroft v. Iqbal</w:t>
      </w:r>
      <w:r>
        <w:rPr>
          <w:rFonts w:ascii="Arial" w:eastAsia="Arial" w:hAnsi="Arial" w:cs="Arial"/>
          <w:color w:val="000000"/>
          <w:sz w:val="20"/>
        </w:rPr>
        <w:t>, 556 U.S. 662, 678, 129 S. Ct. 1937, 173 L. Ed. 2d 868 (2009).</w:t>
      </w:r>
    </w:p>
    <w:p w:rsidR="00022B47" w:rsidRDefault="00000000">
      <w:pPr>
        <w:pStyle w:val="Normal3"/>
        <w:widowControl w:val="0"/>
        <w:spacing w:before="120" w:line="260" w:lineRule="atLeast"/>
      </w:pPr>
      <w:r>
        <w:rPr>
          <w:rFonts w:ascii="Arial" w:eastAsia="Arial" w:hAnsi="Arial" w:cs="Arial"/>
          <w:color w:val="000000"/>
          <w:sz w:val="20"/>
        </w:rPr>
        <w:t xml:space="preserve">B. </w:t>
      </w:r>
      <w:r>
        <w:rPr>
          <w:rFonts w:ascii="Arial" w:eastAsia="Arial" w:hAnsi="Arial" w:cs="Arial"/>
          <w:i/>
          <w:color w:val="000000"/>
          <w:sz w:val="20"/>
        </w:rPr>
        <w:t>Summary Judgment</w:t>
      </w:r>
    </w:p>
    <w:p w:rsidR="00022B47" w:rsidRDefault="00000000">
      <w:pPr>
        <w:pStyle w:val="Normal3"/>
        <w:widowControl w:val="0"/>
        <w:spacing w:before="200" w:line="260" w:lineRule="atLeast"/>
        <w:jc w:val="both"/>
      </w:pPr>
      <w:bookmarkStart w:id="515" w:name="Bookmark_para_17_2"/>
      <w:bookmarkStart w:id="516" w:name="Bookmark_LNHNREFclscc2_1"/>
      <w:bookmarkStart w:id="517" w:name="Bookmark_I68SX06G2D6NRD0030000400"/>
      <w:bookmarkStart w:id="518" w:name="Bookmark_I68SX06G2D6NRD0050000400"/>
      <w:bookmarkEnd w:id="515"/>
      <w:bookmarkEnd w:id="516"/>
      <w:bookmarkEnd w:id="517"/>
      <w:bookmarkEnd w:id="518"/>
      <w:r>
        <w:rPr>
          <w:rFonts w:ascii="Arial" w:eastAsia="Arial" w:hAnsi="Arial" w:cs="Arial"/>
          <w:color w:val="000000"/>
          <w:sz w:val="20"/>
        </w:rPr>
        <w:t xml:space="preserve">"We review grants of summary judgment de novo, applying the same standard as the district court." </w:t>
      </w:r>
      <w:bookmarkStart w:id="519" w:name="Bookmark_I68SX06G2D6NRD0020000400"/>
      <w:bookmarkEnd w:id="519"/>
      <w:r>
        <w:rPr>
          <w:rFonts w:ascii="Arial" w:eastAsia="Arial" w:hAnsi="Arial" w:cs="Arial"/>
          <w:i/>
          <w:color w:val="000000"/>
          <w:sz w:val="20"/>
        </w:rPr>
        <w:t>In re La. Crawfish Producers</w:t>
      </w:r>
      <w:r>
        <w:rPr>
          <w:rFonts w:ascii="Arial" w:eastAsia="Arial" w:hAnsi="Arial" w:cs="Arial"/>
          <w:color w:val="000000"/>
          <w:sz w:val="20"/>
        </w:rPr>
        <w:t xml:space="preserve">, 852 F.3d 456, 462 (5th Cir. 2017). Summary judgment is appropriate when "there is no genuine dispute as to any material fact and the movant is entitled to judgment as a matter of law." </w:t>
      </w:r>
      <w:bookmarkStart w:id="520" w:name="Bookmark_I68SX06G2D6NRD0040000400"/>
      <w:bookmarkEnd w:id="520"/>
      <w:r>
        <w:rPr>
          <w:rFonts w:ascii="Arial" w:eastAsia="Arial" w:hAnsi="Arial" w:cs="Arial"/>
          <w:i/>
          <w:color w:val="000000"/>
          <w:sz w:val="20"/>
        </w:rPr>
        <w:t>Davidson v. Fairchild Controls Corp.</w:t>
      </w:r>
      <w:r>
        <w:rPr>
          <w:rFonts w:ascii="Arial" w:eastAsia="Arial" w:hAnsi="Arial" w:cs="Arial"/>
          <w:color w:val="000000"/>
          <w:sz w:val="20"/>
        </w:rPr>
        <w:t>, 882 F.3d 180, 184 (5th Cir. 2018) (quoting Fed. R. Civ. P. 56(a)).</w:t>
      </w:r>
    </w:p>
    <w:p w:rsidR="00022B47" w:rsidRDefault="00000000">
      <w:pPr>
        <w:pStyle w:val="Normal3"/>
        <w:widowControl w:val="0"/>
        <w:spacing w:before="200" w:line="260" w:lineRule="atLeast"/>
        <w:jc w:val="both"/>
      </w:pPr>
      <w:bookmarkStart w:id="521" w:name="Bookmark_para_18_2"/>
      <w:bookmarkStart w:id="522" w:name="Bookmark_LNHNREFclscc3_1"/>
      <w:bookmarkStart w:id="523" w:name="Bookmark_I68SX06H28T4820020000400"/>
      <w:bookmarkStart w:id="524" w:name="Bookmark_I68SX06H28T4820040000400"/>
      <w:bookmarkEnd w:id="521"/>
      <w:bookmarkEnd w:id="522"/>
      <w:bookmarkEnd w:id="523"/>
      <w:bookmarkEnd w:id="524"/>
      <w:r>
        <w:rPr>
          <w:rFonts w:ascii="Arial" w:eastAsia="Arial" w:hAnsi="Arial" w:cs="Arial"/>
          <w:color w:val="000000"/>
          <w:sz w:val="20"/>
        </w:rPr>
        <w:t xml:space="preserve">"All reasonable inferences must be viewed in the light most favorable to the party opposing summary [*8]  judgment, and any doubt must be resolved in favor of the non-moving party." </w:t>
      </w:r>
      <w:bookmarkStart w:id="525" w:name="Bookmark_I68SX06H28T4820010000400"/>
      <w:bookmarkEnd w:id="525"/>
      <w:r>
        <w:rPr>
          <w:rFonts w:ascii="Arial" w:eastAsia="Arial" w:hAnsi="Arial" w:cs="Arial"/>
          <w:i/>
          <w:color w:val="000000"/>
          <w:sz w:val="20"/>
        </w:rPr>
        <w:t>La. Crawfish Producers</w:t>
      </w:r>
      <w:r>
        <w:rPr>
          <w:rFonts w:ascii="Arial" w:eastAsia="Arial" w:hAnsi="Arial" w:cs="Arial"/>
          <w:color w:val="000000"/>
          <w:sz w:val="20"/>
        </w:rPr>
        <w:t xml:space="preserve">, 852 F.3d at 462. We may affirm "on any ground supported by the record, including one not reached by the district court." </w:t>
      </w:r>
      <w:bookmarkStart w:id="526" w:name="Bookmark_I68SX06H28T4820030000400"/>
      <w:bookmarkEnd w:id="526"/>
      <w:r>
        <w:rPr>
          <w:rFonts w:ascii="Arial" w:eastAsia="Arial" w:hAnsi="Arial" w:cs="Arial"/>
          <w:i/>
          <w:color w:val="000000"/>
          <w:sz w:val="20"/>
        </w:rPr>
        <w:t>Gilbert v. Donahoe</w:t>
      </w:r>
      <w:r>
        <w:rPr>
          <w:rFonts w:ascii="Arial" w:eastAsia="Arial" w:hAnsi="Arial" w:cs="Arial"/>
          <w:color w:val="000000"/>
          <w:sz w:val="20"/>
        </w:rPr>
        <w:t>, 751 F.3d 303, 311 (5th Cir. 2014) (internal quotations and citation omitted).</w:t>
      </w:r>
    </w:p>
    <w:p w:rsidR="00022B47" w:rsidRDefault="00000000">
      <w:pPr>
        <w:pStyle w:val="Normal3"/>
        <w:widowControl w:val="0"/>
        <w:spacing w:before="240" w:line="260" w:lineRule="atLeast"/>
      </w:pPr>
      <w:r>
        <w:br/>
      </w:r>
      <w:r>
        <w:rPr>
          <w:rFonts w:ascii="Arial" w:eastAsia="Arial" w:hAnsi="Arial" w:cs="Arial"/>
          <w:b/>
          <w:color w:val="000000"/>
          <w:sz w:val="20"/>
        </w:rPr>
        <w:t xml:space="preserve">III. </w:t>
      </w:r>
      <w:r>
        <w:rPr>
          <w:rFonts w:ascii="Arial" w:eastAsia="Arial" w:hAnsi="Arial" w:cs="Arial"/>
          <w:b/>
          <w:smallCaps/>
          <w:color w:val="000000"/>
          <w:sz w:val="20"/>
        </w:rPr>
        <w:t>Discussion</w:t>
      </w:r>
    </w:p>
    <w:p w:rsidR="00022B47" w:rsidRDefault="00000000">
      <w:pPr>
        <w:pStyle w:val="Normal3"/>
        <w:widowControl w:val="0"/>
        <w:spacing w:before="120" w:line="260" w:lineRule="atLeast"/>
      </w:pPr>
      <w:r>
        <w:rPr>
          <w:rFonts w:ascii="Arial" w:eastAsia="Arial" w:hAnsi="Arial" w:cs="Arial"/>
          <w:color w:val="000000"/>
          <w:sz w:val="20"/>
        </w:rPr>
        <w:t xml:space="preserve">A. </w:t>
      </w:r>
      <w:r>
        <w:rPr>
          <w:rFonts w:ascii="Arial" w:eastAsia="Arial" w:hAnsi="Arial" w:cs="Arial"/>
          <w:i/>
          <w:color w:val="000000"/>
          <w:sz w:val="20"/>
        </w:rPr>
        <w:t>Defendants Dismissed Under Rule 12(b)(6) &amp; Qualified Immunity</w:t>
      </w:r>
    </w:p>
    <w:p w:rsidR="00022B47" w:rsidRDefault="00000000">
      <w:pPr>
        <w:pStyle w:val="Normal3"/>
        <w:widowControl w:val="0"/>
        <w:spacing w:before="200" w:line="260" w:lineRule="atLeast"/>
        <w:jc w:val="both"/>
      </w:pPr>
      <w:bookmarkStart w:id="527" w:name="Bookmark_para_19_2"/>
      <w:bookmarkEnd w:id="527"/>
      <w:r>
        <w:rPr>
          <w:rFonts w:ascii="Arial" w:eastAsia="Arial" w:hAnsi="Arial" w:cs="Arial"/>
          <w:color w:val="000000"/>
          <w:sz w:val="20"/>
        </w:rPr>
        <w:t>The district court dismissed numerous defendants at the pleading stage, reasoning that Garcia either failed to state a claim or did not defeat the qualified immunity defense as to each defendant. Garcia argues that the district court's determinations were erroneous. We disagree.</w:t>
      </w:r>
    </w:p>
    <w:p w:rsidR="00022B47" w:rsidRDefault="00000000">
      <w:pPr>
        <w:pStyle w:val="Normal3"/>
        <w:widowControl w:val="0"/>
        <w:spacing w:before="200" w:line="260" w:lineRule="atLeast"/>
        <w:jc w:val="both"/>
      </w:pPr>
      <w:bookmarkStart w:id="528" w:name="Bookmark_para_20_2"/>
      <w:bookmarkStart w:id="529" w:name="Bookmark_LNHNREFclscc4_1"/>
      <w:bookmarkStart w:id="530" w:name="Bookmark_I68SX06H2D6NRM0010000400"/>
      <w:bookmarkStart w:id="531" w:name="Bookmark_I68SX06H2D6NRM0030000400"/>
      <w:bookmarkStart w:id="532" w:name="Bookmark_I68SX06H2D6NRM0050000400"/>
      <w:bookmarkEnd w:id="528"/>
      <w:bookmarkEnd w:id="529"/>
      <w:bookmarkEnd w:id="530"/>
      <w:bookmarkEnd w:id="531"/>
      <w:bookmarkEnd w:id="532"/>
      <w:r>
        <w:rPr>
          <w:rFonts w:ascii="Arial" w:eastAsia="Arial" w:hAnsi="Arial" w:cs="Arial"/>
          <w:color w:val="000000"/>
          <w:sz w:val="20"/>
        </w:rPr>
        <w:t xml:space="preserve">"The Fourteenth Amendment guarantees pretrial detainees a right not to have their serious medical needs met with deliberate indifference on the part of the confining officials." </w:t>
      </w:r>
      <w:bookmarkStart w:id="533" w:name="Bookmark_I68SX06H28T4820050000400"/>
      <w:bookmarkEnd w:id="533"/>
      <w:r>
        <w:rPr>
          <w:rFonts w:ascii="Arial" w:eastAsia="Arial" w:hAnsi="Arial" w:cs="Arial"/>
          <w:i/>
          <w:color w:val="000000"/>
          <w:sz w:val="20"/>
        </w:rPr>
        <w:t>Dyer v. Houston</w:t>
      </w:r>
      <w:r>
        <w:rPr>
          <w:rFonts w:ascii="Arial" w:eastAsia="Arial" w:hAnsi="Arial" w:cs="Arial"/>
          <w:color w:val="000000"/>
          <w:sz w:val="20"/>
        </w:rPr>
        <w:t xml:space="preserve">, 955 F.3d 501, 506 (5th Cir. 2020). To succeed on a deliberate indifference claim, a plaintiff must demonstrate that: "(1) the official was ??aware of facts from which the inference could be drawn that a substantial risk of serious harm exists,' and (2) the official actually drew that inference." </w:t>
      </w:r>
      <w:r>
        <w:rPr>
          <w:rFonts w:ascii="Arial" w:eastAsia="Arial" w:hAnsi="Arial" w:cs="Arial"/>
          <w:i/>
          <w:color w:val="000000"/>
          <w:sz w:val="20"/>
        </w:rPr>
        <w:t>Id.</w:t>
      </w:r>
      <w:r>
        <w:rPr>
          <w:rFonts w:ascii="Arial" w:eastAsia="Arial" w:hAnsi="Arial" w:cs="Arial"/>
          <w:color w:val="000000"/>
          <w:sz w:val="20"/>
        </w:rPr>
        <w:t xml:space="preserve"> (quoting </w:t>
      </w:r>
      <w:bookmarkStart w:id="534" w:name="Bookmark_I68SX06H2D6NRM0020000400"/>
      <w:bookmarkEnd w:id="534"/>
      <w:r>
        <w:rPr>
          <w:rFonts w:ascii="Arial" w:eastAsia="Arial" w:hAnsi="Arial" w:cs="Arial"/>
          <w:i/>
          <w:color w:val="000000"/>
          <w:sz w:val="20"/>
        </w:rPr>
        <w:t>Domino v. Tex. Dep't of Criminal Justice</w:t>
      </w:r>
      <w:r>
        <w:rPr>
          <w:rFonts w:ascii="Arial" w:eastAsia="Arial" w:hAnsi="Arial" w:cs="Arial"/>
          <w:color w:val="000000"/>
          <w:sz w:val="20"/>
        </w:rPr>
        <w:t xml:space="preserve">, 239 F.3d 752, 755 (5th Cir. 2001)). We have recognized that "[d]eliberate indifference is an extremely high standard to meet." </w:t>
      </w:r>
      <w:bookmarkStart w:id="535" w:name="Bookmark_I68SX06H2D6NRM0040000400"/>
      <w:bookmarkEnd w:id="535"/>
      <w:r>
        <w:rPr>
          <w:rFonts w:ascii="Arial" w:eastAsia="Arial" w:hAnsi="Arial" w:cs="Arial"/>
          <w:i/>
          <w:color w:val="000000"/>
          <w:sz w:val="20"/>
        </w:rPr>
        <w:t>Domino</w:t>
      </w:r>
      <w:r>
        <w:rPr>
          <w:rFonts w:ascii="Arial" w:eastAsia="Arial" w:hAnsi="Arial" w:cs="Arial"/>
          <w:color w:val="000000"/>
          <w:sz w:val="20"/>
        </w:rPr>
        <w:t>, 239 F.3d at 756.</w:t>
      </w:r>
    </w:p>
    <w:p w:rsidR="00022B47" w:rsidRDefault="00000000">
      <w:pPr>
        <w:pStyle w:val="Normal3"/>
        <w:widowControl w:val="0"/>
        <w:spacing w:before="120" w:line="260" w:lineRule="atLeast"/>
      </w:pPr>
      <w:r>
        <w:rPr>
          <w:rFonts w:ascii="Arial" w:eastAsia="Arial" w:hAnsi="Arial" w:cs="Arial"/>
          <w:color w:val="000000"/>
          <w:sz w:val="20"/>
        </w:rPr>
        <w:t xml:space="preserve">1. </w:t>
      </w:r>
      <w:r>
        <w:rPr>
          <w:rFonts w:ascii="Arial" w:eastAsia="Arial" w:hAnsi="Arial" w:cs="Arial"/>
          <w:i/>
          <w:color w:val="000000"/>
          <w:sz w:val="20"/>
        </w:rPr>
        <w:t>Qualified Immunity</w:t>
      </w:r>
    </w:p>
    <w:p w:rsidR="00022B47" w:rsidRDefault="00000000">
      <w:pPr>
        <w:pStyle w:val="Normal3"/>
        <w:widowControl w:val="0"/>
        <w:spacing w:before="200" w:line="260" w:lineRule="atLeast"/>
        <w:jc w:val="both"/>
      </w:pPr>
      <w:bookmarkStart w:id="536" w:name="Bookmark_para_21_2"/>
      <w:bookmarkEnd w:id="536"/>
      <w:r>
        <w:rPr>
          <w:rFonts w:ascii="Arial" w:eastAsia="Arial" w:hAnsi="Arial" w:cs="Arial"/>
          <w:color w:val="000000"/>
          <w:sz w:val="20"/>
        </w:rPr>
        <w:t>Garcia challenges the district court's dismissals of Rowe, Hood, Conklin, Ellison, [*9]  Bigham, Lopez, Cartwright, Mendez, and Martinez (collectively "Appellees") on qualified immunity grounds.</w:t>
      </w:r>
      <w:r>
        <w:rPr>
          <w:rFonts w:ascii="Arial" w:eastAsia="Arial" w:hAnsi="Arial" w:cs="Arial"/>
          <w:vertAlign w:val="superscript"/>
        </w:rPr>
        <w:footnoteReference w:customMarkFollows="1" w:id="12"/>
        <w:t>3</w:t>
      </w:r>
      <w:r>
        <w:rPr>
          <w:rFonts w:ascii="Arial" w:eastAsia="Arial" w:hAnsi="Arial" w:cs="Arial"/>
          <w:color w:val="000000"/>
          <w:sz w:val="20"/>
        </w:rPr>
        <w:t xml:space="preserve"> Specifically, the district court granted qualified immunity to: (1) Rowe and Hood for Garcia's failure-to-train claim; (2) Conklin and Ellison for his false-arrest and deliberate-indifference claims; and (3) Bigham, Lopez, Cartwright, Mendez, and Martinez for his deliberate-indifference claim. In response, Appellees argue that Garcia has either inadequately briefed the issue of qualified immunity or failed to establish that they are not entitled to qualified immunity. We agree.</w:t>
      </w:r>
    </w:p>
    <w:p w:rsidR="00022B47" w:rsidRDefault="00000000">
      <w:pPr>
        <w:pStyle w:val="Normal3"/>
        <w:widowControl w:val="0"/>
        <w:spacing w:before="200" w:line="260" w:lineRule="atLeast"/>
        <w:jc w:val="both"/>
      </w:pPr>
      <w:bookmarkStart w:id="538" w:name="Bookmark_para_22_2"/>
      <w:bookmarkStart w:id="539" w:name="Bookmark_LNHNREFclscc5_1"/>
      <w:bookmarkStart w:id="540" w:name="Bookmark_I68SX06H2HM6PW0020000400"/>
      <w:bookmarkStart w:id="541" w:name="Bookmark_I68SX06H2HM6PW0040000400"/>
      <w:bookmarkStart w:id="542" w:name="Bookmark_I68SX06J2SF84C0010000400"/>
      <w:bookmarkEnd w:id="538"/>
      <w:bookmarkEnd w:id="539"/>
      <w:bookmarkEnd w:id="540"/>
      <w:bookmarkEnd w:id="541"/>
      <w:bookmarkEnd w:id="542"/>
      <w:r>
        <w:rPr>
          <w:rFonts w:ascii="Arial" w:eastAsia="Arial" w:hAnsi="Arial" w:cs="Arial"/>
          <w:color w:val="000000"/>
          <w:sz w:val="20"/>
        </w:rPr>
        <w:t xml:space="preserve">Qualified immunity shields a public official "from suit when she makes a decision that, even if constitutionally deficient, reasonably misapprehends the law governing the circumstances she confronted." </w:t>
      </w:r>
      <w:bookmarkStart w:id="543" w:name="Bookmark_I68SX06H2HM6PW0010000400"/>
      <w:bookmarkEnd w:id="543"/>
      <w:r>
        <w:rPr>
          <w:rFonts w:ascii="Arial" w:eastAsia="Arial" w:hAnsi="Arial" w:cs="Arial"/>
          <w:i/>
          <w:color w:val="000000"/>
          <w:sz w:val="20"/>
        </w:rPr>
        <w:t>Taylor v. Riojas</w:t>
      </w:r>
      <w:r>
        <w:rPr>
          <w:rFonts w:ascii="Arial" w:eastAsia="Arial" w:hAnsi="Arial" w:cs="Arial"/>
          <w:color w:val="000000"/>
          <w:sz w:val="20"/>
        </w:rPr>
        <w:t xml:space="preserve">, 141 S. Ct. 52, 53, 208 L. Ed. 2d 164 (2020). </w:t>
      </w:r>
      <w:bookmarkStart w:id="544" w:name="Bookmark_I68SX06J2SF84C0030000400"/>
      <w:bookmarkEnd w:id="544"/>
      <w:r>
        <w:rPr>
          <w:rFonts w:ascii="Arial" w:eastAsia="Arial" w:hAnsi="Arial" w:cs="Arial"/>
          <w:color w:val="000000"/>
          <w:sz w:val="20"/>
        </w:rPr>
        <w:t xml:space="preserve">"When a defendant invokes qualified immunity, the burden shifts to the plaintiff to demonstrate the inapplicability of the defense." </w:t>
      </w:r>
      <w:bookmarkStart w:id="545" w:name="Bookmark_I68SX06H2HM6PW0030000400"/>
      <w:bookmarkEnd w:id="545"/>
      <w:r>
        <w:rPr>
          <w:rFonts w:ascii="Arial" w:eastAsia="Arial" w:hAnsi="Arial" w:cs="Arial"/>
          <w:i/>
          <w:color w:val="000000"/>
          <w:sz w:val="20"/>
        </w:rPr>
        <w:t>Club Retro LLC v. Hilton</w:t>
      </w:r>
      <w:r>
        <w:rPr>
          <w:rFonts w:ascii="Arial" w:eastAsia="Arial" w:hAnsi="Arial" w:cs="Arial"/>
          <w:color w:val="000000"/>
          <w:sz w:val="20"/>
        </w:rPr>
        <w:t xml:space="preserve">, 568 F.3d 181, 194 (5th Cir. 2009). To meet this burden, a plaintiff must plead specific allegations demonstrating: "(1) the violation of a constitutional right that (2) was clearly established at the time of the alleged misconduct." </w:t>
      </w:r>
      <w:bookmarkStart w:id="546" w:name="Bookmark_I68SX06H2HM6PW0050000400"/>
      <w:bookmarkEnd w:id="546"/>
      <w:r>
        <w:rPr>
          <w:rFonts w:ascii="Arial" w:eastAsia="Arial" w:hAnsi="Arial" w:cs="Arial"/>
          <w:i/>
          <w:color w:val="000000"/>
          <w:sz w:val="20"/>
        </w:rPr>
        <w:t>Linicomn v. Hill</w:t>
      </w:r>
      <w:r>
        <w:rPr>
          <w:rFonts w:ascii="Arial" w:eastAsia="Arial" w:hAnsi="Arial" w:cs="Arial"/>
          <w:color w:val="000000"/>
          <w:sz w:val="20"/>
        </w:rPr>
        <w:t xml:space="preserve">, 902 F.3d 529, 533 (5th Cir. 2018). </w:t>
      </w:r>
      <w:bookmarkStart w:id="547" w:name="Bookmark_I68SX06J2SF84C0030000400_2"/>
      <w:bookmarkEnd w:id="547"/>
      <w:r>
        <w:rPr>
          <w:rFonts w:ascii="Arial" w:eastAsia="Arial" w:hAnsi="Arial" w:cs="Arial"/>
          <w:color w:val="000000"/>
          <w:sz w:val="20"/>
        </w:rPr>
        <w:t xml:space="preserve">"A clearly established right is one that is sufficiently clear that every [*10]  reasonable official would have understood that what he is doing violates that right." </w:t>
      </w:r>
      <w:bookmarkStart w:id="548" w:name="Bookmark_I68SX06J2SF84C0020000400"/>
      <w:bookmarkEnd w:id="548"/>
      <w:r>
        <w:rPr>
          <w:rFonts w:ascii="Arial" w:eastAsia="Arial" w:hAnsi="Arial" w:cs="Arial"/>
          <w:i/>
          <w:color w:val="000000"/>
          <w:sz w:val="20"/>
        </w:rPr>
        <w:t>Mullenix v. Luna</w:t>
      </w:r>
      <w:r>
        <w:rPr>
          <w:rFonts w:ascii="Arial" w:eastAsia="Arial" w:hAnsi="Arial" w:cs="Arial"/>
          <w:color w:val="000000"/>
          <w:sz w:val="20"/>
        </w:rPr>
        <w:t>, 577 U.S. 7, 11, 136 S. Ct. 305, 193 L. Ed. 2d 255 (2015).</w:t>
      </w:r>
    </w:p>
    <w:p w:rsidR="00022B47" w:rsidRDefault="00000000">
      <w:pPr>
        <w:pStyle w:val="Normal3"/>
        <w:widowControl w:val="0"/>
        <w:spacing w:before="200" w:line="260" w:lineRule="atLeast"/>
        <w:jc w:val="both"/>
      </w:pPr>
      <w:bookmarkStart w:id="549" w:name="Bookmark_para_23_2"/>
      <w:bookmarkStart w:id="550" w:name="Bookmark_LNHNREFclscc6_1"/>
      <w:bookmarkStart w:id="551" w:name="Bookmark_I68SX06J2SF84C0050000400"/>
      <w:bookmarkStart w:id="552" w:name="Bookmark_I68SX06J2SF84H0020000400"/>
      <w:bookmarkEnd w:id="549"/>
      <w:bookmarkEnd w:id="550"/>
      <w:bookmarkEnd w:id="551"/>
      <w:bookmarkEnd w:id="552"/>
      <w:r>
        <w:rPr>
          <w:rFonts w:ascii="Arial" w:eastAsia="Arial" w:hAnsi="Arial" w:cs="Arial"/>
          <w:color w:val="000000"/>
          <w:sz w:val="20"/>
        </w:rPr>
        <w:t xml:space="preserve">In the failure-to-train context, we have explained that "[t]o establish § 1983 liability against supervisors, the plaintiff must show that: (1) the [supervisor] failed to supervise or train the officer; (2) a causal connection existed between the failure to supervise or train and the violation of the plaintiff's rights; and (3) the failure to supervise or train amounted to deliberate indifference to the plaintiff's constitutional rights." </w:t>
      </w:r>
      <w:bookmarkStart w:id="553" w:name="Bookmark_I68SX06J2SF84C0040000400"/>
      <w:bookmarkEnd w:id="553"/>
      <w:r>
        <w:rPr>
          <w:rFonts w:ascii="Arial" w:eastAsia="Arial" w:hAnsi="Arial" w:cs="Arial"/>
          <w:i/>
          <w:color w:val="000000"/>
          <w:sz w:val="20"/>
        </w:rPr>
        <w:t>Roberts v. City of Shreveport</w:t>
      </w:r>
      <w:r>
        <w:rPr>
          <w:rFonts w:ascii="Arial" w:eastAsia="Arial" w:hAnsi="Arial" w:cs="Arial"/>
          <w:color w:val="000000"/>
          <w:sz w:val="20"/>
        </w:rPr>
        <w:t xml:space="preserve">, 397 F.3d 287, 292 (5th Cir. 2005). Where a failure-to-train claim rests on an alleged pattern that amounts to deliberate indifference by city officials, a plaintiff must show a pattern "so common and well-settled as to constitute a custom that fairly represents municipal policy." </w:t>
      </w:r>
      <w:bookmarkStart w:id="554" w:name="Bookmark_I68SX06J2SF84H0010000400"/>
      <w:bookmarkEnd w:id="554"/>
      <w:r>
        <w:rPr>
          <w:rFonts w:ascii="Arial" w:eastAsia="Arial" w:hAnsi="Arial" w:cs="Arial"/>
          <w:i/>
          <w:color w:val="000000"/>
          <w:sz w:val="20"/>
        </w:rPr>
        <w:t>Peterson v. City of Fort Worth</w:t>
      </w:r>
      <w:r>
        <w:rPr>
          <w:rFonts w:ascii="Arial" w:eastAsia="Arial" w:hAnsi="Arial" w:cs="Arial"/>
          <w:color w:val="000000"/>
          <w:sz w:val="20"/>
        </w:rPr>
        <w:t>, 588 F.3d 838, 852 (5th Cir. 2009) (citation omitted).</w:t>
      </w:r>
    </w:p>
    <w:p w:rsidR="00022B47" w:rsidRDefault="00000000">
      <w:pPr>
        <w:pStyle w:val="Normal3"/>
        <w:widowControl w:val="0"/>
        <w:spacing w:before="120" w:line="260" w:lineRule="atLeast"/>
      </w:pPr>
      <w:r>
        <w:rPr>
          <w:rFonts w:ascii="Arial" w:eastAsia="Arial" w:hAnsi="Arial" w:cs="Arial"/>
          <w:color w:val="000000"/>
          <w:sz w:val="20"/>
        </w:rPr>
        <w:t xml:space="preserve">i. </w:t>
      </w:r>
      <w:r>
        <w:rPr>
          <w:rFonts w:ascii="Arial" w:eastAsia="Arial" w:hAnsi="Arial" w:cs="Arial"/>
          <w:i/>
          <w:color w:val="000000"/>
          <w:sz w:val="20"/>
        </w:rPr>
        <w:t>Sergeant Hood &amp; Sheriff Rowe</w:t>
      </w:r>
    </w:p>
    <w:p w:rsidR="00022B47" w:rsidRDefault="00000000">
      <w:pPr>
        <w:pStyle w:val="Normal3"/>
        <w:widowControl w:val="0"/>
        <w:spacing w:before="200" w:line="260" w:lineRule="atLeast"/>
        <w:jc w:val="both"/>
      </w:pPr>
      <w:bookmarkStart w:id="555" w:name="Bookmark_para_24_2"/>
      <w:bookmarkStart w:id="556" w:name="Bookmark_I68SX06J2SF84H0040000400"/>
      <w:bookmarkEnd w:id="555"/>
      <w:bookmarkEnd w:id="556"/>
      <w:r>
        <w:rPr>
          <w:rFonts w:ascii="Arial" w:eastAsia="Arial" w:hAnsi="Arial" w:cs="Arial"/>
          <w:color w:val="000000"/>
          <w:sz w:val="20"/>
        </w:rPr>
        <w:t xml:space="preserve">The district court initially held that Garcia established a failure-to-train claim against Hood and Rowe. But it granted them qualified immunity because he did not provide any instances of adjudicated liability that would have put Hood or Rowe on notice of constitutionally deficient behavior by their staff. </w:t>
      </w:r>
      <w:bookmarkStart w:id="557" w:name="Bookmark_I68SX06K2D6NS40010000400"/>
      <w:bookmarkEnd w:id="557"/>
      <w:r>
        <w:rPr>
          <w:rFonts w:ascii="Arial" w:eastAsia="Arial" w:hAnsi="Arial" w:cs="Arial"/>
          <w:color w:val="000000"/>
          <w:sz w:val="20"/>
        </w:rPr>
        <w:t xml:space="preserve">It relied on another district court case in reaching this conclusion. [*11]  </w:t>
      </w:r>
      <w:r>
        <w:rPr>
          <w:rFonts w:ascii="Arial" w:eastAsia="Arial" w:hAnsi="Arial" w:cs="Arial"/>
          <w:i/>
          <w:color w:val="000000"/>
          <w:sz w:val="20"/>
        </w:rPr>
        <w:t xml:space="preserve">See </w:t>
      </w:r>
      <w:bookmarkStart w:id="558" w:name="Bookmark_I68SX06J2SF84H0030000400"/>
      <w:bookmarkEnd w:id="558"/>
      <w:r>
        <w:rPr>
          <w:rFonts w:ascii="Arial" w:eastAsia="Arial" w:hAnsi="Arial" w:cs="Arial"/>
          <w:i/>
          <w:color w:val="000000"/>
          <w:sz w:val="20"/>
        </w:rPr>
        <w:t>Dotson v. Edmonson</w:t>
      </w:r>
      <w:r>
        <w:rPr>
          <w:rFonts w:ascii="Arial" w:eastAsia="Arial" w:hAnsi="Arial" w:cs="Arial"/>
          <w:color w:val="000000"/>
          <w:sz w:val="20"/>
        </w:rPr>
        <w:t xml:space="preserve">, No.16-5371, 2018 U.S. Dist. LEXIS 9602, 2018 WL 501512 (E.D. La. Jan. 22, 2018). </w:t>
      </w:r>
      <w:bookmarkStart w:id="559" w:name="Bookmark_I68SX06K2D6NS40010000400_2"/>
      <w:bookmarkStart w:id="560" w:name="Bookmark_I68SX06K2D6NS40030000400"/>
      <w:bookmarkEnd w:id="559"/>
      <w:bookmarkEnd w:id="560"/>
      <w:r>
        <w:rPr>
          <w:rFonts w:ascii="Arial" w:eastAsia="Arial" w:hAnsi="Arial" w:cs="Arial"/>
          <w:color w:val="000000"/>
          <w:sz w:val="20"/>
        </w:rPr>
        <w:t xml:space="preserve">Garcia asserts that the district court's reliance on </w:t>
      </w:r>
      <w:bookmarkStart w:id="561" w:name="Bookmark_I68SX06K2D6NS40030000400_2"/>
      <w:bookmarkStart w:id="562" w:name="Bookmark_I68SX06K2D6NS40010000400_3"/>
      <w:bookmarkStart w:id="563" w:name="Bookmark_I68SX06J2SF84H0050000400"/>
      <w:bookmarkEnd w:id="561"/>
      <w:bookmarkEnd w:id="562"/>
      <w:bookmarkEnd w:id="563"/>
      <w:r>
        <w:rPr>
          <w:rFonts w:ascii="Arial" w:eastAsia="Arial" w:hAnsi="Arial" w:cs="Arial"/>
          <w:i/>
          <w:color w:val="000000"/>
          <w:sz w:val="20"/>
        </w:rPr>
        <w:t>Dotson</w:t>
      </w:r>
      <w:r>
        <w:rPr>
          <w:rFonts w:ascii="Arial" w:eastAsia="Arial" w:hAnsi="Arial" w:cs="Arial"/>
          <w:color w:val="000000"/>
          <w:sz w:val="20"/>
        </w:rPr>
        <w:t xml:space="preserve"> was misplaced and led to an improper extension of qualified immunity. Instead, he avers that the proper inquiry is simply whether he has established "the existence of a pattern of tortious conduct by inadequately trained employees [that] may tend to show . . . the lack of proper training[.]" </w:t>
      </w:r>
      <w:bookmarkStart w:id="564" w:name="Bookmark_I68SX06K2D6NS40020000400"/>
      <w:bookmarkEnd w:id="564"/>
      <w:r>
        <w:rPr>
          <w:rFonts w:ascii="Arial" w:eastAsia="Arial" w:hAnsi="Arial" w:cs="Arial"/>
          <w:i/>
          <w:color w:val="000000"/>
          <w:sz w:val="20"/>
        </w:rPr>
        <w:t>Bd. of Cty. Comm'rs of Bryan Cty. v. Brown</w:t>
      </w:r>
      <w:r>
        <w:rPr>
          <w:rFonts w:ascii="Arial" w:eastAsia="Arial" w:hAnsi="Arial" w:cs="Arial"/>
          <w:color w:val="000000"/>
          <w:sz w:val="20"/>
        </w:rPr>
        <w:t>, 520 U.S. 397, 407, 117 S. Ct. 1382, 137 L. Ed. 2d 626 (1997).</w:t>
      </w:r>
    </w:p>
    <w:p w:rsidR="00022B47" w:rsidRDefault="00000000">
      <w:pPr>
        <w:pStyle w:val="Normal3"/>
        <w:widowControl w:val="0"/>
        <w:spacing w:before="200" w:line="260" w:lineRule="atLeast"/>
        <w:jc w:val="both"/>
      </w:pPr>
      <w:bookmarkStart w:id="565" w:name="Bookmark_para_25_2"/>
      <w:bookmarkEnd w:id="565"/>
      <w:r>
        <w:rPr>
          <w:rFonts w:ascii="Arial" w:eastAsia="Arial" w:hAnsi="Arial" w:cs="Arial"/>
          <w:color w:val="000000"/>
          <w:sz w:val="20"/>
        </w:rPr>
        <w:t>Hood and Rowe make two arguments in response. First, Hood avers that Garcia's brief fails to mention him during its failure-to-train analysis, thus waiving Garcia's claims against him. Second, they contend that even if Garcia has not waived his claims, he failed to adequately brief qualified immunity. While we agree that Garcia has inadequately briefed this issue as to Hood, we hold that he has done so sufficiently on Rowe.</w:t>
      </w:r>
    </w:p>
    <w:p w:rsidR="00022B47" w:rsidRDefault="00000000">
      <w:pPr>
        <w:pStyle w:val="Normal3"/>
        <w:widowControl w:val="0"/>
        <w:spacing w:before="200" w:line="260" w:lineRule="atLeast"/>
        <w:jc w:val="both"/>
      </w:pPr>
      <w:bookmarkStart w:id="566" w:name="Bookmark_para_26_2"/>
      <w:bookmarkEnd w:id="566"/>
      <w:r>
        <w:rPr>
          <w:rFonts w:ascii="Arial" w:eastAsia="Arial" w:hAnsi="Arial" w:cs="Arial"/>
          <w:color w:val="000000"/>
          <w:sz w:val="20"/>
        </w:rPr>
        <w:t xml:space="preserve">Beginning with Hood, Garcia has waived any claims he had against him because Garcia's initial brief on appeal fails to mention or include him in its analysis. </w:t>
      </w:r>
      <w:bookmarkStart w:id="567" w:name="Bookmark_I68SX06K2D6NS40050000400"/>
      <w:bookmarkEnd w:id="567"/>
      <w:r>
        <w:rPr>
          <w:rFonts w:ascii="Arial" w:eastAsia="Arial" w:hAnsi="Arial" w:cs="Arial"/>
          <w:color w:val="000000"/>
          <w:sz w:val="20"/>
        </w:rPr>
        <w:t xml:space="preserve">Garcia includes Hood's name in the heading of his "Supervisory/Liability/Failure to Train" section. But his subsequent analysis never mentions Hood, Hood's conduct, or what connects Hood to Rowe. Thus, Garcia cannot maintain that we should understand him to be [*12]  analyzing the two individuals together. Because Garcia failed to argue Hood's liability under a failure-to-train theory, he has waived the argument as to Hood. </w:t>
      </w:r>
      <w:r>
        <w:rPr>
          <w:rFonts w:ascii="Arial" w:eastAsia="Arial" w:hAnsi="Arial" w:cs="Arial"/>
          <w:i/>
          <w:color w:val="000000"/>
          <w:sz w:val="20"/>
        </w:rPr>
        <w:t xml:space="preserve">See </w:t>
      </w:r>
      <w:bookmarkStart w:id="568" w:name="Bookmark_I68SX06K2D6NS40040000400"/>
      <w:bookmarkEnd w:id="568"/>
      <w:r>
        <w:rPr>
          <w:rFonts w:ascii="Arial" w:eastAsia="Arial" w:hAnsi="Arial" w:cs="Arial"/>
          <w:i/>
          <w:color w:val="000000"/>
          <w:sz w:val="20"/>
        </w:rPr>
        <w:t>Roy v. City of Monroe</w:t>
      </w:r>
      <w:r>
        <w:rPr>
          <w:rFonts w:ascii="Arial" w:eastAsia="Arial" w:hAnsi="Arial" w:cs="Arial"/>
          <w:color w:val="000000"/>
          <w:sz w:val="20"/>
        </w:rPr>
        <w:t>, 950 F.3d 245, 251 (5th Cir. 2020) ("Failure adequately to brief an issue on appeal constitutes waiver of that argument.").</w:t>
      </w:r>
    </w:p>
    <w:p w:rsidR="00022B47" w:rsidRDefault="00000000">
      <w:pPr>
        <w:pStyle w:val="Normal3"/>
        <w:widowControl w:val="0"/>
        <w:spacing w:before="200" w:line="260" w:lineRule="atLeast"/>
        <w:jc w:val="both"/>
      </w:pPr>
      <w:bookmarkStart w:id="569" w:name="Bookmark_para_27_2"/>
      <w:bookmarkStart w:id="570" w:name="Bookmark_I68SX06K28T48S0020000400"/>
      <w:bookmarkEnd w:id="569"/>
      <w:bookmarkEnd w:id="570"/>
      <w:r>
        <w:rPr>
          <w:rFonts w:ascii="Arial" w:eastAsia="Arial" w:hAnsi="Arial" w:cs="Arial"/>
          <w:color w:val="000000"/>
          <w:sz w:val="20"/>
        </w:rPr>
        <w:t xml:space="preserve">Garcia's failure-to-train claim against Rowe remains and warrants reversal of the district court's grant of qualified immunity. The district court misconstrued </w:t>
      </w:r>
      <w:bookmarkStart w:id="571" w:name="Bookmark_I68SX06K28T48S0010000400"/>
      <w:bookmarkEnd w:id="571"/>
      <w:r>
        <w:rPr>
          <w:rFonts w:ascii="Arial" w:eastAsia="Arial" w:hAnsi="Arial" w:cs="Arial"/>
          <w:i/>
          <w:color w:val="000000"/>
          <w:sz w:val="20"/>
        </w:rPr>
        <w:t>Dotson</w:t>
      </w:r>
      <w:r>
        <w:rPr>
          <w:rFonts w:ascii="Arial" w:eastAsia="Arial" w:hAnsi="Arial" w:cs="Arial"/>
          <w:color w:val="000000"/>
          <w:sz w:val="20"/>
        </w:rPr>
        <w:t xml:space="preserve"> and, in doing so, distorted Garcia's burden to establish deliberate indifference and defeat qualified immunity. In </w:t>
      </w:r>
      <w:r>
        <w:rPr>
          <w:rFonts w:ascii="Arial" w:eastAsia="Arial" w:hAnsi="Arial" w:cs="Arial"/>
          <w:i/>
          <w:color w:val="000000"/>
          <w:sz w:val="20"/>
        </w:rPr>
        <w:t xml:space="preserve">Estate of Davis ex rel. </w:t>
      </w:r>
      <w:bookmarkStart w:id="572" w:name="Bookmark_LNHNREFclscc7_1"/>
      <w:bookmarkEnd w:id="572"/>
      <w:r>
        <w:rPr>
          <w:rFonts w:ascii="Arial" w:eastAsia="Arial" w:hAnsi="Arial" w:cs="Arial"/>
          <w:i/>
          <w:color w:val="000000"/>
          <w:sz w:val="20"/>
        </w:rPr>
        <w:t>McCully v. City of North Richland Hills</w:t>
      </w:r>
      <w:r>
        <w:rPr>
          <w:rFonts w:ascii="Arial" w:eastAsia="Arial" w:hAnsi="Arial" w:cs="Arial"/>
          <w:color w:val="000000"/>
          <w:sz w:val="20"/>
        </w:rPr>
        <w:t>, we thoroughly explained a plaintiff's burden when alleging deliberate indifference in the supervisory-liability context:</w:t>
      </w:r>
    </w:p>
    <w:p w:rsidR="00022B47" w:rsidRDefault="00000000">
      <w:pPr>
        <w:pStyle w:val="Normal3"/>
        <w:widowControl w:val="0"/>
        <w:spacing w:before="200" w:line="260" w:lineRule="atLeast"/>
        <w:ind w:left="400"/>
        <w:jc w:val="both"/>
      </w:pPr>
      <w:bookmarkStart w:id="573" w:name="Bookmark_para_28_2"/>
      <w:bookmarkEnd w:id="573"/>
      <w:r>
        <w:rPr>
          <w:rFonts w:ascii="Arial" w:eastAsia="Arial" w:hAnsi="Arial" w:cs="Arial"/>
          <w:color w:val="000000"/>
          <w:sz w:val="20"/>
        </w:rPr>
        <w:t xml:space="preserve">To succeed on his claim of failure to train or supervise[,] the plaintiff must demonstrate deliberate indifference, which usually requires a plaintiff to demonstrate a pattern of violations . . . </w:t>
      </w:r>
      <w:bookmarkStart w:id="574" w:name="Bookmark_I5MGJNXD22J00008SRH0000B"/>
      <w:bookmarkStart w:id="575" w:name="Bookmark_I68SX06K28T48S0040000400"/>
      <w:bookmarkEnd w:id="574"/>
      <w:bookmarkEnd w:id="575"/>
      <w:r>
        <w:rPr>
          <w:rFonts w:ascii="Arial" w:eastAsia="Arial" w:hAnsi="Arial" w:cs="Arial"/>
          <w:color w:val="000000"/>
          <w:sz w:val="20"/>
        </w:rPr>
        <w:t xml:space="preserve">[that is,] </w:t>
      </w:r>
      <w:r>
        <w:rPr>
          <w:rFonts w:ascii="Arial" w:eastAsia="Arial" w:hAnsi="Arial" w:cs="Arial"/>
          <w:i/>
          <w:color w:val="000000"/>
          <w:sz w:val="20"/>
        </w:rPr>
        <w:t>similar incidents in which the citizens were injured</w:t>
      </w:r>
      <w:r>
        <w:rPr>
          <w:rFonts w:ascii="Arial" w:eastAsia="Arial" w:hAnsi="Arial" w:cs="Arial"/>
          <w:color w:val="000000"/>
          <w:sz w:val="20"/>
        </w:rPr>
        <w:t xml:space="preserve"> . . . Moreover, a showing of deliberate indifference requires that the [p]laintiff[] show that the failure to train reflects a deliberate or conscious choice to endanger constitutional rights.</w:t>
      </w:r>
    </w:p>
    <w:p w:rsidR="00022B47" w:rsidRDefault="00000000">
      <w:pPr>
        <w:pStyle w:val="Normal3"/>
        <w:widowControl w:val="0"/>
        <w:spacing w:before="200" w:line="260" w:lineRule="atLeast"/>
        <w:jc w:val="both"/>
      </w:pPr>
      <w:bookmarkStart w:id="576" w:name="Bookmark_I68SX06K28T48S0040000400_2"/>
      <w:bookmarkStart w:id="577" w:name="Bookmark_I68SX06K28T48S0030000400"/>
      <w:bookmarkEnd w:id="576"/>
      <w:bookmarkEnd w:id="577"/>
      <w:r>
        <w:rPr>
          <w:rFonts w:ascii="Arial" w:eastAsia="Arial" w:hAnsi="Arial" w:cs="Arial"/>
          <w:color w:val="000000"/>
          <w:sz w:val="20"/>
        </w:rPr>
        <w:t xml:space="preserve">406 F.3d 375, 383 (5th Cir. 2005). </w:t>
      </w:r>
      <w:bookmarkStart w:id="578" w:name="Bookmark_I68SX06K28T48T0010000400"/>
      <w:bookmarkEnd w:id="578"/>
      <w:r>
        <w:rPr>
          <w:rFonts w:ascii="Arial" w:eastAsia="Arial" w:hAnsi="Arial" w:cs="Arial"/>
          <w:color w:val="000000"/>
          <w:sz w:val="20"/>
        </w:rPr>
        <w:t xml:space="preserve">We have stated that previously adjudicated [*13]  instances of liability are </w:t>
      </w:r>
      <w:r>
        <w:rPr>
          <w:rFonts w:ascii="Arial" w:eastAsia="Arial" w:hAnsi="Arial" w:cs="Arial"/>
          <w:i/>
          <w:color w:val="000000"/>
          <w:sz w:val="20"/>
        </w:rPr>
        <w:t>helpful</w:t>
      </w:r>
      <w:r>
        <w:rPr>
          <w:rFonts w:ascii="Arial" w:eastAsia="Arial" w:hAnsi="Arial" w:cs="Arial"/>
          <w:color w:val="000000"/>
          <w:sz w:val="20"/>
        </w:rPr>
        <w:t xml:space="preserve"> in determining whether a supervisor had notice of unconstitutional behavior by their staff. But we have never gone as far as holding that these instances are </w:t>
      </w:r>
      <w:r>
        <w:rPr>
          <w:rFonts w:ascii="Arial" w:eastAsia="Arial" w:hAnsi="Arial" w:cs="Arial"/>
          <w:i/>
          <w:color w:val="000000"/>
          <w:sz w:val="20"/>
        </w:rPr>
        <w:t>required</w:t>
      </w:r>
      <w:r>
        <w:rPr>
          <w:rFonts w:ascii="Arial" w:eastAsia="Arial" w:hAnsi="Arial" w:cs="Arial"/>
          <w:color w:val="000000"/>
          <w:sz w:val="20"/>
        </w:rPr>
        <w:t xml:space="preserve"> for a plaintiff to prevail. </w:t>
      </w:r>
      <w:r>
        <w:rPr>
          <w:rFonts w:ascii="Arial" w:eastAsia="Arial" w:hAnsi="Arial" w:cs="Arial"/>
          <w:i/>
          <w:color w:val="000000"/>
          <w:sz w:val="20"/>
        </w:rPr>
        <w:t xml:space="preserve">See </w:t>
      </w:r>
      <w:bookmarkStart w:id="579" w:name="Bookmark_I68SX06K28T48S0050000400"/>
      <w:bookmarkEnd w:id="579"/>
      <w:r>
        <w:rPr>
          <w:rFonts w:ascii="Arial" w:eastAsia="Arial" w:hAnsi="Arial" w:cs="Arial"/>
          <w:i/>
          <w:color w:val="000000"/>
          <w:sz w:val="20"/>
        </w:rPr>
        <w:t>Davidson v. City of Stafford</w:t>
      </w:r>
      <w:r>
        <w:rPr>
          <w:rFonts w:ascii="Arial" w:eastAsia="Arial" w:hAnsi="Arial" w:cs="Arial"/>
          <w:color w:val="000000"/>
          <w:sz w:val="20"/>
        </w:rPr>
        <w:t>, 848 F.3d 384, 396 (5th Cir. 2017) (observing that Davidson provided "no evidence that any of the previous arrests resulted in subsequent litigation," but continuing to analyze the validity of his alleged pattern).</w:t>
      </w:r>
    </w:p>
    <w:p w:rsidR="00022B47" w:rsidRDefault="00000000">
      <w:pPr>
        <w:pStyle w:val="Normal3"/>
        <w:widowControl w:val="0"/>
        <w:spacing w:before="200" w:line="260" w:lineRule="atLeast"/>
        <w:jc w:val="both"/>
      </w:pPr>
      <w:bookmarkStart w:id="580" w:name="Bookmark_para_29_2"/>
      <w:bookmarkStart w:id="581" w:name="Bookmark_I68SX06K28T48T0030000400"/>
      <w:bookmarkEnd w:id="580"/>
      <w:bookmarkEnd w:id="581"/>
      <w:r>
        <w:rPr>
          <w:rFonts w:ascii="Arial" w:eastAsia="Arial" w:hAnsi="Arial" w:cs="Arial"/>
          <w:color w:val="000000"/>
          <w:sz w:val="20"/>
        </w:rPr>
        <w:t xml:space="preserve">The district court correctly concluded that Garcia established a pattern of constitutionally deficient medical screening practices, thus demonstrating deliberate indifference, and defeating qualified immunity. </w:t>
      </w:r>
      <w:bookmarkStart w:id="582" w:name="Bookmark_I68SX06K28T48T0050000400"/>
      <w:bookmarkEnd w:id="582"/>
      <w:r>
        <w:rPr>
          <w:rFonts w:ascii="Arial" w:eastAsia="Arial" w:hAnsi="Arial" w:cs="Arial"/>
          <w:color w:val="000000"/>
          <w:sz w:val="20"/>
        </w:rPr>
        <w:t xml:space="preserve">The only portion of the district court's reasoning that gives us pause is its determination that these deaths satisfy the similarity requirement. </w:t>
      </w:r>
      <w:r>
        <w:rPr>
          <w:rFonts w:ascii="Arial" w:eastAsia="Arial" w:hAnsi="Arial" w:cs="Arial"/>
          <w:i/>
          <w:color w:val="000000"/>
          <w:sz w:val="20"/>
        </w:rPr>
        <w:t xml:space="preserve">See </w:t>
      </w:r>
      <w:bookmarkStart w:id="583" w:name="Bookmark_I68SX06K28T48T0020000400"/>
      <w:bookmarkEnd w:id="583"/>
      <w:r>
        <w:rPr>
          <w:rFonts w:ascii="Arial" w:eastAsia="Arial" w:hAnsi="Arial" w:cs="Arial"/>
          <w:i/>
          <w:color w:val="000000"/>
          <w:sz w:val="20"/>
        </w:rPr>
        <w:t>Davidson</w:t>
      </w:r>
      <w:r>
        <w:rPr>
          <w:rFonts w:ascii="Arial" w:eastAsia="Arial" w:hAnsi="Arial" w:cs="Arial"/>
          <w:color w:val="000000"/>
          <w:sz w:val="20"/>
        </w:rPr>
        <w:t xml:space="preserve">, 848 F.3d at 396 ("A pattern requires similarity, specificity, and sufficiently numerous prior incidents."). </w:t>
      </w:r>
      <w:bookmarkStart w:id="584" w:name="Bookmark_I68SX06K28T48T0050000400_2"/>
      <w:bookmarkEnd w:id="584"/>
      <w:r>
        <w:rPr>
          <w:rFonts w:ascii="Arial" w:eastAsia="Arial" w:hAnsi="Arial" w:cs="Arial"/>
          <w:color w:val="000000"/>
          <w:sz w:val="20"/>
        </w:rPr>
        <w:t xml:space="preserve">While his complaint does not expressly state that the ten deaths occurred in the pretrial detainee process—where his alleged violation happened—we still must construe these deaths in favor of his allegation that they establish "the existence of a pattern of tortious conduct by inadequately trained employees [that] may tend to show [*14]  . . . the lack of proper training[.]" </w:t>
      </w:r>
      <w:bookmarkStart w:id="585" w:name="Bookmark_I68SX06K28T48T0040000400"/>
      <w:bookmarkEnd w:id="585"/>
      <w:r>
        <w:rPr>
          <w:rFonts w:ascii="Arial" w:eastAsia="Arial" w:hAnsi="Arial" w:cs="Arial"/>
          <w:i/>
          <w:color w:val="000000"/>
          <w:sz w:val="20"/>
        </w:rPr>
        <w:t>Brown</w:t>
      </w:r>
      <w:r>
        <w:rPr>
          <w:rFonts w:ascii="Arial" w:eastAsia="Arial" w:hAnsi="Arial" w:cs="Arial"/>
          <w:color w:val="000000"/>
          <w:sz w:val="20"/>
        </w:rPr>
        <w:t xml:space="preserve">, 520 U.S. at 407; </w:t>
      </w:r>
      <w:bookmarkStart w:id="586" w:name="Bookmark_I68SX06K2SF84S0010000400"/>
      <w:bookmarkEnd w:id="586"/>
      <w:r>
        <w:rPr>
          <w:rFonts w:ascii="Arial" w:eastAsia="Arial" w:hAnsi="Arial" w:cs="Arial"/>
          <w:i/>
          <w:color w:val="000000"/>
          <w:sz w:val="20"/>
        </w:rPr>
        <w:t>Littell</w:t>
      </w:r>
      <w:r>
        <w:rPr>
          <w:rFonts w:ascii="Arial" w:eastAsia="Arial" w:hAnsi="Arial" w:cs="Arial"/>
          <w:color w:val="000000"/>
          <w:sz w:val="20"/>
        </w:rPr>
        <w:t>, 894 F.3d at 622 (requiring that we view the "facts in the light most favorable to the plaintiffs").</w:t>
      </w:r>
    </w:p>
    <w:p w:rsidR="00022B47" w:rsidRDefault="00000000">
      <w:pPr>
        <w:pStyle w:val="Normal3"/>
        <w:widowControl w:val="0"/>
        <w:spacing w:before="200" w:line="260" w:lineRule="atLeast"/>
        <w:jc w:val="both"/>
      </w:pPr>
      <w:bookmarkStart w:id="587" w:name="Bookmark_para_30_2"/>
      <w:bookmarkEnd w:id="587"/>
      <w:r>
        <w:rPr>
          <w:rFonts w:ascii="Arial" w:eastAsia="Arial" w:hAnsi="Arial" w:cs="Arial"/>
          <w:color w:val="000000"/>
          <w:sz w:val="20"/>
        </w:rPr>
        <w:t>Because Garcia inadequately briefed Hood's liability under a failure-to-train theory, he has waived that claim as to him. But because he sufficiently pleaded a pattern that demonstrates deliberate indifference on behalf of Rowe, we reverse the district court's grant of qualified immunity.</w:t>
      </w:r>
    </w:p>
    <w:p w:rsidR="00022B47" w:rsidRDefault="00000000">
      <w:pPr>
        <w:pStyle w:val="Normal3"/>
        <w:widowControl w:val="0"/>
        <w:spacing w:before="120" w:line="260" w:lineRule="atLeast"/>
      </w:pPr>
      <w:r>
        <w:rPr>
          <w:rFonts w:ascii="Arial" w:eastAsia="Arial" w:hAnsi="Arial" w:cs="Arial"/>
          <w:color w:val="000000"/>
          <w:sz w:val="20"/>
        </w:rPr>
        <w:t xml:space="preserve">ii. </w:t>
      </w:r>
      <w:r>
        <w:rPr>
          <w:rFonts w:ascii="Arial" w:eastAsia="Arial" w:hAnsi="Arial" w:cs="Arial"/>
          <w:i/>
          <w:color w:val="000000"/>
          <w:sz w:val="20"/>
        </w:rPr>
        <w:t>Conklin &amp; Ellison</w:t>
      </w:r>
      <w:r>
        <w:rPr>
          <w:rFonts w:ascii="Arial" w:eastAsia="Arial" w:hAnsi="Arial" w:cs="Arial"/>
          <w:vertAlign w:val="superscript"/>
        </w:rPr>
        <w:footnoteReference w:customMarkFollows="1" w:id="13"/>
        <w:t>4</w:t>
      </w:r>
    </w:p>
    <w:p w:rsidR="00022B47" w:rsidRDefault="00000000">
      <w:pPr>
        <w:pStyle w:val="Normal3"/>
        <w:widowControl w:val="0"/>
        <w:spacing w:before="200" w:line="260" w:lineRule="atLeast"/>
        <w:jc w:val="both"/>
      </w:pPr>
      <w:bookmarkStart w:id="591" w:name="Bookmark_para_31_2"/>
      <w:bookmarkStart w:id="592" w:name="Bookmark_I68SX06K28T48V0010000400"/>
      <w:bookmarkEnd w:id="591"/>
      <w:bookmarkEnd w:id="592"/>
      <w:r>
        <w:rPr>
          <w:rFonts w:ascii="Arial" w:eastAsia="Arial" w:hAnsi="Arial" w:cs="Arial"/>
          <w:color w:val="000000"/>
          <w:sz w:val="20"/>
        </w:rPr>
        <w:t xml:space="preserve">Garcia asserts, for the first time in his reply brief, that Conklin and Ellison are not entitled to qualified immunity because they believed that he was drunk, and the law clearly establishes that officers may not simply put an intoxicated person with an obvious need for medical attention in a cell to detox. It is likely that this argument is waived because it was not made in his initial brief on appeal. </w:t>
      </w:r>
      <w:r>
        <w:rPr>
          <w:rFonts w:ascii="Arial" w:eastAsia="Arial" w:hAnsi="Arial" w:cs="Arial"/>
          <w:i/>
          <w:color w:val="000000"/>
          <w:sz w:val="20"/>
        </w:rPr>
        <w:t xml:space="preserve">See </w:t>
      </w:r>
      <w:bookmarkStart w:id="593" w:name="Bookmark_I68SX06K2SF84S0050000400"/>
      <w:bookmarkEnd w:id="593"/>
      <w:r>
        <w:rPr>
          <w:rFonts w:ascii="Arial" w:eastAsia="Arial" w:hAnsi="Arial" w:cs="Arial"/>
          <w:i/>
          <w:color w:val="000000"/>
          <w:sz w:val="20"/>
        </w:rPr>
        <w:t>Wright v. Excel Paralubes</w:t>
      </w:r>
      <w:r>
        <w:rPr>
          <w:rFonts w:ascii="Arial" w:eastAsia="Arial" w:hAnsi="Arial" w:cs="Arial"/>
          <w:color w:val="000000"/>
          <w:sz w:val="20"/>
        </w:rPr>
        <w:t>, 807 F.3d 730, 736 (5th Cir. 2015) ("[T]his court will not consider issues raised for the first time in a reply brief.").</w:t>
      </w:r>
    </w:p>
    <w:p w:rsidR="00022B47" w:rsidRDefault="00000000">
      <w:pPr>
        <w:pStyle w:val="Normal3"/>
        <w:widowControl w:val="0"/>
        <w:spacing w:before="200" w:line="260" w:lineRule="atLeast"/>
        <w:jc w:val="both"/>
      </w:pPr>
      <w:bookmarkStart w:id="594" w:name="Bookmark_para_32_2"/>
      <w:bookmarkStart w:id="595" w:name="Bookmark_I68SX06K28T48V0030000400"/>
      <w:bookmarkEnd w:id="594"/>
      <w:bookmarkEnd w:id="595"/>
      <w:r>
        <w:rPr>
          <w:rFonts w:ascii="Arial" w:eastAsia="Arial" w:hAnsi="Arial" w:cs="Arial"/>
          <w:color w:val="000000"/>
          <w:sz w:val="20"/>
        </w:rPr>
        <w:t xml:space="preserve">However, assuming arguendo that Garcia has not waived this argument, he has still failed to meet his burden. </w:t>
      </w:r>
      <w:bookmarkStart w:id="596" w:name="Bookmark_LNHNREFclscc8_1"/>
      <w:bookmarkEnd w:id="596"/>
      <w:r>
        <w:rPr>
          <w:rFonts w:ascii="Arial" w:eastAsia="Arial" w:hAnsi="Arial" w:cs="Arial"/>
          <w:color w:val="000000"/>
          <w:sz w:val="20"/>
        </w:rPr>
        <w:t>To prevail on his deliberate-indifference claim, he must show that Conklin and Ellison "kn[e]w of and disregard[ed] an excessive risk" to his safety.</w:t>
      </w:r>
      <w:r>
        <w:rPr>
          <w:rFonts w:ascii="Arial" w:eastAsia="Arial" w:hAnsi="Arial" w:cs="Arial"/>
          <w:vertAlign w:val="superscript"/>
        </w:rPr>
        <w:footnoteReference w:customMarkFollows="1" w:id="14"/>
        <w:t>5</w:t>
      </w:r>
      <w:r>
        <w:rPr>
          <w:rFonts w:ascii="Arial" w:eastAsia="Arial" w:hAnsi="Arial" w:cs="Arial"/>
          <w:color w:val="000000"/>
          <w:sz w:val="20"/>
        </w:rPr>
        <w:t xml:space="preserve"> </w:t>
      </w:r>
      <w:r>
        <w:rPr>
          <w:rFonts w:ascii="Arial" w:eastAsia="Arial" w:hAnsi="Arial" w:cs="Arial"/>
          <w:i/>
          <w:color w:val="000000"/>
          <w:sz w:val="20"/>
        </w:rPr>
        <w:t xml:space="preserve">See [*15]  </w:t>
      </w:r>
      <w:bookmarkStart w:id="605" w:name="Bookmark_I68SX06K28T48V0020000400"/>
      <w:bookmarkEnd w:id="605"/>
      <w:r>
        <w:rPr>
          <w:rFonts w:ascii="Arial" w:eastAsia="Arial" w:hAnsi="Arial" w:cs="Arial"/>
          <w:i/>
          <w:color w:val="000000"/>
          <w:sz w:val="20"/>
        </w:rPr>
        <w:t>Garza v. City of Donna</w:t>
      </w:r>
      <w:r>
        <w:rPr>
          <w:rFonts w:ascii="Arial" w:eastAsia="Arial" w:hAnsi="Arial" w:cs="Arial"/>
          <w:color w:val="000000"/>
          <w:sz w:val="20"/>
        </w:rPr>
        <w:t>, 922 F.3d 626, 636 (5th Cir. 2019) (holding that establishing civil liability requires a plaintiff to first show "that the municipal employee violated the pretrial detainee's clearly established constitutional rights with subjective deliberate indifference"). For Garcia to make a successful claim, he must plead facts supporting that the officers knew he was intoxicated and disregarded an excessive risk to his safety.</w:t>
      </w:r>
    </w:p>
    <w:p w:rsidR="00022B47" w:rsidRDefault="00000000">
      <w:pPr>
        <w:pStyle w:val="Normal3"/>
        <w:widowControl w:val="0"/>
        <w:spacing w:before="200" w:line="260" w:lineRule="atLeast"/>
        <w:jc w:val="both"/>
      </w:pPr>
      <w:bookmarkStart w:id="606" w:name="Bookmark_para_33_1"/>
      <w:bookmarkEnd w:id="606"/>
      <w:r>
        <w:rPr>
          <w:rFonts w:ascii="Arial" w:eastAsia="Arial" w:hAnsi="Arial" w:cs="Arial"/>
          <w:color w:val="000000"/>
          <w:sz w:val="20"/>
        </w:rPr>
        <w:t xml:space="preserve">Here, the record does not support that Conklin or Ellison ever knew that Garcia was intoxicated. </w:t>
      </w:r>
      <w:bookmarkStart w:id="607" w:name="Bookmark_I68SX06M2N1RKF0040000400"/>
      <w:bookmarkEnd w:id="607"/>
      <w:r>
        <w:rPr>
          <w:rFonts w:ascii="Arial" w:eastAsia="Arial" w:hAnsi="Arial" w:cs="Arial"/>
          <w:color w:val="000000"/>
          <w:sz w:val="20"/>
        </w:rPr>
        <w:t xml:space="preserve">For example, the officers asked Garcia how much he had to drink, but he never provided a clear answer. Moreover, as Garcia concedes in his reply brief, the officers could not smell alcohol on him. Thus, they could not have known, without more, that he was drunk or otherwise intoxicated during his arrest. Because the officers were never certain of what ailed Garcia, they could not have "violated [his] clearly established rights with subjective deliberate indifference." </w:t>
      </w:r>
      <w:bookmarkStart w:id="608" w:name="Bookmark_I68SX06M2N1RKF0030000400"/>
      <w:bookmarkEnd w:id="608"/>
      <w:r>
        <w:rPr>
          <w:rFonts w:ascii="Arial" w:eastAsia="Arial" w:hAnsi="Arial" w:cs="Arial"/>
          <w:i/>
          <w:color w:val="000000"/>
          <w:sz w:val="20"/>
        </w:rPr>
        <w:t>Garza</w:t>
      </w:r>
      <w:r>
        <w:rPr>
          <w:rFonts w:ascii="Arial" w:eastAsia="Arial" w:hAnsi="Arial" w:cs="Arial"/>
          <w:color w:val="000000"/>
          <w:sz w:val="20"/>
        </w:rPr>
        <w:t>, 922 F.3d at 636. Therefore, the district court correctly determined that Garcia failed to meet the required burden and that the officers were entitled to qualified immunity.</w:t>
      </w:r>
    </w:p>
    <w:p w:rsidR="00022B47" w:rsidRDefault="00000000">
      <w:pPr>
        <w:pStyle w:val="Normal3"/>
        <w:widowControl w:val="0"/>
        <w:spacing w:before="120" w:line="260" w:lineRule="atLeast"/>
      </w:pPr>
      <w:r>
        <w:rPr>
          <w:rFonts w:ascii="Arial" w:eastAsia="Arial" w:hAnsi="Arial" w:cs="Arial"/>
          <w:color w:val="000000"/>
          <w:sz w:val="20"/>
        </w:rPr>
        <w:t xml:space="preserve">iii. </w:t>
      </w:r>
      <w:r>
        <w:rPr>
          <w:rFonts w:ascii="Arial" w:eastAsia="Arial" w:hAnsi="Arial" w:cs="Arial"/>
          <w:i/>
          <w:color w:val="000000"/>
          <w:sz w:val="20"/>
        </w:rPr>
        <w:t>Bigham, Lopez, Cartwright, Mendez, and Martinez</w:t>
      </w:r>
    </w:p>
    <w:p w:rsidR="00022B47" w:rsidRDefault="00000000">
      <w:pPr>
        <w:pStyle w:val="Normal3"/>
        <w:widowControl w:val="0"/>
        <w:spacing w:before="200" w:line="260" w:lineRule="atLeast"/>
        <w:jc w:val="both"/>
      </w:pPr>
      <w:bookmarkStart w:id="609" w:name="Bookmark_para_34_1"/>
      <w:bookmarkStart w:id="610" w:name="Bookmark_I68SX06M2SF84V0010000400"/>
      <w:bookmarkStart w:id="611" w:name="Bookmark_I68SX06M2SF84V0030000400"/>
      <w:bookmarkEnd w:id="609"/>
      <w:bookmarkEnd w:id="610"/>
      <w:bookmarkEnd w:id="611"/>
      <w:r>
        <w:rPr>
          <w:rFonts w:ascii="Arial" w:eastAsia="Arial" w:hAnsi="Arial" w:cs="Arial"/>
          <w:color w:val="000000"/>
          <w:sz w:val="20"/>
        </w:rPr>
        <w:t xml:space="preserve">Garcia asserts [*16]  that Bigham, Lopez, Cartwright, Mendez, and Martinez (collectively "the jailors") violated clearly established law from our decisions in </w:t>
      </w:r>
      <w:bookmarkStart w:id="612" w:name="Bookmark_I68SX06M2N1RKF0050000400"/>
      <w:bookmarkEnd w:id="612"/>
      <w:r>
        <w:rPr>
          <w:rFonts w:ascii="Arial" w:eastAsia="Arial" w:hAnsi="Arial" w:cs="Arial"/>
          <w:i/>
          <w:color w:val="000000"/>
          <w:sz w:val="20"/>
        </w:rPr>
        <w:t>Dyer</w:t>
      </w:r>
      <w:r>
        <w:rPr>
          <w:rFonts w:ascii="Arial" w:eastAsia="Arial" w:hAnsi="Arial" w:cs="Arial"/>
          <w:color w:val="000000"/>
          <w:sz w:val="20"/>
        </w:rPr>
        <w:t xml:space="preserve"> and </w:t>
      </w:r>
      <w:r>
        <w:rPr>
          <w:rFonts w:ascii="Arial" w:eastAsia="Arial" w:hAnsi="Arial" w:cs="Arial"/>
          <w:i/>
          <w:color w:val="000000"/>
          <w:sz w:val="20"/>
        </w:rPr>
        <w:t>Thompson v. Upshur County</w:t>
      </w:r>
      <w:r>
        <w:rPr>
          <w:rFonts w:ascii="Arial" w:eastAsia="Arial" w:hAnsi="Arial" w:cs="Arial"/>
          <w:color w:val="000000"/>
          <w:sz w:val="20"/>
        </w:rPr>
        <w:t xml:space="preserve"> by failing to get him medical attention during the booking process. </w:t>
      </w:r>
      <w:bookmarkStart w:id="613" w:name="Bookmark_I68SX06M2D6NSC0020000400"/>
      <w:bookmarkEnd w:id="613"/>
      <w:r>
        <w:rPr>
          <w:rFonts w:ascii="Arial" w:eastAsia="Arial" w:hAnsi="Arial" w:cs="Arial"/>
          <w:i/>
          <w:color w:val="000000"/>
          <w:sz w:val="20"/>
        </w:rPr>
        <w:t>See</w:t>
      </w:r>
      <w:r>
        <w:rPr>
          <w:rFonts w:ascii="Arial" w:eastAsia="Arial" w:hAnsi="Arial" w:cs="Arial"/>
          <w:color w:val="000000"/>
          <w:sz w:val="20"/>
        </w:rPr>
        <w:t xml:space="preserve"> </w:t>
      </w:r>
      <w:bookmarkStart w:id="614" w:name="Bookmark_I68SX06M2SF84V0020000400"/>
      <w:bookmarkEnd w:id="614"/>
      <w:r>
        <w:rPr>
          <w:rFonts w:ascii="Arial" w:eastAsia="Arial" w:hAnsi="Arial" w:cs="Arial"/>
          <w:color w:val="000000"/>
          <w:sz w:val="20"/>
        </w:rPr>
        <w:t xml:space="preserve">955 F.3d at 506; </w:t>
      </w:r>
      <w:bookmarkStart w:id="615" w:name="Bookmark_I68SX06M2SF84V0040000400"/>
      <w:bookmarkEnd w:id="615"/>
      <w:r>
        <w:rPr>
          <w:rFonts w:ascii="Arial" w:eastAsia="Arial" w:hAnsi="Arial" w:cs="Arial"/>
          <w:color w:val="000000"/>
          <w:sz w:val="20"/>
        </w:rPr>
        <w:t xml:space="preserve">245 F.3d 447, 464 (5th Cir. 2001). </w:t>
      </w:r>
      <w:bookmarkStart w:id="616" w:name="Bookmark_I68SX06M2D6NSC0020000400_2"/>
      <w:bookmarkEnd w:id="616"/>
      <w:r>
        <w:rPr>
          <w:rFonts w:ascii="Arial" w:eastAsia="Arial" w:hAnsi="Arial" w:cs="Arial"/>
          <w:color w:val="000000"/>
          <w:sz w:val="20"/>
        </w:rPr>
        <w:t>The district court dismissed the jailors from the suit on two grounds. It first held that Garcia only alleged that the jailors were negligent, which is insufficient to establish deliberate indifference.</w:t>
      </w:r>
      <w:r>
        <w:rPr>
          <w:rFonts w:ascii="Arial" w:eastAsia="Arial" w:hAnsi="Arial" w:cs="Arial"/>
          <w:vertAlign w:val="superscript"/>
        </w:rPr>
        <w:footnoteReference w:customMarkFollows="1" w:id="15"/>
        <w:t>6</w:t>
      </w:r>
      <w:r>
        <w:rPr>
          <w:rFonts w:ascii="Arial" w:eastAsia="Arial" w:hAnsi="Arial" w:cs="Arial"/>
          <w:color w:val="000000"/>
          <w:sz w:val="20"/>
        </w:rPr>
        <w:t xml:space="preserve"> It then explained that even if it was satisfied with Garcia's pleadings on deliberate indifference, it would still grant the jailors qualified immunity. Consequently, it dismissed the jailors from this suit. We agree.</w:t>
      </w:r>
    </w:p>
    <w:p w:rsidR="00022B47" w:rsidRDefault="00000000">
      <w:pPr>
        <w:pStyle w:val="Normal3"/>
        <w:widowControl w:val="0"/>
        <w:spacing w:before="200" w:line="260" w:lineRule="atLeast"/>
        <w:jc w:val="both"/>
      </w:pPr>
      <w:bookmarkStart w:id="620" w:name="Bookmark_para_35_1"/>
      <w:bookmarkEnd w:id="620"/>
      <w:r>
        <w:rPr>
          <w:rFonts w:ascii="Arial" w:eastAsia="Arial" w:hAnsi="Arial" w:cs="Arial"/>
          <w:color w:val="000000"/>
          <w:sz w:val="20"/>
        </w:rPr>
        <w:t xml:space="preserve">Here, Garcia does not establish that the jailors' failure to get him medical assistance amounted to deliberate indifference instead of negligence. He likewise fails to prove that the jailors are not entitled to qualified immunity. He maintains that the jailors' failure to: (1) notice his medical bracelets; (2) check his cell every fifteen minutes; and (3) recognize he was suffering through a diabetic episode amounts to deliberate indifference. However, he provides no legal authority or facts in the record that support overturning [*17]  the district court's determination that the jailors' conduct was simply negligent. </w:t>
      </w:r>
      <w:bookmarkStart w:id="621" w:name="Bookmark_I68SX06M2D6NSC0040000400"/>
      <w:bookmarkEnd w:id="621"/>
      <w:r>
        <w:rPr>
          <w:rFonts w:ascii="Arial" w:eastAsia="Arial" w:hAnsi="Arial" w:cs="Arial"/>
          <w:color w:val="000000"/>
          <w:sz w:val="20"/>
        </w:rPr>
        <w:t xml:space="preserve">At best, he alleges gross negligence by the jailors. But that is not enough to carry his burden. </w:t>
      </w:r>
      <w:r>
        <w:rPr>
          <w:rFonts w:ascii="Arial" w:eastAsia="Arial" w:hAnsi="Arial" w:cs="Arial"/>
          <w:i/>
          <w:color w:val="000000"/>
          <w:sz w:val="20"/>
        </w:rPr>
        <w:t xml:space="preserve">See </w:t>
      </w:r>
      <w:bookmarkStart w:id="622" w:name="Bookmark_I68SX06M2D6NSC0030000400"/>
      <w:bookmarkEnd w:id="622"/>
      <w:r>
        <w:rPr>
          <w:rFonts w:ascii="Arial" w:eastAsia="Arial" w:hAnsi="Arial" w:cs="Arial"/>
          <w:i/>
          <w:color w:val="000000"/>
          <w:sz w:val="20"/>
        </w:rPr>
        <w:t>Thompson</w:t>
      </w:r>
      <w:r>
        <w:rPr>
          <w:rFonts w:ascii="Arial" w:eastAsia="Arial" w:hAnsi="Arial" w:cs="Arial"/>
          <w:color w:val="000000"/>
          <w:sz w:val="20"/>
        </w:rPr>
        <w:t>, 245 F.3d at 459.</w:t>
      </w:r>
    </w:p>
    <w:p w:rsidR="00022B47" w:rsidRDefault="00000000">
      <w:pPr>
        <w:pStyle w:val="Normal3"/>
        <w:widowControl w:val="0"/>
        <w:spacing w:before="200" w:line="260" w:lineRule="atLeast"/>
        <w:jc w:val="both"/>
      </w:pPr>
      <w:bookmarkStart w:id="623" w:name="Bookmark_para_36_1"/>
      <w:bookmarkStart w:id="624" w:name="Bookmark_I5MGJNXCWWR00008SRH00007"/>
      <w:bookmarkStart w:id="625" w:name="Bookmark_I5MGJNXD84W00008SRH0000G"/>
      <w:bookmarkStart w:id="626" w:name="Bookmark_I68SX06M2SF84W0010000400"/>
      <w:bookmarkEnd w:id="623"/>
      <w:bookmarkEnd w:id="624"/>
      <w:bookmarkEnd w:id="625"/>
      <w:bookmarkEnd w:id="626"/>
      <w:r>
        <w:rPr>
          <w:rFonts w:ascii="Arial" w:eastAsia="Arial" w:hAnsi="Arial" w:cs="Arial"/>
          <w:color w:val="000000"/>
          <w:sz w:val="20"/>
        </w:rPr>
        <w:t xml:space="preserve">Garcia also reargues that </w:t>
      </w:r>
      <w:bookmarkStart w:id="627" w:name="Bookmark_I68SX06M2D6NSC0050000400"/>
      <w:bookmarkEnd w:id="627"/>
      <w:r>
        <w:rPr>
          <w:rFonts w:ascii="Arial" w:eastAsia="Arial" w:hAnsi="Arial" w:cs="Arial"/>
          <w:i/>
          <w:color w:val="000000"/>
          <w:sz w:val="20"/>
        </w:rPr>
        <w:t>Dyer</w:t>
      </w:r>
      <w:r>
        <w:rPr>
          <w:rFonts w:ascii="Arial" w:eastAsia="Arial" w:hAnsi="Arial" w:cs="Arial"/>
          <w:color w:val="000000"/>
          <w:sz w:val="20"/>
        </w:rPr>
        <w:t xml:space="preserve"> and </w:t>
      </w:r>
      <w:bookmarkStart w:id="628" w:name="Bookmark_I68SX06M2SF84W0020000400"/>
      <w:bookmarkEnd w:id="628"/>
      <w:r>
        <w:rPr>
          <w:rFonts w:ascii="Arial" w:eastAsia="Arial" w:hAnsi="Arial" w:cs="Arial"/>
          <w:i/>
          <w:color w:val="000000"/>
          <w:sz w:val="20"/>
        </w:rPr>
        <w:t>Thompson</w:t>
      </w:r>
      <w:bookmarkStart w:id="629" w:name="Bookmark_I68SX06M2SF84W0050000400"/>
      <w:bookmarkEnd w:id="629"/>
      <w:r>
        <w:rPr>
          <w:rFonts w:ascii="Arial" w:eastAsia="Arial" w:hAnsi="Arial" w:cs="Arial"/>
          <w:color w:val="000000"/>
          <w:sz w:val="20"/>
        </w:rPr>
        <w:t xml:space="preserve"> provide a basis for denying the jailors qualified immunity. </w:t>
      </w:r>
      <w:bookmarkStart w:id="630" w:name="Bookmark_LNHNREFclscc10_1"/>
      <w:bookmarkStart w:id="631" w:name="Bookmark_I68SX06M2SF84W0050000400_2"/>
      <w:bookmarkEnd w:id="630"/>
      <w:bookmarkEnd w:id="631"/>
      <w:r>
        <w:rPr>
          <w:rFonts w:ascii="Arial" w:eastAsia="Arial" w:hAnsi="Arial" w:cs="Arial"/>
          <w:color w:val="000000"/>
          <w:sz w:val="20"/>
        </w:rPr>
        <w:t xml:space="preserve">But we can only find support in those cases by viewing them at a high level of generality—a task that the Supreme Court has expressly instructed we avoid. </w:t>
      </w:r>
      <w:r>
        <w:rPr>
          <w:rFonts w:ascii="Arial" w:eastAsia="Arial" w:hAnsi="Arial" w:cs="Arial"/>
          <w:i/>
          <w:color w:val="000000"/>
          <w:sz w:val="20"/>
        </w:rPr>
        <w:t xml:space="preserve">See </w:t>
      </w:r>
      <w:bookmarkStart w:id="632" w:name="Bookmark_I68SX06M2SF84W0040000400"/>
      <w:bookmarkEnd w:id="632"/>
      <w:r>
        <w:rPr>
          <w:rFonts w:ascii="Arial" w:eastAsia="Arial" w:hAnsi="Arial" w:cs="Arial"/>
          <w:i/>
          <w:color w:val="000000"/>
          <w:sz w:val="20"/>
        </w:rPr>
        <w:t>City of Tahlequah v. Bond</w:t>
      </w:r>
      <w:r>
        <w:rPr>
          <w:rFonts w:ascii="Arial" w:eastAsia="Arial" w:hAnsi="Arial" w:cs="Arial"/>
          <w:color w:val="000000"/>
          <w:sz w:val="20"/>
        </w:rPr>
        <w:t>, 142 S. Ct. 9, 11, 211 L. Ed. 2d 170 (2021) (instructing appellate courts "not to define clearly established law at too high a level of generality"). Viewing these cases narrowly, we hold that the jailors are entitled to qualified immunity.</w:t>
      </w:r>
    </w:p>
    <w:p w:rsidR="00022B47" w:rsidRDefault="00000000">
      <w:pPr>
        <w:pStyle w:val="Normal3"/>
        <w:widowControl w:val="0"/>
        <w:spacing w:before="200" w:line="260" w:lineRule="atLeast"/>
        <w:jc w:val="both"/>
      </w:pPr>
      <w:bookmarkStart w:id="633" w:name="Bookmark_para_37_1"/>
      <w:bookmarkStart w:id="634" w:name="Bookmark_I68SX06M28T4900020000400"/>
      <w:bookmarkEnd w:id="633"/>
      <w:bookmarkEnd w:id="634"/>
      <w:r>
        <w:rPr>
          <w:rFonts w:ascii="Arial" w:eastAsia="Arial" w:hAnsi="Arial" w:cs="Arial"/>
          <w:color w:val="000000"/>
          <w:sz w:val="20"/>
        </w:rPr>
        <w:t xml:space="preserve">In </w:t>
      </w:r>
      <w:bookmarkStart w:id="635" w:name="Bookmark_I68SX06M28T4900010000400"/>
      <w:bookmarkEnd w:id="635"/>
      <w:r>
        <w:rPr>
          <w:rFonts w:ascii="Arial" w:eastAsia="Arial" w:hAnsi="Arial" w:cs="Arial"/>
          <w:i/>
          <w:color w:val="000000"/>
          <w:sz w:val="20"/>
        </w:rPr>
        <w:t>Dyer</w:t>
      </w:r>
      <w:bookmarkStart w:id="636" w:name="Bookmark_I68SX06M2N1RKK0010000400"/>
      <w:bookmarkEnd w:id="636"/>
      <w:r>
        <w:rPr>
          <w:rFonts w:ascii="Arial" w:eastAsia="Arial" w:hAnsi="Arial" w:cs="Arial"/>
          <w:color w:val="000000"/>
          <w:sz w:val="20"/>
        </w:rPr>
        <w:t xml:space="preserve">, we held that the paramedics were only negligent when they arrived at a scene, observed a victim's "serious head injury" and "LSD-induced behavior," yet still did not provide additional medical care—"such as sending [the victim] to the hospital, accompanying him to jail, providing further assessment or monitoring, or sedating him." </w:t>
      </w:r>
      <w:r>
        <w:rPr>
          <w:rFonts w:ascii="Arial" w:eastAsia="Arial" w:hAnsi="Arial" w:cs="Arial"/>
          <w:i/>
          <w:color w:val="000000"/>
          <w:sz w:val="20"/>
        </w:rPr>
        <w:t>See</w:t>
      </w:r>
      <w:r>
        <w:rPr>
          <w:rFonts w:ascii="Arial" w:eastAsia="Arial" w:hAnsi="Arial" w:cs="Arial"/>
          <w:color w:val="000000"/>
          <w:sz w:val="20"/>
        </w:rPr>
        <w:t xml:space="preserve"> </w:t>
      </w:r>
      <w:bookmarkStart w:id="637" w:name="Bookmark_I68SX06M28T4900030000400"/>
      <w:bookmarkEnd w:id="637"/>
      <w:r>
        <w:rPr>
          <w:rFonts w:ascii="Arial" w:eastAsia="Arial" w:hAnsi="Arial" w:cs="Arial"/>
          <w:color w:val="000000"/>
          <w:sz w:val="20"/>
        </w:rPr>
        <w:t xml:space="preserve">955 F.3d at 506-07 (internal quotations omitted). And in </w:t>
      </w:r>
      <w:r>
        <w:rPr>
          <w:rFonts w:ascii="Arial" w:eastAsia="Arial" w:hAnsi="Arial" w:cs="Arial"/>
          <w:i/>
          <w:color w:val="000000"/>
          <w:sz w:val="20"/>
        </w:rPr>
        <w:t>Thompson</w:t>
      </w:r>
      <w:r>
        <w:rPr>
          <w:rFonts w:ascii="Arial" w:eastAsia="Arial" w:hAnsi="Arial" w:cs="Arial"/>
          <w:color w:val="000000"/>
          <w:sz w:val="20"/>
        </w:rPr>
        <w:t xml:space="preserve"> we denied summary judgment on qualified immunity grounds because a question of fact existed as to whether the defendant, Sergeant Whorton, acted with deliberate indifference [*18]  to a pretrial detainee's self-sabotaging behavior and intoxicated status. </w:t>
      </w:r>
      <w:bookmarkStart w:id="638" w:name="Bookmark_I68SX06M2N1RKK0010000400_2"/>
      <w:bookmarkEnd w:id="638"/>
      <w:r>
        <w:rPr>
          <w:rFonts w:ascii="Arial" w:eastAsia="Arial" w:hAnsi="Arial" w:cs="Arial"/>
          <w:i/>
          <w:color w:val="000000"/>
          <w:sz w:val="20"/>
        </w:rPr>
        <w:t xml:space="preserve">See </w:t>
      </w:r>
      <w:bookmarkStart w:id="639" w:name="Bookmark_I68SX06M28T4900050000400"/>
      <w:bookmarkEnd w:id="639"/>
      <w:r>
        <w:rPr>
          <w:rFonts w:ascii="Arial" w:eastAsia="Arial" w:hAnsi="Arial" w:cs="Arial"/>
          <w:i/>
          <w:color w:val="000000"/>
          <w:sz w:val="20"/>
        </w:rPr>
        <w:t>Thompson</w:t>
      </w:r>
      <w:r>
        <w:rPr>
          <w:rFonts w:ascii="Arial" w:eastAsia="Arial" w:hAnsi="Arial" w:cs="Arial"/>
          <w:color w:val="000000"/>
          <w:sz w:val="20"/>
        </w:rPr>
        <w:t>, 245 F.3d at 463-64 (noting that "1) Thompson's blood alcohol level was over 0.3% when he was arrested; 2) Thompson was hallucinating and, at times, speaking incoherently; 3) Thompson was injuring himself in his cell; and 4) Thompson was experiencing [delirium tremens]").</w:t>
      </w:r>
    </w:p>
    <w:p w:rsidR="00022B47" w:rsidRDefault="00000000">
      <w:pPr>
        <w:pStyle w:val="Normal3"/>
        <w:widowControl w:val="0"/>
        <w:spacing w:before="200" w:line="260" w:lineRule="atLeast"/>
        <w:jc w:val="both"/>
      </w:pPr>
      <w:bookmarkStart w:id="640" w:name="Bookmark_para_38_1"/>
      <w:bookmarkStart w:id="641" w:name="Bookmark_I5MGJNXD6P300008SRH0000F"/>
      <w:bookmarkStart w:id="642" w:name="Bookmark_I5MGJNXD9GP00008SRH0000H"/>
      <w:bookmarkStart w:id="643" w:name="Bookmark_I68SX06M2N1RKK0030000400"/>
      <w:bookmarkEnd w:id="640"/>
      <w:bookmarkEnd w:id="641"/>
      <w:bookmarkEnd w:id="642"/>
      <w:bookmarkEnd w:id="643"/>
      <w:r>
        <w:rPr>
          <w:rFonts w:ascii="Arial" w:eastAsia="Arial" w:hAnsi="Arial" w:cs="Arial"/>
          <w:color w:val="000000"/>
          <w:sz w:val="20"/>
        </w:rPr>
        <w:t xml:space="preserve">On this record, the jailors did not observe and ignore any serious external injuries to Garcia, like in </w:t>
      </w:r>
      <w:bookmarkStart w:id="644" w:name="Bookmark_I68SX06M2N1RKK0020000400"/>
      <w:bookmarkEnd w:id="644"/>
      <w:r>
        <w:rPr>
          <w:rFonts w:ascii="Arial" w:eastAsia="Arial" w:hAnsi="Arial" w:cs="Arial"/>
          <w:i/>
          <w:color w:val="000000"/>
          <w:sz w:val="20"/>
        </w:rPr>
        <w:t>Dyer</w:t>
      </w:r>
      <w:bookmarkStart w:id="645" w:name="Bookmark_I68SX06M2D6NSG0020000400"/>
      <w:bookmarkEnd w:id="645"/>
      <w:r>
        <w:rPr>
          <w:rFonts w:ascii="Arial" w:eastAsia="Arial" w:hAnsi="Arial" w:cs="Arial"/>
          <w:color w:val="000000"/>
          <w:sz w:val="20"/>
        </w:rPr>
        <w:t xml:space="preserve">. Nor did they fail to obtain medical assistance for him after they were certain that it was necessary, like in </w:t>
      </w:r>
      <w:bookmarkStart w:id="646" w:name="Bookmark_I68SX06M2N1RKK0040000400"/>
      <w:bookmarkEnd w:id="646"/>
      <w:r>
        <w:rPr>
          <w:rFonts w:ascii="Arial" w:eastAsia="Arial" w:hAnsi="Arial" w:cs="Arial"/>
          <w:i/>
          <w:color w:val="000000"/>
          <w:sz w:val="20"/>
        </w:rPr>
        <w:t>Thompson</w:t>
      </w:r>
      <w:r>
        <w:rPr>
          <w:rFonts w:ascii="Arial" w:eastAsia="Arial" w:hAnsi="Arial" w:cs="Arial"/>
          <w:color w:val="000000"/>
          <w:sz w:val="20"/>
        </w:rPr>
        <w:t xml:space="preserve">. </w:t>
      </w:r>
      <w:bookmarkStart w:id="647" w:name="Bookmark_I68SX06M2D6NSG0020000400_2"/>
      <w:bookmarkEnd w:id="647"/>
      <w:r>
        <w:rPr>
          <w:rFonts w:ascii="Arial" w:eastAsia="Arial" w:hAnsi="Arial" w:cs="Arial"/>
          <w:color w:val="000000"/>
          <w:sz w:val="20"/>
        </w:rPr>
        <w:t xml:space="preserve">Accordingly, even if we held that the jailors' negligence was comparable to deliberate indifference, neither </w:t>
      </w:r>
      <w:bookmarkStart w:id="648" w:name="Bookmark_I68SX06M2D6NSG0020000400_3"/>
      <w:bookmarkStart w:id="649" w:name="Bookmark_I68SX06M2D6NSG0010000400"/>
      <w:bookmarkEnd w:id="648"/>
      <w:bookmarkEnd w:id="649"/>
      <w:r>
        <w:rPr>
          <w:rFonts w:ascii="Arial" w:eastAsia="Arial" w:hAnsi="Arial" w:cs="Arial"/>
          <w:i/>
          <w:color w:val="000000"/>
          <w:sz w:val="20"/>
        </w:rPr>
        <w:t>Dyer</w:t>
      </w:r>
      <w:r>
        <w:rPr>
          <w:rFonts w:ascii="Arial" w:eastAsia="Arial" w:hAnsi="Arial" w:cs="Arial"/>
          <w:color w:val="000000"/>
          <w:sz w:val="20"/>
        </w:rPr>
        <w:t xml:space="preserve"> nor </w:t>
      </w:r>
      <w:r>
        <w:rPr>
          <w:rFonts w:ascii="Arial" w:eastAsia="Arial" w:hAnsi="Arial" w:cs="Arial"/>
          <w:i/>
          <w:color w:val="000000"/>
          <w:sz w:val="20"/>
        </w:rPr>
        <w:t>Thompson</w:t>
      </w:r>
      <w:r>
        <w:rPr>
          <w:rFonts w:ascii="Arial" w:eastAsia="Arial" w:hAnsi="Arial" w:cs="Arial"/>
          <w:color w:val="000000"/>
          <w:sz w:val="20"/>
        </w:rPr>
        <w:t xml:space="preserve"> provide an adequate basis for denying the jailors qualified immunity because those cases do not establish that the jailors acted objectively unreasonable or violated clearly established law. Therefore, we affirm the district court's dismissal of the jailors.</w:t>
      </w:r>
    </w:p>
    <w:p w:rsidR="00022B47" w:rsidRDefault="00000000">
      <w:pPr>
        <w:pStyle w:val="Normal3"/>
        <w:widowControl w:val="0"/>
        <w:spacing w:before="120" w:line="260" w:lineRule="atLeast"/>
      </w:pPr>
      <w:r>
        <w:rPr>
          <w:rFonts w:ascii="Arial" w:eastAsia="Arial" w:hAnsi="Arial" w:cs="Arial"/>
          <w:color w:val="000000"/>
          <w:sz w:val="20"/>
        </w:rPr>
        <w:t xml:space="preserve">2. </w:t>
      </w:r>
      <w:r>
        <w:rPr>
          <w:rFonts w:ascii="Arial" w:eastAsia="Arial" w:hAnsi="Arial" w:cs="Arial"/>
          <w:i/>
          <w:color w:val="000000"/>
          <w:sz w:val="20"/>
        </w:rPr>
        <w:t>Failure to State a Claim</w:t>
      </w:r>
    </w:p>
    <w:p w:rsidR="00022B47" w:rsidRDefault="00000000">
      <w:pPr>
        <w:pStyle w:val="Normal3"/>
        <w:widowControl w:val="0"/>
        <w:spacing w:before="120" w:line="260" w:lineRule="atLeast"/>
      </w:pPr>
      <w:r>
        <w:rPr>
          <w:rFonts w:ascii="Arial" w:eastAsia="Arial" w:hAnsi="Arial" w:cs="Arial"/>
          <w:color w:val="000000"/>
          <w:sz w:val="20"/>
        </w:rPr>
        <w:t xml:space="preserve">i. </w:t>
      </w:r>
      <w:r>
        <w:rPr>
          <w:rFonts w:ascii="Arial" w:eastAsia="Arial" w:hAnsi="Arial" w:cs="Arial"/>
          <w:i/>
          <w:color w:val="000000"/>
          <w:sz w:val="20"/>
        </w:rPr>
        <w:t>Maldonado</w:t>
      </w:r>
    </w:p>
    <w:p w:rsidR="00022B47" w:rsidRDefault="00000000">
      <w:pPr>
        <w:pStyle w:val="Normal3"/>
        <w:widowControl w:val="0"/>
        <w:spacing w:before="200" w:line="260" w:lineRule="atLeast"/>
        <w:jc w:val="both"/>
      </w:pPr>
      <w:bookmarkStart w:id="650" w:name="Bookmark_para_39_0"/>
      <w:bookmarkEnd w:id="650"/>
      <w:r>
        <w:rPr>
          <w:rFonts w:ascii="Arial" w:eastAsia="Arial" w:hAnsi="Arial" w:cs="Arial"/>
          <w:color w:val="000000"/>
          <w:sz w:val="20"/>
        </w:rPr>
        <w:t>The district court dismissed Maldonado from Garcia's suit because he failed to state a claim for deliberate indifference against her. He challenges that determination, arguing that Maldonado violated his Fourteenth Amendment rights by ignoring [*19]  his obvious need for medical attention throughout the booking process. We are unpersuaded.</w:t>
      </w:r>
    </w:p>
    <w:p w:rsidR="00022B47" w:rsidRDefault="00000000">
      <w:pPr>
        <w:pStyle w:val="Normal3"/>
        <w:widowControl w:val="0"/>
        <w:spacing w:before="200" w:line="260" w:lineRule="atLeast"/>
        <w:jc w:val="both"/>
      </w:pPr>
      <w:bookmarkStart w:id="651" w:name="Bookmark_para_40_0"/>
      <w:bookmarkStart w:id="652" w:name="Bookmark_I68SX06M2D6NSG0040000400"/>
      <w:bookmarkEnd w:id="651"/>
      <w:bookmarkEnd w:id="652"/>
      <w:r>
        <w:rPr>
          <w:rFonts w:ascii="Arial" w:eastAsia="Arial" w:hAnsi="Arial" w:cs="Arial"/>
          <w:color w:val="000000"/>
          <w:sz w:val="20"/>
        </w:rPr>
        <w:t xml:space="preserve">Garcia anchors his deliberate-indifference claim against Maldonado on her alleged failure to account for his medical bracelets as she began his booking process at the jail. He avers that she "ignored the medical alert bracelets, ignored the obvious signs of serious medical need, and bypassed medical screening." To him, all of Maldonado's decisions amounted to an intentional decision to avoid "obtain[ing] medical assistance" when he clearly needed it. Maldonado disputes that she ever saw medical bracelets when doing his initial processing into the jail. However, given that we are at the Rule 12(b)(6) stage, we accept his allegation as true in our analysis. </w:t>
      </w:r>
      <w:r>
        <w:rPr>
          <w:rFonts w:ascii="Arial" w:eastAsia="Arial" w:hAnsi="Arial" w:cs="Arial"/>
          <w:i/>
          <w:color w:val="000000"/>
          <w:sz w:val="20"/>
        </w:rPr>
        <w:t xml:space="preserve">See </w:t>
      </w:r>
      <w:bookmarkStart w:id="653" w:name="Bookmark_I68SX06M2D6NSG0030000400"/>
      <w:bookmarkEnd w:id="653"/>
      <w:r>
        <w:rPr>
          <w:rFonts w:ascii="Arial" w:eastAsia="Arial" w:hAnsi="Arial" w:cs="Arial"/>
          <w:i/>
          <w:color w:val="000000"/>
          <w:sz w:val="20"/>
        </w:rPr>
        <w:t>Littell</w:t>
      </w:r>
      <w:r>
        <w:rPr>
          <w:rFonts w:ascii="Arial" w:eastAsia="Arial" w:hAnsi="Arial" w:cs="Arial"/>
          <w:color w:val="000000"/>
          <w:sz w:val="20"/>
        </w:rPr>
        <w:t>, 894 F.3d at 622.</w:t>
      </w:r>
    </w:p>
    <w:p w:rsidR="00022B47" w:rsidRDefault="00000000">
      <w:pPr>
        <w:pStyle w:val="Normal3"/>
        <w:widowControl w:val="0"/>
        <w:spacing w:before="200" w:line="260" w:lineRule="atLeast"/>
        <w:jc w:val="both"/>
      </w:pPr>
      <w:bookmarkStart w:id="654" w:name="Bookmark_para_41_0"/>
      <w:bookmarkEnd w:id="654"/>
      <w:r>
        <w:rPr>
          <w:rFonts w:ascii="Arial" w:eastAsia="Arial" w:hAnsi="Arial" w:cs="Arial"/>
          <w:color w:val="000000"/>
          <w:sz w:val="20"/>
        </w:rPr>
        <w:t xml:space="preserve">Here, Garcia fails to establish that Maldonado was deliberately indifferent to his medical needs. </w:t>
      </w:r>
      <w:bookmarkStart w:id="655" w:name="Bookmark_I68SX06M2SF84Y0010000400"/>
      <w:bookmarkEnd w:id="655"/>
      <w:r>
        <w:rPr>
          <w:rFonts w:ascii="Arial" w:eastAsia="Arial" w:hAnsi="Arial" w:cs="Arial"/>
          <w:color w:val="000000"/>
          <w:sz w:val="20"/>
        </w:rPr>
        <w:t>As the district court aptly explained:</w:t>
      </w:r>
    </w:p>
    <w:p w:rsidR="00022B47" w:rsidRDefault="00000000">
      <w:pPr>
        <w:pStyle w:val="Normal3"/>
        <w:widowControl w:val="0"/>
        <w:spacing w:before="200" w:line="260" w:lineRule="atLeast"/>
        <w:ind w:left="400"/>
        <w:jc w:val="both"/>
      </w:pPr>
      <w:bookmarkStart w:id="656" w:name="Bookmark_para_42_0"/>
      <w:bookmarkStart w:id="657" w:name="Bookmark_I68SX06M2SF84Y0010000400_2"/>
      <w:bookmarkEnd w:id="656"/>
      <w:bookmarkEnd w:id="657"/>
      <w:r>
        <w:rPr>
          <w:rFonts w:ascii="Arial" w:eastAsia="Arial" w:hAnsi="Arial" w:cs="Arial"/>
          <w:color w:val="000000"/>
          <w:sz w:val="20"/>
        </w:rPr>
        <w:t>There are few cases—none of which Garcia cites—involving the application of deliberate-indifference claims to facts involving the removal of medical alert bracelets, and none of the cases permits the [district court] to indulge Garcia's ??unwarranted factual inference' that the alleged presence and removal of Garcia's [*20]  medical bracelets indicates that Maldonado actually drew the inference that the failure to promptly seek medical treatment for Garcia presented a substantial risk of serious harm to him.</w:t>
      </w:r>
    </w:p>
    <w:p w:rsidR="00022B47" w:rsidRDefault="00000000">
      <w:pPr>
        <w:pStyle w:val="Normal3"/>
        <w:widowControl w:val="0"/>
        <w:spacing w:before="200" w:line="260" w:lineRule="atLeast"/>
        <w:jc w:val="both"/>
      </w:pPr>
      <w:bookmarkStart w:id="658" w:name="Bookmark_I68SX06M2SF84Y0010000400_3"/>
      <w:bookmarkEnd w:id="658"/>
      <w:r>
        <w:rPr>
          <w:rFonts w:ascii="Arial" w:eastAsia="Arial" w:hAnsi="Arial" w:cs="Arial"/>
          <w:color w:val="000000"/>
          <w:sz w:val="20"/>
        </w:rPr>
        <w:t xml:space="preserve">One of those few cases grappling with a plaintiff's medical bracelets and the deliberate indifference standard is </w:t>
      </w:r>
      <w:bookmarkStart w:id="659" w:name="Bookmark_I68SX06M2D6NSG0050000400"/>
      <w:bookmarkEnd w:id="659"/>
      <w:r>
        <w:rPr>
          <w:rFonts w:ascii="Arial" w:eastAsia="Arial" w:hAnsi="Arial" w:cs="Arial"/>
          <w:i/>
          <w:color w:val="000000"/>
          <w:sz w:val="20"/>
        </w:rPr>
        <w:t>Partridge v. Two Unknown Police Officers of the City of Houston</w:t>
      </w:r>
      <w:r>
        <w:rPr>
          <w:rFonts w:ascii="Arial" w:eastAsia="Arial" w:hAnsi="Arial" w:cs="Arial"/>
          <w:color w:val="000000"/>
          <w:sz w:val="20"/>
        </w:rPr>
        <w:t xml:space="preserve">, 791 F.2d 1182, 1184 (5th Cir. 1986). In that case, we held that a plaintiff sufficiently alleged facts demonstrating that officers were deliberately indifferent to his deceased son's mental-health condition by disregarding his medical bracelets and placing him alone in a cell where he eventually hanged himself. </w:t>
      </w:r>
      <w:r>
        <w:rPr>
          <w:rFonts w:ascii="Arial" w:eastAsia="Arial" w:hAnsi="Arial" w:cs="Arial"/>
          <w:i/>
          <w:color w:val="000000"/>
          <w:sz w:val="20"/>
        </w:rPr>
        <w:t>Id.</w:t>
      </w:r>
      <w:r>
        <w:rPr>
          <w:rFonts w:ascii="Arial" w:eastAsia="Arial" w:hAnsi="Arial" w:cs="Arial"/>
          <w:color w:val="000000"/>
          <w:sz w:val="20"/>
        </w:rPr>
        <w:t xml:space="preserve"> The plaintiff told the officers of his son's mental-health problems and the medical bracelets served to supplement that knowledge. </w:t>
      </w:r>
      <w:r>
        <w:rPr>
          <w:rFonts w:ascii="Arial" w:eastAsia="Arial" w:hAnsi="Arial" w:cs="Arial"/>
          <w:i/>
          <w:color w:val="000000"/>
          <w:sz w:val="20"/>
        </w:rPr>
        <w:t>See id.</w:t>
      </w:r>
      <w:r>
        <w:rPr>
          <w:rFonts w:ascii="Arial" w:eastAsia="Arial" w:hAnsi="Arial" w:cs="Arial"/>
          <w:color w:val="000000"/>
          <w:sz w:val="20"/>
        </w:rPr>
        <w:t xml:space="preserve"> We held that the officers' decision to place his son in solitary confinement despite the two medical bracelets indicating "heart and mental" struggles and explanation of those same struggles by the plaintiff amounted to deliberate indifference to the son's psychological needs. </w:t>
      </w:r>
      <w:r>
        <w:rPr>
          <w:rFonts w:ascii="Arial" w:eastAsia="Arial" w:hAnsi="Arial" w:cs="Arial"/>
          <w:i/>
          <w:color w:val="000000"/>
          <w:sz w:val="20"/>
        </w:rPr>
        <w:t>Id.</w:t>
      </w:r>
    </w:p>
    <w:p w:rsidR="00022B47" w:rsidRDefault="00000000">
      <w:pPr>
        <w:pStyle w:val="Normal3"/>
        <w:widowControl w:val="0"/>
        <w:spacing w:before="200" w:line="260" w:lineRule="atLeast"/>
        <w:jc w:val="both"/>
      </w:pPr>
      <w:bookmarkStart w:id="660" w:name="Bookmark_para_43_0"/>
      <w:bookmarkStart w:id="661" w:name="Bookmark_I5MGJNXD59Y00008SRH0000D"/>
      <w:bookmarkStart w:id="662" w:name="Bookmark_I68SX06M2SF84Y0030000400"/>
      <w:bookmarkStart w:id="663" w:name="Bookmark_I68SX06M2SF84Y0020000400"/>
      <w:bookmarkEnd w:id="660"/>
      <w:bookmarkEnd w:id="661"/>
      <w:bookmarkEnd w:id="662"/>
      <w:bookmarkEnd w:id="663"/>
      <w:r>
        <w:rPr>
          <w:rFonts w:ascii="Arial" w:eastAsia="Arial" w:hAnsi="Arial" w:cs="Arial"/>
          <w:i/>
          <w:color w:val="000000"/>
          <w:sz w:val="20"/>
        </w:rPr>
        <w:t>Partridge</w:t>
      </w:r>
      <w:r>
        <w:rPr>
          <w:rFonts w:ascii="Arial" w:eastAsia="Arial" w:hAnsi="Arial" w:cs="Arial"/>
          <w:color w:val="000000"/>
          <w:sz w:val="20"/>
        </w:rPr>
        <w:t xml:space="preserve"> provides little support to Garcia's position. </w:t>
      </w:r>
      <w:bookmarkStart w:id="664" w:name="Bookmark_I68SX06M2SF84Y0050000400"/>
      <w:bookmarkEnd w:id="664"/>
      <w:r>
        <w:rPr>
          <w:rFonts w:ascii="Arial" w:eastAsia="Arial" w:hAnsi="Arial" w:cs="Arial"/>
          <w:color w:val="000000"/>
          <w:sz w:val="20"/>
        </w:rPr>
        <w:t xml:space="preserve">To begin with, he does not allege that he ever informed Maldonado of his medical condition. </w:t>
      </w:r>
      <w:bookmarkStart w:id="665" w:name="Bookmark_I68SX06M2SF84Y0050000400_2"/>
      <w:bookmarkEnd w:id="665"/>
      <w:r>
        <w:rPr>
          <w:rFonts w:ascii="Arial" w:eastAsia="Arial" w:hAnsi="Arial" w:cs="Arial"/>
          <w:color w:val="000000"/>
          <w:sz w:val="20"/>
        </w:rPr>
        <w:t xml:space="preserve">Nor has he pleaded facts that suggest she should have known [*21]  from the existence of his bracelets that he was suffering from a diabetic episode during the booking process. Furthermore, even if we hold that she was on notice of a potential medical need from Garcia's bracelets, he has still failed to demonstrate that the mere existence of the bracelets created an issue of fact as to a substantial risk of serious harm that she ignored when processing him. </w:t>
      </w:r>
      <w:r>
        <w:rPr>
          <w:rFonts w:ascii="Arial" w:eastAsia="Arial" w:hAnsi="Arial" w:cs="Arial"/>
          <w:i/>
          <w:color w:val="000000"/>
          <w:sz w:val="20"/>
        </w:rPr>
        <w:t xml:space="preserve">See </w:t>
      </w:r>
      <w:bookmarkStart w:id="666" w:name="Bookmark_I68SX06M2SF84Y0040000400"/>
      <w:bookmarkEnd w:id="666"/>
      <w:r>
        <w:rPr>
          <w:rFonts w:ascii="Arial" w:eastAsia="Arial" w:hAnsi="Arial" w:cs="Arial"/>
          <w:i/>
          <w:color w:val="000000"/>
          <w:sz w:val="20"/>
        </w:rPr>
        <w:t>Dyer</w:t>
      </w:r>
      <w:r>
        <w:rPr>
          <w:rFonts w:ascii="Arial" w:eastAsia="Arial" w:hAnsi="Arial" w:cs="Arial"/>
          <w:color w:val="000000"/>
          <w:sz w:val="20"/>
        </w:rPr>
        <w:t>, 955 F.3d at 506. Therefore, he has failed to state a deliberate-indifference claim against Maldonado and the district court properly dismissed her.</w:t>
      </w:r>
    </w:p>
    <w:p w:rsidR="00022B47" w:rsidRDefault="00000000">
      <w:pPr>
        <w:pStyle w:val="Normal3"/>
        <w:widowControl w:val="0"/>
        <w:spacing w:before="120" w:line="260" w:lineRule="atLeast"/>
      </w:pPr>
      <w:r>
        <w:rPr>
          <w:rFonts w:ascii="Arial" w:eastAsia="Arial" w:hAnsi="Arial" w:cs="Arial"/>
          <w:color w:val="000000"/>
          <w:sz w:val="20"/>
        </w:rPr>
        <w:t xml:space="preserve">B. </w:t>
      </w:r>
      <w:r>
        <w:rPr>
          <w:rFonts w:ascii="Arial" w:eastAsia="Arial" w:hAnsi="Arial" w:cs="Arial"/>
          <w:i/>
          <w:color w:val="000000"/>
          <w:sz w:val="20"/>
        </w:rPr>
        <w:t>The County's Summary Judgment</w:t>
      </w:r>
    </w:p>
    <w:p w:rsidR="00022B47" w:rsidRDefault="00000000">
      <w:pPr>
        <w:pStyle w:val="Normal3"/>
        <w:widowControl w:val="0"/>
        <w:spacing w:before="200" w:line="260" w:lineRule="atLeast"/>
        <w:jc w:val="both"/>
      </w:pPr>
      <w:bookmarkStart w:id="667" w:name="Bookmark_para_44_0"/>
      <w:bookmarkEnd w:id="667"/>
      <w:r>
        <w:rPr>
          <w:rFonts w:ascii="Arial" w:eastAsia="Arial" w:hAnsi="Arial" w:cs="Arial"/>
          <w:color w:val="000000"/>
          <w:sz w:val="20"/>
        </w:rPr>
        <w:t>Garcia contests the district court's grant of summary judgment on his conditions-of-confinement and ADA claims against the County.</w:t>
      </w:r>
      <w:r>
        <w:rPr>
          <w:rFonts w:ascii="Arial" w:eastAsia="Arial" w:hAnsi="Arial" w:cs="Arial"/>
          <w:vertAlign w:val="superscript"/>
        </w:rPr>
        <w:footnoteReference w:customMarkFollows="1" w:id="16"/>
        <w:t>7</w:t>
      </w:r>
      <w:r>
        <w:rPr>
          <w:rFonts w:ascii="Arial" w:eastAsia="Arial" w:hAnsi="Arial" w:cs="Arial"/>
          <w:color w:val="000000"/>
          <w:sz w:val="20"/>
        </w:rPr>
        <w:t xml:space="preserve"> We address each in turn.</w:t>
      </w:r>
    </w:p>
    <w:p w:rsidR="00022B47" w:rsidRDefault="00000000">
      <w:pPr>
        <w:pStyle w:val="Normal3"/>
        <w:widowControl w:val="0"/>
        <w:spacing w:before="120" w:line="260" w:lineRule="atLeast"/>
      </w:pPr>
      <w:r>
        <w:rPr>
          <w:rFonts w:ascii="Arial" w:eastAsia="Arial" w:hAnsi="Arial" w:cs="Arial"/>
          <w:color w:val="000000"/>
          <w:sz w:val="20"/>
        </w:rPr>
        <w:t xml:space="preserve">1. </w:t>
      </w:r>
      <w:r>
        <w:rPr>
          <w:rFonts w:ascii="Arial" w:eastAsia="Arial" w:hAnsi="Arial" w:cs="Arial"/>
          <w:i/>
          <w:color w:val="000000"/>
          <w:sz w:val="20"/>
        </w:rPr>
        <w:t>Conditions of Confinement</w:t>
      </w:r>
    </w:p>
    <w:p w:rsidR="00022B47" w:rsidRDefault="00000000">
      <w:pPr>
        <w:pStyle w:val="Normal3"/>
        <w:widowControl w:val="0"/>
        <w:spacing w:before="200" w:line="260" w:lineRule="atLeast"/>
        <w:jc w:val="both"/>
      </w:pPr>
      <w:bookmarkStart w:id="671" w:name="Bookmark_para_45_0"/>
      <w:bookmarkEnd w:id="671"/>
      <w:r>
        <w:rPr>
          <w:rFonts w:ascii="Arial" w:eastAsia="Arial" w:hAnsi="Arial" w:cs="Arial"/>
          <w:color w:val="000000"/>
          <w:sz w:val="20"/>
        </w:rPr>
        <w:t>Garcia avers that Rowe's testimony details a de facto policy of leaving intoxicated detainees in detox cells. He contends that the County's failure to medically screen him, provide him with medical treatment, and properly monitor his condition once celled, amounts to a violation of his Fourteenth and Eighth Amendment rights. The district court rejected his assertions, granting summary judgment to the County because he failed to prove the existence of a de facto policy. We [*22]  agree.</w:t>
      </w:r>
    </w:p>
    <w:p w:rsidR="00022B47" w:rsidRDefault="00000000">
      <w:pPr>
        <w:pStyle w:val="Normal3"/>
        <w:widowControl w:val="0"/>
        <w:spacing w:before="200" w:line="260" w:lineRule="atLeast"/>
        <w:jc w:val="both"/>
      </w:pPr>
      <w:bookmarkStart w:id="672" w:name="Bookmark_para_46_0"/>
      <w:bookmarkStart w:id="673" w:name="Bookmark_LNHNREFclscc11_1"/>
      <w:bookmarkStart w:id="674" w:name="Bookmark_I68SX06M2HM6RM0040000400"/>
      <w:bookmarkStart w:id="675" w:name="Bookmark_I68SX06M2N1RKM0010000400"/>
      <w:bookmarkEnd w:id="672"/>
      <w:bookmarkEnd w:id="673"/>
      <w:bookmarkEnd w:id="674"/>
      <w:bookmarkEnd w:id="675"/>
      <w:r>
        <w:rPr>
          <w:rFonts w:ascii="Arial" w:eastAsia="Arial" w:hAnsi="Arial" w:cs="Arial"/>
          <w:color w:val="000000"/>
          <w:sz w:val="20"/>
        </w:rPr>
        <w:t>Constitutional claims by pretrial detainees can take two forms: (1) conditions of confinement or (2) episodic acts or omissions.</w:t>
      </w:r>
      <w:r>
        <w:rPr>
          <w:rFonts w:ascii="Arial" w:eastAsia="Arial" w:hAnsi="Arial" w:cs="Arial"/>
          <w:vertAlign w:val="superscript"/>
        </w:rPr>
        <w:footnoteReference w:customMarkFollows="1" w:id="17"/>
        <w:t>8</w:t>
      </w:r>
      <w:r>
        <w:rPr>
          <w:rFonts w:ascii="Arial" w:eastAsia="Arial" w:hAnsi="Arial" w:cs="Arial"/>
          <w:color w:val="000000"/>
          <w:sz w:val="20"/>
        </w:rPr>
        <w:t xml:space="preserve"> </w:t>
      </w:r>
      <w:r>
        <w:rPr>
          <w:rFonts w:ascii="Arial" w:eastAsia="Arial" w:hAnsi="Arial" w:cs="Arial"/>
          <w:i/>
          <w:color w:val="000000"/>
          <w:sz w:val="20"/>
        </w:rPr>
        <w:t xml:space="preserve">See </w:t>
      </w:r>
      <w:bookmarkStart w:id="680" w:name="Bookmark_I68SX06M2HM6RM0030000400"/>
      <w:bookmarkEnd w:id="680"/>
      <w:r>
        <w:rPr>
          <w:rFonts w:ascii="Arial" w:eastAsia="Arial" w:hAnsi="Arial" w:cs="Arial"/>
          <w:i/>
          <w:color w:val="000000"/>
          <w:sz w:val="20"/>
        </w:rPr>
        <w:t>Garza</w:t>
      </w:r>
      <w:r>
        <w:rPr>
          <w:rFonts w:ascii="Arial" w:eastAsia="Arial" w:hAnsi="Arial" w:cs="Arial"/>
          <w:color w:val="000000"/>
          <w:sz w:val="20"/>
        </w:rPr>
        <w:t xml:space="preserve">, 922 F.3d at 632. </w:t>
      </w:r>
      <w:bookmarkStart w:id="681" w:name="Bookmark_I68SX06M2N1RKM0030000400"/>
      <w:bookmarkEnd w:id="681"/>
      <w:r>
        <w:rPr>
          <w:rFonts w:ascii="Arial" w:eastAsia="Arial" w:hAnsi="Arial" w:cs="Arial"/>
          <w:color w:val="000000"/>
          <w:sz w:val="20"/>
        </w:rPr>
        <w:t xml:space="preserve">"A condition of confinement case is a constitutional attack on general conditions, practices, rules, or restrictions of pretrial confinement." </w:t>
      </w:r>
      <w:bookmarkStart w:id="682" w:name="Bookmark_I68SX06M2HM6RM0050000400"/>
      <w:bookmarkEnd w:id="682"/>
      <w:r>
        <w:rPr>
          <w:rFonts w:ascii="Arial" w:eastAsia="Arial" w:hAnsi="Arial" w:cs="Arial"/>
          <w:i/>
          <w:color w:val="000000"/>
          <w:sz w:val="20"/>
        </w:rPr>
        <w:t>Scott v. Moore</w:t>
      </w:r>
      <w:r>
        <w:rPr>
          <w:rFonts w:ascii="Arial" w:eastAsia="Arial" w:hAnsi="Arial" w:cs="Arial"/>
          <w:color w:val="000000"/>
          <w:sz w:val="20"/>
        </w:rPr>
        <w:t xml:space="preserve">, 114 F.3d 51, 53 (5th Cir. 1997) (internal quotations and citation omitted). To prevail on this claim, a plaintiff must "prove (1) a rule or restriction or . . . the existence of an identifiable intended condition or practice . . . </w:t>
      </w:r>
      <w:bookmarkStart w:id="683" w:name="Bookmark_I68SX06M2N1RKM0030000400_2"/>
      <w:bookmarkEnd w:id="683"/>
      <w:r>
        <w:rPr>
          <w:rFonts w:ascii="Arial" w:eastAsia="Arial" w:hAnsi="Arial" w:cs="Arial"/>
          <w:color w:val="000000"/>
          <w:sz w:val="20"/>
        </w:rPr>
        <w:t xml:space="preserve">[or] that the jail official's acts or omissions were sufficiently extended or pervasive; (2) which was not reasonably related to a legitimate governmental objective; and (3) which caused the violation of [the detainee's] constitutional rights." </w:t>
      </w:r>
      <w:bookmarkStart w:id="684" w:name="Bookmark_I68SX06M2N1RKM0020000400"/>
      <w:bookmarkEnd w:id="684"/>
      <w:r>
        <w:rPr>
          <w:rFonts w:ascii="Arial" w:eastAsia="Arial" w:hAnsi="Arial" w:cs="Arial"/>
          <w:i/>
          <w:color w:val="000000"/>
          <w:sz w:val="20"/>
        </w:rPr>
        <w:t>Duvall v. Dallas Cty.</w:t>
      </w:r>
      <w:r>
        <w:rPr>
          <w:rFonts w:ascii="Arial" w:eastAsia="Arial" w:hAnsi="Arial" w:cs="Arial"/>
          <w:color w:val="000000"/>
          <w:sz w:val="20"/>
        </w:rPr>
        <w:t>, 631 F.3d 203, 207 (5th Cir. 2011) (first alteration in original) (internal quotations and citations omitted).</w:t>
      </w:r>
    </w:p>
    <w:p w:rsidR="00022B47" w:rsidRDefault="00000000">
      <w:pPr>
        <w:pStyle w:val="Normal3"/>
        <w:widowControl w:val="0"/>
        <w:spacing w:before="200" w:line="260" w:lineRule="atLeast"/>
        <w:jc w:val="both"/>
      </w:pPr>
      <w:bookmarkStart w:id="685" w:name="Bookmark_para_47_0"/>
      <w:bookmarkStart w:id="686" w:name="Bookmark_LNHNREFclscc13_1"/>
      <w:bookmarkStart w:id="687" w:name="Bookmark_I68SX06N2HM6RS0020000400"/>
      <w:bookmarkStart w:id="688" w:name="Bookmark_I68SX06N2HM6RS0040000400"/>
      <w:bookmarkEnd w:id="685"/>
      <w:bookmarkEnd w:id="686"/>
      <w:bookmarkEnd w:id="687"/>
      <w:bookmarkEnd w:id="688"/>
      <w:r>
        <w:rPr>
          <w:rFonts w:ascii="Arial" w:eastAsia="Arial" w:hAnsi="Arial" w:cs="Arial"/>
          <w:color w:val="000000"/>
          <w:sz w:val="20"/>
        </w:rPr>
        <w:t xml:space="preserve">We have explained that "[a] formal, written policy is not required to establish a condition or practice." </w:t>
      </w:r>
      <w:bookmarkStart w:id="689" w:name="Bookmark_I68SX06N2HM6RS0010000400"/>
      <w:bookmarkEnd w:id="689"/>
      <w:r>
        <w:rPr>
          <w:rFonts w:ascii="Arial" w:eastAsia="Arial" w:hAnsi="Arial" w:cs="Arial"/>
          <w:i/>
          <w:color w:val="000000"/>
          <w:sz w:val="20"/>
        </w:rPr>
        <w:t>Montano v. Orange Cty.</w:t>
      </w:r>
      <w:r>
        <w:rPr>
          <w:rFonts w:ascii="Arial" w:eastAsia="Arial" w:hAnsi="Arial" w:cs="Arial"/>
          <w:color w:val="000000"/>
          <w:sz w:val="20"/>
        </w:rPr>
        <w:t xml:space="preserve">, 842 F.3d 865, 875 (5th Cir. 2016). </w:t>
      </w:r>
      <w:bookmarkStart w:id="690" w:name="Bookmark_I68SX06N2N1RKV0010000400"/>
      <w:bookmarkEnd w:id="690"/>
      <w:r>
        <w:rPr>
          <w:rFonts w:ascii="Arial" w:eastAsia="Arial" w:hAnsi="Arial" w:cs="Arial"/>
          <w:color w:val="000000"/>
          <w:sz w:val="20"/>
        </w:rPr>
        <w:t xml:space="preserve">More specifically, we have recognized that sometimes "a condition may reflect an unstated or de facto policy, as evidenced by a pattern of acts or omissions sufficiently extended or pervasive, or otherwise typical of extended or pervasive misconduct by [jail] officials, to prove an [*23]  intended condition or practice." </w:t>
      </w:r>
      <w:bookmarkStart w:id="691" w:name="Bookmark_I68SX06N2HM6RS0030000400"/>
      <w:bookmarkEnd w:id="691"/>
      <w:r>
        <w:rPr>
          <w:rFonts w:ascii="Arial" w:eastAsia="Arial" w:hAnsi="Arial" w:cs="Arial"/>
          <w:i/>
          <w:color w:val="000000"/>
          <w:sz w:val="20"/>
        </w:rPr>
        <w:t>Shepherd v. Dallas Cty.</w:t>
      </w:r>
      <w:r>
        <w:rPr>
          <w:rFonts w:ascii="Arial" w:eastAsia="Arial" w:hAnsi="Arial" w:cs="Arial"/>
          <w:color w:val="000000"/>
          <w:sz w:val="20"/>
        </w:rPr>
        <w:t xml:space="preserve">, 591 F.3d 445, 452 (5th Cir. 2009) (internal quotations and citation omitted) (alteration in original) (emphasis omitted). Put differently, if the policymakers are aware that officials routinely ignore the governing written policy, that may be evidence of an alternative policy's existence. </w:t>
      </w:r>
      <w:bookmarkStart w:id="692" w:name="Bookmark_LNHNREFclscc14_1"/>
      <w:bookmarkStart w:id="693" w:name="Bookmark_I68SX06N2N1RKV0010000400_2"/>
      <w:bookmarkEnd w:id="692"/>
      <w:bookmarkEnd w:id="693"/>
      <w:r>
        <w:rPr>
          <w:rFonts w:ascii="Arial" w:eastAsia="Arial" w:hAnsi="Arial" w:cs="Arial"/>
          <w:color w:val="000000"/>
          <w:sz w:val="20"/>
        </w:rPr>
        <w:t xml:space="preserve">"Proving a pattern is a heavy burden, one that has rarely been met in our caselaw." </w:t>
      </w:r>
      <w:bookmarkStart w:id="694" w:name="Bookmark_I68SX06N2HM6RS0050000400"/>
      <w:bookmarkEnd w:id="694"/>
      <w:r>
        <w:rPr>
          <w:rFonts w:ascii="Arial" w:eastAsia="Arial" w:hAnsi="Arial" w:cs="Arial"/>
          <w:i/>
          <w:color w:val="000000"/>
          <w:sz w:val="20"/>
        </w:rPr>
        <w:t>Shepherd</w:t>
      </w:r>
      <w:r>
        <w:rPr>
          <w:rFonts w:ascii="Arial" w:eastAsia="Arial" w:hAnsi="Arial" w:cs="Arial"/>
          <w:color w:val="000000"/>
          <w:sz w:val="20"/>
        </w:rPr>
        <w:t>, 591 F.3d at 452.</w:t>
      </w:r>
    </w:p>
    <w:p w:rsidR="00022B47" w:rsidRDefault="00000000">
      <w:pPr>
        <w:pStyle w:val="Normal3"/>
        <w:widowControl w:val="0"/>
        <w:spacing w:before="200" w:line="260" w:lineRule="atLeast"/>
        <w:jc w:val="both"/>
      </w:pPr>
      <w:bookmarkStart w:id="695" w:name="Bookmark_para_48_0"/>
      <w:bookmarkEnd w:id="695"/>
      <w:r>
        <w:rPr>
          <w:rFonts w:ascii="Arial" w:eastAsia="Arial" w:hAnsi="Arial" w:cs="Arial"/>
          <w:color w:val="000000"/>
          <w:sz w:val="20"/>
        </w:rPr>
        <w:t xml:space="preserve">Garcia does not argue that the County had a written policy that created the conditions he purports to sue for in this appeal. </w:t>
      </w:r>
      <w:bookmarkStart w:id="696" w:name="Bookmark_I68SX06N2N1RKV0030000400"/>
      <w:bookmarkEnd w:id="696"/>
      <w:r>
        <w:rPr>
          <w:rFonts w:ascii="Arial" w:eastAsia="Arial" w:hAnsi="Arial" w:cs="Arial"/>
          <w:color w:val="000000"/>
          <w:sz w:val="20"/>
        </w:rPr>
        <w:t xml:space="preserve">Rather, he limits his argument to the existence of a de facto policy that permits booking and processing employees to avoid medically screening intoxicated people. He contends that Rowe's testimony details this alleged de facto policy and proves that skipping medical screenings for intoxicated people was the usual practice for all pretrial detainees in the booking process. </w:t>
      </w:r>
      <w:bookmarkStart w:id="697" w:name="Bookmark_I68SX06N2N1RKV0050000400"/>
      <w:bookmarkEnd w:id="697"/>
      <w:r>
        <w:rPr>
          <w:rFonts w:ascii="Arial" w:eastAsia="Arial" w:hAnsi="Arial" w:cs="Arial"/>
          <w:color w:val="000000"/>
          <w:sz w:val="20"/>
        </w:rPr>
        <w:t xml:space="preserve">He relies on </w:t>
      </w:r>
      <w:bookmarkStart w:id="698" w:name="Bookmark_I68SX06N2N1RKV0050000400_2"/>
      <w:bookmarkStart w:id="699" w:name="Bookmark_I68SX06N2N1RKV0030000400_2"/>
      <w:bookmarkStart w:id="700" w:name="Bookmark_I68SX06N2N1RKV0020000400"/>
      <w:bookmarkEnd w:id="698"/>
      <w:bookmarkEnd w:id="699"/>
      <w:bookmarkEnd w:id="700"/>
      <w:r>
        <w:rPr>
          <w:rFonts w:ascii="Arial" w:eastAsia="Arial" w:hAnsi="Arial" w:cs="Arial"/>
          <w:i/>
          <w:color w:val="000000"/>
          <w:sz w:val="20"/>
        </w:rPr>
        <w:t>Montano</w:t>
      </w:r>
      <w:r>
        <w:rPr>
          <w:rFonts w:ascii="Arial" w:eastAsia="Arial" w:hAnsi="Arial" w:cs="Arial"/>
          <w:color w:val="000000"/>
          <w:sz w:val="20"/>
        </w:rPr>
        <w:t xml:space="preserve"> in support of his position. </w:t>
      </w:r>
      <w:r>
        <w:rPr>
          <w:rFonts w:ascii="Arial" w:eastAsia="Arial" w:hAnsi="Arial" w:cs="Arial"/>
          <w:i/>
          <w:color w:val="000000"/>
          <w:sz w:val="20"/>
        </w:rPr>
        <w:t>See</w:t>
      </w:r>
      <w:r>
        <w:rPr>
          <w:rFonts w:ascii="Arial" w:eastAsia="Arial" w:hAnsi="Arial" w:cs="Arial"/>
          <w:color w:val="000000"/>
          <w:sz w:val="20"/>
        </w:rPr>
        <w:t xml:space="preserve"> </w:t>
      </w:r>
      <w:bookmarkStart w:id="701" w:name="Bookmark_I68SX06N2N1RKV0040000400"/>
      <w:bookmarkEnd w:id="701"/>
      <w:r>
        <w:rPr>
          <w:rFonts w:ascii="Arial" w:eastAsia="Arial" w:hAnsi="Arial" w:cs="Arial"/>
          <w:color w:val="000000"/>
          <w:sz w:val="20"/>
        </w:rPr>
        <w:t>842 F.3d at 875. This argument is without merit.</w:t>
      </w:r>
    </w:p>
    <w:p w:rsidR="00022B47" w:rsidRDefault="00000000">
      <w:pPr>
        <w:pStyle w:val="Normal3"/>
        <w:widowControl w:val="0"/>
        <w:spacing w:before="200" w:line="260" w:lineRule="atLeast"/>
        <w:jc w:val="both"/>
      </w:pPr>
      <w:bookmarkStart w:id="702" w:name="Bookmark_para_49_0"/>
      <w:bookmarkStart w:id="703" w:name="Bookmark_I5MGJNXCV6H00008SRH00006"/>
      <w:bookmarkStart w:id="704" w:name="Bookmark_I68SX06N28T4990020000400"/>
      <w:bookmarkEnd w:id="702"/>
      <w:bookmarkEnd w:id="703"/>
      <w:bookmarkEnd w:id="704"/>
      <w:r>
        <w:rPr>
          <w:rFonts w:ascii="Arial" w:eastAsia="Arial" w:hAnsi="Arial" w:cs="Arial"/>
          <w:color w:val="000000"/>
          <w:sz w:val="20"/>
        </w:rPr>
        <w:t xml:space="preserve">Here, Garcia fails to create a genuine dispute of a material fact regarding the existence of an unconstitutional de facto policy in the County's booking process. </w:t>
      </w:r>
      <w:bookmarkStart w:id="705" w:name="Bookmark_I68SX06N28T4990040000400"/>
      <w:bookmarkEnd w:id="705"/>
      <w:r>
        <w:rPr>
          <w:rFonts w:ascii="Arial" w:eastAsia="Arial" w:hAnsi="Arial" w:cs="Arial"/>
          <w:color w:val="000000"/>
          <w:sz w:val="20"/>
        </w:rPr>
        <w:t xml:space="preserve">First, his reliance on </w:t>
      </w:r>
      <w:bookmarkStart w:id="706" w:name="Bookmark_I68SX06N28T4990010000400"/>
      <w:bookmarkEnd w:id="706"/>
      <w:r>
        <w:rPr>
          <w:rFonts w:ascii="Arial" w:eastAsia="Arial" w:hAnsi="Arial" w:cs="Arial"/>
          <w:i/>
          <w:color w:val="000000"/>
          <w:sz w:val="20"/>
        </w:rPr>
        <w:t>Montano</w:t>
      </w:r>
      <w:r>
        <w:rPr>
          <w:rFonts w:ascii="Arial" w:eastAsia="Arial" w:hAnsi="Arial" w:cs="Arial"/>
          <w:color w:val="000000"/>
          <w:sz w:val="20"/>
        </w:rPr>
        <w:t xml:space="preserve"> is misplaced. </w:t>
      </w:r>
      <w:bookmarkStart w:id="707" w:name="Bookmark_I68SX06N28T4990040000400_2"/>
      <w:bookmarkStart w:id="708" w:name="Bookmark_I68SX06N2HM6RW0010000400"/>
      <w:bookmarkEnd w:id="707"/>
      <w:bookmarkEnd w:id="708"/>
      <w:r>
        <w:rPr>
          <w:rFonts w:ascii="Arial" w:eastAsia="Arial" w:hAnsi="Arial" w:cs="Arial"/>
          <w:color w:val="000000"/>
          <w:sz w:val="20"/>
        </w:rPr>
        <w:t xml:space="preserve">In that case, we held that Orange County had [*24]  an unconstitutional de facto policy of leaving pretrial detainees in cells to detox "for as long as it t[ook]" the detainee to sober up. </w:t>
      </w:r>
      <w:bookmarkStart w:id="709" w:name="Bookmark_I68SX06N28T4990030000400"/>
      <w:bookmarkEnd w:id="709"/>
      <w:r>
        <w:rPr>
          <w:rFonts w:ascii="Arial" w:eastAsia="Arial" w:hAnsi="Arial" w:cs="Arial"/>
          <w:i/>
          <w:color w:val="000000"/>
          <w:sz w:val="20"/>
        </w:rPr>
        <w:t>Montano</w:t>
      </w:r>
      <w:r>
        <w:rPr>
          <w:rFonts w:ascii="Arial" w:eastAsia="Arial" w:hAnsi="Arial" w:cs="Arial"/>
          <w:color w:val="000000"/>
          <w:sz w:val="20"/>
        </w:rPr>
        <w:t xml:space="preserve">, 842 F.3d at 875. </w:t>
      </w:r>
      <w:bookmarkStart w:id="710" w:name="Bookmark_I68SX06N2HM6RW0010000400_2"/>
      <w:bookmarkEnd w:id="710"/>
      <w:r>
        <w:rPr>
          <w:rFonts w:ascii="Arial" w:eastAsia="Arial" w:hAnsi="Arial" w:cs="Arial"/>
          <w:color w:val="000000"/>
          <w:sz w:val="20"/>
        </w:rPr>
        <w:t xml:space="preserve">That Orange County left detainees in detox cells was not the primary issue—in fact, there was a written policy permitting to place intoxicated detainees in these cells. Rather, the issue was whether the jail staffs' practices adhered to the written policy—we concluded that it did not. We reached this determination after analyzing extensive testimony from the jailors, who testified to leaving detainees in detox cells for days at a time, despite the existence of a written policy prohibiting doing so. </w:t>
      </w:r>
      <w:bookmarkStart w:id="711" w:name="Bookmark_I68SX06N28T4990050000400"/>
      <w:bookmarkEnd w:id="711"/>
      <w:r>
        <w:rPr>
          <w:rFonts w:ascii="Arial" w:eastAsia="Arial" w:hAnsi="Arial" w:cs="Arial"/>
          <w:i/>
          <w:color w:val="000000"/>
          <w:sz w:val="20"/>
        </w:rPr>
        <w:t>Id.</w:t>
      </w:r>
      <w:r>
        <w:rPr>
          <w:rFonts w:ascii="Arial" w:eastAsia="Arial" w:hAnsi="Arial" w:cs="Arial"/>
          <w:color w:val="000000"/>
          <w:sz w:val="20"/>
        </w:rPr>
        <w:t xml:space="preserve"> at 875-76 (observing that "[t]he county's </w:t>
      </w:r>
      <w:r>
        <w:rPr>
          <w:rFonts w:ascii="Arial" w:eastAsia="Arial" w:hAnsi="Arial" w:cs="Arial"/>
          <w:i/>
          <w:color w:val="000000"/>
          <w:sz w:val="20"/>
        </w:rPr>
        <w:t>de facto</w:t>
      </w:r>
      <w:r>
        <w:rPr>
          <w:rFonts w:ascii="Arial" w:eastAsia="Arial" w:hAnsi="Arial" w:cs="Arial"/>
          <w:color w:val="000000"/>
          <w:sz w:val="20"/>
        </w:rPr>
        <w:t xml:space="preserve"> policy is even at odds with its own written policy . . . [which] provides [that] corrections staff should attempt to use a guideline of four to eight hours for detoxification" (internal quotations omitted)).</w:t>
      </w:r>
    </w:p>
    <w:p w:rsidR="00022B47" w:rsidRDefault="00000000">
      <w:pPr>
        <w:pStyle w:val="Normal3"/>
        <w:widowControl w:val="0"/>
        <w:spacing w:before="200" w:line="260" w:lineRule="atLeast"/>
        <w:jc w:val="both"/>
      </w:pPr>
      <w:bookmarkStart w:id="712" w:name="Bookmark_para_50_0"/>
      <w:bookmarkStart w:id="713" w:name="Bookmark_I5MGJNXCSTP00008SRH00005"/>
      <w:bookmarkStart w:id="714" w:name="Bookmark_I68SX06N2HM6RW0030000400"/>
      <w:bookmarkEnd w:id="712"/>
      <w:bookmarkEnd w:id="713"/>
      <w:bookmarkEnd w:id="714"/>
      <w:r>
        <w:rPr>
          <w:rFonts w:ascii="Arial" w:eastAsia="Arial" w:hAnsi="Arial" w:cs="Arial"/>
          <w:color w:val="000000"/>
          <w:sz w:val="20"/>
        </w:rPr>
        <w:t xml:space="preserve">Garcia asserts that the County's de facto policy of leaving detainees in cells until they detox is, by itself, a violation sufficient for holding in his favor. </w:t>
      </w:r>
      <w:bookmarkStart w:id="715" w:name="Bookmark_I68SX06N2HM6RW0050000400"/>
      <w:bookmarkEnd w:id="715"/>
      <w:r>
        <w:rPr>
          <w:rFonts w:ascii="Arial" w:eastAsia="Arial" w:hAnsi="Arial" w:cs="Arial"/>
          <w:color w:val="000000"/>
          <w:sz w:val="20"/>
        </w:rPr>
        <w:t xml:space="preserve">But his understanding fundamentally misconstrues what we considered and held in </w:t>
      </w:r>
      <w:bookmarkStart w:id="716" w:name="Bookmark_I68SX06N2HM6RW0020000400"/>
      <w:bookmarkEnd w:id="716"/>
      <w:r>
        <w:rPr>
          <w:rFonts w:ascii="Arial" w:eastAsia="Arial" w:hAnsi="Arial" w:cs="Arial"/>
          <w:i/>
          <w:color w:val="000000"/>
          <w:sz w:val="20"/>
        </w:rPr>
        <w:t>Montano</w:t>
      </w:r>
      <w:r>
        <w:rPr>
          <w:rFonts w:ascii="Arial" w:eastAsia="Arial" w:hAnsi="Arial" w:cs="Arial"/>
          <w:color w:val="000000"/>
          <w:sz w:val="20"/>
        </w:rPr>
        <w:t xml:space="preserve">. </w:t>
      </w:r>
      <w:bookmarkStart w:id="717" w:name="Bookmark_I68SX06N2HM6RW0050000400_2"/>
      <w:bookmarkEnd w:id="717"/>
      <w:r>
        <w:rPr>
          <w:rFonts w:ascii="Arial" w:eastAsia="Arial" w:hAnsi="Arial" w:cs="Arial"/>
          <w:color w:val="000000"/>
          <w:sz w:val="20"/>
        </w:rPr>
        <w:t xml:space="preserve">There, Orange County's written policy permitted holding pretrial detainees [*25]  in detox cells for "four-to-eight hours." </w:t>
      </w:r>
      <w:bookmarkStart w:id="718" w:name="Bookmark_I68SX06N2HM6RW0040000400"/>
      <w:bookmarkEnd w:id="718"/>
      <w:r>
        <w:rPr>
          <w:rFonts w:ascii="Arial" w:eastAsia="Arial" w:hAnsi="Arial" w:cs="Arial"/>
          <w:i/>
          <w:color w:val="000000"/>
          <w:sz w:val="20"/>
        </w:rPr>
        <w:t>Id.</w:t>
      </w:r>
      <w:r>
        <w:rPr>
          <w:rFonts w:ascii="Arial" w:eastAsia="Arial" w:hAnsi="Arial" w:cs="Arial"/>
          <w:color w:val="000000"/>
          <w:sz w:val="20"/>
        </w:rPr>
        <w:t xml:space="preserve"> at 875. </w:t>
      </w:r>
      <w:bookmarkStart w:id="719" w:name="Bookmark_I5MGJNXCNV700008SRH00003"/>
      <w:bookmarkStart w:id="720" w:name="Bookmark_I68SX06N2N1RKW0020000400"/>
      <w:bookmarkEnd w:id="719"/>
      <w:bookmarkEnd w:id="720"/>
      <w:r>
        <w:rPr>
          <w:rFonts w:ascii="Arial" w:eastAsia="Arial" w:hAnsi="Arial" w:cs="Arial"/>
          <w:color w:val="000000"/>
          <w:sz w:val="20"/>
        </w:rPr>
        <w:t xml:space="preserve">We never declared that policy unconstitutional. Instead, we recognized that Orange County's employees adhered to a different policy—one where officers left detainees in detox cells for days at a time. We explained that this unconstitutional practice supplanted the written policy. Applied here, </w:t>
      </w:r>
      <w:bookmarkStart w:id="721" w:name="Bookmark_I68SX06N2N1RKW0020000400_2"/>
      <w:bookmarkStart w:id="722" w:name="Bookmark_I68SX06N2N1RKW0010000400"/>
      <w:bookmarkEnd w:id="721"/>
      <w:bookmarkEnd w:id="722"/>
      <w:r>
        <w:rPr>
          <w:rFonts w:ascii="Arial" w:eastAsia="Arial" w:hAnsi="Arial" w:cs="Arial"/>
          <w:i/>
          <w:color w:val="000000"/>
          <w:sz w:val="20"/>
        </w:rPr>
        <w:t>Montano</w:t>
      </w:r>
      <w:r>
        <w:rPr>
          <w:rFonts w:ascii="Arial" w:eastAsia="Arial" w:hAnsi="Arial" w:cs="Arial"/>
          <w:color w:val="000000"/>
          <w:sz w:val="20"/>
        </w:rPr>
        <w:t xml:space="preserve"> cannot be Garcia's only basis for a constitutional violation because, despite his assertions to the contrary, that case does not prohibit the County from using detox cells for short durations. </w:t>
      </w:r>
      <w:r>
        <w:rPr>
          <w:rFonts w:ascii="Arial" w:eastAsia="Arial" w:hAnsi="Arial" w:cs="Arial"/>
          <w:i/>
          <w:color w:val="000000"/>
          <w:sz w:val="20"/>
        </w:rPr>
        <w:t>See id.</w:t>
      </w:r>
    </w:p>
    <w:p w:rsidR="00022B47" w:rsidRDefault="00000000">
      <w:pPr>
        <w:pStyle w:val="Normal3"/>
        <w:widowControl w:val="0"/>
        <w:spacing w:before="200" w:line="260" w:lineRule="atLeast"/>
        <w:jc w:val="both"/>
      </w:pPr>
      <w:bookmarkStart w:id="723" w:name="Bookmark_para_51_0"/>
      <w:bookmarkStart w:id="724" w:name="Bookmark_I68SX06N2N1RKW0040000400"/>
      <w:bookmarkStart w:id="725" w:name="Bookmark_I5MGJNXCM1B00008SRH00002"/>
      <w:bookmarkStart w:id="726" w:name="Bookmark_I68SX06N2SF8580010000400"/>
      <w:bookmarkEnd w:id="723"/>
      <w:bookmarkEnd w:id="724"/>
      <w:bookmarkEnd w:id="725"/>
      <w:bookmarkEnd w:id="726"/>
      <w:r>
        <w:rPr>
          <w:rFonts w:ascii="Arial" w:eastAsia="Arial" w:hAnsi="Arial" w:cs="Arial"/>
          <w:color w:val="000000"/>
          <w:sz w:val="20"/>
        </w:rPr>
        <w:t xml:space="preserve">Even if we accept that Garcia is correct about the County's practice of using cells to hold detainees until they detox, he has not pleaded that he was detained for a constitutionally deficient amount of time. </w:t>
      </w:r>
      <w:r>
        <w:rPr>
          <w:rFonts w:ascii="Arial" w:eastAsia="Arial" w:hAnsi="Arial" w:cs="Arial"/>
          <w:i/>
          <w:color w:val="000000"/>
          <w:sz w:val="20"/>
        </w:rPr>
        <w:t xml:space="preserve">See </w:t>
      </w:r>
      <w:bookmarkStart w:id="727" w:name="Bookmark_I68SX06N2N1RKW0030000400"/>
      <w:bookmarkEnd w:id="727"/>
      <w:r>
        <w:rPr>
          <w:rFonts w:ascii="Arial" w:eastAsia="Arial" w:hAnsi="Arial" w:cs="Arial"/>
          <w:i/>
          <w:color w:val="000000"/>
          <w:sz w:val="20"/>
        </w:rPr>
        <w:t>id.</w:t>
      </w:r>
      <w:r>
        <w:rPr>
          <w:rFonts w:ascii="Arial" w:eastAsia="Arial" w:hAnsi="Arial" w:cs="Arial"/>
          <w:color w:val="000000"/>
          <w:sz w:val="20"/>
        </w:rPr>
        <w:t xml:space="preserve"> at 875. Ultimately, our decision in </w:t>
      </w:r>
      <w:bookmarkStart w:id="728" w:name="Bookmark_I68SX06N2N1RKW0050000400"/>
      <w:bookmarkEnd w:id="728"/>
      <w:r>
        <w:rPr>
          <w:rFonts w:ascii="Arial" w:eastAsia="Arial" w:hAnsi="Arial" w:cs="Arial"/>
          <w:i/>
          <w:color w:val="000000"/>
          <w:sz w:val="20"/>
        </w:rPr>
        <w:t>Montano</w:t>
      </w:r>
      <w:r>
        <w:rPr>
          <w:rFonts w:ascii="Arial" w:eastAsia="Arial" w:hAnsi="Arial" w:cs="Arial"/>
          <w:color w:val="000000"/>
          <w:sz w:val="20"/>
        </w:rPr>
        <w:t xml:space="preserve"> does not bar the use of detox cells entirely, but merely acknowledges that a stopping point for detaining intoxicated persons exists. Garcia spent three hours in the County's detox cell—an amount of time we did not hold unacceptable in </w:t>
      </w:r>
      <w:r>
        <w:rPr>
          <w:rFonts w:ascii="Arial" w:eastAsia="Arial" w:hAnsi="Arial" w:cs="Arial"/>
          <w:i/>
          <w:color w:val="000000"/>
          <w:sz w:val="20"/>
        </w:rPr>
        <w:t>Montano. See id.</w:t>
      </w:r>
    </w:p>
    <w:p w:rsidR="00022B47" w:rsidRDefault="00000000">
      <w:pPr>
        <w:pStyle w:val="Normal3"/>
        <w:widowControl w:val="0"/>
        <w:spacing w:before="200" w:line="260" w:lineRule="atLeast"/>
        <w:jc w:val="both"/>
      </w:pPr>
      <w:bookmarkStart w:id="729" w:name="Bookmark_para_52_0"/>
      <w:bookmarkEnd w:id="729"/>
      <w:r>
        <w:rPr>
          <w:rFonts w:ascii="Arial" w:eastAsia="Arial" w:hAnsi="Arial" w:cs="Arial"/>
          <w:color w:val="000000"/>
          <w:sz w:val="20"/>
        </w:rPr>
        <w:t>Garcia's reliance on Rowe's testimony is similarly unpersuasive. True, Rowe commented on whether other intoxicated detainees were held in a cell to sober up before [*26]  processing, and even admitted that its occurrence was not "abnormal." But that hardly meets the heavy burden of proof that Garcia carries here. Ultimately, all Rowe admitted is that "there have been some instances" where pretrial detainees have been taken directly to a holding cell, and that "under some circumstances" it was necessary to place them in jail cells prior to booking and processing. A vague string of one-off occurrences is not indicative of the County's practice for all pretrial detainees.</w:t>
      </w:r>
    </w:p>
    <w:p w:rsidR="00022B47" w:rsidRDefault="00000000">
      <w:pPr>
        <w:pStyle w:val="Normal3"/>
        <w:widowControl w:val="0"/>
        <w:spacing w:before="200" w:line="260" w:lineRule="atLeast"/>
        <w:jc w:val="both"/>
      </w:pPr>
      <w:bookmarkStart w:id="730" w:name="Bookmark_para_53"/>
      <w:bookmarkEnd w:id="730"/>
      <w:r>
        <w:rPr>
          <w:rFonts w:ascii="Arial" w:eastAsia="Arial" w:hAnsi="Arial" w:cs="Arial"/>
          <w:color w:val="000000"/>
          <w:sz w:val="20"/>
        </w:rPr>
        <w:t xml:space="preserve">Garcia also failed to acknowledge that Rowe testified that he did not receive medical treatment, </w:t>
      </w:r>
      <w:r>
        <w:rPr>
          <w:rFonts w:ascii="Arial" w:eastAsia="Arial" w:hAnsi="Arial" w:cs="Arial"/>
          <w:i/>
          <w:color w:val="000000"/>
          <w:sz w:val="20"/>
        </w:rPr>
        <w:t>at his own request</w:t>
      </w:r>
      <w:r>
        <w:rPr>
          <w:rFonts w:ascii="Arial" w:eastAsia="Arial" w:hAnsi="Arial" w:cs="Arial"/>
          <w:color w:val="000000"/>
          <w:sz w:val="20"/>
        </w:rPr>
        <w:t>. The County provided a Jail Incident Report which stated that Officer Cartwright asked "Garcia if he wanted to speak to Medical Staff and he stated, [n]o." He cannot maintain that he was the victim of an unconstitutional practice when there is an independent, constitutional basis for his not receiving medical attention before he was discovered in critical condition in his cell. Because Garcia failed to prove that there is a genuine dispute of a material fact regarding the constitutionality of the County's pretrial detention policies and practices, we affirm the district court's [*27]  grant of summary judgment.</w:t>
      </w:r>
    </w:p>
    <w:p w:rsidR="00022B47" w:rsidRDefault="00000000">
      <w:pPr>
        <w:pStyle w:val="Normal3"/>
        <w:widowControl w:val="0"/>
        <w:spacing w:before="120" w:line="260" w:lineRule="atLeast"/>
      </w:pPr>
      <w:r>
        <w:rPr>
          <w:rFonts w:ascii="Arial" w:eastAsia="Arial" w:hAnsi="Arial" w:cs="Arial"/>
          <w:color w:val="000000"/>
          <w:sz w:val="20"/>
        </w:rPr>
        <w:t xml:space="preserve">2. </w:t>
      </w:r>
      <w:r>
        <w:rPr>
          <w:rFonts w:ascii="Arial" w:eastAsia="Arial" w:hAnsi="Arial" w:cs="Arial"/>
          <w:i/>
          <w:color w:val="000000"/>
          <w:sz w:val="20"/>
        </w:rPr>
        <w:t>ADA Violations</w:t>
      </w:r>
    </w:p>
    <w:p w:rsidR="00022B47" w:rsidRDefault="00000000">
      <w:pPr>
        <w:pStyle w:val="Normal3"/>
        <w:widowControl w:val="0"/>
        <w:spacing w:before="200" w:line="260" w:lineRule="atLeast"/>
        <w:jc w:val="both"/>
      </w:pPr>
      <w:bookmarkStart w:id="731" w:name="Bookmark_para_54"/>
      <w:bookmarkEnd w:id="731"/>
      <w:r>
        <w:rPr>
          <w:rFonts w:ascii="Arial" w:eastAsia="Arial" w:hAnsi="Arial" w:cs="Arial"/>
          <w:color w:val="000000"/>
          <w:sz w:val="20"/>
        </w:rPr>
        <w:t>Garcia makes two ADA claims: (1) that the County failed to accommodate his disability and (2) that it discriminated against him because of his disability. Regarding his latter argument, he asserts that his condition was the cause of the County's decision to not provide him a medical evaluation or screening. The district court rejected his contentions, granting summary judgment to the County because he failed to provide evidence that the County ever knew of his medical condition. We see no error in its decision.</w:t>
      </w:r>
    </w:p>
    <w:p w:rsidR="00022B47" w:rsidRDefault="00000000">
      <w:pPr>
        <w:pStyle w:val="Normal3"/>
        <w:widowControl w:val="0"/>
        <w:spacing w:before="200" w:line="260" w:lineRule="atLeast"/>
        <w:jc w:val="both"/>
      </w:pPr>
      <w:bookmarkStart w:id="732" w:name="Bookmark_para_55"/>
      <w:bookmarkStart w:id="733" w:name="Bookmark_LNHNREFclscc15_1"/>
      <w:bookmarkStart w:id="734" w:name="Bookmark_I68SX06N2SF8580030000400"/>
      <w:bookmarkEnd w:id="732"/>
      <w:bookmarkEnd w:id="733"/>
      <w:bookmarkEnd w:id="734"/>
      <w:r>
        <w:rPr>
          <w:rFonts w:ascii="Arial" w:eastAsia="Arial" w:hAnsi="Arial" w:cs="Arial"/>
          <w:color w:val="000000"/>
          <w:sz w:val="20"/>
        </w:rPr>
        <w:t xml:space="preserve">Title II of the ADA provides that "no qualified individual with a disability shall, by reason of such disability, be excluded from participation in or be denied the benefits of the services, programs, or activities of a public entity, or be subjected to discrimination by any such entity." </w:t>
      </w:r>
      <w:r>
        <w:rPr>
          <w:rFonts w:ascii="Arial" w:eastAsia="Arial" w:hAnsi="Arial" w:cs="Arial"/>
          <w:i/>
          <w:color w:val="000000"/>
          <w:sz w:val="20"/>
        </w:rPr>
        <w:t>See</w:t>
      </w:r>
      <w:r>
        <w:rPr>
          <w:rFonts w:ascii="Arial" w:eastAsia="Arial" w:hAnsi="Arial" w:cs="Arial"/>
          <w:color w:val="000000"/>
          <w:sz w:val="20"/>
        </w:rPr>
        <w:t xml:space="preserve"> 42 U.S.C. § 12132. To make a prima facie case under the ADA, a plaintiff must demonstrate: (1) "that he is a qualified individual within the meaning of the ADA"; (2) "that he is being excluded from participation in, or being denied benefits of, services, programs, or activities for which the public entity is responsible, or is otherwise being discriminated against [*28]  by the public entity"; and (3) "that such exclusion, denial of benefits, or discrimination is by reason of his disability." </w:t>
      </w:r>
      <w:bookmarkStart w:id="735" w:name="Bookmark_I68SX06N2SF8580020000400"/>
      <w:bookmarkEnd w:id="735"/>
      <w:r>
        <w:rPr>
          <w:rFonts w:ascii="Arial" w:eastAsia="Arial" w:hAnsi="Arial" w:cs="Arial"/>
          <w:i/>
          <w:color w:val="000000"/>
          <w:sz w:val="20"/>
        </w:rPr>
        <w:t>Windham v. Harris Cty.</w:t>
      </w:r>
      <w:r>
        <w:rPr>
          <w:rFonts w:ascii="Arial" w:eastAsia="Arial" w:hAnsi="Arial" w:cs="Arial"/>
          <w:color w:val="000000"/>
          <w:sz w:val="20"/>
        </w:rPr>
        <w:t>, 875 F.3d 229, 235 (5th Cir. 2017) (internal quotations and citation omitted).</w:t>
      </w:r>
    </w:p>
    <w:p w:rsidR="00022B47" w:rsidRDefault="00000000">
      <w:pPr>
        <w:pStyle w:val="Normal3"/>
        <w:widowControl w:val="0"/>
        <w:spacing w:before="200" w:line="260" w:lineRule="atLeast"/>
        <w:jc w:val="both"/>
      </w:pPr>
      <w:bookmarkStart w:id="736" w:name="Bookmark_para_56"/>
      <w:bookmarkStart w:id="737" w:name="Bookmark_LNHNREFclscc16_1"/>
      <w:bookmarkStart w:id="738" w:name="Bookmark_I68SX06N2SF8580050000400"/>
      <w:bookmarkStart w:id="739" w:name="Bookmark_I68SX06P2SF85B0020000400"/>
      <w:bookmarkEnd w:id="736"/>
      <w:bookmarkEnd w:id="737"/>
      <w:bookmarkEnd w:id="738"/>
      <w:bookmarkEnd w:id="739"/>
      <w:r>
        <w:rPr>
          <w:rFonts w:ascii="Arial" w:eastAsia="Arial" w:hAnsi="Arial" w:cs="Arial"/>
          <w:color w:val="000000"/>
          <w:sz w:val="20"/>
        </w:rPr>
        <w:t xml:space="preserve">A failure-to-accommodate claim requires a plaintiff to prove that: "(1) he is a qualified individual with a disability; (2) the disability and its consequential limitations were known by the covered entity; and (3) the entity failed to make reasonable accommodations." </w:t>
      </w:r>
      <w:bookmarkStart w:id="740" w:name="Bookmark_I68SX06N2SF8580040000400"/>
      <w:bookmarkEnd w:id="740"/>
      <w:r>
        <w:rPr>
          <w:rFonts w:ascii="Arial" w:eastAsia="Arial" w:hAnsi="Arial" w:cs="Arial"/>
          <w:i/>
          <w:color w:val="000000"/>
          <w:sz w:val="20"/>
        </w:rPr>
        <w:t>Ball v. LeBlanc</w:t>
      </w:r>
      <w:r>
        <w:rPr>
          <w:rFonts w:ascii="Arial" w:eastAsia="Arial" w:hAnsi="Arial" w:cs="Arial"/>
          <w:color w:val="000000"/>
          <w:sz w:val="20"/>
        </w:rPr>
        <w:t xml:space="preserve">, 792 F.3d 584, 596 n.9 (5th Cir. 2015) (internal citation omitted). </w:t>
      </w:r>
      <w:bookmarkStart w:id="741" w:name="Bookmark_I68SX06P2SF85B0040000400"/>
      <w:bookmarkEnd w:id="741"/>
      <w:r>
        <w:rPr>
          <w:rFonts w:ascii="Arial" w:eastAsia="Arial" w:hAnsi="Arial" w:cs="Arial"/>
          <w:color w:val="000000"/>
          <w:sz w:val="20"/>
        </w:rPr>
        <w:t xml:space="preserve">"To satisfy the knowledge requirement, the entity must understand the limitations a plaintiff experience[s] </w:t>
      </w:r>
      <w:r>
        <w:rPr>
          <w:rFonts w:ascii="Arial" w:eastAsia="Arial" w:hAnsi="Arial" w:cs="Arial"/>
          <w:i/>
          <w:color w:val="000000"/>
          <w:sz w:val="20"/>
        </w:rPr>
        <w:t>as a result</w:t>
      </w:r>
      <w:r>
        <w:rPr>
          <w:rFonts w:ascii="Arial" w:eastAsia="Arial" w:hAnsi="Arial" w:cs="Arial"/>
          <w:color w:val="000000"/>
          <w:sz w:val="20"/>
        </w:rPr>
        <w:t xml:space="preserve"> of his disability." </w:t>
      </w:r>
      <w:bookmarkStart w:id="742" w:name="Bookmark_I68SX06P2SF85B0010000400"/>
      <w:bookmarkEnd w:id="742"/>
      <w:r>
        <w:rPr>
          <w:rFonts w:ascii="Arial" w:eastAsia="Arial" w:hAnsi="Arial" w:cs="Arial"/>
          <w:i/>
          <w:color w:val="000000"/>
          <w:sz w:val="20"/>
        </w:rPr>
        <w:t>Valentine v. Collier</w:t>
      </w:r>
      <w:r>
        <w:rPr>
          <w:rFonts w:ascii="Arial" w:eastAsia="Arial" w:hAnsi="Arial" w:cs="Arial"/>
          <w:color w:val="000000"/>
          <w:sz w:val="20"/>
        </w:rPr>
        <w:t xml:space="preserve">, 993 F.3d 270, 290 (5th Cir. 2021) (emphasis in original). Additionally, we have explained that the "burden falls on the plaintiff to identify the disability, the limitations, and to request an accommodation in direct and specific terms." </w:t>
      </w:r>
      <w:r>
        <w:rPr>
          <w:rFonts w:ascii="Arial" w:eastAsia="Arial" w:hAnsi="Arial" w:cs="Arial"/>
          <w:i/>
          <w:color w:val="000000"/>
          <w:sz w:val="20"/>
        </w:rPr>
        <w:t>Id.</w:t>
      </w:r>
      <w:r>
        <w:rPr>
          <w:rFonts w:ascii="Arial" w:eastAsia="Arial" w:hAnsi="Arial" w:cs="Arial"/>
          <w:color w:val="000000"/>
          <w:sz w:val="20"/>
        </w:rPr>
        <w:t xml:space="preserve"> (citation omitted). </w:t>
      </w:r>
      <w:bookmarkStart w:id="743" w:name="Bookmark_I68SX06P2SF85B0040000400_2"/>
      <w:bookmarkEnd w:id="743"/>
      <w:r>
        <w:rPr>
          <w:rFonts w:ascii="Arial" w:eastAsia="Arial" w:hAnsi="Arial" w:cs="Arial"/>
          <w:color w:val="000000"/>
          <w:sz w:val="20"/>
        </w:rPr>
        <w:t xml:space="preserve">Where a plaintiff fails to meet his burden, he may only prevail by showing that his "disability, resulting limitations, and necessary reasonable accommodation were open, obvious, and apparent to the entity's relevant agents." </w:t>
      </w:r>
      <w:r>
        <w:rPr>
          <w:rFonts w:ascii="Arial" w:eastAsia="Arial" w:hAnsi="Arial" w:cs="Arial"/>
          <w:i/>
          <w:color w:val="000000"/>
          <w:sz w:val="20"/>
        </w:rPr>
        <w:t>Id.</w:t>
      </w:r>
      <w:r>
        <w:rPr>
          <w:rFonts w:ascii="Arial" w:eastAsia="Arial" w:hAnsi="Arial" w:cs="Arial"/>
          <w:color w:val="000000"/>
          <w:sz w:val="20"/>
        </w:rPr>
        <w:t xml:space="preserve"> (citing </w:t>
      </w:r>
      <w:bookmarkStart w:id="744" w:name="Bookmark_I68SX06P2SF85B0030000400"/>
      <w:bookmarkEnd w:id="744"/>
      <w:r>
        <w:rPr>
          <w:rFonts w:ascii="Arial" w:eastAsia="Arial" w:hAnsi="Arial" w:cs="Arial"/>
          <w:i/>
          <w:color w:val="000000"/>
          <w:sz w:val="20"/>
        </w:rPr>
        <w:t>Windham</w:t>
      </w:r>
      <w:r>
        <w:rPr>
          <w:rFonts w:ascii="Arial" w:eastAsia="Arial" w:hAnsi="Arial" w:cs="Arial"/>
          <w:color w:val="000000"/>
          <w:sz w:val="20"/>
        </w:rPr>
        <w:t>, 875 F.3d at 237) (internal quotations omitted).</w:t>
      </w:r>
    </w:p>
    <w:p w:rsidR="00022B47" w:rsidRDefault="00000000">
      <w:pPr>
        <w:pStyle w:val="Normal3"/>
        <w:widowControl w:val="0"/>
        <w:spacing w:before="200" w:line="260" w:lineRule="atLeast"/>
        <w:jc w:val="both"/>
      </w:pPr>
      <w:bookmarkStart w:id="745" w:name="Bookmark_para_57"/>
      <w:bookmarkEnd w:id="745"/>
      <w:r>
        <w:rPr>
          <w:rFonts w:ascii="Arial" w:eastAsia="Arial" w:hAnsi="Arial" w:cs="Arial"/>
          <w:color w:val="000000"/>
          <w:sz w:val="20"/>
        </w:rPr>
        <w:t>Garcia dedicates much of his brief to the first element—that diabetes qualifies as a disability [*29]  under the ADA. The County does not refute that element and instead argues that its employees never knew that he suffered from diabetes. It avers that because it never knew of his disability, it could not have discriminated against him on the basis that he was disabled or provided accommodations. In response, Garcia asserts that his disability was open, obvious, and apparent because of his inability to walk or communicate. He maintains that because his limitations were known, his need for accommodations was readily apparent. We disagree.</w:t>
      </w:r>
    </w:p>
    <w:p w:rsidR="00022B47" w:rsidRDefault="00000000">
      <w:pPr>
        <w:pStyle w:val="Normal3"/>
        <w:widowControl w:val="0"/>
        <w:spacing w:before="200" w:line="260" w:lineRule="atLeast"/>
        <w:jc w:val="both"/>
      </w:pPr>
      <w:bookmarkStart w:id="746" w:name="Bookmark_para_58"/>
      <w:bookmarkEnd w:id="746"/>
      <w:r>
        <w:rPr>
          <w:rFonts w:ascii="Arial" w:eastAsia="Arial" w:hAnsi="Arial" w:cs="Arial"/>
          <w:color w:val="000000"/>
          <w:sz w:val="20"/>
        </w:rPr>
        <w:t>Here, Garcia fails to provide sufficient evidence to avoid summary judgment on his ADA claims. His Title II and failure-to-accommodate claims share a common element: the County's knowledge of his disability. Garcia points to no evidence suggesting that the County knew of his disability, used it to discriminate against him, or failed to accommodate him. Instead, he makes conclusory statements about the County's alleged knowledge of his diabetic condition. But each statement is easily dispelled after considering the record. For example, he relies on the existence of his medical bracelets, but fails to prove that the bracelets alerted anyone to his diabetic [*30]  condition, or even that they would have suggested a medical condition at all. Moreover, the record establishes the officers' confusion about whether he was drunk or suffering from a medical condition.</w:t>
      </w:r>
      <w:r>
        <w:rPr>
          <w:rFonts w:ascii="Arial" w:eastAsia="Arial" w:hAnsi="Arial" w:cs="Arial"/>
          <w:vertAlign w:val="superscript"/>
        </w:rPr>
        <w:footnoteReference w:customMarkFollows="1" w:id="18"/>
        <w:t>9</w:t>
      </w:r>
      <w:r>
        <w:rPr>
          <w:rFonts w:ascii="Arial" w:eastAsia="Arial" w:hAnsi="Arial" w:cs="Arial"/>
          <w:color w:val="000000"/>
          <w:sz w:val="20"/>
        </w:rPr>
        <w:t xml:space="preserve"> Absent proof that someone from the County had knowledge of his disability, he cannot establish that they discriminated against him because of it or failed to accommodate him.</w:t>
      </w:r>
    </w:p>
    <w:p w:rsidR="00022B47" w:rsidRDefault="00000000">
      <w:pPr>
        <w:pStyle w:val="Normal3"/>
        <w:widowControl w:val="0"/>
        <w:spacing w:before="200" w:line="260" w:lineRule="atLeast"/>
        <w:jc w:val="both"/>
      </w:pPr>
      <w:bookmarkStart w:id="748" w:name="Bookmark_para_59"/>
      <w:bookmarkStart w:id="749" w:name="Bookmark_I68SX06P2D6NSY0010000400"/>
      <w:bookmarkEnd w:id="748"/>
      <w:bookmarkEnd w:id="749"/>
      <w:r>
        <w:rPr>
          <w:rFonts w:ascii="Arial" w:eastAsia="Arial" w:hAnsi="Arial" w:cs="Arial"/>
          <w:color w:val="000000"/>
          <w:sz w:val="20"/>
        </w:rPr>
        <w:t xml:space="preserve">Likewise, Garcia's contention that his condition at arrest and throughout the booking process made his disability open, obvious, and apparent is unpersuasive. </w:t>
      </w:r>
      <w:bookmarkStart w:id="750" w:name="Bookmark_I68SX06P2D6NSY0030000400"/>
      <w:bookmarkEnd w:id="750"/>
      <w:r>
        <w:rPr>
          <w:rFonts w:ascii="Arial" w:eastAsia="Arial" w:hAnsi="Arial" w:cs="Arial"/>
          <w:color w:val="000000"/>
          <w:sz w:val="20"/>
        </w:rPr>
        <w:t xml:space="preserve">We have explained that the open-and-obvious exception is "narrow." </w:t>
      </w:r>
      <w:bookmarkStart w:id="751" w:name="Bookmark_I68SX06P2SF85B0050000400"/>
      <w:bookmarkEnd w:id="751"/>
      <w:r>
        <w:rPr>
          <w:rFonts w:ascii="Arial" w:eastAsia="Arial" w:hAnsi="Arial" w:cs="Arial"/>
          <w:i/>
          <w:color w:val="000000"/>
          <w:sz w:val="20"/>
        </w:rPr>
        <w:t>Windham</w:t>
      </w:r>
      <w:r>
        <w:rPr>
          <w:rFonts w:ascii="Arial" w:eastAsia="Arial" w:hAnsi="Arial" w:cs="Arial"/>
          <w:color w:val="000000"/>
          <w:sz w:val="20"/>
        </w:rPr>
        <w:t xml:space="preserve">, 875 F.3d at 239. Garcia cites no authority to support application of this exception, but a brief survey of our precedent confirms its inapplicability. </w:t>
      </w:r>
      <w:bookmarkStart w:id="752" w:name="Bookmark_I68SX06P2D6NSY0030000400_2"/>
      <w:bookmarkEnd w:id="752"/>
      <w:r>
        <w:rPr>
          <w:rFonts w:ascii="Arial" w:eastAsia="Arial" w:hAnsi="Arial" w:cs="Arial"/>
          <w:color w:val="000000"/>
          <w:sz w:val="20"/>
        </w:rPr>
        <w:t xml:space="preserve">Consider our decision in </w:t>
      </w:r>
      <w:bookmarkStart w:id="753" w:name="Bookmark_I68SX06P2D6NSY0020000400"/>
      <w:bookmarkEnd w:id="753"/>
      <w:r>
        <w:rPr>
          <w:rFonts w:ascii="Arial" w:eastAsia="Arial" w:hAnsi="Arial" w:cs="Arial"/>
          <w:i/>
          <w:color w:val="000000"/>
          <w:sz w:val="20"/>
        </w:rPr>
        <w:t>Delano-Pyle v. Victoria Cty.</w:t>
      </w:r>
      <w:r>
        <w:rPr>
          <w:rFonts w:ascii="Arial" w:eastAsia="Arial" w:hAnsi="Arial" w:cs="Arial"/>
          <w:color w:val="000000"/>
          <w:sz w:val="20"/>
        </w:rPr>
        <w:t xml:space="preserve">, 302 F.3d 567, 575-76 (5th Cir. 2002). There, we upheld a jury's finding of disability discrimination when two officers arrested a deaf person, Pyle. </w:t>
      </w:r>
      <w:r>
        <w:rPr>
          <w:rFonts w:ascii="Arial" w:eastAsia="Arial" w:hAnsi="Arial" w:cs="Arial"/>
          <w:i/>
          <w:color w:val="000000"/>
          <w:sz w:val="20"/>
        </w:rPr>
        <w:t>Id.</w:t>
      </w:r>
      <w:r>
        <w:rPr>
          <w:rFonts w:ascii="Arial" w:eastAsia="Arial" w:hAnsi="Arial" w:cs="Arial"/>
          <w:color w:val="000000"/>
          <w:sz w:val="20"/>
        </w:rPr>
        <w:t xml:space="preserve"> Notably, we did not apply the open-and-obvious exception simply because he was deaf. We, instead, applied the exception because the officers testified to communicating his rights and other commands orally while being aware of his hearing impediment. </w:t>
      </w:r>
      <w:r>
        <w:rPr>
          <w:rFonts w:ascii="Arial" w:eastAsia="Arial" w:hAnsi="Arial" w:cs="Arial"/>
          <w:i/>
          <w:color w:val="000000"/>
          <w:sz w:val="20"/>
        </w:rPr>
        <w:t>Id.</w:t>
      </w:r>
      <w:r>
        <w:rPr>
          <w:rFonts w:ascii="Arial" w:eastAsia="Arial" w:hAnsi="Arial" w:cs="Arial"/>
          <w:color w:val="000000"/>
          <w:sz w:val="20"/>
        </w:rPr>
        <w:t xml:space="preserve"> In fact, one of the officers stated that he "knew [Pyle] had [*31]  a hearing problem," yet continued only communicating with him through oral instructions. </w:t>
      </w:r>
      <w:r>
        <w:rPr>
          <w:rFonts w:ascii="Arial" w:eastAsia="Arial" w:hAnsi="Arial" w:cs="Arial"/>
          <w:i/>
          <w:color w:val="000000"/>
          <w:sz w:val="20"/>
        </w:rPr>
        <w:t>Id.</w:t>
      </w:r>
      <w:r>
        <w:rPr>
          <w:rFonts w:ascii="Arial" w:eastAsia="Arial" w:hAnsi="Arial" w:cs="Arial"/>
          <w:color w:val="000000"/>
          <w:sz w:val="20"/>
        </w:rPr>
        <w:t xml:space="preserve"> Simply put, the officers' attempts to communicate critical rights to someone they understood to be deaf plainly violated the ADA.</w:t>
      </w:r>
    </w:p>
    <w:p w:rsidR="00022B47" w:rsidRDefault="00000000">
      <w:pPr>
        <w:pStyle w:val="Normal3"/>
        <w:widowControl w:val="0"/>
        <w:spacing w:before="200" w:line="260" w:lineRule="atLeast"/>
        <w:jc w:val="both"/>
      </w:pPr>
      <w:bookmarkStart w:id="754" w:name="Bookmark_para_60"/>
      <w:bookmarkStart w:id="755" w:name="Bookmark_I5MGJNXCFD700008SRH00001"/>
      <w:bookmarkStart w:id="756" w:name="Bookmark_I68SX06P2D6NSY0050000400"/>
      <w:bookmarkStart w:id="757" w:name="Bookmark_I68SX06P2HM6S40020000400"/>
      <w:bookmarkEnd w:id="754"/>
      <w:bookmarkEnd w:id="755"/>
      <w:bookmarkEnd w:id="756"/>
      <w:bookmarkEnd w:id="757"/>
      <w:r>
        <w:rPr>
          <w:rFonts w:ascii="Arial" w:eastAsia="Arial" w:hAnsi="Arial" w:cs="Arial"/>
          <w:color w:val="000000"/>
          <w:sz w:val="20"/>
        </w:rPr>
        <w:t xml:space="preserve">Unlike in </w:t>
      </w:r>
      <w:bookmarkStart w:id="758" w:name="Bookmark_I68SX06P2D6NSY0040000400"/>
      <w:bookmarkEnd w:id="758"/>
      <w:r>
        <w:rPr>
          <w:rFonts w:ascii="Arial" w:eastAsia="Arial" w:hAnsi="Arial" w:cs="Arial"/>
          <w:i/>
          <w:color w:val="000000"/>
          <w:sz w:val="20"/>
        </w:rPr>
        <w:t>Delano-Pyle</w:t>
      </w:r>
      <w:r>
        <w:rPr>
          <w:rFonts w:ascii="Arial" w:eastAsia="Arial" w:hAnsi="Arial" w:cs="Arial"/>
          <w:color w:val="000000"/>
          <w:sz w:val="20"/>
        </w:rPr>
        <w:t xml:space="preserve">, the record shows that none of the officers ever believed or understood Garcia's symptoms to stem from diabetes or any other ADA-approved disability. Furthermore, his outwardly visible mannerisms did not suggest that he suffered from the type of disability that would put an officer on notice to accommodate him. </w:t>
      </w:r>
      <w:r>
        <w:rPr>
          <w:rFonts w:ascii="Arial" w:eastAsia="Arial" w:hAnsi="Arial" w:cs="Arial"/>
          <w:i/>
          <w:color w:val="000000"/>
          <w:sz w:val="20"/>
        </w:rPr>
        <w:t xml:space="preserve">See </w:t>
      </w:r>
      <w:bookmarkStart w:id="759" w:name="Bookmark_I68SX06P2HM6S40010000400"/>
      <w:bookmarkEnd w:id="759"/>
      <w:r>
        <w:rPr>
          <w:rFonts w:ascii="Arial" w:eastAsia="Arial" w:hAnsi="Arial" w:cs="Arial"/>
          <w:i/>
          <w:color w:val="000000"/>
          <w:sz w:val="20"/>
        </w:rPr>
        <w:t>Windham</w:t>
      </w:r>
      <w:r>
        <w:rPr>
          <w:rFonts w:ascii="Arial" w:eastAsia="Arial" w:hAnsi="Arial" w:cs="Arial"/>
          <w:color w:val="000000"/>
          <w:sz w:val="20"/>
        </w:rPr>
        <w:t xml:space="preserve">, 875 F.3d at 238 (providing that </w:t>
      </w:r>
      <w:bookmarkStart w:id="760" w:name="Bookmark_LNHNREFclscc17_1"/>
      <w:bookmarkEnd w:id="760"/>
      <w:r>
        <w:rPr>
          <w:rFonts w:ascii="Arial" w:eastAsia="Arial" w:hAnsi="Arial" w:cs="Arial"/>
          <w:color w:val="000000"/>
          <w:sz w:val="20"/>
        </w:rPr>
        <w:t>"blindness, deafness [with a hearing aid], or being wheelchair-bound" are "well-understood" examples of open-and-obvious disabilities). Because he fails to identify evidence that the County knew of his diabetic status and because his disability was not open and obvious, we affirm the district court's summary judgment.</w:t>
      </w:r>
    </w:p>
    <w:p w:rsidR="00022B47" w:rsidRDefault="00000000">
      <w:pPr>
        <w:pStyle w:val="Normal3"/>
        <w:widowControl w:val="0"/>
        <w:spacing w:before="240" w:line="260" w:lineRule="atLeast"/>
      </w:pPr>
      <w:r>
        <w:br/>
      </w:r>
      <w:r>
        <w:rPr>
          <w:rFonts w:ascii="Arial" w:eastAsia="Arial" w:hAnsi="Arial" w:cs="Arial"/>
          <w:b/>
          <w:color w:val="000000"/>
          <w:sz w:val="20"/>
        </w:rPr>
        <w:t xml:space="preserve">IV. </w:t>
      </w:r>
      <w:r>
        <w:rPr>
          <w:rFonts w:ascii="Arial" w:eastAsia="Arial" w:hAnsi="Arial" w:cs="Arial"/>
          <w:b/>
          <w:smallCaps/>
          <w:color w:val="000000"/>
          <w:sz w:val="20"/>
        </w:rPr>
        <w:t>Conclusion</w:t>
      </w:r>
    </w:p>
    <w:p w:rsidR="00022B47" w:rsidRDefault="00000000">
      <w:pPr>
        <w:pStyle w:val="Normal3"/>
        <w:widowControl w:val="0"/>
        <w:spacing w:before="200" w:line="260" w:lineRule="atLeast"/>
        <w:jc w:val="both"/>
      </w:pPr>
      <w:bookmarkStart w:id="761" w:name="Bookmark_para_61"/>
      <w:bookmarkEnd w:id="761"/>
      <w:r>
        <w:rPr>
          <w:rFonts w:ascii="Arial" w:eastAsia="Arial" w:hAnsi="Arial" w:cs="Arial"/>
          <w:color w:val="000000"/>
          <w:sz w:val="20"/>
        </w:rPr>
        <w:t>For the foregoing reasons, we REVERSE the district court's dismissal of Rowe and AFFIRM its judgment dismissing the remaining Appellees and granting summary judgment to the County.</w:t>
      </w:r>
    </w:p>
    <w:p w:rsidR="00022B47" w:rsidRDefault="00022B47">
      <w:pPr>
        <w:pStyle w:val="Normal3"/>
      </w:pPr>
    </w:p>
    <w:p w:rsidR="00022B47" w:rsidRDefault="00000000">
      <w:pPr>
        <w:pStyle w:val="Normal3"/>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206027003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7DA6D2" id="Line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4"/>
        <w:sectPr w:rsidR="00022B47">
          <w:headerReference w:type="even" r:id="rId30"/>
          <w:headerReference w:type="default" r:id="rId31"/>
          <w:footerReference w:type="even" r:id="rId32"/>
          <w:footerReference w:type="default" r:id="rId33"/>
          <w:headerReference w:type="first" r:id="rId34"/>
          <w:footerReference w:type="first" r:id="rId35"/>
          <w:pgSz w:w="12240" w:h="15840"/>
          <w:pgMar w:top="840" w:right="1000" w:bottom="840" w:left="1000" w:header="400" w:footer="400" w:gutter="0"/>
          <w:cols w:space="720"/>
          <w:titlePg/>
        </w:sectPr>
      </w:pPr>
    </w:p>
    <w:p w:rsidR="00022B47" w:rsidRDefault="00022B47">
      <w:pPr>
        <w:pStyle w:val="Normal4"/>
      </w:pPr>
    </w:p>
    <w:p w:rsidR="00022B47" w:rsidRDefault="00000000">
      <w:pPr>
        <w:pStyle w:val="Heading13"/>
        <w:keepNext w:val="0"/>
        <w:widowControl w:val="0"/>
        <w:spacing w:after="200" w:line="340" w:lineRule="atLeast"/>
        <w:jc w:val="center"/>
      </w:pPr>
      <w:r>
        <w:rPr>
          <w:rFonts w:eastAsia="Arial"/>
          <w:color w:val="000000"/>
          <w:sz w:val="28"/>
        </w:rPr>
        <w:t>Hannah v. UPS</w:t>
      </w:r>
    </w:p>
    <w:p w:rsidR="00022B47" w:rsidRDefault="00000000">
      <w:pPr>
        <w:pStyle w:val="Normal4"/>
        <w:widowControl w:val="0"/>
        <w:spacing w:before="120" w:line="260" w:lineRule="atLeast"/>
        <w:jc w:val="center"/>
      </w:pPr>
      <w:r>
        <w:rPr>
          <w:rFonts w:ascii="Arial" w:eastAsia="Arial" w:hAnsi="Arial" w:cs="Arial"/>
          <w:color w:val="000000"/>
          <w:sz w:val="20"/>
        </w:rPr>
        <w:t>United States Court of Appeals for the Fourth Circuit</w:t>
      </w:r>
    </w:p>
    <w:p w:rsidR="00022B47" w:rsidRDefault="00000000">
      <w:pPr>
        <w:pStyle w:val="Normal4"/>
        <w:widowControl w:val="0"/>
        <w:spacing w:before="120" w:line="260" w:lineRule="atLeast"/>
        <w:jc w:val="center"/>
      </w:pPr>
      <w:r>
        <w:rPr>
          <w:rFonts w:ascii="Arial" w:eastAsia="Arial" w:hAnsi="Arial" w:cs="Arial"/>
          <w:color w:val="000000"/>
          <w:sz w:val="20"/>
        </w:rPr>
        <w:t>January 26, 2023, Argued; July 10, 2023, Decided</w:t>
      </w:r>
    </w:p>
    <w:p w:rsidR="00022B47" w:rsidRDefault="00000000">
      <w:pPr>
        <w:pStyle w:val="Normal4"/>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21-1647</w:t>
      </w:r>
    </w:p>
    <w:p w:rsidR="00022B47" w:rsidRDefault="00022B47">
      <w:pPr>
        <w:pStyle w:val="Normal4"/>
        <w:widowControl w:val="0"/>
        <w:spacing w:line="240" w:lineRule="atLeast"/>
        <w:jc w:val="both"/>
      </w:pPr>
      <w:bookmarkStart w:id="762" w:name="Bookmark_5"/>
      <w:bookmarkEnd w:id="762"/>
    </w:p>
    <w:p w:rsidR="00022B47" w:rsidRDefault="00000000">
      <w:pPr>
        <w:pStyle w:val="Normal4"/>
        <w:widowControl w:val="0"/>
        <w:spacing w:before="200" w:line="240" w:lineRule="atLeast"/>
      </w:pPr>
      <w:bookmarkStart w:id="763" w:name="Reporter_3"/>
      <w:bookmarkEnd w:id="763"/>
      <w:r>
        <w:rPr>
          <w:rFonts w:ascii="Arial" w:eastAsia="Arial" w:hAnsi="Arial" w:cs="Arial"/>
          <w:b/>
          <w:color w:val="000000"/>
          <w:sz w:val="18"/>
        </w:rPr>
        <w:t>Reporter</w:t>
      </w:r>
    </w:p>
    <w:p w:rsidR="00022B47" w:rsidRDefault="00000000">
      <w:pPr>
        <w:pStyle w:val="Normal4"/>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72 F.4th 630 *; 2023 U.S. App. LEXIS 17322 **</w:t>
      </w:r>
    </w:p>
    <w:p w:rsidR="00022B47" w:rsidRDefault="00000000">
      <w:pPr>
        <w:pStyle w:val="Normal4"/>
        <w:widowControl w:val="0"/>
        <w:spacing w:before="120" w:line="260" w:lineRule="atLeast"/>
      </w:pPr>
      <w:r>
        <w:rPr>
          <w:rFonts w:ascii="Arial" w:eastAsia="Arial" w:hAnsi="Arial" w:cs="Arial"/>
          <w:color w:val="000000"/>
          <w:sz w:val="20"/>
        </w:rPr>
        <w:t>JAY HANNAH, Plaintiff - Appellant, v. UNITED PARCEL SERVICE, INC., Defendant - Appellee.</w:t>
      </w:r>
    </w:p>
    <w:p w:rsidR="00022B47" w:rsidRDefault="00000000">
      <w:pPr>
        <w:pStyle w:val="Normal4"/>
        <w:widowControl w:val="0"/>
        <w:spacing w:before="240" w:line="260" w:lineRule="atLeast"/>
        <w:jc w:val="both"/>
      </w:pPr>
      <w:bookmarkStart w:id="764" w:name="Prior_History_3"/>
      <w:bookmarkEnd w:id="764"/>
      <w:r>
        <w:rPr>
          <w:rFonts w:ascii="Arial" w:eastAsia="Arial" w:hAnsi="Arial" w:cs="Arial"/>
          <w:b/>
          <w:color w:val="000000"/>
          <w:sz w:val="20"/>
        </w:rPr>
        <w:t>Prior History:</w:t>
      </w:r>
      <w:r>
        <w:rPr>
          <w:rFonts w:ascii="Arial" w:eastAsia="Arial" w:hAnsi="Arial" w:cs="Arial"/>
          <w:color w:val="000000"/>
          <w:sz w:val="20"/>
        </w:rPr>
        <w:t> </w:t>
      </w:r>
      <w:bookmarkStart w:id="765" w:name="Bookmark_para_1_3"/>
      <w:bookmarkEnd w:id="765"/>
      <w:r>
        <w:rPr>
          <w:rFonts w:ascii="Arial" w:eastAsia="Arial" w:hAnsi="Arial" w:cs="Arial"/>
          <w:color w:val="000000"/>
          <w:sz w:val="20"/>
        </w:rPr>
        <w:t> [**1] Appeal from the United States District Court for the Southern District of West Virginia, at Charleston. (2:20-cv-00120). Joseph R. Goodwin, District Judge.</w:t>
      </w:r>
    </w:p>
    <w:p w:rsidR="00022B47" w:rsidRDefault="00000000">
      <w:pPr>
        <w:pStyle w:val="Normal4"/>
        <w:widowControl w:val="0"/>
        <w:spacing w:before="120" w:line="260" w:lineRule="atLeast"/>
      </w:pPr>
      <w:r>
        <w:rPr>
          <w:rFonts w:ascii="Arial" w:eastAsia="Arial" w:hAnsi="Arial" w:cs="Arial"/>
          <w:color w:val="000000"/>
          <w:sz w:val="20"/>
        </w:rPr>
        <w:t>Hannah v. UPS, 2021 U.S. Dist. LEXIS 103497, 2021 WL 2228498 (S.D. W. Va., June 2, 2021)</w:t>
      </w:r>
    </w:p>
    <w:p w:rsidR="00022B47" w:rsidRDefault="00000000">
      <w:pPr>
        <w:pStyle w:val="Normal4"/>
        <w:widowControl w:val="0"/>
        <w:spacing w:before="240" w:line="260" w:lineRule="atLeast"/>
        <w:jc w:val="both"/>
      </w:pPr>
      <w:bookmarkStart w:id="766" w:name="Disposition_0"/>
      <w:bookmarkEnd w:id="766"/>
      <w:r>
        <w:rPr>
          <w:rFonts w:ascii="Arial" w:eastAsia="Arial" w:hAnsi="Arial" w:cs="Arial"/>
          <w:b/>
          <w:color w:val="000000"/>
          <w:sz w:val="20"/>
        </w:rPr>
        <w:t>Disposition:</w:t>
      </w:r>
      <w:r>
        <w:rPr>
          <w:rFonts w:ascii="Arial" w:eastAsia="Arial" w:hAnsi="Arial" w:cs="Arial"/>
          <w:color w:val="000000"/>
          <w:sz w:val="20"/>
        </w:rPr>
        <w:t> </w:t>
      </w:r>
      <w:bookmarkStart w:id="767" w:name="Bookmark_clspara_4"/>
      <w:bookmarkEnd w:id="767"/>
      <w:r>
        <w:rPr>
          <w:rFonts w:ascii="Arial" w:eastAsia="Arial" w:hAnsi="Arial" w:cs="Arial"/>
          <w:color w:val="000000"/>
          <w:sz w:val="20"/>
        </w:rPr>
        <w:t>AFFIRMED.</w:t>
      </w:r>
    </w:p>
    <w:p w:rsidR="00022B47" w:rsidRDefault="00000000">
      <w:pPr>
        <w:pStyle w:val="Normal4"/>
        <w:widowControl w:val="0"/>
        <w:spacing w:before="240" w:line="260" w:lineRule="atLeast"/>
      </w:pPr>
      <w:bookmarkStart w:id="768" w:name="Counsel_3"/>
      <w:bookmarkEnd w:id="768"/>
      <w:r>
        <w:rPr>
          <w:rFonts w:ascii="Arial" w:eastAsia="Arial" w:hAnsi="Arial" w:cs="Arial"/>
          <w:b/>
          <w:color w:val="000000"/>
          <w:sz w:val="20"/>
        </w:rPr>
        <w:t>Counsel:</w:t>
      </w:r>
      <w:r>
        <w:rPr>
          <w:rFonts w:ascii="Arial" w:eastAsia="Arial" w:hAnsi="Arial" w:cs="Arial"/>
          <w:color w:val="000000"/>
          <w:sz w:val="20"/>
        </w:rPr>
        <w:t> Hoyt Eric Glazer, GLAZER SAAD ANDERSON, LC, Huntington, West Virginia, for Appellant.</w:t>
      </w:r>
    </w:p>
    <w:p w:rsidR="00022B47" w:rsidRDefault="00000000">
      <w:pPr>
        <w:pStyle w:val="Normal4"/>
        <w:widowControl w:val="0"/>
        <w:spacing w:before="120" w:line="260" w:lineRule="atLeast"/>
      </w:pPr>
      <w:r>
        <w:rPr>
          <w:rFonts w:ascii="Arial" w:eastAsia="Arial" w:hAnsi="Arial" w:cs="Arial"/>
          <w:color w:val="000000"/>
          <w:sz w:val="20"/>
        </w:rPr>
        <w:t>Richard M. Wallace, LITTLER MENDELSON, P.C., Charleston, West Virginia, for Appellee.</w:t>
      </w:r>
    </w:p>
    <w:p w:rsidR="00022B47" w:rsidRDefault="00000000">
      <w:pPr>
        <w:pStyle w:val="Normal4"/>
        <w:widowControl w:val="0"/>
        <w:spacing w:before="120" w:line="260" w:lineRule="atLeast"/>
      </w:pPr>
      <w:r>
        <w:rPr>
          <w:rFonts w:ascii="Arial" w:eastAsia="Arial" w:hAnsi="Arial" w:cs="Arial"/>
          <w:color w:val="000000"/>
          <w:sz w:val="20"/>
        </w:rPr>
        <w:t>Kameron Miller, LITTLER MENDELSON, P.C., Charleston, West Virginia, for Appellee.</w:t>
      </w:r>
    </w:p>
    <w:p w:rsidR="00022B47" w:rsidRDefault="00000000">
      <w:pPr>
        <w:pStyle w:val="Normal4"/>
        <w:widowControl w:val="0"/>
        <w:spacing w:before="240" w:line="260" w:lineRule="atLeast"/>
      </w:pPr>
      <w:bookmarkStart w:id="769" w:name="Judges_3"/>
      <w:bookmarkEnd w:id="769"/>
      <w:r>
        <w:rPr>
          <w:rFonts w:ascii="Arial" w:eastAsia="Arial" w:hAnsi="Arial" w:cs="Arial"/>
          <w:b/>
          <w:color w:val="000000"/>
          <w:sz w:val="20"/>
        </w:rPr>
        <w:t>Judges:</w:t>
      </w:r>
      <w:r>
        <w:rPr>
          <w:rFonts w:ascii="Arial" w:eastAsia="Arial" w:hAnsi="Arial" w:cs="Arial"/>
          <w:color w:val="000000"/>
          <w:sz w:val="20"/>
        </w:rPr>
        <w:t> Before NIEMEYER, RUSHING, and HEYTENS, Circuit Judges. Judge Niemeyer wrote the opinion, in which Judge Rushing and Judge Heytens joined.</w:t>
      </w:r>
    </w:p>
    <w:p w:rsidR="00022B47" w:rsidRDefault="00000000">
      <w:pPr>
        <w:pStyle w:val="Normal4"/>
        <w:widowControl w:val="0"/>
        <w:spacing w:before="240" w:line="260" w:lineRule="atLeast"/>
      </w:pPr>
      <w:bookmarkStart w:id="770" w:name="Opinion_by_1"/>
      <w:bookmarkEnd w:id="770"/>
      <w:r>
        <w:rPr>
          <w:rFonts w:ascii="Arial" w:eastAsia="Arial" w:hAnsi="Arial" w:cs="Arial"/>
          <w:b/>
          <w:color w:val="000000"/>
          <w:sz w:val="20"/>
        </w:rPr>
        <w:t>Opinion by:</w:t>
      </w:r>
      <w:r>
        <w:rPr>
          <w:rFonts w:ascii="Arial" w:eastAsia="Arial" w:hAnsi="Arial" w:cs="Arial"/>
          <w:color w:val="000000"/>
          <w:sz w:val="20"/>
        </w:rPr>
        <w:t> NIEMEYER</w:t>
      </w:r>
    </w:p>
    <w:p w:rsidR="00022B47" w:rsidRDefault="00000000">
      <w:pPr>
        <w:pStyle w:val="Normal4"/>
        <w:keepNext/>
        <w:widowControl w:val="0"/>
        <w:spacing w:before="240" w:line="340" w:lineRule="atLeast"/>
      </w:pPr>
      <w:bookmarkStart w:id="771" w:name="Opinion_3"/>
      <w:bookmarkEnd w:id="771"/>
      <w:r>
        <w:rPr>
          <w:rFonts w:ascii="Arial" w:eastAsia="Arial" w:hAnsi="Arial" w:cs="Arial"/>
          <w:b/>
          <w:color w:val="000000"/>
          <w:sz w:val="28"/>
        </w:rPr>
        <w:t>Opinion</w:t>
      </w:r>
    </w:p>
    <w:p w:rsidR="00022B47" w:rsidRDefault="0025213E">
      <w:pPr>
        <w:pStyle w:val="Normal4"/>
        <w:spacing w:line="60" w:lineRule="exact"/>
      </w:pPr>
      <w:r>
        <w:rPr>
          <w:noProof/>
        </w:rP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62003695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AE54B2" id="Line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4"/>
      </w:pPr>
    </w:p>
    <w:p w:rsidR="00022B47" w:rsidRDefault="00000000">
      <w:pPr>
        <w:pStyle w:val="Normal4"/>
        <w:widowControl w:val="0"/>
        <w:spacing w:before="200" w:line="260" w:lineRule="atLeast"/>
        <w:jc w:val="both"/>
      </w:pPr>
      <w:bookmarkStart w:id="772" w:name="Bookmark_para_2_3"/>
      <w:bookmarkEnd w:id="772"/>
      <w:r>
        <w:rPr>
          <w:rFonts w:ascii="Arial" w:eastAsia="Arial" w:hAnsi="Arial" w:cs="Arial"/>
          <w:color w:val="000000"/>
          <w:sz w:val="20"/>
        </w:rPr>
        <w:t> [*633]  NIEMEYER, Circuit Judge:</w:t>
      </w:r>
    </w:p>
    <w:p w:rsidR="00022B47" w:rsidRDefault="00000000">
      <w:pPr>
        <w:pStyle w:val="Normal4"/>
        <w:widowControl w:val="0"/>
        <w:spacing w:before="200" w:line="260" w:lineRule="atLeast"/>
        <w:jc w:val="both"/>
      </w:pPr>
      <w:bookmarkStart w:id="773" w:name="Bookmark_para_3_3"/>
      <w:bookmarkEnd w:id="773"/>
      <w:r>
        <w:rPr>
          <w:rFonts w:ascii="Arial" w:eastAsia="Arial" w:hAnsi="Arial" w:cs="Arial"/>
          <w:color w:val="000000"/>
          <w:sz w:val="20"/>
        </w:rPr>
        <w:t>When Jay Hannah, a package delivery driver for United Parcel Service, Inc. ("UPS"), injured his hip and buttocks, he requested that he be allowed to drive his route with a smaller truck that would have a softer suspension or, alternatively, that he be assigned to an "inside job." Because UPS had determined that the route that Hannah had been driving required a larger truck and there were no openings for inside work at the time, UPS instead accommodated Hannah by allowing him to take an unpaid leave of absence until his hip and buttocks healed and he could return to work.</w:t>
      </w:r>
    </w:p>
    <w:p w:rsidR="00022B47" w:rsidRDefault="00000000">
      <w:pPr>
        <w:pStyle w:val="Normal4"/>
        <w:widowControl w:val="0"/>
        <w:spacing w:before="200" w:line="260" w:lineRule="atLeast"/>
        <w:jc w:val="both"/>
      </w:pPr>
      <w:bookmarkStart w:id="774" w:name="Bookmark_para_4_3"/>
      <w:bookmarkEnd w:id="774"/>
      <w:r>
        <w:rPr>
          <w:rFonts w:ascii="Arial" w:eastAsia="Arial" w:hAnsi="Arial" w:cs="Arial"/>
          <w:color w:val="000000"/>
          <w:sz w:val="20"/>
        </w:rPr>
        <w:t xml:space="preserve">Hannah commenced this action under the Americans with Disabilities Act of 1990 ("ADA"), 42 U.S.C. § 12101 </w:t>
      </w:r>
      <w:r>
        <w:rPr>
          <w:rFonts w:ascii="Arial" w:eastAsia="Arial" w:hAnsi="Arial" w:cs="Arial"/>
          <w:i/>
          <w:color w:val="000000"/>
          <w:sz w:val="20"/>
        </w:rPr>
        <w:t>et seq.</w:t>
      </w:r>
      <w:r>
        <w:rPr>
          <w:rFonts w:ascii="Arial" w:eastAsia="Arial" w:hAnsi="Arial" w:cs="Arial"/>
          <w:color w:val="000000"/>
          <w:sz w:val="20"/>
        </w:rPr>
        <w:t> [**2] , alleging that UPS's refusal to provide him with the accommodations he requested violated his rights under the ADA. The district court granted summary judgment to UPS, concluding, as a matter of law, that Hannah had not shown that the accommodations he requested were reasonable and that Hannah's unpaid leave of absence constituted a reasonable accommodation in the circumstances.</w:t>
      </w:r>
    </w:p>
    <w:p w:rsidR="00022B47" w:rsidRDefault="00000000">
      <w:pPr>
        <w:pStyle w:val="Normal4"/>
        <w:widowControl w:val="0"/>
        <w:spacing w:before="200" w:line="260" w:lineRule="atLeast"/>
        <w:jc w:val="both"/>
      </w:pPr>
      <w:bookmarkStart w:id="775" w:name="Bookmark_para_5_3"/>
      <w:bookmarkEnd w:id="775"/>
      <w:r>
        <w:rPr>
          <w:rFonts w:ascii="Arial" w:eastAsia="Arial" w:hAnsi="Arial" w:cs="Arial"/>
          <w:color w:val="000000"/>
          <w:sz w:val="20"/>
        </w:rPr>
        <w:t>For the reasons given herein, we affirm.</w:t>
      </w:r>
    </w:p>
    <w:p w:rsidR="00022B47" w:rsidRDefault="00000000">
      <w:pPr>
        <w:pStyle w:val="Normal4"/>
        <w:widowControl w:val="0"/>
        <w:spacing w:before="120" w:line="260" w:lineRule="atLeast"/>
      </w:pPr>
      <w:r>
        <w:rPr>
          <w:rFonts w:ascii="Arial" w:eastAsia="Arial" w:hAnsi="Arial" w:cs="Arial"/>
          <w:color w:val="000000"/>
          <w:sz w:val="20"/>
        </w:rPr>
        <w:t>I</w:t>
      </w:r>
    </w:p>
    <w:p w:rsidR="00022B47" w:rsidRDefault="00000000">
      <w:pPr>
        <w:pStyle w:val="Normal4"/>
        <w:widowControl w:val="0"/>
        <w:spacing w:before="200" w:line="260" w:lineRule="atLeast"/>
        <w:jc w:val="both"/>
      </w:pPr>
      <w:bookmarkStart w:id="776" w:name="Bookmark_para_6_3"/>
      <w:bookmarkEnd w:id="776"/>
      <w:r>
        <w:rPr>
          <w:rFonts w:ascii="Arial" w:eastAsia="Arial" w:hAnsi="Arial" w:cs="Arial"/>
          <w:color w:val="000000"/>
          <w:sz w:val="20"/>
        </w:rPr>
        <w:t>Hannah, who had been a UPS employee in Parkersburg, West Virginia, since 2008, began experiencing pain in his lower back, hip, and buttocks in December 2017. His condition was then diagnosed as hip bursitis. At the time, Hannah was assigned to a delivery route, for which he had bid under the governing collective bargaining agreement and which, as UPS had determined, required him to drive a truck with a 600-cubic-foot capacity to carry all the packages to be delivered on his route. That size truck, however, had a stiff suspension, which made for a rough ride that aggravated Hannah's injury. After UPS accommodated his request for a better padded seat, he still could only work sporadically until October 2018. At that time, his physician diagnosed him with sacroiliitis and [**3]  cleared him to return to work, so long as he avoided prolonged sitting until November 1, 2018. Hannah then made a request to UPS for an accommodation under the ADA to provide him with a smaller vehicle, a van with a cargo capacity of 300 to 400 cubic feet, which would have a softer suspension and thus would provide him with an easier ride. Alternatively, he requested assignment to an "inside job" within a 30-mile radius for which he was qualified until he could return to his route.</w:t>
      </w:r>
    </w:p>
    <w:p w:rsidR="00022B47" w:rsidRDefault="00000000">
      <w:pPr>
        <w:pStyle w:val="Normal4"/>
        <w:widowControl w:val="0"/>
        <w:spacing w:before="200" w:line="260" w:lineRule="atLeast"/>
        <w:jc w:val="both"/>
      </w:pPr>
      <w:bookmarkStart w:id="777" w:name="Bookmark_para_7_3"/>
      <w:bookmarkEnd w:id="777"/>
      <w:r>
        <w:rPr>
          <w:rFonts w:ascii="Arial" w:eastAsia="Arial" w:hAnsi="Arial" w:cs="Arial"/>
          <w:color w:val="000000"/>
          <w:sz w:val="20"/>
        </w:rPr>
        <w:t>UPS officials met with Hannah and then conferred among themselves and determined that UPS could not provide Hannah with the smaller vehicle he had requested because such a van would have an insufficient capacity to serve his route. Thus, providing Hannah with such a van would require either that Hannah give a part of  [*634]  his route to another driver or that Hannah himself complete the route in multiple trips. UPS found neither option to be feasible, as each would violate the governing collective bargaining agreement. With respect to inside work, UPS advised Hannah that it had no openings at the time, but it would consider him for any such opening when it occurred. While UPS thus denied Hannah the particular accommodations [**4]  he requested, it did allow him to retain his job and take leave without pay until he could return to work. And after several months, Hannah did return to work, continuing to drive the route to which he was assigned in a truck suited for that route.</w:t>
      </w:r>
    </w:p>
    <w:p w:rsidR="00022B47" w:rsidRDefault="00000000">
      <w:pPr>
        <w:pStyle w:val="Normal4"/>
        <w:widowControl w:val="0"/>
        <w:spacing w:before="200" w:line="260" w:lineRule="atLeast"/>
        <w:jc w:val="both"/>
      </w:pPr>
      <w:bookmarkStart w:id="778" w:name="Bookmark_para_8_3"/>
      <w:bookmarkEnd w:id="778"/>
      <w:r>
        <w:rPr>
          <w:rFonts w:ascii="Arial" w:eastAsia="Arial" w:hAnsi="Arial" w:cs="Arial"/>
          <w:color w:val="000000"/>
          <w:sz w:val="20"/>
        </w:rPr>
        <w:t>After returning to work, Hannah commenced this action against UPS under the ADA for its failure to provide him with either of the accommodations that he requested. The district court granted UPS's motion for summary judgment, concluding that Hannah failed to carry his burden of demonstrating that he could perform the essential functions of his job with the accommodations requested. The court also concluded that the leave of absence that UPS provided was in fact a reasonable accommodation, even though not one that Hannah had requested.</w:t>
      </w:r>
    </w:p>
    <w:p w:rsidR="00022B47" w:rsidRDefault="00000000">
      <w:pPr>
        <w:pStyle w:val="Normal4"/>
        <w:widowControl w:val="0"/>
        <w:spacing w:before="200" w:line="260" w:lineRule="atLeast"/>
        <w:jc w:val="both"/>
      </w:pPr>
      <w:bookmarkStart w:id="779" w:name="Bookmark_para_9_3"/>
      <w:bookmarkEnd w:id="779"/>
      <w:r>
        <w:rPr>
          <w:rFonts w:ascii="Arial" w:eastAsia="Arial" w:hAnsi="Arial" w:cs="Arial"/>
          <w:color w:val="000000"/>
          <w:sz w:val="20"/>
        </w:rPr>
        <w:t>This appeal followed.</w:t>
      </w:r>
    </w:p>
    <w:p w:rsidR="00022B47" w:rsidRDefault="00000000">
      <w:pPr>
        <w:pStyle w:val="Normal4"/>
        <w:widowControl w:val="0"/>
        <w:spacing w:before="120" w:line="260" w:lineRule="atLeast"/>
      </w:pPr>
      <w:r>
        <w:rPr>
          <w:rFonts w:ascii="Arial" w:eastAsia="Arial" w:hAnsi="Arial" w:cs="Arial"/>
          <w:color w:val="000000"/>
          <w:sz w:val="20"/>
        </w:rPr>
        <w:t>II</w:t>
      </w:r>
    </w:p>
    <w:p w:rsidR="00022B47" w:rsidRDefault="00000000">
      <w:pPr>
        <w:pStyle w:val="Normal4"/>
        <w:widowControl w:val="0"/>
        <w:spacing w:before="200" w:line="260" w:lineRule="atLeast"/>
        <w:jc w:val="both"/>
      </w:pPr>
      <w:bookmarkStart w:id="780" w:name="Bookmark_para_10_3"/>
      <w:bookmarkEnd w:id="780"/>
      <w:r>
        <w:rPr>
          <w:rFonts w:ascii="Arial" w:eastAsia="Arial" w:hAnsi="Arial" w:cs="Arial"/>
          <w:color w:val="000000"/>
          <w:sz w:val="20"/>
        </w:rPr>
        <w:t>The issue in this case turns on whether Hannah, who was temporarily disabled, requested a reasonable accommodation under the ADA and whether UPS, in providing a different accommodation that was not requested by Hannah, complied with its duties in response to Hannah's request.</w:t>
      </w:r>
    </w:p>
    <w:p w:rsidR="00022B47" w:rsidRDefault="00000000">
      <w:pPr>
        <w:pStyle w:val="Normal4"/>
        <w:widowControl w:val="0"/>
        <w:spacing w:before="200" w:line="260" w:lineRule="atLeast"/>
        <w:jc w:val="both"/>
      </w:pPr>
      <w:bookmarkStart w:id="781" w:name="Bookmark_para_11_3"/>
      <w:bookmarkEnd w:id="781"/>
      <w:r>
        <w:rPr>
          <w:rFonts w:ascii="Arial" w:eastAsia="Arial" w:hAnsi="Arial" w:cs="Arial"/>
          <w:color w:val="000000"/>
          <w:sz w:val="20"/>
        </w:rPr>
        <w:t>The record shows that because of his hip and buttocks condition, Hannah was unable to drive the 600-cubic-foot truck [**5]  provided to him for delivering the route's packages because the truck's stiff suspension resulted in too harsh a ride. He requested that UPS provide him with a 300-to 400-cubic-foot van, which had a softer suspension and which, he claimed, would enable him to drive his route. Hannah acknowledged that the smaller van would need to hold all of the packages for delivery on his assigned route. He also stated that he was not sure that such a van would be able to hold all of the packages because "I've never got a chance to try it out." But he agreed that if such a van could not accommodate all of the packages, his request would require that he "displace somebody from another route," implicating the collective bargaining agreement. Alternatively, he requested "an inside job," such as washing vehicles or sorting packages.</w:t>
      </w:r>
    </w:p>
    <w:p w:rsidR="00022B47" w:rsidRDefault="00000000">
      <w:pPr>
        <w:pStyle w:val="Normal4"/>
        <w:widowControl w:val="0"/>
        <w:spacing w:before="200" w:line="260" w:lineRule="atLeast"/>
        <w:jc w:val="both"/>
      </w:pPr>
      <w:bookmarkStart w:id="782" w:name="Bookmark_para_12_3"/>
      <w:bookmarkEnd w:id="782"/>
      <w:r>
        <w:rPr>
          <w:rFonts w:ascii="Arial" w:eastAsia="Arial" w:hAnsi="Arial" w:cs="Arial"/>
          <w:color w:val="000000"/>
          <w:sz w:val="20"/>
        </w:rPr>
        <w:t>UPS rejected Hannah's requests. In defending its position, UPS explained that delivery routes were assigned to drivers based on seniority and their bids for the routes, as provided by the collective bargaining agreement. And the size of vehicle assigned to each route was based on the expected volume of packages for that route. Thus, a 600-cubic-foot truck was assigned to Hannah's [**6]  route because UPS had determined that that was the size of truck that the route required. In addition, UPS noted that the collective bargaining agreement restricted drivers to working no more than 9.5 hours per day. In light of these restrictions, it explained that a 300-to 400-cubic-foot van would not be able to service Hannah's route — Hannah "would have . . . [to] put [work] on another driver or drivers . . . [w]hich potentially would put them over 9.5 hours dispatched; [and] they are protected from working over 9.5 hours in the collective bargaining agreement." And, as UPS explained, Hannah's doing the route himself with a smaller truck would require multiple trips. That would not only require him to work more than 9.5 hours but would also be unreasonable  [*635]  because of the substantial increase in costs in terms of maintenance, wear and tear on the vehicle, and fuel and oil usage. UPS also noted that it would be a "safety risk to have Mr. Hannah continue to drive up and down the road all day long . . . [b]ecause it is proven the more miles that you incur, the more at risk you are to have an auto accident." As to an inside job, UPS told Hannah that it had no suitable vacancies at the [**7]  time but that it would continue to look for one. In these circumstances, UPS provided Hannah with the accommodation of granting him an indefinite unpaid leave of absence with the option to return to work when his hip and buttocks healed. Hannah did not agree that that was a reasonable accommodation, although he remained on leave until finally returning to work several months later.</w:t>
      </w:r>
    </w:p>
    <w:p w:rsidR="00022B47" w:rsidRDefault="00000000">
      <w:pPr>
        <w:pStyle w:val="Normal4"/>
        <w:widowControl w:val="0"/>
        <w:spacing w:before="200" w:line="260" w:lineRule="atLeast"/>
        <w:jc w:val="both"/>
      </w:pPr>
      <w:bookmarkStart w:id="783" w:name="Bookmark_para_13_3"/>
      <w:bookmarkEnd w:id="783"/>
      <w:r>
        <w:rPr>
          <w:rFonts w:ascii="Arial" w:eastAsia="Arial" w:hAnsi="Arial" w:cs="Arial"/>
          <w:color w:val="000000"/>
          <w:sz w:val="20"/>
        </w:rPr>
        <w:t>The issue, in short, is whether the accommodations Hannah requested were reasonable under the ADA and whether the accommodation UPS did provide was a reasonable one, albeit not agreeable to Hannah.</w:t>
      </w:r>
    </w:p>
    <w:p w:rsidR="00022B47" w:rsidRDefault="00000000">
      <w:pPr>
        <w:pStyle w:val="Normal4"/>
        <w:widowControl w:val="0"/>
        <w:spacing w:before="200" w:line="260" w:lineRule="atLeast"/>
        <w:jc w:val="both"/>
      </w:pPr>
      <w:bookmarkStart w:id="784" w:name="Bookmark_para_14_3"/>
      <w:bookmarkStart w:id="785" w:name="Bookmark_LNHNREFclscc1_2"/>
      <w:bookmarkStart w:id="786" w:name="Bookmark_I68PB9F12N1PWG0020000400"/>
      <w:bookmarkStart w:id="787" w:name="Bookmark_I68PB9F12N1PWG0040000400"/>
      <w:bookmarkEnd w:id="784"/>
      <w:bookmarkEnd w:id="785"/>
      <w:bookmarkEnd w:id="786"/>
      <w:bookmarkEnd w:id="787"/>
      <w:r>
        <w:rPr>
          <w:rFonts w:ascii="Arial" w:eastAsia="Arial" w:hAnsi="Arial" w:cs="Arial"/>
          <w:color w:val="000000"/>
          <w:sz w:val="20"/>
        </w:rPr>
        <w:t xml:space="preserve">The ADA prohibits an employer from discriminating against an employee with a disability if the employee can perform the essential functions of his job with "reasonable accommodation." 42 U.S.C. § 12112(a), (b)(5); </w:t>
      </w:r>
      <w:r>
        <w:rPr>
          <w:rFonts w:ascii="Arial" w:eastAsia="Arial" w:hAnsi="Arial" w:cs="Arial"/>
          <w:i/>
          <w:color w:val="000000"/>
          <w:sz w:val="20"/>
        </w:rPr>
        <w:t>id.</w:t>
      </w:r>
      <w:r>
        <w:rPr>
          <w:rFonts w:ascii="Arial" w:eastAsia="Arial" w:hAnsi="Arial" w:cs="Arial"/>
          <w:color w:val="000000"/>
          <w:sz w:val="20"/>
        </w:rPr>
        <w:t xml:space="preserve"> § 12111(8). In making a claim under the ADA for a failure to accommodate, the employee has the burden of establishing a prima facie case by showing "(1) that he was an individual who had a disability within the meaning of the statute; (2) that the employer had notice of his disability; (3) that with reasonable accommodation he could perform the essential functions of the position; and (4) that the employer refused to make such accommodations." [**8]  </w:t>
      </w:r>
      <w:bookmarkStart w:id="788" w:name="Bookmark_I68PB9F12N1PWG0010000400"/>
      <w:bookmarkEnd w:id="788"/>
      <w:r>
        <w:rPr>
          <w:rFonts w:ascii="Arial" w:eastAsia="Arial" w:hAnsi="Arial" w:cs="Arial"/>
          <w:i/>
          <w:color w:val="000000"/>
          <w:sz w:val="20"/>
        </w:rPr>
        <w:t>Wilson v. Dollar Gen. Corp.</w:t>
      </w:r>
      <w:r>
        <w:rPr>
          <w:rFonts w:ascii="Arial" w:eastAsia="Arial" w:hAnsi="Arial" w:cs="Arial"/>
          <w:color w:val="000000"/>
          <w:sz w:val="20"/>
        </w:rPr>
        <w:t xml:space="preserve">, 717 F.3d 337, 345 (4th Cir. 2013) (cleaned up). In carrying out the burden of establishing a reasonable accommodation in the context of a workplace governed by a collective bargaining agreement, the employee must show either that the requested accommodation would not violate the agreement or that some "special circumstances" exist that nonetheless make "the requested accommodation . . . reasonable on the particular facts." </w:t>
      </w:r>
      <w:bookmarkStart w:id="789" w:name="Bookmark_I68PB9F12N1PWG0030000400"/>
      <w:bookmarkEnd w:id="789"/>
      <w:r>
        <w:rPr>
          <w:rFonts w:ascii="Arial" w:eastAsia="Arial" w:hAnsi="Arial" w:cs="Arial"/>
          <w:i/>
          <w:color w:val="000000"/>
          <w:sz w:val="20"/>
        </w:rPr>
        <w:t>US Airways, Inc. v. Barnett</w:t>
      </w:r>
      <w:r>
        <w:rPr>
          <w:rFonts w:ascii="Arial" w:eastAsia="Arial" w:hAnsi="Arial" w:cs="Arial"/>
          <w:color w:val="000000"/>
          <w:sz w:val="20"/>
        </w:rPr>
        <w:t>, 535 U.S. 391, 403, 405, 122 S. Ct. 1516, 152 L. Ed. 2d 589 (2002) (cleaned up).</w:t>
      </w:r>
    </w:p>
    <w:p w:rsidR="00022B47" w:rsidRDefault="00000000">
      <w:pPr>
        <w:pStyle w:val="Normal4"/>
        <w:widowControl w:val="0"/>
        <w:spacing w:before="200" w:line="260" w:lineRule="atLeast"/>
        <w:jc w:val="both"/>
      </w:pPr>
      <w:bookmarkStart w:id="790" w:name="Bookmark_para_15_3"/>
      <w:bookmarkEnd w:id="790"/>
      <w:r>
        <w:rPr>
          <w:rFonts w:ascii="Arial" w:eastAsia="Arial" w:hAnsi="Arial" w:cs="Arial"/>
          <w:color w:val="000000"/>
          <w:sz w:val="20"/>
        </w:rPr>
        <w:t>In this case, Hannah did not meet this burden. While he did request an accommodation of driving a smaller van with a softer suspension, he acknowledged that such a van would have a cargo capacity of 300 to 400 cubic feet, whereas the vehicle that UPS had designated as necessary to perform his route had a capacity of 600 cubic feet. And, as UPS determined, such a shortfall in capacity would prevent Hannah from completing his route in one trip and within 9.5 hours. UPS explained that, in that circumstance, it would have been necessary to adjust another driver's route to take on part of Hannah's route. But each scenario — requiring work longer than 9.5 hours or adjusting another driver's route — would violate the collective bargaining agreement, as UPS explained. Routes were assigned [**9]  by seniority pursuant to a bidding process, and drivers could work no more than 9.5 hours per day. Hannah has provided no solution to these problems arising from his request to be given a smaller truck or van.</w:t>
      </w:r>
    </w:p>
    <w:p w:rsidR="00022B47" w:rsidRDefault="00000000">
      <w:pPr>
        <w:pStyle w:val="Normal4"/>
        <w:widowControl w:val="0"/>
        <w:spacing w:before="200" w:line="260" w:lineRule="atLeast"/>
        <w:jc w:val="both"/>
      </w:pPr>
      <w:bookmarkStart w:id="791" w:name="Bookmark_para_16_3"/>
      <w:bookmarkStart w:id="792" w:name="Bookmark_LNHNREFclscc2_2"/>
      <w:bookmarkStart w:id="793" w:name="Bookmark_I68PB9F22D6N2F0010000400"/>
      <w:bookmarkEnd w:id="791"/>
      <w:bookmarkEnd w:id="792"/>
      <w:bookmarkEnd w:id="793"/>
      <w:r>
        <w:rPr>
          <w:rFonts w:ascii="Arial" w:eastAsia="Arial" w:hAnsi="Arial" w:cs="Arial"/>
          <w:color w:val="000000"/>
          <w:sz w:val="20"/>
        </w:rPr>
        <w:t xml:space="preserve">Moreover, an accommodation is not reasonable if it does not "enable[] the employee to perform the essential functions of the job." </w:t>
      </w:r>
      <w:bookmarkStart w:id="794" w:name="Bookmark_I68PB9F12N1PWG0050000400"/>
      <w:bookmarkEnd w:id="794"/>
      <w:r>
        <w:rPr>
          <w:rFonts w:ascii="Arial" w:eastAsia="Arial" w:hAnsi="Arial" w:cs="Arial"/>
          <w:i/>
          <w:color w:val="000000"/>
          <w:sz w:val="20"/>
        </w:rPr>
        <w:t>Myers v. Hose</w:t>
      </w:r>
      <w:r>
        <w:rPr>
          <w:rFonts w:ascii="Arial" w:eastAsia="Arial" w:hAnsi="Arial" w:cs="Arial"/>
          <w:color w:val="000000"/>
          <w:sz w:val="20"/>
        </w:rPr>
        <w:t xml:space="preserve">, 50 F.3d 278, 283 (4th Cir. 1995). Here, Hannah has not addressed whether his proposed accommodation would require alteration of the "essential functions" of the job he had previously occupied as determined by UPS. UPS designed the delivery routes  [*636]  and assigned trucks to them with the capacity that it determined was needed to complete the routes. </w:t>
      </w:r>
      <w:bookmarkStart w:id="795" w:name="Bookmark_I68PB9F22D6N2F0030000400"/>
      <w:bookmarkEnd w:id="795"/>
      <w:r>
        <w:rPr>
          <w:rFonts w:ascii="Arial" w:eastAsia="Arial" w:hAnsi="Arial" w:cs="Arial"/>
          <w:color w:val="000000"/>
          <w:sz w:val="20"/>
        </w:rPr>
        <w:t xml:space="preserve">And when an employee, such as Hannah, bid on the route, the essential functions of the job of driving that route were so defined. </w:t>
      </w:r>
      <w:bookmarkStart w:id="796" w:name="Bookmark_I68PB9F22D6N2F0030000400_2"/>
      <w:bookmarkEnd w:id="796"/>
      <w:r>
        <w:rPr>
          <w:rFonts w:ascii="Arial" w:eastAsia="Arial" w:hAnsi="Arial" w:cs="Arial"/>
          <w:color w:val="000000"/>
          <w:sz w:val="20"/>
        </w:rPr>
        <w:t xml:space="preserve">Consequently, when Hannah sought an accommodation for his injury, part of his burden of demonstrating its reasonableness was to show that it would allow him to perform the essential functions of the position. </w:t>
      </w:r>
      <w:r>
        <w:rPr>
          <w:rFonts w:ascii="Arial" w:eastAsia="Arial" w:hAnsi="Arial" w:cs="Arial"/>
          <w:i/>
          <w:color w:val="000000"/>
          <w:sz w:val="20"/>
        </w:rPr>
        <w:t>See</w:t>
      </w:r>
      <w:r>
        <w:rPr>
          <w:rFonts w:ascii="Arial" w:eastAsia="Arial" w:hAnsi="Arial" w:cs="Arial"/>
          <w:color w:val="000000"/>
          <w:sz w:val="20"/>
        </w:rPr>
        <w:t xml:space="preserve"> 42 U.S.C. § 12111(8); </w:t>
      </w:r>
      <w:bookmarkStart w:id="797" w:name="Bookmark_I68PB9F22D6N2F0020000400"/>
      <w:bookmarkEnd w:id="797"/>
      <w:r>
        <w:rPr>
          <w:rFonts w:ascii="Arial" w:eastAsia="Arial" w:hAnsi="Arial" w:cs="Arial"/>
          <w:i/>
          <w:color w:val="000000"/>
          <w:sz w:val="20"/>
        </w:rPr>
        <w:t>Wilson</w:t>
      </w:r>
      <w:r>
        <w:rPr>
          <w:rFonts w:ascii="Arial" w:eastAsia="Arial" w:hAnsi="Arial" w:cs="Arial"/>
          <w:color w:val="000000"/>
          <w:sz w:val="20"/>
        </w:rPr>
        <w:t xml:space="preserve">, 717 F.3d at 345. And to satisfy that burden, he is not free simply to redefine the job. </w:t>
      </w:r>
      <w:bookmarkStart w:id="798" w:name="Bookmark_LNHNREFclscc3_2"/>
      <w:bookmarkEnd w:id="798"/>
      <w:r>
        <w:rPr>
          <w:rFonts w:ascii="Arial" w:eastAsia="Arial" w:hAnsi="Arial" w:cs="Arial"/>
          <w:color w:val="000000"/>
          <w:sz w:val="20"/>
        </w:rPr>
        <w:t xml:space="preserve">The ADA directs that consideration be given "to </w:t>
      </w:r>
      <w:r>
        <w:rPr>
          <w:rFonts w:ascii="Arial" w:eastAsia="Arial" w:hAnsi="Arial" w:cs="Arial"/>
          <w:i/>
          <w:color w:val="000000"/>
          <w:sz w:val="20"/>
        </w:rPr>
        <w:t>the employer's judgment</w:t>
      </w:r>
      <w:r>
        <w:rPr>
          <w:rFonts w:ascii="Arial" w:eastAsia="Arial" w:hAnsi="Arial" w:cs="Arial"/>
          <w:color w:val="000000"/>
          <w:sz w:val="20"/>
        </w:rPr>
        <w:t xml:space="preserve"> as to what functions of a job are essential." 42 U.S.C. § 12111(8) (emphasis [**10]  added). The ADA's regulatory guidance explains this point in detail, stating:</w:t>
      </w:r>
    </w:p>
    <w:p w:rsidR="00022B47" w:rsidRDefault="00000000">
      <w:pPr>
        <w:pStyle w:val="Normal4"/>
        <w:widowControl w:val="0"/>
        <w:spacing w:line="260" w:lineRule="atLeast"/>
        <w:ind w:left="400"/>
        <w:jc w:val="both"/>
      </w:pPr>
      <w:bookmarkStart w:id="799" w:name="Bookmark_para_17_3"/>
      <w:bookmarkEnd w:id="799"/>
      <w:r>
        <w:rPr>
          <w:rFonts w:ascii="Arial" w:eastAsia="Arial" w:hAnsi="Arial" w:cs="Arial"/>
          <w:color w:val="000000"/>
          <w:sz w:val="20"/>
        </w:rPr>
        <w:t>It is important to note that the inquiry into essential functions is not intended to second guess an employer's business judgment with regard to production standards, whether qualitative or quantitative, nor to require employers to lower such standards. . . . If an employer requires its typists to be able to accurately type 75 words per minute, it will not be called upon to explain why an inaccurate work product, or a typing speed of 65 words per minute, would not be adequate. Similarly, if a hotel requires its service workers to thoroughly clean 16 rooms per day, it will not have to explain why it requires thorough cleaning, or why it chose a 16 room rather than a 10 room requirement.</w:t>
      </w:r>
    </w:p>
    <w:p w:rsidR="00022B47" w:rsidRDefault="00000000">
      <w:pPr>
        <w:pStyle w:val="Normal4"/>
        <w:widowControl w:val="0"/>
        <w:spacing w:line="260" w:lineRule="atLeast"/>
        <w:jc w:val="both"/>
      </w:pPr>
      <w:r>
        <w:rPr>
          <w:rFonts w:ascii="Arial" w:eastAsia="Arial" w:hAnsi="Arial" w:cs="Arial"/>
          <w:color w:val="000000"/>
          <w:sz w:val="20"/>
        </w:rPr>
        <w:t>29 C.F.R. pt. 1630, app. § 1630.2(n). Yet, Hannah's requested accommodation for a smaller truck or van fails to give the appropriate consideration to UPS's requirements for his job; he fails to demonstrate that he can, with his requested accommodation, "perform the essential functions of the employment position" that he held before his injury. 42 U.S.C. § 12111(8). His requested accommodation was accordingly not reasonable within the meaning of the ADA.</w:t>
      </w:r>
    </w:p>
    <w:p w:rsidR="00022B47" w:rsidRDefault="00000000">
      <w:pPr>
        <w:pStyle w:val="Normal4"/>
        <w:widowControl w:val="0"/>
        <w:spacing w:before="200" w:line="260" w:lineRule="atLeast"/>
        <w:jc w:val="both"/>
      </w:pPr>
      <w:bookmarkStart w:id="800" w:name="Bookmark_para_18_3"/>
      <w:bookmarkEnd w:id="800"/>
      <w:r>
        <w:rPr>
          <w:rFonts w:ascii="Arial" w:eastAsia="Arial" w:hAnsi="Arial" w:cs="Arial"/>
          <w:color w:val="000000"/>
          <w:sz w:val="20"/>
        </w:rPr>
        <w:t>In addition, Hannah has not [**11]  shown that there was a vacancy that would allow him to do inside work.</w:t>
      </w:r>
    </w:p>
    <w:p w:rsidR="00022B47" w:rsidRDefault="00000000">
      <w:pPr>
        <w:pStyle w:val="Normal4"/>
        <w:widowControl w:val="0"/>
        <w:spacing w:before="200" w:line="260" w:lineRule="atLeast"/>
        <w:jc w:val="both"/>
      </w:pPr>
      <w:bookmarkStart w:id="801" w:name="Bookmark_para_19_3"/>
      <w:bookmarkEnd w:id="801"/>
      <w:r>
        <w:rPr>
          <w:rFonts w:ascii="Arial" w:eastAsia="Arial" w:hAnsi="Arial" w:cs="Arial"/>
          <w:color w:val="000000"/>
          <w:sz w:val="20"/>
        </w:rPr>
        <w:t>In short, Hannah has not carried his burden of demonstrating that the accommodations he requested were reasonable.</w:t>
      </w:r>
    </w:p>
    <w:p w:rsidR="00022B47" w:rsidRDefault="00000000">
      <w:pPr>
        <w:pStyle w:val="Normal4"/>
        <w:widowControl w:val="0"/>
        <w:spacing w:before="200" w:line="260" w:lineRule="atLeast"/>
        <w:jc w:val="both"/>
      </w:pPr>
      <w:bookmarkStart w:id="802" w:name="Bookmark_para_20_3"/>
      <w:bookmarkEnd w:id="802"/>
      <w:r>
        <w:rPr>
          <w:rFonts w:ascii="Arial" w:eastAsia="Arial" w:hAnsi="Arial" w:cs="Arial"/>
          <w:color w:val="000000"/>
          <w:sz w:val="20"/>
        </w:rPr>
        <w:t>In response to Hannah's request for accommodation and in light of the lack of reasonable alternatives, UPS decided to place Hannah on an indefinite unpaid leave of absence until he could return to work. But Hannah complains that "[he] did not want medical leave" and that such leave "prevented [him] from earning his wages." Yet, he provides no authority as to why that accommodation was not a reasonable one in the circumstances. He only argues that it was not the accommodation he requested and that it provided him with no wages.</w:t>
      </w:r>
    </w:p>
    <w:p w:rsidR="00022B47" w:rsidRDefault="00000000">
      <w:pPr>
        <w:pStyle w:val="Normal4"/>
        <w:widowControl w:val="0"/>
        <w:spacing w:before="200" w:line="260" w:lineRule="atLeast"/>
        <w:jc w:val="both"/>
      </w:pPr>
      <w:bookmarkStart w:id="803" w:name="Bookmark_para_21_3"/>
      <w:bookmarkStart w:id="804" w:name="Bookmark_LNHNREFclscc4_2"/>
      <w:bookmarkStart w:id="805" w:name="Bookmark_I68PB9F22D6N2F0050000400"/>
      <w:bookmarkEnd w:id="803"/>
      <w:bookmarkEnd w:id="804"/>
      <w:bookmarkEnd w:id="805"/>
      <w:r>
        <w:rPr>
          <w:rFonts w:ascii="Arial" w:eastAsia="Arial" w:hAnsi="Arial" w:cs="Arial"/>
          <w:color w:val="000000"/>
          <w:sz w:val="20"/>
        </w:rPr>
        <w:t xml:space="preserve">First, it is well settled that the "ultimate discretion" to choose among reasonable accommodations rests with the employer. </w:t>
      </w:r>
      <w:bookmarkStart w:id="806" w:name="Bookmark_I68PB9F22D6N2F0040000400"/>
      <w:bookmarkEnd w:id="806"/>
      <w:r>
        <w:rPr>
          <w:rFonts w:ascii="Arial" w:eastAsia="Arial" w:hAnsi="Arial" w:cs="Arial"/>
          <w:i/>
          <w:color w:val="000000"/>
          <w:sz w:val="20"/>
        </w:rPr>
        <w:t>Reyazuddin v. Montgomery Cnty.</w:t>
      </w:r>
      <w:r>
        <w:rPr>
          <w:rFonts w:ascii="Arial" w:eastAsia="Arial" w:hAnsi="Arial" w:cs="Arial"/>
          <w:color w:val="000000"/>
          <w:sz w:val="20"/>
        </w:rPr>
        <w:t xml:space="preserve">, 789 F.3d 407, 415-16 (4th Cir. 2015) (quoting </w:t>
      </w:r>
      <w:bookmarkStart w:id="807" w:name="Bookmark_I68PB9F228T4VS0010000400"/>
      <w:bookmarkEnd w:id="807"/>
      <w:r>
        <w:rPr>
          <w:rFonts w:ascii="Arial" w:eastAsia="Arial" w:hAnsi="Arial" w:cs="Arial"/>
          <w:i/>
          <w:color w:val="000000"/>
          <w:sz w:val="20"/>
        </w:rPr>
        <w:t>Hankins v. The Gap, Inc.</w:t>
      </w:r>
      <w:r>
        <w:rPr>
          <w:rFonts w:ascii="Arial" w:eastAsia="Arial" w:hAnsi="Arial" w:cs="Arial"/>
          <w:color w:val="000000"/>
          <w:sz w:val="20"/>
        </w:rPr>
        <w:t xml:space="preserve">, 84 F.3d 797, 800 (6th Cir. 1996)). </w:t>
      </w:r>
      <w:bookmarkStart w:id="808" w:name="Bookmark_I68PB9F228T4VS0040000400"/>
      <w:bookmarkEnd w:id="808"/>
      <w:r>
        <w:rPr>
          <w:rFonts w:ascii="Arial" w:eastAsia="Arial" w:hAnsi="Arial" w:cs="Arial"/>
          <w:color w:val="000000"/>
          <w:sz w:val="20"/>
        </w:rPr>
        <w:t xml:space="preserve">And it is also clear that the ADA specifically authorizes unpaid leave as a reasonable accommodation. </w:t>
      </w:r>
      <w:bookmarkStart w:id="809" w:name="Bookmark_I68PB9F228T4VS0040000400_2"/>
      <w:bookmarkStart w:id="810" w:name="Bookmark_I68PB9F228T4VT0010000400"/>
      <w:bookmarkEnd w:id="809"/>
      <w:bookmarkEnd w:id="810"/>
      <w:r>
        <w:rPr>
          <w:rFonts w:ascii="Arial" w:eastAsia="Arial" w:hAnsi="Arial" w:cs="Arial"/>
          <w:color w:val="000000"/>
          <w:sz w:val="20"/>
        </w:rPr>
        <w:t xml:space="preserve">The Act provides that a "reasonable accommodation" may include "job restructuring, . . . modified work schedules, . . . and other similar accommodations." 42 U.S.C. § 12111(9)(B). And these examples are further explained in regulatory guidance to include "permitting the [**12]  use of accrued paid leave or </w:t>
      </w:r>
      <w:r>
        <w:rPr>
          <w:rFonts w:ascii="Arial" w:eastAsia="Arial" w:hAnsi="Arial" w:cs="Arial"/>
          <w:i/>
          <w:color w:val="000000"/>
          <w:sz w:val="20"/>
        </w:rPr>
        <w:t>providing additional unpaid leave for necessary treatment</w:t>
      </w:r>
      <w:r>
        <w:rPr>
          <w:rFonts w:ascii="Arial" w:eastAsia="Arial" w:hAnsi="Arial" w:cs="Arial"/>
          <w:color w:val="000000"/>
          <w:sz w:val="20"/>
        </w:rPr>
        <w:t xml:space="preserve">." 29 C.F.R. pt. 1630, app. § 1630.2(o) (emphasis added); </w:t>
      </w:r>
      <w:r>
        <w:rPr>
          <w:rFonts w:ascii="Arial" w:eastAsia="Arial" w:hAnsi="Arial" w:cs="Arial"/>
          <w:i/>
          <w:color w:val="000000"/>
          <w:sz w:val="20"/>
        </w:rPr>
        <w:t xml:space="preserve">see also </w:t>
      </w:r>
      <w:bookmarkStart w:id="811" w:name="Bookmark_I68PB9F228T4VS0030000400"/>
      <w:bookmarkEnd w:id="811"/>
      <w:r>
        <w:rPr>
          <w:rFonts w:ascii="Arial" w:eastAsia="Arial" w:hAnsi="Arial" w:cs="Arial"/>
          <w:i/>
          <w:color w:val="000000"/>
          <w:sz w:val="20"/>
        </w:rPr>
        <w:t>Wilson</w:t>
      </w:r>
      <w:r>
        <w:rPr>
          <w:rFonts w:ascii="Arial" w:eastAsia="Arial" w:hAnsi="Arial" w:cs="Arial"/>
          <w:color w:val="000000"/>
          <w:sz w:val="20"/>
        </w:rPr>
        <w:t xml:space="preserve">, 717 F.3d at 344-45. </w:t>
      </w:r>
      <w:bookmarkStart w:id="812" w:name="Bookmark_I68PB9F228T4VT0010000400_2"/>
      <w:bookmarkEnd w:id="812"/>
      <w:r>
        <w:rPr>
          <w:rFonts w:ascii="Arial" w:eastAsia="Arial" w:hAnsi="Arial" w:cs="Arial"/>
          <w:color w:val="000000"/>
          <w:sz w:val="20"/>
        </w:rPr>
        <w:t xml:space="preserve">While a period of  [*637]  unpaid leave might not always be a reasonable accommodation, such leave may be reasonable where the disability that interferes with an employee's capacity to complete assigned tasks is temporary and there is reason to believe that a leave of absence will provide a period during which the employee will be able to recover and return to work. </w:t>
      </w:r>
      <w:r>
        <w:rPr>
          <w:rFonts w:ascii="Arial" w:eastAsia="Arial" w:hAnsi="Arial" w:cs="Arial"/>
          <w:i/>
          <w:color w:val="000000"/>
          <w:sz w:val="20"/>
        </w:rPr>
        <w:t xml:space="preserve">See </w:t>
      </w:r>
      <w:bookmarkStart w:id="813" w:name="Bookmark_I68PB9F228T4VS0050000400"/>
      <w:bookmarkEnd w:id="813"/>
      <w:r>
        <w:rPr>
          <w:rFonts w:ascii="Arial" w:eastAsia="Arial" w:hAnsi="Arial" w:cs="Arial"/>
          <w:i/>
          <w:color w:val="000000"/>
          <w:sz w:val="20"/>
        </w:rPr>
        <w:t>Graves v. Finch Pruyn &amp; Co.</w:t>
      </w:r>
      <w:r>
        <w:rPr>
          <w:rFonts w:ascii="Arial" w:eastAsia="Arial" w:hAnsi="Arial" w:cs="Arial"/>
          <w:color w:val="000000"/>
          <w:sz w:val="20"/>
        </w:rPr>
        <w:t xml:space="preserve">, 457 F.3d 181, 185-86 (2d Cir. 2006); </w:t>
      </w:r>
      <w:bookmarkStart w:id="814" w:name="Bookmark_I68PB9F228T4VT0020000400"/>
      <w:bookmarkEnd w:id="814"/>
      <w:r>
        <w:rPr>
          <w:rFonts w:ascii="Arial" w:eastAsia="Arial" w:hAnsi="Arial" w:cs="Arial"/>
          <w:i/>
          <w:color w:val="000000"/>
          <w:sz w:val="20"/>
        </w:rPr>
        <w:t>Humphrey v. Mem'l Hosps. Ass'n</w:t>
      </w:r>
      <w:r>
        <w:rPr>
          <w:rFonts w:ascii="Arial" w:eastAsia="Arial" w:hAnsi="Arial" w:cs="Arial"/>
          <w:color w:val="000000"/>
          <w:sz w:val="20"/>
        </w:rPr>
        <w:t xml:space="preserve">, 239 F.3d 1128, 1135-36 (9th Cir. 2001); </w:t>
      </w:r>
      <w:bookmarkStart w:id="815" w:name="Bookmark_I68PB9F228T4VT0040000400"/>
      <w:bookmarkEnd w:id="815"/>
      <w:r>
        <w:rPr>
          <w:rFonts w:ascii="Arial" w:eastAsia="Arial" w:hAnsi="Arial" w:cs="Arial"/>
          <w:i/>
          <w:color w:val="000000"/>
          <w:sz w:val="20"/>
        </w:rPr>
        <w:t>Cehrs v. Ne. Ohio Alzheimer's Rsch. Ctr.</w:t>
      </w:r>
      <w:r>
        <w:rPr>
          <w:rFonts w:ascii="Arial" w:eastAsia="Arial" w:hAnsi="Arial" w:cs="Arial"/>
          <w:color w:val="000000"/>
          <w:sz w:val="20"/>
        </w:rPr>
        <w:t xml:space="preserve">, 155 F.3d 775, 783 (6th Cir. 1998); </w:t>
      </w:r>
      <w:bookmarkStart w:id="816" w:name="Bookmark_I68PB9F328T4VW0010000400"/>
      <w:bookmarkEnd w:id="816"/>
      <w:r>
        <w:rPr>
          <w:rFonts w:ascii="Arial" w:eastAsia="Arial" w:hAnsi="Arial" w:cs="Arial"/>
          <w:i/>
          <w:color w:val="000000"/>
          <w:sz w:val="20"/>
        </w:rPr>
        <w:t>Baucom v. Potter</w:t>
      </w:r>
      <w:r>
        <w:rPr>
          <w:rFonts w:ascii="Arial" w:eastAsia="Arial" w:hAnsi="Arial" w:cs="Arial"/>
          <w:color w:val="000000"/>
          <w:sz w:val="20"/>
        </w:rPr>
        <w:t>, 225 F. Supp. 2d 585, 592 (D. Md. 2002) ("[A] leave of absence to obtain medical treatment for alcoholism can be a reasonable accommodation if it is likely that, following treatment, the plaintiff would be able to safely return to his duties"). Such was the case here. During the leave-of-absence accommodation provided by UPS, Hannah received treatment, and, when he felt ready, he returned to full-time employment as a UPS package delivery driver. That Hannah would have preferred to be accommodated in some other way does not support a claim of discrimination under the ADA.</w:t>
      </w:r>
    </w:p>
    <w:p w:rsidR="00022B47" w:rsidRDefault="00000000">
      <w:pPr>
        <w:pStyle w:val="Normal4"/>
        <w:widowControl w:val="0"/>
        <w:spacing w:before="200" w:line="260" w:lineRule="atLeast"/>
        <w:jc w:val="both"/>
      </w:pPr>
      <w:bookmarkStart w:id="817" w:name="Bookmark_para_22_3"/>
      <w:bookmarkEnd w:id="817"/>
      <w:r>
        <w:rPr>
          <w:rFonts w:ascii="Arial" w:eastAsia="Arial" w:hAnsi="Arial" w:cs="Arial"/>
          <w:color w:val="000000"/>
          <w:sz w:val="20"/>
        </w:rPr>
        <w:t>At bottom, we conclude that the district court did not err in concluding that, as a matter of law, Hannah failed to demonstrate that he requested a reasonable accommodation [**13]  that would allow him to perform the essential functions of his job, as is required to establish his ADA claim.</w:t>
      </w:r>
    </w:p>
    <w:p w:rsidR="00022B47" w:rsidRDefault="00000000">
      <w:pPr>
        <w:pStyle w:val="Normal4"/>
        <w:widowControl w:val="0"/>
        <w:spacing w:before="120" w:line="260" w:lineRule="atLeast"/>
      </w:pPr>
      <w:r>
        <w:rPr>
          <w:rFonts w:ascii="Arial" w:eastAsia="Arial" w:hAnsi="Arial" w:cs="Arial"/>
          <w:color w:val="000000"/>
          <w:sz w:val="20"/>
        </w:rPr>
        <w:t>III</w:t>
      </w:r>
    </w:p>
    <w:p w:rsidR="00022B47" w:rsidRDefault="00000000">
      <w:pPr>
        <w:pStyle w:val="Normal4"/>
        <w:widowControl w:val="0"/>
        <w:spacing w:before="200" w:line="260" w:lineRule="atLeast"/>
        <w:jc w:val="both"/>
      </w:pPr>
      <w:bookmarkStart w:id="818" w:name="Bookmark_para_23_3"/>
      <w:bookmarkEnd w:id="818"/>
      <w:r>
        <w:rPr>
          <w:rFonts w:ascii="Arial" w:eastAsia="Arial" w:hAnsi="Arial" w:cs="Arial"/>
          <w:color w:val="000000"/>
          <w:sz w:val="20"/>
        </w:rPr>
        <w:t>Hannah maintains that in any event, material factual disputes precluded granting summary judgment to UPS and that the district court erred in overlooking or misstating them. He contends that there were factual disputes as to whether he would have "been able to complete his assigned route with one of his requested vehicles" and whether his requested accommodation "would have actually caused a violation of the [collective bargaining agreement]." He has acknowledged, however, that "</w:t>
      </w:r>
      <w:r>
        <w:rPr>
          <w:rFonts w:ascii="Arial" w:eastAsia="Arial" w:hAnsi="Arial" w:cs="Arial"/>
          <w:i/>
          <w:color w:val="000000"/>
          <w:sz w:val="20"/>
        </w:rPr>
        <w:t>if</w:t>
      </w:r>
      <w:r>
        <w:rPr>
          <w:rFonts w:ascii="Arial" w:eastAsia="Arial" w:hAnsi="Arial" w:cs="Arial"/>
          <w:color w:val="000000"/>
          <w:sz w:val="20"/>
        </w:rPr>
        <w:t xml:space="preserve"> his requested truck could not hold all the packages for his route, </w:t>
      </w:r>
      <w:r>
        <w:rPr>
          <w:rFonts w:ascii="Arial" w:eastAsia="Arial" w:hAnsi="Arial" w:cs="Arial"/>
          <w:i/>
          <w:color w:val="000000"/>
          <w:sz w:val="20"/>
        </w:rPr>
        <w:t>then</w:t>
      </w:r>
      <w:r>
        <w:rPr>
          <w:rFonts w:ascii="Arial" w:eastAsia="Arial" w:hAnsi="Arial" w:cs="Arial"/>
          <w:color w:val="000000"/>
          <w:sz w:val="20"/>
        </w:rPr>
        <w:t xml:space="preserve"> that would violate the [collective bargaining agreement]." (Emphasis in original). Thus, the dispute actually reduces to whether the requested van could handle all the packages for delivery on his route. And on this issue, the record reveals no triable factual dispute.</w:t>
      </w:r>
    </w:p>
    <w:p w:rsidR="00022B47" w:rsidRDefault="00000000">
      <w:pPr>
        <w:pStyle w:val="Normal4"/>
        <w:widowControl w:val="0"/>
        <w:spacing w:before="200" w:line="260" w:lineRule="atLeast"/>
        <w:jc w:val="both"/>
      </w:pPr>
      <w:bookmarkStart w:id="819" w:name="Bookmark_para_24_3"/>
      <w:bookmarkEnd w:id="819"/>
      <w:r>
        <w:rPr>
          <w:rFonts w:ascii="Arial" w:eastAsia="Arial" w:hAnsi="Arial" w:cs="Arial"/>
          <w:color w:val="000000"/>
          <w:sz w:val="20"/>
        </w:rPr>
        <w:t>First, it was undisputed that UPS selected a 600-cubic-foot truck for Hannah's route because it considered such a truck to be necessary for the number of packages to be delivered on the route. As the UPS representative explained, "[I]n order to let Mr. Hannah [**14]  [drive] a smaller vehicle, he would have had to have taken the work off of that [vehicle] . . . and put it on another driver or drivers in that particular loop as we would call it." The representative also explained, "[I]f you were to put Mr. Hannah in a smaller vehicle and keep him on the same route, he would have to do multiple trips to and from the facility to continue to get his packages." He explained that those considerations led UPS to decide "that it [was] not a reasonable accommodation to get [Hannah] a smaller vehicle."</w:t>
      </w:r>
    </w:p>
    <w:p w:rsidR="00022B47" w:rsidRDefault="00000000">
      <w:pPr>
        <w:pStyle w:val="Normal4"/>
        <w:widowControl w:val="0"/>
        <w:spacing w:before="200" w:line="260" w:lineRule="atLeast"/>
        <w:jc w:val="both"/>
      </w:pPr>
      <w:bookmarkStart w:id="820" w:name="Bookmark_para_25_3"/>
      <w:bookmarkEnd w:id="820"/>
      <w:r>
        <w:rPr>
          <w:rFonts w:ascii="Arial" w:eastAsia="Arial" w:hAnsi="Arial" w:cs="Arial"/>
          <w:color w:val="000000"/>
          <w:sz w:val="20"/>
        </w:rPr>
        <w:t>Hannah did not dispute those facts in his deposition. When asked whether the packages for his route would fit in a van, he could only say, "I believe so. It was never tried." He added that UPS simply "didn't try to see if a van would have worked on my route with all the packages." This does not contradict UPS's determination that a 600-cubic-foot truck was necessary to complete Hannah's route. It was more the expression of a hope or a request for an empirical study to determine whether he could do the route with a van of only 300 to 400 cubic feet. Because  [*638]  Hannah had the burden of proof, he needed to do more than express optimism that his intuition was correct [**15]  to create a triable issue of fact.</w:t>
      </w:r>
    </w:p>
    <w:p w:rsidR="00022B47" w:rsidRDefault="00000000">
      <w:pPr>
        <w:pStyle w:val="Normal4"/>
        <w:widowControl w:val="0"/>
        <w:spacing w:before="200" w:line="260" w:lineRule="atLeast"/>
        <w:jc w:val="both"/>
      </w:pPr>
      <w:bookmarkStart w:id="821" w:name="Bookmark_para_26_3"/>
      <w:bookmarkStart w:id="822" w:name="Bookmark_I68PB9F328T4VW0040000400"/>
      <w:bookmarkEnd w:id="821"/>
      <w:bookmarkEnd w:id="822"/>
      <w:r>
        <w:rPr>
          <w:rFonts w:ascii="Arial" w:eastAsia="Arial" w:hAnsi="Arial" w:cs="Arial"/>
          <w:color w:val="000000"/>
          <w:sz w:val="20"/>
        </w:rPr>
        <w:t xml:space="preserve">Perhaps recognizing this, Hannah filed an affidavit during the litigation, which he now argues sufficed to create a dispute of fact. In that affidavit, he stated, despite what he had said to the contrary in his deposition, "The Dodge Truck and UPS Van could hold all of my packages on my route because it was a country route. On some occasions a few stops might have received a lot of packages but then UPS could've put those on another driver and then gave me a few of that driver[']s stops that weren't bulky." This claim appears to be only a hopeful opinion, offered without any supporting factual basis. </w:t>
      </w:r>
      <w:bookmarkStart w:id="823" w:name="Bookmark_LNHNREFclscc5_2"/>
      <w:bookmarkEnd w:id="823"/>
      <w:r>
        <w:rPr>
          <w:rFonts w:ascii="Arial" w:eastAsia="Arial" w:hAnsi="Arial" w:cs="Arial"/>
          <w:color w:val="000000"/>
          <w:sz w:val="20"/>
        </w:rPr>
        <w:t xml:space="preserve">And more importantly, it is well established that "a party who has been examined at length on deposition [cannot] raise an issue of fact simply by submitting an affidavit contradicting his own prior testimony," because to allow that "would greatly diminish the utility of summary judgment as a procedure for screening out sham issues of fact." </w:t>
      </w:r>
      <w:bookmarkStart w:id="824" w:name="Bookmark_I68PB9F328T4VW0030000400"/>
      <w:bookmarkEnd w:id="824"/>
      <w:r>
        <w:rPr>
          <w:rFonts w:ascii="Arial" w:eastAsia="Arial" w:hAnsi="Arial" w:cs="Arial"/>
          <w:i/>
          <w:color w:val="000000"/>
          <w:sz w:val="20"/>
        </w:rPr>
        <w:t>Barwick v. Celotex Corp.</w:t>
      </w:r>
      <w:r>
        <w:rPr>
          <w:rFonts w:ascii="Arial" w:eastAsia="Arial" w:hAnsi="Arial" w:cs="Arial"/>
          <w:color w:val="000000"/>
          <w:sz w:val="20"/>
        </w:rPr>
        <w:t xml:space="preserve">, 736 F.2d 946, 960 (4th Cir. 1984) (quoting </w:t>
      </w:r>
      <w:bookmarkStart w:id="825" w:name="Bookmark_I68PB9F328T4VW0050000400"/>
      <w:bookmarkEnd w:id="825"/>
      <w:r>
        <w:rPr>
          <w:rFonts w:ascii="Arial" w:eastAsia="Arial" w:hAnsi="Arial" w:cs="Arial"/>
          <w:i/>
          <w:color w:val="000000"/>
          <w:sz w:val="20"/>
        </w:rPr>
        <w:t>Perma Rsch. &amp; Dev. Co. v. Singer</w:t>
      </w:r>
      <w:r>
        <w:rPr>
          <w:rFonts w:ascii="Arial" w:eastAsia="Arial" w:hAnsi="Arial" w:cs="Arial"/>
          <w:color w:val="000000"/>
          <w:sz w:val="20"/>
        </w:rPr>
        <w:t xml:space="preserve">, 410 F.2d 572, 578 (2d Cir. 1969)); </w:t>
      </w:r>
      <w:r>
        <w:rPr>
          <w:rFonts w:ascii="Arial" w:eastAsia="Arial" w:hAnsi="Arial" w:cs="Arial"/>
          <w:i/>
          <w:color w:val="000000"/>
          <w:sz w:val="20"/>
        </w:rPr>
        <w:t xml:space="preserve">see also </w:t>
      </w:r>
      <w:bookmarkStart w:id="826" w:name="Bookmark_I68PB9F328T4VY0020000400"/>
      <w:bookmarkEnd w:id="826"/>
      <w:r>
        <w:rPr>
          <w:rFonts w:ascii="Arial" w:eastAsia="Arial" w:hAnsi="Arial" w:cs="Arial"/>
          <w:i/>
          <w:color w:val="000000"/>
          <w:sz w:val="20"/>
        </w:rPr>
        <w:t>Stevenson v. City of Seat Pleasant</w:t>
      </w:r>
      <w:r>
        <w:rPr>
          <w:rFonts w:ascii="Arial" w:eastAsia="Arial" w:hAnsi="Arial" w:cs="Arial"/>
          <w:color w:val="000000"/>
          <w:sz w:val="20"/>
        </w:rPr>
        <w:t>, 743 F.3d 411, 422 (4th Cir. 2014).</w:t>
      </w:r>
    </w:p>
    <w:p w:rsidR="00022B47" w:rsidRDefault="00000000">
      <w:pPr>
        <w:pStyle w:val="Normal4"/>
        <w:widowControl w:val="0"/>
        <w:spacing w:before="120" w:line="260" w:lineRule="atLeast"/>
      </w:pPr>
      <w:r>
        <w:rPr>
          <w:rFonts w:ascii="Arial" w:eastAsia="Arial" w:hAnsi="Arial" w:cs="Arial"/>
          <w:color w:val="000000"/>
          <w:sz w:val="20"/>
        </w:rPr>
        <w:t>IV</w:t>
      </w:r>
    </w:p>
    <w:p w:rsidR="00022B47" w:rsidRDefault="00000000">
      <w:pPr>
        <w:pStyle w:val="Normal4"/>
        <w:widowControl w:val="0"/>
        <w:spacing w:before="200" w:line="260" w:lineRule="atLeast"/>
        <w:jc w:val="both"/>
      </w:pPr>
      <w:bookmarkStart w:id="827" w:name="Bookmark_para_27_3"/>
      <w:bookmarkEnd w:id="827"/>
      <w:r>
        <w:rPr>
          <w:rFonts w:ascii="Arial" w:eastAsia="Arial" w:hAnsi="Arial" w:cs="Arial"/>
          <w:color w:val="000000"/>
          <w:sz w:val="20"/>
        </w:rPr>
        <w:t xml:space="preserve">Finally, Hannah contends that UPS did not, as required by the ADA, "engage in an interactive[] communication with [him] to determine if a reasonable accommodation existed" or that there was, [**16]  at least, a factual dispute as to whether it did. </w:t>
      </w:r>
      <w:r>
        <w:rPr>
          <w:rFonts w:ascii="Arial" w:eastAsia="Arial" w:hAnsi="Arial" w:cs="Arial"/>
          <w:i/>
          <w:color w:val="000000"/>
          <w:sz w:val="20"/>
        </w:rPr>
        <w:t>See</w:t>
      </w:r>
      <w:r>
        <w:rPr>
          <w:rFonts w:ascii="Arial" w:eastAsia="Arial" w:hAnsi="Arial" w:cs="Arial"/>
          <w:color w:val="000000"/>
          <w:sz w:val="20"/>
        </w:rPr>
        <w:t xml:space="preserve"> </w:t>
      </w:r>
      <w:bookmarkStart w:id="828" w:name="Bookmark_LNHNREFclscc6_2"/>
      <w:bookmarkEnd w:id="828"/>
      <w:r>
        <w:rPr>
          <w:rFonts w:ascii="Arial" w:eastAsia="Arial" w:hAnsi="Arial" w:cs="Arial"/>
          <w:color w:val="000000"/>
          <w:sz w:val="20"/>
        </w:rPr>
        <w:t>29 C.F.R. § 1630.2(o)(3) (stating that in determining an appropriate accommodation, "it may be necessary for the [employer] to initiate an informal, interactive process with the [employee]").</w:t>
      </w:r>
    </w:p>
    <w:p w:rsidR="00022B47" w:rsidRDefault="00000000">
      <w:pPr>
        <w:pStyle w:val="Normal4"/>
        <w:widowControl w:val="0"/>
        <w:spacing w:before="200" w:line="260" w:lineRule="atLeast"/>
        <w:jc w:val="both"/>
      </w:pPr>
      <w:bookmarkStart w:id="829" w:name="Bookmark_para_28_3"/>
      <w:bookmarkEnd w:id="829"/>
      <w:r>
        <w:rPr>
          <w:rFonts w:ascii="Arial" w:eastAsia="Arial" w:hAnsi="Arial" w:cs="Arial"/>
          <w:color w:val="000000"/>
          <w:sz w:val="20"/>
        </w:rPr>
        <w:t>Hannah agrees that he first made his request for a reasonable accommodation under the ADA on or about September 6, 2018. Before that date, he requested that UPS fit his truck with a more padded and supportive seat so as to mitigate any undue jarring of his buttocks, and UPS accommodated that request. But he agrees that it was in September when he made his request for an ADA accommodation. The record shows that UPS acknowledged the request and asked that Hannah's medical provider complete a medical information form. Hannah's physician did complete the form, indicating that Hannah had sacroiliitis and was currently unable to perform all of the functions of his position based on Hannah's representation that he was "unable to tolerate riding on a seat." And his physician noted that his "only [job] restriction [was] driving [a] truck" and stated that Hannah could return to work but "should avoid prolonged sitting" until November 1, 2018.</w:t>
      </w:r>
    </w:p>
    <w:p w:rsidR="00022B47" w:rsidRDefault="00000000">
      <w:pPr>
        <w:pStyle w:val="Normal4"/>
        <w:widowControl w:val="0"/>
        <w:spacing w:before="200" w:line="260" w:lineRule="atLeast"/>
        <w:jc w:val="both"/>
      </w:pPr>
      <w:bookmarkStart w:id="830" w:name="Bookmark_para_29_3"/>
      <w:bookmarkEnd w:id="830"/>
      <w:r>
        <w:rPr>
          <w:rFonts w:ascii="Arial" w:eastAsia="Arial" w:hAnsi="Arial" w:cs="Arial"/>
          <w:color w:val="000000"/>
          <w:sz w:val="20"/>
        </w:rPr>
        <w:t>Then, on October 19, 2018, Hannah [**17]  met with several UPS officials, including its human resources manager, to discuss his request for an accommodation. During that meeting, Hannah completed an "Accommodation Checklist," on which he wrote that his medical restrictions prevented him from "prolong[ed] sitting in a UPS truck that[']s full size and 500 [cubic feet] and above." He also wrote that he was requesting a "delivery van or pickup truck that has softer suspension." As he later explained,</w:t>
      </w:r>
    </w:p>
    <w:p w:rsidR="00022B47" w:rsidRDefault="00000000">
      <w:pPr>
        <w:pStyle w:val="Normal4"/>
        <w:widowControl w:val="0"/>
        <w:spacing w:line="260" w:lineRule="atLeast"/>
        <w:ind w:left="400"/>
        <w:jc w:val="both"/>
      </w:pPr>
      <w:bookmarkStart w:id="831" w:name="Bookmark_para_30_3"/>
      <w:bookmarkEnd w:id="831"/>
      <w:r>
        <w:rPr>
          <w:rFonts w:ascii="Arial" w:eastAsia="Arial" w:hAnsi="Arial" w:cs="Arial"/>
          <w:color w:val="000000"/>
          <w:sz w:val="20"/>
        </w:rPr>
        <w:t>The suspension [in a regular UPS truck] is harsh because we have to carry so many boxes. So they have to have stiff suspension to hold all those boxes. And that makes the harsh ride.</w:t>
      </w:r>
    </w:p>
    <w:p w:rsidR="00022B47" w:rsidRDefault="00000000">
      <w:pPr>
        <w:pStyle w:val="Normal4"/>
        <w:widowControl w:val="0"/>
        <w:spacing w:before="200" w:line="260" w:lineRule="atLeast"/>
        <w:jc w:val="both"/>
      </w:pPr>
      <w:r>
        <w:rPr>
          <w:rFonts w:ascii="Arial" w:eastAsia="Arial" w:hAnsi="Arial" w:cs="Arial"/>
          <w:color w:val="000000"/>
          <w:sz w:val="20"/>
        </w:rPr>
        <w:t>In the Accommodation Checklist, Hannah also requested alternatively that he be transferred to another position that did  [*639]  not involve driving, such as a "preload" role or "the night shift." Finally, he indicated that he would be willing to commute within 30 miles of the UPS center in Marietta, Ohio.</w:t>
      </w:r>
    </w:p>
    <w:p w:rsidR="00022B47" w:rsidRDefault="00000000">
      <w:pPr>
        <w:pStyle w:val="Normal4"/>
        <w:widowControl w:val="0"/>
        <w:spacing w:before="200" w:line="260" w:lineRule="atLeast"/>
        <w:jc w:val="both"/>
      </w:pPr>
      <w:bookmarkStart w:id="832" w:name="Bookmark_para_31_3"/>
      <w:bookmarkEnd w:id="832"/>
      <w:r>
        <w:rPr>
          <w:rFonts w:ascii="Arial" w:eastAsia="Arial" w:hAnsi="Arial" w:cs="Arial"/>
          <w:color w:val="000000"/>
          <w:sz w:val="20"/>
        </w:rPr>
        <w:t>After meeting with Hannah and receiving Hannah's Accommodation Checklist, the human resources manager and other UPS employees "reviewed" and "discussed" Hannah's request for a smaller vehicle. After "discussing" and "evaluating" "how many packages [Hannah] was [**18]  delivering on his route," they decided a smaller vehicle "would not be a reasonable accommodation." They also recognized that when drivers bid on different routes based on seniority, a "package car is typically assigned to [the] route" and "to switch a package car out on a route, it would have to be the same size of car due to . . . all things pertaining to that route." They also discussed how sharing Hannah's route with other drivers would not be possible under the collective bargaining agreement, and having Hannah drive the route in a smaller vehicle would involve multiple trips, which could not be done in a timely manner, would not be cost effective, and would implicate safety risks.</w:t>
      </w:r>
    </w:p>
    <w:p w:rsidR="00022B47" w:rsidRDefault="00000000">
      <w:pPr>
        <w:pStyle w:val="Normal4"/>
        <w:widowControl w:val="0"/>
        <w:spacing w:before="200" w:line="260" w:lineRule="atLeast"/>
        <w:jc w:val="both"/>
      </w:pPr>
      <w:bookmarkStart w:id="833" w:name="Bookmark_para_32_3"/>
      <w:bookmarkEnd w:id="833"/>
      <w:r>
        <w:rPr>
          <w:rFonts w:ascii="Arial" w:eastAsia="Arial" w:hAnsi="Arial" w:cs="Arial"/>
          <w:color w:val="000000"/>
          <w:sz w:val="20"/>
        </w:rPr>
        <w:t>Thus, in a letter dated December 21, 2018, UPS informed Hannah that, "after carefully reviewing [his] situation," it was "not aware of any available position at UPS at [the] time for which [he was] qualified and capable of performing the essential job functions with or without reasonable accommodation." The letter indicated that UPS would "continue to look for such available position for up to six months" and that if his "condition or abilities change[d] in the future," or if he were to "become aware [**19]  of an open position that [he] believe[d] [he was] capable of performing," he should contact UPS so that it could "re-evaluate the situation."</w:t>
      </w:r>
    </w:p>
    <w:p w:rsidR="00022B47" w:rsidRDefault="00000000">
      <w:pPr>
        <w:pStyle w:val="Normal4"/>
        <w:widowControl w:val="0"/>
        <w:spacing w:before="200" w:line="260" w:lineRule="atLeast"/>
        <w:jc w:val="both"/>
      </w:pPr>
      <w:bookmarkStart w:id="834" w:name="Bookmark_para_33_2"/>
      <w:bookmarkEnd w:id="834"/>
      <w:r>
        <w:rPr>
          <w:rFonts w:ascii="Arial" w:eastAsia="Arial" w:hAnsi="Arial" w:cs="Arial"/>
          <w:color w:val="000000"/>
          <w:sz w:val="20"/>
        </w:rPr>
        <w:t>Hannah has not proffered what additional interaction he believes was required or what additional discussions he and UPS representatives could have had with each other that could have made a difference. We conclude that nothing more was required. Accordingly, we reject this argument.</w:t>
      </w:r>
    </w:p>
    <w:p w:rsidR="00022B47" w:rsidRDefault="00000000">
      <w:pPr>
        <w:pStyle w:val="Normal4"/>
        <w:widowControl w:val="0"/>
        <w:spacing w:before="200" w:line="260" w:lineRule="atLeast"/>
        <w:jc w:val="both"/>
      </w:pPr>
      <w:bookmarkStart w:id="835" w:name="Bookmark_para_34_2"/>
      <w:bookmarkEnd w:id="835"/>
      <w:r>
        <w:rPr>
          <w:rFonts w:ascii="Arial" w:eastAsia="Arial" w:hAnsi="Arial" w:cs="Arial"/>
          <w:color w:val="000000"/>
          <w:sz w:val="20"/>
        </w:rPr>
        <w:t>* * *</w:t>
      </w:r>
    </w:p>
    <w:p w:rsidR="00022B47" w:rsidRDefault="00000000">
      <w:pPr>
        <w:pStyle w:val="Normal4"/>
        <w:widowControl w:val="0"/>
        <w:spacing w:before="200" w:line="260" w:lineRule="atLeast"/>
        <w:jc w:val="both"/>
      </w:pPr>
      <w:bookmarkStart w:id="836" w:name="Bookmark_para_35_2"/>
      <w:bookmarkEnd w:id="836"/>
      <w:r>
        <w:rPr>
          <w:rFonts w:ascii="Arial" w:eastAsia="Arial" w:hAnsi="Arial" w:cs="Arial"/>
          <w:color w:val="000000"/>
          <w:sz w:val="20"/>
        </w:rPr>
        <w:t>At bottom, Hannah has not presented evidence from which a jury could find that UPS was required to allow him to drive his assigned delivery route using a smaller vehicle when (1) UPS, in considering his request, discussed and evaluated the number of packages he was delivering on his route and determined that they would not consistently fit on the type of vehicle Hannah had requested and that there was no reasonable way to work around that impediment, and (2) Hannah has failed to present any real evidence to rebut that determination. Nor could a jury find that UPS was required to provide him with an alternative inside job when Hannah failed to show any opening for such a job. Finally, Hannah has failed to show, as a matter of law, that his leave of absence was not [**20]  a reasonable accommodation. Accordingly, we affirm the district court's grant of summary judgment to UPS.</w:t>
      </w:r>
    </w:p>
    <w:p w:rsidR="00022B47" w:rsidRDefault="00000000">
      <w:pPr>
        <w:pStyle w:val="Normal4"/>
        <w:widowControl w:val="0"/>
        <w:spacing w:before="200" w:line="260" w:lineRule="atLeast"/>
        <w:jc w:val="both"/>
      </w:pPr>
      <w:bookmarkStart w:id="837" w:name="Bookmark_para_36_2"/>
      <w:bookmarkEnd w:id="837"/>
      <w:r>
        <w:rPr>
          <w:rFonts w:ascii="Arial" w:eastAsia="Arial" w:hAnsi="Arial" w:cs="Arial"/>
          <w:color w:val="000000"/>
          <w:sz w:val="20"/>
        </w:rPr>
        <w:t>AFFIRMED</w:t>
      </w:r>
    </w:p>
    <w:p w:rsidR="00022B47" w:rsidRDefault="00022B47">
      <w:pPr>
        <w:pStyle w:val="Normal4"/>
      </w:pPr>
    </w:p>
    <w:p w:rsidR="00022B47" w:rsidRDefault="00000000">
      <w:pPr>
        <w:pStyle w:val="Normal4"/>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667456"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01762859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CFB5A6" id="Line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5"/>
        <w:sectPr w:rsidR="00022B47">
          <w:headerReference w:type="even" r:id="rId36"/>
          <w:headerReference w:type="default" r:id="rId37"/>
          <w:footerReference w:type="even" r:id="rId38"/>
          <w:footerReference w:type="default" r:id="rId39"/>
          <w:headerReference w:type="first" r:id="rId40"/>
          <w:footerReference w:type="first" r:id="rId41"/>
          <w:pgSz w:w="12240" w:h="15840"/>
          <w:pgMar w:top="840" w:right="1000" w:bottom="840" w:left="1000" w:header="400" w:footer="400" w:gutter="0"/>
          <w:cols w:space="720"/>
          <w:titlePg/>
        </w:sectPr>
      </w:pPr>
    </w:p>
    <w:p w:rsidR="00022B47" w:rsidRDefault="00022B47">
      <w:pPr>
        <w:pStyle w:val="Normal5"/>
      </w:pPr>
    </w:p>
    <w:p w:rsidR="00022B47" w:rsidRDefault="00000000">
      <w:pPr>
        <w:pStyle w:val="Heading14"/>
        <w:keepNext w:val="0"/>
        <w:widowControl w:val="0"/>
        <w:spacing w:after="200" w:line="340" w:lineRule="atLeast"/>
        <w:jc w:val="center"/>
      </w:pPr>
      <w:r>
        <w:rPr>
          <w:rFonts w:eastAsia="Arial"/>
          <w:color w:val="000000"/>
          <w:sz w:val="28"/>
        </w:rPr>
        <w:t>Campbell v. Universal City Dev. Partners, LTD</w:t>
      </w:r>
    </w:p>
    <w:p w:rsidR="00022B47" w:rsidRDefault="00000000">
      <w:pPr>
        <w:pStyle w:val="Normal5"/>
        <w:widowControl w:val="0"/>
        <w:spacing w:before="120" w:line="260" w:lineRule="atLeast"/>
        <w:jc w:val="center"/>
      </w:pPr>
      <w:r>
        <w:rPr>
          <w:rFonts w:ascii="Arial" w:eastAsia="Arial" w:hAnsi="Arial" w:cs="Arial"/>
          <w:color w:val="000000"/>
          <w:sz w:val="20"/>
        </w:rPr>
        <w:t>United States Court of Appeals for the Eleventh Circuit</w:t>
      </w:r>
    </w:p>
    <w:p w:rsidR="00022B47" w:rsidRDefault="00000000">
      <w:pPr>
        <w:pStyle w:val="Normal5"/>
        <w:widowControl w:val="0"/>
        <w:spacing w:before="120" w:line="260" w:lineRule="atLeast"/>
        <w:jc w:val="center"/>
      </w:pPr>
      <w:r>
        <w:rPr>
          <w:rFonts w:ascii="Arial" w:eastAsia="Arial" w:hAnsi="Arial" w:cs="Arial"/>
          <w:color w:val="000000"/>
          <w:sz w:val="20"/>
        </w:rPr>
        <w:t>July 7, 2023, Filed</w:t>
      </w:r>
    </w:p>
    <w:p w:rsidR="00022B47" w:rsidRDefault="00000000">
      <w:pPr>
        <w:pStyle w:val="Normal5"/>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22-10646</w:t>
      </w:r>
    </w:p>
    <w:p w:rsidR="00022B47" w:rsidRDefault="00022B47">
      <w:pPr>
        <w:pStyle w:val="Normal5"/>
        <w:widowControl w:val="0"/>
        <w:spacing w:line="240" w:lineRule="atLeast"/>
        <w:jc w:val="both"/>
      </w:pPr>
      <w:bookmarkStart w:id="838" w:name="Bookmark_6"/>
      <w:bookmarkEnd w:id="838"/>
    </w:p>
    <w:p w:rsidR="00022B47" w:rsidRDefault="00000000">
      <w:pPr>
        <w:pStyle w:val="Normal5"/>
        <w:widowControl w:val="0"/>
        <w:spacing w:before="200" w:line="240" w:lineRule="atLeast"/>
      </w:pPr>
      <w:bookmarkStart w:id="839" w:name="Reporter_4"/>
      <w:bookmarkEnd w:id="839"/>
      <w:r>
        <w:rPr>
          <w:rFonts w:ascii="Arial" w:eastAsia="Arial" w:hAnsi="Arial" w:cs="Arial"/>
          <w:b/>
          <w:color w:val="000000"/>
          <w:sz w:val="18"/>
        </w:rPr>
        <w:t>Reporter</w:t>
      </w:r>
    </w:p>
    <w:p w:rsidR="00022B47" w:rsidRDefault="00000000">
      <w:pPr>
        <w:pStyle w:val="Normal5"/>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72 F.4th 1245 *; 2023 U.S. App. LEXIS 17186 **; 29 Fla. L. Weekly Fed. C 2645</w:t>
      </w:r>
    </w:p>
    <w:p w:rsidR="00022B47" w:rsidRDefault="00000000">
      <w:pPr>
        <w:pStyle w:val="Normal5"/>
        <w:widowControl w:val="0"/>
        <w:spacing w:before="120" w:line="260" w:lineRule="atLeast"/>
      </w:pPr>
      <w:r>
        <w:rPr>
          <w:rFonts w:ascii="Arial" w:eastAsia="Arial" w:hAnsi="Arial" w:cs="Arial"/>
          <w:color w:val="000000"/>
          <w:sz w:val="20"/>
        </w:rPr>
        <w:t>DYLAN CAMPBELL, Plaintiff-Appellant, versus UNIVERSAL CITY DEVELOPMENT PARTNERS, LTD., d.b.a. Volcano Bay, Defendant-Appellee.</w:t>
      </w:r>
    </w:p>
    <w:p w:rsidR="00022B47" w:rsidRDefault="00000000">
      <w:pPr>
        <w:pStyle w:val="Normal5"/>
        <w:widowControl w:val="0"/>
        <w:spacing w:before="240" w:line="260" w:lineRule="atLeast"/>
        <w:jc w:val="both"/>
      </w:pPr>
      <w:bookmarkStart w:id="840" w:name="Prior_History_4"/>
      <w:bookmarkEnd w:id="840"/>
      <w:r>
        <w:rPr>
          <w:rFonts w:ascii="Arial" w:eastAsia="Arial" w:hAnsi="Arial" w:cs="Arial"/>
          <w:b/>
          <w:color w:val="000000"/>
          <w:sz w:val="20"/>
        </w:rPr>
        <w:t>Prior History:</w:t>
      </w:r>
      <w:r>
        <w:rPr>
          <w:rFonts w:ascii="Arial" w:eastAsia="Arial" w:hAnsi="Arial" w:cs="Arial"/>
          <w:color w:val="000000"/>
          <w:sz w:val="20"/>
        </w:rPr>
        <w:t> </w:t>
      </w:r>
      <w:bookmarkStart w:id="841" w:name="Bookmark_para_1_4"/>
      <w:bookmarkEnd w:id="841"/>
      <w:r>
        <w:rPr>
          <w:rFonts w:ascii="Arial" w:eastAsia="Arial" w:hAnsi="Arial" w:cs="Arial"/>
          <w:color w:val="000000"/>
          <w:sz w:val="20"/>
        </w:rPr>
        <w:t> [**1] Appeal from the United States District Court for the Middle District of Florida.</w:t>
      </w:r>
    </w:p>
    <w:p w:rsidR="00022B47" w:rsidRDefault="00000000">
      <w:pPr>
        <w:pStyle w:val="Normal5"/>
        <w:widowControl w:val="0"/>
        <w:spacing w:before="240" w:line="260" w:lineRule="atLeast"/>
        <w:jc w:val="both"/>
      </w:pPr>
      <w:bookmarkStart w:id="842" w:name="Disposition_1"/>
      <w:bookmarkEnd w:id="842"/>
      <w:r>
        <w:rPr>
          <w:rFonts w:ascii="Arial" w:eastAsia="Arial" w:hAnsi="Arial" w:cs="Arial"/>
          <w:b/>
          <w:color w:val="000000"/>
          <w:sz w:val="20"/>
        </w:rPr>
        <w:t>Disposition:</w:t>
      </w:r>
      <w:r>
        <w:rPr>
          <w:rFonts w:ascii="Arial" w:eastAsia="Arial" w:hAnsi="Arial" w:cs="Arial"/>
          <w:color w:val="000000"/>
          <w:sz w:val="20"/>
        </w:rPr>
        <w:t> </w:t>
      </w:r>
      <w:bookmarkStart w:id="843" w:name="Bookmark_clspara_4_0"/>
      <w:bookmarkEnd w:id="843"/>
      <w:r>
        <w:rPr>
          <w:rFonts w:ascii="Arial" w:eastAsia="Arial" w:hAnsi="Arial" w:cs="Arial"/>
          <w:color w:val="000000"/>
          <w:sz w:val="20"/>
        </w:rPr>
        <w:t>VACATED AND REMANDED.</w:t>
      </w:r>
    </w:p>
    <w:p w:rsidR="00022B47" w:rsidRDefault="00000000">
      <w:pPr>
        <w:pStyle w:val="Normal5"/>
        <w:widowControl w:val="0"/>
        <w:spacing w:before="240" w:line="260" w:lineRule="atLeast"/>
      </w:pPr>
      <w:bookmarkStart w:id="844" w:name="Counsel_4"/>
      <w:bookmarkEnd w:id="844"/>
      <w:r>
        <w:rPr>
          <w:rFonts w:ascii="Arial" w:eastAsia="Arial" w:hAnsi="Arial" w:cs="Arial"/>
          <w:b/>
          <w:color w:val="000000"/>
          <w:sz w:val="20"/>
        </w:rPr>
        <w:t>Counsel:</w:t>
      </w:r>
      <w:r>
        <w:rPr>
          <w:rFonts w:ascii="Arial" w:eastAsia="Arial" w:hAnsi="Arial" w:cs="Arial"/>
          <w:color w:val="000000"/>
          <w:sz w:val="20"/>
        </w:rPr>
        <w:t> For DYLAN CAMPBELL, Plaintiff - Appellant: Matthew W. Dietz, Leigh Cremer Markowitz, Shepard Broad College of Law, FORT LAUDERDALE, FL; Claudia DeSalvo, Nova Southeastern University, FORT LAUDERDALE, FL.</w:t>
      </w:r>
    </w:p>
    <w:p w:rsidR="00022B47" w:rsidRDefault="00000000">
      <w:pPr>
        <w:pStyle w:val="Normal5"/>
        <w:widowControl w:val="0"/>
        <w:spacing w:before="120" w:line="260" w:lineRule="atLeast"/>
      </w:pPr>
      <w:r>
        <w:rPr>
          <w:rFonts w:ascii="Arial" w:eastAsia="Arial" w:hAnsi="Arial" w:cs="Arial"/>
          <w:color w:val="000000"/>
          <w:sz w:val="20"/>
        </w:rPr>
        <w:t>For UNIVERSAL CITY DEVELOPMENT PARTNERS, LTD., d.b.a.: Volcano Bay, Defendant - Appellee: Michael Beaudine, Christina Y. Taylor, Latham Luna Eden &amp; Beaudine, LLP, ORLANDO, FL; David Raizman, Ogletree Deakins Nash, Smoak &amp; Stewart, PC, LOS ANGELES, CA.</w:t>
      </w:r>
    </w:p>
    <w:p w:rsidR="00022B47" w:rsidRDefault="00000000">
      <w:pPr>
        <w:pStyle w:val="Normal5"/>
        <w:widowControl w:val="0"/>
        <w:spacing w:before="120" w:line="260" w:lineRule="atLeast"/>
      </w:pPr>
      <w:r>
        <w:rPr>
          <w:rFonts w:ascii="Arial" w:eastAsia="Arial" w:hAnsi="Arial" w:cs="Arial"/>
          <w:color w:val="000000"/>
          <w:sz w:val="20"/>
        </w:rPr>
        <w:t>For UNITED STATES OF AMERICA, Amicus Curiae: Brant S. Levine, Nicolas Riley, U.S. Department of Justice, WASHINGTON, DC.</w:t>
      </w:r>
    </w:p>
    <w:p w:rsidR="00022B47" w:rsidRDefault="00000000">
      <w:pPr>
        <w:pStyle w:val="Normal5"/>
        <w:widowControl w:val="0"/>
        <w:spacing w:before="120" w:line="260" w:lineRule="atLeast"/>
      </w:pPr>
      <w:r>
        <w:rPr>
          <w:rFonts w:ascii="Arial" w:eastAsia="Arial" w:hAnsi="Arial" w:cs="Arial"/>
          <w:color w:val="000000"/>
          <w:sz w:val="20"/>
        </w:rPr>
        <w:t>For WORLD WATERPARK ASSOCIATION, Amicus Curiae: Alvin Bertram Dunn, Pillsbury Winthrop Shaw Pittman, LLP, WASHINGTON, DC.</w:t>
      </w:r>
    </w:p>
    <w:p w:rsidR="00022B47" w:rsidRDefault="00000000">
      <w:pPr>
        <w:pStyle w:val="Normal5"/>
        <w:widowControl w:val="0"/>
        <w:spacing w:before="120" w:line="260" w:lineRule="atLeast"/>
      </w:pPr>
      <w:r>
        <w:rPr>
          <w:rFonts w:ascii="Arial" w:eastAsia="Arial" w:hAnsi="Arial" w:cs="Arial"/>
          <w:color w:val="000000"/>
          <w:sz w:val="20"/>
        </w:rPr>
        <w:t>For INTERNATIONAL AMUSEMENT AND LEISURE DEFENSE ASSOCIATION, INC., Amicus Curiae: Jerry Austin Landers Jr., Law Office of Jerry A. Landers, Jr., MARIETTA, GA; Paul F. Cavanaugh, David J. Daly, Clodagh Lane, Daly Cavanaugh, LLP, WELLESLEY, MA.</w:t>
      </w:r>
    </w:p>
    <w:p w:rsidR="00022B47" w:rsidRDefault="00000000">
      <w:pPr>
        <w:pStyle w:val="Normal5"/>
        <w:widowControl w:val="0"/>
        <w:spacing w:before="120" w:line="260" w:lineRule="atLeast"/>
      </w:pPr>
      <w:r>
        <w:rPr>
          <w:rFonts w:ascii="Arial" w:eastAsia="Arial" w:hAnsi="Arial" w:cs="Arial"/>
          <w:color w:val="000000"/>
          <w:sz w:val="20"/>
        </w:rPr>
        <w:t>For INTERNATIONAL ASSOCIATION OF AMUSEMENT PARKS AND ATTRACTIONS, Amicus Curiae: Alvin Bertram Dunn, Pillsbury Winthrop Shaw Pittman, LLP, WASHINGTON, DC.</w:t>
      </w:r>
    </w:p>
    <w:p w:rsidR="00022B47" w:rsidRDefault="00000000">
      <w:pPr>
        <w:pStyle w:val="Normal5"/>
        <w:widowControl w:val="0"/>
        <w:spacing w:before="240" w:line="260" w:lineRule="atLeast"/>
      </w:pPr>
      <w:bookmarkStart w:id="845" w:name="Judges_4"/>
      <w:bookmarkEnd w:id="845"/>
      <w:r>
        <w:rPr>
          <w:rFonts w:ascii="Arial" w:eastAsia="Arial" w:hAnsi="Arial" w:cs="Arial"/>
          <w:b/>
          <w:color w:val="000000"/>
          <w:sz w:val="20"/>
        </w:rPr>
        <w:t>Judges:</w:t>
      </w:r>
      <w:r>
        <w:rPr>
          <w:rFonts w:ascii="Arial" w:eastAsia="Arial" w:hAnsi="Arial" w:cs="Arial"/>
          <w:color w:val="000000"/>
          <w:sz w:val="20"/>
        </w:rPr>
        <w:t> Before ROSENBAUM, [**2]  BRANCH, and BRASHER, Circuit Judges.</w:t>
      </w:r>
    </w:p>
    <w:p w:rsidR="00022B47" w:rsidRDefault="00000000">
      <w:pPr>
        <w:pStyle w:val="Normal5"/>
        <w:widowControl w:val="0"/>
        <w:spacing w:before="240" w:line="260" w:lineRule="atLeast"/>
      </w:pPr>
      <w:bookmarkStart w:id="846" w:name="Opinion_by_2"/>
      <w:bookmarkEnd w:id="846"/>
      <w:r>
        <w:rPr>
          <w:rFonts w:ascii="Arial" w:eastAsia="Arial" w:hAnsi="Arial" w:cs="Arial"/>
          <w:b/>
          <w:color w:val="000000"/>
          <w:sz w:val="20"/>
        </w:rPr>
        <w:t>Opinion by:</w:t>
      </w:r>
      <w:r>
        <w:rPr>
          <w:rFonts w:ascii="Arial" w:eastAsia="Arial" w:hAnsi="Arial" w:cs="Arial"/>
          <w:color w:val="000000"/>
          <w:sz w:val="20"/>
        </w:rPr>
        <w:t> ROSENBAUM</w:t>
      </w:r>
    </w:p>
    <w:p w:rsidR="00022B47" w:rsidRDefault="00000000">
      <w:pPr>
        <w:pStyle w:val="Normal5"/>
        <w:keepNext/>
        <w:widowControl w:val="0"/>
        <w:spacing w:before="240" w:line="340" w:lineRule="atLeast"/>
      </w:pPr>
      <w:bookmarkStart w:id="847" w:name="Opinion_4"/>
      <w:bookmarkEnd w:id="847"/>
      <w:r>
        <w:rPr>
          <w:rFonts w:ascii="Arial" w:eastAsia="Arial" w:hAnsi="Arial" w:cs="Arial"/>
          <w:b/>
          <w:color w:val="000000"/>
          <w:sz w:val="28"/>
        </w:rPr>
        <w:t>Opinion</w:t>
      </w:r>
    </w:p>
    <w:p w:rsidR="00022B47" w:rsidRDefault="0025213E">
      <w:pPr>
        <w:pStyle w:val="Normal5"/>
        <w:spacing w:line="60" w:lineRule="exact"/>
      </w:pPr>
      <w:r>
        <w:rPr>
          <w:noProof/>
        </w:rPr>
        <mc:AlternateContent>
          <mc:Choice Requires="wps">
            <w:drawing>
              <wp:anchor distT="0" distB="0" distL="114300" distR="114300" simplePos="0" relativeHeight="25166848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35488591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C1FCF1" id="Line 1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5"/>
      </w:pPr>
    </w:p>
    <w:p w:rsidR="00022B47" w:rsidRDefault="00000000">
      <w:pPr>
        <w:pStyle w:val="Normal5"/>
        <w:widowControl w:val="0"/>
        <w:spacing w:before="200" w:line="260" w:lineRule="atLeast"/>
        <w:jc w:val="both"/>
      </w:pPr>
      <w:bookmarkStart w:id="848" w:name="Bookmark_para_2_4"/>
      <w:bookmarkEnd w:id="848"/>
      <w:r>
        <w:rPr>
          <w:rFonts w:ascii="Arial" w:eastAsia="Arial" w:hAnsi="Arial" w:cs="Arial"/>
          <w:color w:val="000000"/>
          <w:sz w:val="20"/>
        </w:rPr>
        <w:t xml:space="preserve"> [*1248]  </w:t>
      </w:r>
      <w:r>
        <w:rPr>
          <w:rFonts w:ascii="Arial" w:eastAsia="Arial" w:hAnsi="Arial" w:cs="Arial"/>
          <w:smallCaps/>
          <w:color w:val="000000"/>
          <w:sz w:val="20"/>
        </w:rPr>
        <w:t>Rosenbaum</w:t>
      </w:r>
      <w:r>
        <w:rPr>
          <w:rFonts w:ascii="Arial" w:eastAsia="Arial" w:hAnsi="Arial" w:cs="Arial"/>
          <w:color w:val="000000"/>
          <w:sz w:val="20"/>
        </w:rPr>
        <w:t>, Circuit Judge:</w:t>
      </w:r>
    </w:p>
    <w:p w:rsidR="00022B47" w:rsidRDefault="00000000">
      <w:pPr>
        <w:pStyle w:val="Normal5"/>
        <w:widowControl w:val="0"/>
        <w:spacing w:before="200" w:line="260" w:lineRule="atLeast"/>
        <w:jc w:val="both"/>
      </w:pPr>
      <w:bookmarkStart w:id="849" w:name="Bookmark_para_3_4"/>
      <w:bookmarkEnd w:id="849"/>
      <w:r>
        <w:rPr>
          <w:rFonts w:ascii="Arial" w:eastAsia="Arial" w:hAnsi="Arial" w:cs="Arial"/>
          <w:color w:val="000000"/>
          <w:sz w:val="20"/>
        </w:rPr>
        <w:t>On a hot day, there's nothing better than a cool, refreshing waterslide ride (except maybe following that up with some ice cream). Dylan Campbell wanted to enjoy that terrific feeling of carefreely careening down a waterslide with his son to celebrate his son's seventh birthday. So he took his son to Universal's Volcano Bay waterpark and got in line to ride its Krakatau Aqua Coaster—a waterslide version of a roller coaster. But as Campbell approached the front of the line, Universal pulled him aside and told him he was "unfit" to ride the Aqua Coaster. Campbell was born with only one hand. And Universal doesn't allow people without two natural hands to ride. So Campbell sued Universal for imposing an allegedly discriminatory eligibility criterion in violation of the Americans with Disabilities Act (the "ADA").</w:t>
      </w:r>
    </w:p>
    <w:p w:rsidR="00022B47" w:rsidRDefault="00000000">
      <w:pPr>
        <w:pStyle w:val="Normal5"/>
        <w:widowControl w:val="0"/>
        <w:spacing w:before="200" w:line="260" w:lineRule="atLeast"/>
        <w:jc w:val="both"/>
      </w:pPr>
      <w:bookmarkStart w:id="850" w:name="Bookmark_para_4_4"/>
      <w:bookmarkEnd w:id="850"/>
      <w:r>
        <w:rPr>
          <w:rFonts w:ascii="Arial" w:eastAsia="Arial" w:hAnsi="Arial" w:cs="Arial"/>
          <w:color w:val="000000"/>
          <w:sz w:val="20"/>
        </w:rPr>
        <w:t>During the litigation, Universal stipulated that the Aqua Coaster's manufacturer had identified "no specific risks" of riding to anyone like Campbell. But Universal declined to allow Campbell to ride, anyway, citing a cascading series of Florida laws, regulations, rules, and industry practices. In sum, this collection of commands required Universal to [**3]  impose whatever rider-eligibility requirements that the ride's manufacturer chose, regardless of whether the manufacturer based those requirements on actual risks, on speculation, or even on discrimination.</w:t>
      </w:r>
    </w:p>
    <w:p w:rsidR="00022B47" w:rsidRDefault="00000000">
      <w:pPr>
        <w:pStyle w:val="Normal5"/>
        <w:widowControl w:val="0"/>
        <w:spacing w:before="200" w:line="260" w:lineRule="atLeast"/>
        <w:jc w:val="both"/>
      </w:pPr>
      <w:bookmarkStart w:id="851" w:name="Bookmark_para_5_4"/>
      <w:bookmarkEnd w:id="851"/>
      <w:r>
        <w:rPr>
          <w:rFonts w:ascii="Arial" w:eastAsia="Arial" w:hAnsi="Arial" w:cs="Arial"/>
          <w:color w:val="000000"/>
          <w:sz w:val="20"/>
        </w:rPr>
        <w:t>In its motion for summary judgment, Universal argued that complying with this morass of mandates was "necessary," as the ADA uses the term, so the ADA authorized Universal to refuse Campbell a ride. The district court agreed and also concluded that the ADA did not preempt Florida law. It therefore entered summary judgment for Universal.</w:t>
      </w:r>
    </w:p>
    <w:p w:rsidR="00022B47" w:rsidRDefault="00000000">
      <w:pPr>
        <w:pStyle w:val="Normal5"/>
        <w:widowControl w:val="0"/>
        <w:spacing w:before="200" w:line="260" w:lineRule="atLeast"/>
        <w:jc w:val="both"/>
      </w:pPr>
      <w:bookmarkStart w:id="852" w:name="Bookmark_para_6_4"/>
      <w:bookmarkEnd w:id="852"/>
      <w:r>
        <w:rPr>
          <w:rFonts w:ascii="Arial" w:eastAsia="Arial" w:hAnsi="Arial" w:cs="Arial"/>
          <w:color w:val="000000"/>
          <w:sz w:val="20"/>
        </w:rPr>
        <w:t>After a thorough review of the record, and with the benefit of oral argument, we vacate and remand for further proceedings.</w:t>
      </w:r>
    </w:p>
    <w:p w:rsidR="00022B47" w:rsidRDefault="00000000">
      <w:pPr>
        <w:pStyle w:val="Normal5"/>
        <w:widowControl w:val="0"/>
        <w:spacing w:before="200" w:line="260" w:lineRule="atLeast"/>
        <w:jc w:val="both"/>
      </w:pPr>
      <w:bookmarkStart w:id="853" w:name="Bookmark_para_7_4"/>
      <w:bookmarkStart w:id="854" w:name="Bookmark_LNHNREFclscc1_3"/>
      <w:bookmarkEnd w:id="853"/>
      <w:bookmarkEnd w:id="854"/>
      <w:r>
        <w:rPr>
          <w:rFonts w:ascii="Arial" w:eastAsia="Arial" w:hAnsi="Arial" w:cs="Arial"/>
          <w:color w:val="000000"/>
          <w:sz w:val="20"/>
        </w:rPr>
        <w:t>The ADA prohibits imposing a discriminatory eligibility criterion unless the criterion is "necessary." Universal argues that "compliance with state law" necessitates Universal's discriminatory eligibility requirement. But to the extent that state law conflicts with the ADA and requires disability discrimination, we hold that "compliance with state law," in and of itself, cannot qualify as "necessary" under the ADA, or it would impermissibly preempt and effectively eviscerate the ADA. So "compliance with state law" does not relieve [**4]  Universal of its obligation to follow the ADA. We therefore vacate the order granting summary judgment and remand for further proceedings. Universal must either show that refusing to permit Campbell to ride the Aqua Coaster is otherwise "necessary," as the ADA contemplates, or it must allow him to ride.</w:t>
      </w:r>
    </w:p>
    <w:p w:rsidR="00022B47" w:rsidRDefault="00000000">
      <w:pPr>
        <w:pStyle w:val="Normal5"/>
        <w:widowControl w:val="0"/>
        <w:spacing w:before="240" w:line="260" w:lineRule="atLeast"/>
      </w:pPr>
      <w:r>
        <w:br/>
      </w:r>
      <w:r>
        <w:rPr>
          <w:rFonts w:ascii="Arial" w:eastAsia="Arial" w:hAnsi="Arial" w:cs="Arial"/>
          <w:b/>
          <w:color w:val="000000"/>
          <w:sz w:val="20"/>
        </w:rPr>
        <w:t>I. BACKGROUND</w:t>
      </w:r>
    </w:p>
    <w:p w:rsidR="00022B47" w:rsidRDefault="00000000">
      <w:pPr>
        <w:pStyle w:val="Normal5"/>
        <w:widowControl w:val="0"/>
        <w:spacing w:before="240" w:line="260" w:lineRule="atLeast"/>
      </w:pPr>
      <w:r>
        <w:br/>
      </w:r>
      <w:r>
        <w:rPr>
          <w:rFonts w:ascii="Arial" w:eastAsia="Arial" w:hAnsi="Arial" w:cs="Arial"/>
          <w:i/>
          <w:color w:val="000000"/>
          <w:sz w:val="20"/>
        </w:rPr>
        <w:t>A. Factual Background</w:t>
      </w:r>
    </w:p>
    <w:p w:rsidR="00022B47" w:rsidRDefault="00000000">
      <w:pPr>
        <w:pStyle w:val="Normal5"/>
        <w:widowControl w:val="0"/>
        <w:spacing w:before="200" w:line="260" w:lineRule="atLeast"/>
        <w:jc w:val="both"/>
      </w:pPr>
      <w:bookmarkStart w:id="855" w:name="Bookmark_para_8_4"/>
      <w:bookmarkEnd w:id="855"/>
      <w:r>
        <w:rPr>
          <w:rFonts w:ascii="Arial" w:eastAsia="Arial" w:hAnsi="Arial" w:cs="Arial"/>
          <w:color w:val="000000"/>
          <w:sz w:val="20"/>
        </w:rPr>
        <w:t>Universal City Development Partners, Ltd. ("Universal") operates Volcano Bay water park in Orlando, Florida.</w:t>
      </w:r>
      <w:r>
        <w:rPr>
          <w:rFonts w:ascii="Arial" w:eastAsia="Arial" w:hAnsi="Arial" w:cs="Arial"/>
          <w:vertAlign w:val="superscript"/>
        </w:rPr>
        <w:footnoteReference w:customMarkFollows="1" w:id="19"/>
        <w:t>1</w:t>
      </w:r>
    </w:p>
    <w:p w:rsidR="00022B47" w:rsidRDefault="00000000">
      <w:pPr>
        <w:pStyle w:val="Normal5"/>
        <w:widowControl w:val="0"/>
        <w:spacing w:before="200" w:line="260" w:lineRule="atLeast"/>
        <w:jc w:val="both"/>
      </w:pPr>
      <w:bookmarkStart w:id="859" w:name="Bookmark_para_9_4"/>
      <w:bookmarkEnd w:id="859"/>
      <w:r>
        <w:rPr>
          <w:rFonts w:ascii="Arial" w:eastAsia="Arial" w:hAnsi="Arial" w:cs="Arial"/>
          <w:color w:val="000000"/>
          <w:sz w:val="20"/>
        </w:rPr>
        <w:t> [*1249]  On May 10, 2019, plaintiff Dylan Campbell visited Volcano Bay with his family. Campbell does not have a right forearm or right hand, nor does he use a prosthetic hand. When Campbell was visiting Volcano Bay, the park didn't allow him to ride the Krakatau Aqua Coaster because he did not have two, natural, grasping hands. The Aqua Coaster is a waterslide version of a roller coaster. Riders sit back, one in front of the other, with their bodies inside a four-person raft vehicle that has handles on the sides of each seat, and they ride together through channels and tunnels. The Aqua Coaster's "track" uses magnetic propulsion forces on the upward portions and gravity and moving water on the downward parts to move riders.</w:t>
      </w:r>
    </w:p>
    <w:p w:rsidR="00022B47" w:rsidRDefault="00000000">
      <w:pPr>
        <w:pStyle w:val="Normal5"/>
        <w:widowControl w:val="0"/>
        <w:spacing w:before="200" w:line="260" w:lineRule="atLeast"/>
        <w:jc w:val="both"/>
      </w:pPr>
      <w:bookmarkStart w:id="860" w:name="Bookmark_para_10_4"/>
      <w:bookmarkEnd w:id="860"/>
      <w:r>
        <w:rPr>
          <w:rFonts w:ascii="Arial" w:eastAsia="Arial" w:hAnsi="Arial" w:cs="Arial"/>
          <w:color w:val="000000"/>
          <w:sz w:val="20"/>
        </w:rPr>
        <w:t>Volcano Bay refused Campbell [**5]  admission to the Aqua Coaster based on rider-eligibility requirements that the Aqua Coaster's manufacturer, ProSlide, created. To determine the rider-eligibility requirements for the Aqua Coaster, ProSlide performed an "initial, internal hazard analysis" and also hired RAMS Consultants, Inc., which specializes in "developing and documenting hazard analyses for amusement rides and attractions." A hazard analysis "describes all reasonably expected risks contemplated for the ride, excluding outlandish examples that are extremely unlikely, like a meteor hitting the ride. It assesses both the likelihood and severity of a particular risk . . . and different ways to mitigate a risk."</w:t>
      </w:r>
    </w:p>
    <w:p w:rsidR="00022B47" w:rsidRDefault="00000000">
      <w:pPr>
        <w:pStyle w:val="Normal5"/>
        <w:widowControl w:val="0"/>
        <w:spacing w:before="200" w:line="260" w:lineRule="atLeast"/>
        <w:jc w:val="both"/>
      </w:pPr>
      <w:bookmarkStart w:id="861" w:name="Bookmark_para_11_4"/>
      <w:bookmarkEnd w:id="861"/>
      <w:r>
        <w:rPr>
          <w:rFonts w:ascii="Arial" w:eastAsia="Arial" w:hAnsi="Arial" w:cs="Arial"/>
          <w:color w:val="000000"/>
          <w:sz w:val="20"/>
        </w:rPr>
        <w:t>Universal stipulated that "[a]side from identifying one risk that involves a potential hazard for a visually impaired patron . . . the hazard analyses performed by ProSlide and RAMS identified no specific risks for anyone with a limb difference or other physical disability." In accordance with its analysis, ProSlide created a draft Operations Manual for the ride.</w:t>
      </w:r>
    </w:p>
    <w:p w:rsidR="00022B47" w:rsidRDefault="00000000">
      <w:pPr>
        <w:pStyle w:val="Normal5"/>
        <w:widowControl w:val="0"/>
        <w:spacing w:before="200" w:line="260" w:lineRule="atLeast"/>
        <w:jc w:val="both"/>
      </w:pPr>
      <w:bookmarkStart w:id="862" w:name="Bookmark_para_12_4"/>
      <w:bookmarkEnd w:id="862"/>
      <w:r>
        <w:rPr>
          <w:rFonts w:ascii="Arial" w:eastAsia="Arial" w:hAnsi="Arial" w:cs="Arial"/>
          <w:color w:val="000000"/>
          <w:sz w:val="20"/>
        </w:rPr>
        <w:t>When Universal received the draft Operations Manual, it created a "Rider Eligibility Chart" that allowed people with many combinations of limb differences—including [**6]  individuals with no right forearm or right hand like Campbell—to ride. ProSlide pushed back on allowing people with prosthetic limbs to ride because it was worried about safety, namely, the prosthetic limbs coming off on the ride and striking someone or the ride itself. It did not mention any concern about the ability of people without prosthetics—like Campbell—to ride safely. Rather, it said, simply and conclusorily, that it was "uncertain in the ability to use one arm or prosthetic can be achieved in all cases." Ultimately, ProSlide "decided to maintain [its] position on the original Limb Chart markup after further Executive consultation internally.... [It felt] at this time [that it wasn't] prepared to take on these risks but [would] work to change the restrictions over time."</w:t>
      </w:r>
    </w:p>
    <w:p w:rsidR="00022B47" w:rsidRDefault="00000000">
      <w:pPr>
        <w:pStyle w:val="Normal5"/>
        <w:widowControl w:val="0"/>
        <w:spacing w:before="200" w:line="260" w:lineRule="atLeast"/>
        <w:jc w:val="both"/>
      </w:pPr>
      <w:bookmarkStart w:id="863" w:name="Bookmark_para_13_4"/>
      <w:bookmarkEnd w:id="863"/>
      <w:r>
        <w:rPr>
          <w:rFonts w:ascii="Arial" w:eastAsia="Arial" w:hAnsi="Arial" w:cs="Arial"/>
          <w:color w:val="000000"/>
          <w:sz w:val="20"/>
        </w:rPr>
        <w:t>As a result, when Volcano Bay opened to the public, those like Campbell—without two hands—could not ride the Aqua Coaster (or certain other rides). Universal created a "rider eligibility chart" for all its rides. Here is a snippet of what the final eligibility chart looked like:</w:t>
      </w:r>
    </w:p>
    <w:p w:rsidR="00022B47" w:rsidRDefault="00000000">
      <w:pPr>
        <w:pStyle w:val="Normal5"/>
        <w:widowControl w:val="0"/>
        <w:spacing w:before="200" w:line="260" w:lineRule="atLeast"/>
        <w:jc w:val="both"/>
      </w:pPr>
      <w:bookmarkStart w:id="864" w:name="Bookmark_para_14_4"/>
      <w:bookmarkEnd w:id="864"/>
      <w:r>
        <w:rPr>
          <w:rFonts w:ascii="Arial" w:eastAsia="Arial" w:hAnsi="Arial" w:cs="Arial"/>
          <w:color w:val="000000"/>
          <w:sz w:val="20"/>
        </w:rPr>
        <w:t xml:space="preserve"> [*1250]  </w:t>
      </w:r>
    </w:p>
    <w:p w:rsidR="00022B47" w:rsidRDefault="0025213E">
      <w:pPr>
        <w:pStyle w:val="Normal5"/>
        <w:widowControl w:val="0"/>
        <w:spacing w:before="200" w:line="260" w:lineRule="atLeast"/>
        <w:jc w:val="both"/>
      </w:pPr>
      <w:bookmarkStart w:id="865" w:name="Bookmark_para_15_4"/>
      <w:bookmarkEnd w:id="865"/>
      <w:r>
        <w:rPr>
          <w:noProof/>
        </w:rPr>
        <w:drawing>
          <wp:inline distT="0" distB="0" distL="0" distR="0">
            <wp:extent cx="3943350" cy="19037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43350" cy="1903730"/>
                    </a:xfrm>
                    <a:prstGeom prst="rect">
                      <a:avLst/>
                    </a:prstGeom>
                    <a:noFill/>
                    <a:ln>
                      <a:noFill/>
                    </a:ln>
                  </pic:spPr>
                </pic:pic>
              </a:graphicData>
            </a:graphic>
          </wp:inline>
        </w:drawing>
      </w:r>
    </w:p>
    <w:p w:rsidR="00022B47" w:rsidRDefault="00000000">
      <w:pPr>
        <w:pStyle w:val="Normal5"/>
        <w:widowControl w:val="0"/>
        <w:spacing w:before="200" w:line="260" w:lineRule="atLeast"/>
        <w:jc w:val="both"/>
      </w:pPr>
      <w:bookmarkStart w:id="866" w:name="Bookmark_para_16_4"/>
      <w:bookmarkEnd w:id="866"/>
      <w:r>
        <w:rPr>
          <w:rFonts w:ascii="Arial" w:eastAsia="Arial" w:hAnsi="Arial" w:cs="Arial"/>
          <w:color w:val="000000"/>
          <w:sz w:val="20"/>
        </w:rPr>
        <w:t>Each row represents a ride. Each column in blue indicates a permutation of limbs. The chart continues down (listing more rides) and [**7]  also across (listing other limb permutations).</w:t>
      </w:r>
    </w:p>
    <w:p w:rsidR="00022B47" w:rsidRDefault="00000000">
      <w:pPr>
        <w:pStyle w:val="Normal5"/>
        <w:widowControl w:val="0"/>
        <w:spacing w:before="240" w:line="260" w:lineRule="atLeast"/>
      </w:pPr>
      <w:r>
        <w:br/>
      </w:r>
      <w:r>
        <w:rPr>
          <w:rFonts w:ascii="Arial" w:eastAsia="Arial" w:hAnsi="Arial" w:cs="Arial"/>
          <w:i/>
          <w:color w:val="000000"/>
          <w:sz w:val="20"/>
        </w:rPr>
        <w:t>B. Procedural History</w:t>
      </w:r>
    </w:p>
    <w:p w:rsidR="00022B47" w:rsidRDefault="00000000">
      <w:pPr>
        <w:pStyle w:val="Normal5"/>
        <w:widowControl w:val="0"/>
        <w:spacing w:before="200" w:line="260" w:lineRule="atLeast"/>
        <w:jc w:val="both"/>
      </w:pPr>
      <w:bookmarkStart w:id="867" w:name="Bookmark_para_17_4"/>
      <w:bookmarkEnd w:id="867"/>
      <w:r>
        <w:rPr>
          <w:rFonts w:ascii="Arial" w:eastAsia="Arial" w:hAnsi="Arial" w:cs="Arial"/>
          <w:color w:val="000000"/>
          <w:sz w:val="20"/>
        </w:rPr>
        <w:t xml:space="preserve">Campbell sued Universal for imposing discriminatory eligibility criteria that weren't "necessary" under Title III of the Americans with Disabilities Act, 42 U.S.C. § 12182(b)(2)(A)(i) and the Florida Civil Rights Act, § 760.01, </w:t>
      </w:r>
      <w:r>
        <w:rPr>
          <w:rFonts w:ascii="Arial" w:eastAsia="Arial" w:hAnsi="Arial" w:cs="Arial"/>
          <w:i/>
          <w:color w:val="000000"/>
          <w:sz w:val="20"/>
        </w:rPr>
        <w:t>et seq.</w:t>
      </w:r>
    </w:p>
    <w:p w:rsidR="00022B47" w:rsidRDefault="00000000">
      <w:pPr>
        <w:pStyle w:val="Normal5"/>
        <w:widowControl w:val="0"/>
        <w:spacing w:before="200" w:line="260" w:lineRule="atLeast"/>
        <w:jc w:val="both"/>
      </w:pPr>
      <w:bookmarkStart w:id="868" w:name="Bookmark_para_18_4"/>
      <w:bookmarkEnd w:id="868"/>
      <w:r>
        <w:rPr>
          <w:rFonts w:ascii="Arial" w:eastAsia="Arial" w:hAnsi="Arial" w:cs="Arial"/>
          <w:color w:val="000000"/>
          <w:sz w:val="20"/>
        </w:rPr>
        <w:t>Both sides moved for summary judgment. Campbell argued that Universal's eligibility criterion—having two, natural grasping hands—wasn't "necessary" for the ride's safety. For its part, Universal did not respond directly to this argument. Rather, it contended that its eligibility criteria were "necessary" because it had to comply with Florida law, and Florida law (through an interlocking series of provisions) required Universal to refuse Campbell service. Universal said that, under Florida law, Universal had to comply with industry standards (the "ASTM Standards") and these standards required Universal to comply with manufacturer recommendations, and manufacturer recommendations—here, ProSlide's recommendations—forbade Campbell from riding. Put simply, Universal con-tended that it was "necessary," as the ADA uses that term, for Universal to comply with Florida law, so Universal's refusal to allow Campbell to ride the Aqua Coaster comported with the ADA. Universal also argued that it was impossible (or at least, [**8]  impractical) for Universal to individually assess each guest's ability to safely enjoy each attraction. In support of its position, Universal included a sworn expert report stating that compliance with ASTM required compliance with the manufacturer's requirements.</w:t>
      </w:r>
    </w:p>
    <w:p w:rsidR="00022B47" w:rsidRDefault="00000000">
      <w:pPr>
        <w:pStyle w:val="Normal5"/>
        <w:widowControl w:val="0"/>
        <w:spacing w:before="200" w:line="260" w:lineRule="atLeast"/>
        <w:jc w:val="both"/>
      </w:pPr>
      <w:bookmarkStart w:id="869" w:name="Bookmark_para_19_4"/>
      <w:bookmarkEnd w:id="869"/>
      <w:r>
        <w:rPr>
          <w:rFonts w:ascii="Arial" w:eastAsia="Arial" w:hAnsi="Arial" w:cs="Arial"/>
          <w:color w:val="000000"/>
          <w:sz w:val="20"/>
        </w:rPr>
        <w:t>The district court granted Universal's motion and denied Campbell's. In so doing, the district court noted that the ADA's prohibition on discriminatory eligibility criteria contains an exception for "necessary" requirements. Essentially, the district court determined that compliance with Florida law requiring amusement parks to follow ASTM recommendations (which, in turn, requires compliance with manufacturer recommendations) was "necessary" under the ADA. Campbell now appeals.</w:t>
      </w:r>
    </w:p>
    <w:p w:rsidR="00022B47" w:rsidRDefault="00000000">
      <w:pPr>
        <w:pStyle w:val="Normal5"/>
        <w:widowControl w:val="0"/>
        <w:spacing w:before="240" w:line="260" w:lineRule="atLeast"/>
      </w:pPr>
      <w:r>
        <w:br/>
      </w:r>
      <w:r>
        <w:rPr>
          <w:rFonts w:ascii="Arial" w:eastAsia="Arial" w:hAnsi="Arial" w:cs="Arial"/>
          <w:b/>
          <w:color w:val="000000"/>
          <w:sz w:val="20"/>
        </w:rPr>
        <w:t>II. STANDARD OF REVIEW</w:t>
      </w:r>
    </w:p>
    <w:p w:rsidR="00022B47" w:rsidRDefault="00000000">
      <w:pPr>
        <w:pStyle w:val="Normal5"/>
        <w:widowControl w:val="0"/>
        <w:spacing w:before="200" w:line="260" w:lineRule="atLeast"/>
        <w:jc w:val="both"/>
      </w:pPr>
      <w:bookmarkStart w:id="870" w:name="Bookmark_para_20_4"/>
      <w:bookmarkStart w:id="871" w:name="Bookmark_LNHNREFclscc2_3"/>
      <w:bookmarkStart w:id="872" w:name="Bookmark_I68P4BD12SF8JM0040000400"/>
      <w:bookmarkEnd w:id="870"/>
      <w:bookmarkEnd w:id="871"/>
      <w:bookmarkEnd w:id="872"/>
      <w:r>
        <w:rPr>
          <w:rFonts w:ascii="Arial" w:eastAsia="Arial" w:hAnsi="Arial" w:cs="Arial"/>
          <w:color w:val="000000"/>
          <w:sz w:val="20"/>
        </w:rPr>
        <w:t xml:space="preserve">We review de novo the grant or denial of summary judgment. </w:t>
      </w:r>
      <w:bookmarkStart w:id="873" w:name="Bookmark_I68P4BD12SF8JM0030000400"/>
      <w:bookmarkEnd w:id="873"/>
      <w:r>
        <w:rPr>
          <w:rFonts w:ascii="Arial" w:eastAsia="Arial" w:hAnsi="Arial" w:cs="Arial"/>
          <w:i/>
          <w:color w:val="000000"/>
          <w:sz w:val="20"/>
        </w:rPr>
        <w:t>St. Charles Foods, Inc. v. Am.'s Favorite Chicken Co.</w:t>
      </w:r>
      <w:r>
        <w:rPr>
          <w:rFonts w:ascii="Arial" w:eastAsia="Arial" w:hAnsi="Arial" w:cs="Arial"/>
          <w:color w:val="000000"/>
          <w:sz w:val="20"/>
        </w:rPr>
        <w:t xml:space="preserve">, 198 F.3d 815, 819 (11th Cir. 1999).  [*1251]  In conducting our review, we view all evidence in the light most favorable to the nonmoving party. </w:t>
      </w:r>
      <w:r>
        <w:rPr>
          <w:rFonts w:ascii="Arial" w:eastAsia="Arial" w:hAnsi="Arial" w:cs="Arial"/>
          <w:i/>
          <w:color w:val="000000"/>
          <w:sz w:val="20"/>
        </w:rPr>
        <w:t>Id.</w:t>
      </w:r>
    </w:p>
    <w:p w:rsidR="00022B47" w:rsidRDefault="00000000">
      <w:pPr>
        <w:pStyle w:val="Normal5"/>
        <w:widowControl w:val="0"/>
        <w:spacing w:before="240" w:line="260" w:lineRule="atLeast"/>
      </w:pPr>
      <w:r>
        <w:br/>
      </w:r>
      <w:r>
        <w:rPr>
          <w:rFonts w:ascii="Arial" w:eastAsia="Arial" w:hAnsi="Arial" w:cs="Arial"/>
          <w:b/>
          <w:color w:val="000000"/>
          <w:sz w:val="20"/>
        </w:rPr>
        <w:t>III. DISCUSSION</w:t>
      </w:r>
    </w:p>
    <w:p w:rsidR="00022B47" w:rsidRDefault="00000000">
      <w:pPr>
        <w:pStyle w:val="Normal5"/>
        <w:widowControl w:val="0"/>
        <w:spacing w:before="200" w:line="260" w:lineRule="atLeast"/>
        <w:jc w:val="both"/>
      </w:pPr>
      <w:bookmarkStart w:id="874" w:name="Bookmark_para_21_4"/>
      <w:bookmarkEnd w:id="874"/>
      <w:r>
        <w:rPr>
          <w:rFonts w:ascii="Arial" w:eastAsia="Arial" w:hAnsi="Arial" w:cs="Arial"/>
          <w:color w:val="000000"/>
          <w:sz w:val="20"/>
        </w:rPr>
        <w:t>Our analysis proceeds in four steps. First, we briefly outline the governing law. Second, we recognize that the section of the ADA that we're applying requires a burden-shifting analysis. Third, we find that Campbell has satisfied his burden. And fourth, [**9]  we consider whether Universal's proffered rationales meet its burden.</w:t>
      </w:r>
    </w:p>
    <w:p w:rsidR="00022B47" w:rsidRDefault="00000000">
      <w:pPr>
        <w:pStyle w:val="Normal5"/>
        <w:widowControl w:val="0"/>
        <w:spacing w:before="240" w:line="260" w:lineRule="atLeast"/>
      </w:pPr>
      <w:r>
        <w:br/>
      </w:r>
      <w:r>
        <w:rPr>
          <w:rFonts w:ascii="Arial" w:eastAsia="Arial" w:hAnsi="Arial" w:cs="Arial"/>
          <w:i/>
          <w:color w:val="000000"/>
          <w:sz w:val="20"/>
        </w:rPr>
        <w:t>A. Background Law</w:t>
      </w:r>
    </w:p>
    <w:p w:rsidR="00022B47" w:rsidRDefault="00000000">
      <w:pPr>
        <w:pStyle w:val="Normal5"/>
        <w:widowControl w:val="0"/>
        <w:spacing w:before="200" w:line="260" w:lineRule="atLeast"/>
        <w:jc w:val="both"/>
      </w:pPr>
      <w:bookmarkStart w:id="875" w:name="Bookmark_para_22_4"/>
      <w:bookmarkStart w:id="876" w:name="Bookmark_LNHNREFclscc3_3"/>
      <w:bookmarkEnd w:id="875"/>
      <w:bookmarkEnd w:id="876"/>
      <w:r>
        <w:rPr>
          <w:rFonts w:ascii="Arial" w:eastAsia="Arial" w:hAnsi="Arial" w:cs="Arial"/>
          <w:color w:val="000000"/>
          <w:sz w:val="20"/>
        </w:rPr>
        <w:t xml:space="preserve">Title III of the ADA prohibits public accommodations from engaging in "discrimination." 42 U.S.C. §§ 12181-89. As the ADA defines the term, "discrimination" includes "the imposition or application of eligibility criteria that screen out or tend to screen out an individual with a disability or any class of individuals with disabilities from fully and equally enjoying any goods, services, facilities, privileges, advantages, or accommodations." </w:t>
      </w:r>
      <w:r>
        <w:rPr>
          <w:rFonts w:ascii="Arial" w:eastAsia="Arial" w:hAnsi="Arial" w:cs="Arial"/>
          <w:i/>
          <w:color w:val="000000"/>
          <w:sz w:val="20"/>
        </w:rPr>
        <w:t>Id.</w:t>
      </w:r>
      <w:r>
        <w:rPr>
          <w:rFonts w:ascii="Arial" w:eastAsia="Arial" w:hAnsi="Arial" w:cs="Arial"/>
          <w:color w:val="000000"/>
          <w:sz w:val="20"/>
        </w:rPr>
        <w:t xml:space="preserve"> § 12182(b)(2)(A)(i). So the general rule prohibits public accommodations from imposing eligibility criteria that tend to preclude those with a disability from enjoying the public accommodation's good or service.</w:t>
      </w:r>
    </w:p>
    <w:p w:rsidR="00022B47" w:rsidRDefault="00000000">
      <w:pPr>
        <w:pStyle w:val="Normal5"/>
        <w:widowControl w:val="0"/>
        <w:spacing w:before="200" w:line="260" w:lineRule="atLeast"/>
        <w:jc w:val="both"/>
      </w:pPr>
      <w:bookmarkStart w:id="877" w:name="Bookmark_para_23_4"/>
      <w:bookmarkEnd w:id="877"/>
      <w:r>
        <w:rPr>
          <w:rFonts w:ascii="Arial" w:eastAsia="Arial" w:hAnsi="Arial" w:cs="Arial"/>
          <w:color w:val="000000"/>
          <w:sz w:val="20"/>
        </w:rPr>
        <w:t xml:space="preserve">But nearly every rule has its exception, and the ADA is no exception to that rule. A public accommodation may impose discriminatory eligibility criteria if "such criteria can be shown to be </w:t>
      </w:r>
      <w:r>
        <w:rPr>
          <w:rFonts w:ascii="Arial" w:eastAsia="Arial" w:hAnsi="Arial" w:cs="Arial"/>
          <w:i/>
          <w:color w:val="000000"/>
          <w:sz w:val="20"/>
        </w:rPr>
        <w:t>necessary</w:t>
      </w:r>
      <w:r>
        <w:rPr>
          <w:rFonts w:ascii="Arial" w:eastAsia="Arial" w:hAnsi="Arial" w:cs="Arial"/>
          <w:color w:val="000000"/>
          <w:sz w:val="20"/>
        </w:rPr>
        <w:t xml:space="preserve"> for the provision of the goods, services, facilities, privileges, advantages, or accommodations being offered." </w:t>
      </w:r>
      <w:r>
        <w:rPr>
          <w:rFonts w:ascii="Arial" w:eastAsia="Arial" w:hAnsi="Arial" w:cs="Arial"/>
          <w:i/>
          <w:color w:val="000000"/>
          <w:sz w:val="20"/>
        </w:rPr>
        <w:t>Id.</w:t>
      </w:r>
      <w:r>
        <w:rPr>
          <w:rFonts w:ascii="Arial" w:eastAsia="Arial" w:hAnsi="Arial" w:cs="Arial"/>
          <w:color w:val="000000"/>
          <w:sz w:val="20"/>
        </w:rPr>
        <w:t xml:space="preserve"> (emphasis added). We refer to this as the "necessity" exception.</w:t>
      </w:r>
    </w:p>
    <w:p w:rsidR="00022B47" w:rsidRDefault="00000000">
      <w:pPr>
        <w:pStyle w:val="Normal5"/>
        <w:widowControl w:val="0"/>
        <w:spacing w:before="200" w:line="260" w:lineRule="atLeast"/>
        <w:jc w:val="both"/>
      </w:pPr>
      <w:bookmarkStart w:id="878" w:name="Bookmark_para_24_4"/>
      <w:bookmarkEnd w:id="878"/>
      <w:r>
        <w:rPr>
          <w:rFonts w:ascii="Arial" w:eastAsia="Arial" w:hAnsi="Arial" w:cs="Arial"/>
          <w:color w:val="000000"/>
          <w:sz w:val="20"/>
        </w:rPr>
        <w:t xml:space="preserve">Putting the clauses together then, we observe that the ADA prohibits public accommodations from implementing discriminatory [**10]  eligibility criteria unless the criteria are "necessary" for provision of the good or service. Less helpfully, the ADA does not define what it means by "necessary." </w:t>
      </w:r>
      <w:r>
        <w:rPr>
          <w:rFonts w:ascii="Arial" w:eastAsia="Arial" w:hAnsi="Arial" w:cs="Arial"/>
          <w:i/>
          <w:color w:val="000000"/>
          <w:sz w:val="20"/>
        </w:rPr>
        <w:t>See id.</w:t>
      </w:r>
      <w:r>
        <w:rPr>
          <w:rFonts w:ascii="Arial" w:eastAsia="Arial" w:hAnsi="Arial" w:cs="Arial"/>
          <w:color w:val="000000"/>
          <w:sz w:val="20"/>
        </w:rPr>
        <w:t xml:space="preserve"> § 12181 (Definitions). We'll return to what the "necessity" exception entails in Section III.D. </w:t>
      </w:r>
      <w:r>
        <w:rPr>
          <w:rFonts w:ascii="Arial" w:eastAsia="Arial" w:hAnsi="Arial" w:cs="Arial"/>
          <w:i/>
          <w:color w:val="000000"/>
          <w:sz w:val="20"/>
        </w:rPr>
        <w:t>See infra</w:t>
      </w:r>
      <w:r>
        <w:rPr>
          <w:rFonts w:ascii="Arial" w:eastAsia="Arial" w:hAnsi="Arial" w:cs="Arial"/>
          <w:color w:val="000000"/>
          <w:sz w:val="20"/>
        </w:rPr>
        <w:t xml:space="preserve"> at 15.</w:t>
      </w:r>
    </w:p>
    <w:p w:rsidR="00022B47" w:rsidRDefault="00000000">
      <w:pPr>
        <w:pStyle w:val="Normal5"/>
        <w:widowControl w:val="0"/>
        <w:spacing w:before="200" w:line="260" w:lineRule="atLeast"/>
        <w:jc w:val="both"/>
      </w:pPr>
      <w:bookmarkStart w:id="879" w:name="Bookmark_para_25_4"/>
      <w:bookmarkStart w:id="880" w:name="Bookmark_LNHNREFclscc4_3"/>
      <w:bookmarkEnd w:id="879"/>
      <w:bookmarkEnd w:id="880"/>
      <w:r>
        <w:rPr>
          <w:rFonts w:ascii="Arial" w:eastAsia="Arial" w:hAnsi="Arial" w:cs="Arial"/>
          <w:color w:val="000000"/>
          <w:sz w:val="20"/>
        </w:rPr>
        <w:t xml:space="preserve">The ADA also precludes public accommodations from avoiding liability under the ADA through contractual delegation. It expressly states that public accommodations cannot "directly or through contractual or other arrangements, utilize standards or criteria or methods of administration" that have the effect of discriminating on the basis of disability. </w:t>
      </w:r>
      <w:r>
        <w:rPr>
          <w:rFonts w:ascii="Arial" w:eastAsia="Arial" w:hAnsi="Arial" w:cs="Arial"/>
          <w:i/>
          <w:color w:val="000000"/>
          <w:sz w:val="20"/>
        </w:rPr>
        <w:t>Id.</w:t>
      </w:r>
      <w:r>
        <w:rPr>
          <w:rFonts w:ascii="Arial" w:eastAsia="Arial" w:hAnsi="Arial" w:cs="Arial"/>
          <w:color w:val="000000"/>
          <w:sz w:val="20"/>
        </w:rPr>
        <w:t xml:space="preserve"> § 12182(b)(1)(D)(i). So for instance, if a vendor sets forth eligibility criteria for a product that are discriminatory and would not be permissible under the ADA if the public accommodation employed them, the public accommodation cannot avoid its responsibilities under the ADA not to discriminate by contracting with that vendor.</w:t>
      </w:r>
    </w:p>
    <w:p w:rsidR="00022B47" w:rsidRDefault="00000000">
      <w:pPr>
        <w:pStyle w:val="Normal5"/>
        <w:widowControl w:val="0"/>
        <w:spacing w:before="200" w:line="260" w:lineRule="atLeast"/>
        <w:jc w:val="both"/>
      </w:pPr>
      <w:bookmarkStart w:id="881" w:name="Bookmark_para_26_4"/>
      <w:bookmarkStart w:id="882" w:name="Bookmark_LNHNREFclscc5_3"/>
      <w:bookmarkEnd w:id="881"/>
      <w:bookmarkEnd w:id="882"/>
      <w:r>
        <w:rPr>
          <w:rFonts w:ascii="Arial" w:eastAsia="Arial" w:hAnsi="Arial" w:cs="Arial"/>
          <w:color w:val="000000"/>
          <w:sz w:val="20"/>
        </w:rPr>
        <w:t xml:space="preserve">Finally, the ADA has a "[r]elationship to other laws" provision. </w:t>
      </w:r>
      <w:r>
        <w:rPr>
          <w:rFonts w:ascii="Arial" w:eastAsia="Arial" w:hAnsi="Arial" w:cs="Arial"/>
          <w:i/>
          <w:color w:val="000000"/>
          <w:sz w:val="20"/>
        </w:rPr>
        <w:t>Id.</w:t>
      </w:r>
      <w:r>
        <w:rPr>
          <w:rFonts w:ascii="Arial" w:eastAsia="Arial" w:hAnsi="Arial" w:cs="Arial"/>
          <w:color w:val="000000"/>
          <w:sz w:val="20"/>
        </w:rPr>
        <w:t xml:space="preserve"> § 12201(b). In that section, the ADA provides that nothing in it should be construed to invalidate the "remedies, rights, and procedures of any Federal law or law of any State" that "provides greater [**11]  or equal protection for the rights of individuals with disabilities." </w:t>
      </w:r>
      <w:r>
        <w:rPr>
          <w:rFonts w:ascii="Arial" w:eastAsia="Arial" w:hAnsi="Arial" w:cs="Arial"/>
          <w:i/>
          <w:color w:val="000000"/>
          <w:sz w:val="20"/>
        </w:rPr>
        <w:t>Id.</w:t>
      </w:r>
      <w:r>
        <w:rPr>
          <w:rFonts w:ascii="Arial" w:eastAsia="Arial" w:hAnsi="Arial" w:cs="Arial"/>
          <w:color w:val="000000"/>
          <w:sz w:val="20"/>
        </w:rPr>
        <w:t xml:space="preserve"> In other words, the ADA raises the floor for disabled rights, but it does not limit the ceiling.</w:t>
      </w:r>
    </w:p>
    <w:p w:rsidR="00022B47" w:rsidRDefault="00000000">
      <w:pPr>
        <w:pStyle w:val="Normal5"/>
        <w:widowControl w:val="0"/>
        <w:spacing w:before="200" w:line="260" w:lineRule="atLeast"/>
        <w:jc w:val="both"/>
      </w:pPr>
      <w:bookmarkStart w:id="883" w:name="Bookmark_para_27_4"/>
      <w:bookmarkEnd w:id="883"/>
      <w:r>
        <w:rPr>
          <w:rFonts w:ascii="Arial" w:eastAsia="Arial" w:hAnsi="Arial" w:cs="Arial"/>
          <w:color w:val="000000"/>
          <w:sz w:val="20"/>
        </w:rPr>
        <w:t>Having outlined how this portion of the ADA generally functions, we next turn to what an ADA claimant must prove to establish liability.</w:t>
      </w:r>
    </w:p>
    <w:p w:rsidR="00022B47" w:rsidRDefault="00000000">
      <w:pPr>
        <w:pStyle w:val="Normal5"/>
        <w:widowControl w:val="0"/>
        <w:spacing w:before="240" w:line="260" w:lineRule="atLeast"/>
      </w:pPr>
      <w:r>
        <w:br/>
      </w:r>
      <w:r>
        <w:rPr>
          <w:rFonts w:ascii="Arial" w:eastAsia="Arial" w:hAnsi="Arial" w:cs="Arial"/>
          <w:i/>
          <w:color w:val="000000"/>
          <w:sz w:val="20"/>
        </w:rPr>
        <w:t>B. The Burden</w:t>
      </w:r>
    </w:p>
    <w:p w:rsidR="00022B47" w:rsidRDefault="00000000">
      <w:pPr>
        <w:pStyle w:val="Normal5"/>
        <w:widowControl w:val="0"/>
        <w:spacing w:before="200" w:line="260" w:lineRule="atLeast"/>
        <w:jc w:val="both"/>
      </w:pPr>
      <w:bookmarkStart w:id="884" w:name="Bookmark_para_28_4"/>
      <w:bookmarkEnd w:id="884"/>
      <w:r>
        <w:rPr>
          <w:rFonts w:ascii="Arial" w:eastAsia="Arial" w:hAnsi="Arial" w:cs="Arial"/>
          <w:color w:val="000000"/>
          <w:sz w:val="20"/>
        </w:rPr>
        <w:t xml:space="preserve">We begin with determining where the burden lies </w:t>
      </w:r>
      <w:bookmarkStart w:id="885" w:name="Bookmark_LNHNREFclscc6_3"/>
      <w:bookmarkEnd w:id="885"/>
      <w:r>
        <w:rPr>
          <w:rFonts w:ascii="Arial" w:eastAsia="Arial" w:hAnsi="Arial" w:cs="Arial"/>
          <w:color w:val="000000"/>
          <w:sz w:val="20"/>
        </w:rPr>
        <w:t xml:space="preserve">in a "discriminatory eligibility criteria" case like one. We hold that, in this kind of case, the plaintiff bears the initial burden of proof to show that (1) he  [*1252]  or she has a "disability"; (2) the defendant is a place of public accommodation; and (3) the defendant imposed an eligibility criterion that "that screen[ed] out or tend[ed] to screen out an individual with a disability," </w:t>
      </w:r>
      <w:r>
        <w:rPr>
          <w:rFonts w:ascii="Arial" w:eastAsia="Arial" w:hAnsi="Arial" w:cs="Arial"/>
          <w:i/>
          <w:color w:val="000000"/>
          <w:sz w:val="20"/>
        </w:rPr>
        <w:t>id.</w:t>
      </w:r>
      <w:r>
        <w:rPr>
          <w:rFonts w:ascii="Arial" w:eastAsia="Arial" w:hAnsi="Arial" w:cs="Arial"/>
          <w:color w:val="000000"/>
          <w:sz w:val="20"/>
        </w:rPr>
        <w:t xml:space="preserve"> § 12182(b)(2)(A)(i)—the prima facie case. Once the plaintiff makes or establishes a prima facie case, the burden shifts to the defendant to show that the eligibility criterion is "necessary for the provision of the goods, services, facilities, privileges, advantages, or accommodations being offered." </w:t>
      </w:r>
      <w:r>
        <w:rPr>
          <w:rFonts w:ascii="Arial" w:eastAsia="Arial" w:hAnsi="Arial" w:cs="Arial"/>
          <w:i/>
          <w:color w:val="000000"/>
          <w:sz w:val="20"/>
        </w:rPr>
        <w:t>Id.</w:t>
      </w:r>
    </w:p>
    <w:p w:rsidR="00022B47" w:rsidRDefault="00000000">
      <w:pPr>
        <w:pStyle w:val="Normal5"/>
        <w:widowControl w:val="0"/>
        <w:spacing w:before="200" w:line="260" w:lineRule="atLeast"/>
        <w:jc w:val="both"/>
      </w:pPr>
      <w:bookmarkStart w:id="886" w:name="Bookmark_para_29_4"/>
      <w:bookmarkEnd w:id="886"/>
      <w:r>
        <w:rPr>
          <w:rFonts w:ascii="Arial" w:eastAsia="Arial" w:hAnsi="Arial" w:cs="Arial"/>
          <w:color w:val="000000"/>
          <w:sz w:val="20"/>
        </w:rPr>
        <w:t>This burden-shifting standard comports both with the text of the statute and with how courts have interpreted parallel clauses of section 12182(b)(2)(A). The plaintiff's burden, of [**12]  course, follows the text of subsection 12182(b)(2)(A)(i). And the burden-shifting portion mirrors how courts have interpreted other clauses of the same section.</w:t>
      </w:r>
    </w:p>
    <w:p w:rsidR="00022B47" w:rsidRDefault="00000000">
      <w:pPr>
        <w:pStyle w:val="Normal5"/>
        <w:widowControl w:val="0"/>
        <w:spacing w:before="200" w:line="260" w:lineRule="atLeast"/>
        <w:jc w:val="both"/>
      </w:pPr>
      <w:bookmarkStart w:id="887" w:name="Bookmark_para_30_4"/>
      <w:bookmarkEnd w:id="887"/>
      <w:r>
        <w:rPr>
          <w:rFonts w:ascii="Arial" w:eastAsia="Arial" w:hAnsi="Arial" w:cs="Arial"/>
          <w:color w:val="000000"/>
          <w:sz w:val="20"/>
        </w:rPr>
        <w:t xml:space="preserve">For instance, in subsection 12182(b)(2)(A)(ii)—one clause down from the one we're construing—the ADA prohibits failure to modify policies, practices, or procedures to allow those with a disability to enjoy the public accommodation "unless such modifications would fundamentally alter the nature of such . . . facilities ...." </w:t>
      </w:r>
      <w:bookmarkStart w:id="888" w:name="Bookmark_I68P4BD12SF8JS0010000400"/>
      <w:bookmarkEnd w:id="888"/>
      <w:r>
        <w:rPr>
          <w:rFonts w:ascii="Arial" w:eastAsia="Arial" w:hAnsi="Arial" w:cs="Arial"/>
          <w:i/>
          <w:color w:val="000000"/>
          <w:sz w:val="20"/>
        </w:rPr>
        <w:t>Id.</w:t>
      </w:r>
      <w:r>
        <w:rPr>
          <w:rFonts w:ascii="Arial" w:eastAsia="Arial" w:hAnsi="Arial" w:cs="Arial"/>
          <w:color w:val="000000"/>
          <w:sz w:val="20"/>
        </w:rPr>
        <w:t xml:space="preserve"> § 12182(b)(2)(A)(ii). Like subsection 12182(b)(2)(A)(i), subsection (ii) imposes a general prohibition followed by an exception. We have explained that in subsection (ii) cases, "[t]he defendant private entity bears the burden of proof on the fundamental alteration inquiry." </w:t>
      </w:r>
      <w:bookmarkStart w:id="889" w:name="Bookmark_I68P4BD12SF8JM0050000400"/>
      <w:bookmarkEnd w:id="889"/>
      <w:r>
        <w:rPr>
          <w:rFonts w:ascii="Arial" w:eastAsia="Arial" w:hAnsi="Arial" w:cs="Arial"/>
          <w:i/>
          <w:color w:val="000000"/>
          <w:sz w:val="20"/>
        </w:rPr>
        <w:t>A.L. by &amp; through D.L. v. Walt Disney Parks &amp; Resorts US, Inc.</w:t>
      </w:r>
      <w:r>
        <w:rPr>
          <w:rFonts w:ascii="Arial" w:eastAsia="Arial" w:hAnsi="Arial" w:cs="Arial"/>
          <w:color w:val="000000"/>
          <w:sz w:val="20"/>
        </w:rPr>
        <w:t>, 900 F.3d 1270, 1292 (11th Cir. 2018).</w:t>
      </w:r>
    </w:p>
    <w:p w:rsidR="00022B47" w:rsidRDefault="00000000">
      <w:pPr>
        <w:pStyle w:val="Normal5"/>
        <w:widowControl w:val="0"/>
        <w:spacing w:before="200" w:line="260" w:lineRule="atLeast"/>
        <w:jc w:val="both"/>
      </w:pPr>
      <w:bookmarkStart w:id="890" w:name="Bookmark_para_31_4"/>
      <w:bookmarkStart w:id="891" w:name="Bookmark_I68P4BD12SF8JS0030000400"/>
      <w:bookmarkEnd w:id="890"/>
      <w:bookmarkEnd w:id="891"/>
      <w:r>
        <w:rPr>
          <w:rFonts w:ascii="Arial" w:eastAsia="Arial" w:hAnsi="Arial" w:cs="Arial"/>
          <w:color w:val="000000"/>
          <w:sz w:val="20"/>
        </w:rPr>
        <w:t xml:space="preserve">Similarly, subsection 12182(b)(2)(A)(iii) requires provision of auxiliary aids and services unless the public accommodation can demonstrate that taking such steps would "fundamentally alter" the nature of the facilities being offered or would result in an "undue burden." It shares the same structure of a general prohibition followed by an exception. While we haven't interpreted this section, some of our sister circuits have. And without exception, they have held that the public accommodation bears the burden of proving either a fundamental alteration or an undue burden. </w:t>
      </w:r>
      <w:bookmarkStart w:id="892" w:name="Bookmark_I68P4BD12SF8JS0020000400"/>
      <w:bookmarkEnd w:id="892"/>
      <w:r>
        <w:rPr>
          <w:rFonts w:ascii="Arial" w:eastAsia="Arial" w:hAnsi="Arial" w:cs="Arial"/>
          <w:i/>
          <w:color w:val="000000"/>
          <w:sz w:val="20"/>
        </w:rPr>
        <w:t>McGann v. Cinemark USA, Inc.</w:t>
      </w:r>
      <w:r>
        <w:rPr>
          <w:rFonts w:ascii="Arial" w:eastAsia="Arial" w:hAnsi="Arial" w:cs="Arial"/>
          <w:color w:val="000000"/>
          <w:sz w:val="20"/>
        </w:rPr>
        <w:t xml:space="preserve">, 873 F.3d 218, 230-31 (3d Cir. 2017); </w:t>
      </w:r>
      <w:bookmarkStart w:id="893" w:name="Bookmark_I68P4BD12SF8JS0040000400"/>
      <w:bookmarkEnd w:id="893"/>
      <w:r>
        <w:rPr>
          <w:rFonts w:ascii="Arial" w:eastAsia="Arial" w:hAnsi="Arial" w:cs="Arial"/>
          <w:i/>
          <w:color w:val="000000"/>
          <w:sz w:val="20"/>
        </w:rPr>
        <w:t>Argenyi v. Creighton Univ.</w:t>
      </w:r>
      <w:r>
        <w:rPr>
          <w:rFonts w:ascii="Arial" w:eastAsia="Arial" w:hAnsi="Arial" w:cs="Arial"/>
          <w:color w:val="000000"/>
          <w:sz w:val="20"/>
        </w:rPr>
        <w:t xml:space="preserve">, 703 F.3d 441, 451 n.3 (8th Cir. 2013); </w:t>
      </w:r>
      <w:bookmarkStart w:id="894" w:name="Bookmark_I68P4BD228T4R00010000400"/>
      <w:bookmarkEnd w:id="894"/>
      <w:r>
        <w:rPr>
          <w:rFonts w:ascii="Arial" w:eastAsia="Arial" w:hAnsi="Arial" w:cs="Arial"/>
          <w:i/>
          <w:color w:val="000000"/>
          <w:sz w:val="20"/>
        </w:rPr>
        <w:t>Ariz. ex rel. Goddard v. Harkins Amusement Enters., Inc.</w:t>
      </w:r>
      <w:r>
        <w:rPr>
          <w:rFonts w:ascii="Arial" w:eastAsia="Arial" w:hAnsi="Arial" w:cs="Arial"/>
          <w:color w:val="000000"/>
          <w:sz w:val="20"/>
        </w:rPr>
        <w:t>, 603 F.3d 666, 673 n.2 (9th Cir. 2010).</w:t>
      </w:r>
    </w:p>
    <w:p w:rsidR="00022B47" w:rsidRDefault="00000000">
      <w:pPr>
        <w:pStyle w:val="Normal5"/>
        <w:widowControl w:val="0"/>
        <w:spacing w:before="200" w:line="260" w:lineRule="atLeast"/>
        <w:jc w:val="both"/>
      </w:pPr>
      <w:bookmarkStart w:id="895" w:name="Bookmark_para_32_4"/>
      <w:bookmarkStart w:id="896" w:name="Bookmark_I68P4BD228T4R00040000400"/>
      <w:bookmarkEnd w:id="895"/>
      <w:bookmarkEnd w:id="896"/>
      <w:r>
        <w:rPr>
          <w:rFonts w:ascii="Arial" w:eastAsia="Arial" w:hAnsi="Arial" w:cs="Arial"/>
          <w:color w:val="000000"/>
          <w:sz w:val="20"/>
        </w:rPr>
        <w:t xml:space="preserve">We've also noted [**13]  this same type of burden-shifting analysis applies in ADA Title II cases. In </w:t>
      </w:r>
      <w:bookmarkStart w:id="897" w:name="Bookmark_I68P4BD228T4R00030000400"/>
      <w:bookmarkEnd w:id="897"/>
      <w:r>
        <w:rPr>
          <w:rFonts w:ascii="Arial" w:eastAsia="Arial" w:hAnsi="Arial" w:cs="Arial"/>
          <w:i/>
          <w:color w:val="000000"/>
          <w:sz w:val="20"/>
        </w:rPr>
        <w:t>Sailboat Bend Sober Living, LLC v. City of Fort Lauderadale</w:t>
      </w:r>
      <w:r>
        <w:rPr>
          <w:rFonts w:ascii="Arial" w:eastAsia="Arial" w:hAnsi="Arial" w:cs="Arial"/>
          <w:color w:val="000000"/>
          <w:sz w:val="20"/>
        </w:rPr>
        <w:t xml:space="preserve">, 46 F.4th 1268, 1277 (11th Cir. 2022), we said that "[i]f a plaintiff has made a </w:t>
      </w:r>
      <w:r>
        <w:rPr>
          <w:rFonts w:ascii="Arial" w:eastAsia="Arial" w:hAnsi="Arial" w:cs="Arial"/>
          <w:i/>
          <w:color w:val="000000"/>
          <w:sz w:val="20"/>
        </w:rPr>
        <w:t>prima facie</w:t>
      </w:r>
      <w:r>
        <w:rPr>
          <w:rFonts w:ascii="Arial" w:eastAsia="Arial" w:hAnsi="Arial" w:cs="Arial"/>
          <w:color w:val="000000"/>
          <w:sz w:val="20"/>
        </w:rPr>
        <w:t xml:space="preserve"> showing of disparate treatment under the FHA or ADA, the burden of going forward shifts to the defendant to establish that the differential treatment is justified."</w:t>
      </w:r>
    </w:p>
    <w:p w:rsidR="00022B47" w:rsidRDefault="00000000">
      <w:pPr>
        <w:pStyle w:val="Normal5"/>
        <w:widowControl w:val="0"/>
        <w:spacing w:before="200" w:line="260" w:lineRule="atLeast"/>
        <w:jc w:val="both"/>
      </w:pPr>
      <w:bookmarkStart w:id="898" w:name="Bookmark_para_33_3"/>
      <w:bookmarkEnd w:id="898"/>
      <w:r>
        <w:rPr>
          <w:rFonts w:ascii="Arial" w:eastAsia="Arial" w:hAnsi="Arial" w:cs="Arial"/>
          <w:color w:val="000000"/>
          <w:sz w:val="20"/>
        </w:rPr>
        <w:t xml:space="preserve">This makes sense, of course, because the public accommodation or public entity is in a unique (and far better) position than the plaintiff to know why compliance would "fundamentally alter" the nature of the facility it offers (42 U.S.C. § 12182(b)(2)(A)(ii)-(iii)), or why differential treatment would be justified (ADA Title II cases), or as in this case, would be "necessary." Indeed, whether (1) a certain requirement is "necessary" to the facility, or (2) changing that requirement would "fundamentally alter" the defendant's facility, or (3) the differential treatment is "justified" turns on facts uniquely in the defendant's possession. That is, all these determinations go to the core of the facility the defendant offers. Not only that, but the public accommodation or public entity—not the plaintiff—is the party with the incentive to show why noncompliance would be "necessary," 42 U.S.C. § 12182(b)(2)(A)(i),  [*1253]  why compliance would "fundamentally alter the [**14]  nature of" what is being offered, </w:t>
      </w:r>
      <w:r>
        <w:rPr>
          <w:rFonts w:ascii="Arial" w:eastAsia="Arial" w:hAnsi="Arial" w:cs="Arial"/>
          <w:i/>
          <w:color w:val="000000"/>
          <w:sz w:val="20"/>
        </w:rPr>
        <w:t>id.</w:t>
      </w:r>
      <w:r>
        <w:rPr>
          <w:rFonts w:ascii="Arial" w:eastAsia="Arial" w:hAnsi="Arial" w:cs="Arial"/>
          <w:color w:val="000000"/>
          <w:sz w:val="20"/>
        </w:rPr>
        <w:t xml:space="preserve"> § 12182(b)(2)(A)(ii), or why compliance "would result in an undue burden," </w:t>
      </w:r>
      <w:r>
        <w:rPr>
          <w:rFonts w:ascii="Arial" w:eastAsia="Arial" w:hAnsi="Arial" w:cs="Arial"/>
          <w:i/>
          <w:color w:val="000000"/>
          <w:sz w:val="20"/>
        </w:rPr>
        <w:t>id.</w:t>
      </w:r>
      <w:r>
        <w:rPr>
          <w:rFonts w:ascii="Arial" w:eastAsia="Arial" w:hAnsi="Arial" w:cs="Arial"/>
          <w:color w:val="000000"/>
          <w:sz w:val="20"/>
        </w:rPr>
        <w:t xml:space="preserve"> § 12182(b)(2)(A)(iii).</w:t>
      </w:r>
    </w:p>
    <w:p w:rsidR="00022B47" w:rsidRDefault="00000000">
      <w:pPr>
        <w:pStyle w:val="Normal5"/>
        <w:widowControl w:val="0"/>
        <w:spacing w:before="200" w:line="260" w:lineRule="atLeast"/>
        <w:jc w:val="both"/>
      </w:pPr>
      <w:bookmarkStart w:id="899" w:name="Bookmark_para_34_3"/>
      <w:bookmarkStart w:id="900" w:name="Bookmark_I68P4BD22D6MXV0010000400"/>
      <w:bookmarkEnd w:id="899"/>
      <w:bookmarkEnd w:id="900"/>
      <w:r>
        <w:rPr>
          <w:rFonts w:ascii="Arial" w:eastAsia="Arial" w:hAnsi="Arial" w:cs="Arial"/>
          <w:color w:val="000000"/>
          <w:sz w:val="20"/>
        </w:rPr>
        <w:t xml:space="preserve">To be sure, we've construed subsection 12182(b)(2)(A)(iv) somewhat differently, understanding it to place the burden on the plaintiff to show the public accommodation is able to comply with the general antidiscrimination rule, as opposed to requiring the public accommodation to show that it cannot (as subsections (i), (ii), and (iii) demand). </w:t>
      </w:r>
      <w:bookmarkStart w:id="901" w:name="Bookmark_I68P4BD228T4R00050000400"/>
      <w:bookmarkEnd w:id="901"/>
      <w:r>
        <w:rPr>
          <w:rFonts w:ascii="Arial" w:eastAsia="Arial" w:hAnsi="Arial" w:cs="Arial"/>
          <w:i/>
          <w:color w:val="000000"/>
          <w:sz w:val="20"/>
        </w:rPr>
        <w:t>Garthright-Dietrich v. Atlanta Landmarks, Inc.</w:t>
      </w:r>
      <w:r>
        <w:rPr>
          <w:rFonts w:ascii="Arial" w:eastAsia="Arial" w:hAnsi="Arial" w:cs="Arial"/>
          <w:color w:val="000000"/>
          <w:sz w:val="20"/>
        </w:rPr>
        <w:t>, 452 F.3d 1269, 1273-74 (11th Cir. 2006). That is, subsection (iv) is the exception to the general rule we've just laid out. But as we've noted, just about every rule has its exception (and this rule is no exception, either). That exception does not govern here, though, because subsection (iv)'s unique text requires its unique construction. And subsections (i) through (iii) do not share those same textual characteristics.</w:t>
      </w:r>
    </w:p>
    <w:p w:rsidR="00022B47" w:rsidRDefault="00000000">
      <w:pPr>
        <w:pStyle w:val="Normal5"/>
        <w:widowControl w:val="0"/>
        <w:spacing w:before="200" w:line="260" w:lineRule="atLeast"/>
        <w:jc w:val="both"/>
      </w:pPr>
      <w:bookmarkStart w:id="902" w:name="Bookmark_para_35_3"/>
      <w:bookmarkEnd w:id="902"/>
      <w:r>
        <w:rPr>
          <w:rFonts w:ascii="Arial" w:eastAsia="Arial" w:hAnsi="Arial" w:cs="Arial"/>
          <w:color w:val="000000"/>
          <w:sz w:val="20"/>
        </w:rPr>
        <w:t xml:space="preserve">For starters, we must read subsection (iv) in conjunction with subsection (v), which expressly references subsection (iv). Subsection (iv) requires the removal of architectural barriers when removal is "readily achievable" </w:t>
      </w:r>
      <w:r>
        <w:rPr>
          <w:rFonts w:ascii="Arial" w:eastAsia="Arial" w:hAnsi="Arial" w:cs="Arial"/>
          <w:i/>
          <w:color w:val="000000"/>
          <w:sz w:val="20"/>
        </w:rPr>
        <w:t>unless</w:t>
      </w:r>
      <w:r>
        <w:rPr>
          <w:rFonts w:ascii="Arial" w:eastAsia="Arial" w:hAnsi="Arial" w:cs="Arial"/>
          <w:color w:val="000000"/>
          <w:sz w:val="20"/>
        </w:rPr>
        <w:t xml:space="preserve"> (v) "an entity can demonstrate that the removal of a barrier under clause (iv) is not readily achievable." </w:t>
      </w:r>
      <w:r>
        <w:rPr>
          <w:rFonts w:ascii="Arial" w:eastAsia="Arial" w:hAnsi="Arial" w:cs="Arial"/>
          <w:i/>
          <w:color w:val="000000"/>
          <w:sz w:val="20"/>
        </w:rPr>
        <w:t>Id.</w:t>
      </w:r>
      <w:r>
        <w:rPr>
          <w:rFonts w:ascii="Arial" w:eastAsia="Arial" w:hAnsi="Arial" w:cs="Arial"/>
          <w:color w:val="000000"/>
          <w:sz w:val="20"/>
        </w:rPr>
        <w:t xml:space="preserve"> § 12182(b)(2)(A)(iv)-(v). But in that case, subsection (v) prohibits the failure to make goods, services, and accommodations "available through alternative methods if such methods are readily achievable." </w:t>
      </w:r>
      <w:r>
        <w:rPr>
          <w:rFonts w:ascii="Arial" w:eastAsia="Arial" w:hAnsi="Arial" w:cs="Arial"/>
          <w:i/>
          <w:color w:val="000000"/>
          <w:sz w:val="20"/>
        </w:rPr>
        <w:t>Id.</w:t>
      </w:r>
    </w:p>
    <w:p w:rsidR="00022B47" w:rsidRDefault="00000000">
      <w:pPr>
        <w:pStyle w:val="Normal5"/>
        <w:widowControl w:val="0"/>
        <w:spacing w:before="200" w:line="260" w:lineRule="atLeast"/>
        <w:jc w:val="both"/>
      </w:pPr>
      <w:bookmarkStart w:id="903" w:name="Bookmark_para_36_3"/>
      <w:bookmarkEnd w:id="903"/>
      <w:r>
        <w:rPr>
          <w:rFonts w:ascii="Arial" w:eastAsia="Arial" w:hAnsi="Arial" w:cs="Arial"/>
          <w:color w:val="000000"/>
          <w:sz w:val="20"/>
        </w:rPr>
        <w:t xml:space="preserve">Both subsections (iv) and (v) concern removal [**15]  of barriers and provision of facilities through alternative methods that are "readily achievable." That phrase requires a positive showing—that a public accommodation </w:t>
      </w:r>
      <w:r>
        <w:rPr>
          <w:rFonts w:ascii="Arial" w:eastAsia="Arial" w:hAnsi="Arial" w:cs="Arial"/>
          <w:i/>
          <w:color w:val="000000"/>
          <w:sz w:val="20"/>
        </w:rPr>
        <w:t>is able</w:t>
      </w:r>
      <w:r>
        <w:rPr>
          <w:rFonts w:ascii="Arial" w:eastAsia="Arial" w:hAnsi="Arial" w:cs="Arial"/>
          <w:color w:val="000000"/>
          <w:sz w:val="20"/>
        </w:rPr>
        <w:t xml:space="preserve"> to avoid discrimination because it is able to remove a barrier. In contrast, subsections (i) through (iii) require a negative showing—that a public accommodation </w:t>
      </w:r>
      <w:r>
        <w:rPr>
          <w:rFonts w:ascii="Arial" w:eastAsia="Arial" w:hAnsi="Arial" w:cs="Arial"/>
          <w:i/>
          <w:color w:val="000000"/>
          <w:sz w:val="20"/>
        </w:rPr>
        <w:t>is not able</w:t>
      </w:r>
      <w:r>
        <w:rPr>
          <w:rFonts w:ascii="Arial" w:eastAsia="Arial" w:hAnsi="Arial" w:cs="Arial"/>
          <w:color w:val="000000"/>
          <w:sz w:val="20"/>
        </w:rPr>
        <w:t xml:space="preserve"> to avoid discrimination because discrimination is "necessary," "would fundamentally alter the nature" of the accommodation, or "would result in an undue burden." So the interest and incentive to show that removal of a barrier in subsection (iv) is "readily achievable" aligns naturally with the plaintiff's interest—unlike the interests to show that discrimination is "necessary," "would fundamentally alter the nature" of the accommodation, or "would result in an undue burden."</w:t>
      </w:r>
    </w:p>
    <w:p w:rsidR="00022B47" w:rsidRDefault="00000000">
      <w:pPr>
        <w:pStyle w:val="Normal5"/>
        <w:widowControl w:val="0"/>
        <w:spacing w:before="200" w:line="260" w:lineRule="atLeast"/>
        <w:jc w:val="both"/>
      </w:pPr>
      <w:bookmarkStart w:id="904" w:name="Bookmark_para_37_2"/>
      <w:bookmarkEnd w:id="904"/>
      <w:r>
        <w:rPr>
          <w:rFonts w:ascii="Arial" w:eastAsia="Arial" w:hAnsi="Arial" w:cs="Arial"/>
          <w:color w:val="000000"/>
          <w:sz w:val="20"/>
        </w:rPr>
        <w:t>Also unlike with the required showings in subsections (i) through (iii), the facts necessary to establish that removal of a barrier is "readily achievable" are not peculiarly within the public accommodation's knowledge. Architectural experts on whether removal of a barrier is "readily achievable" are equally available to both plaintiffs and accommodations.</w:t>
      </w:r>
    </w:p>
    <w:p w:rsidR="00022B47" w:rsidRDefault="00000000">
      <w:pPr>
        <w:pStyle w:val="Normal5"/>
        <w:widowControl w:val="0"/>
        <w:spacing w:before="200" w:line="260" w:lineRule="atLeast"/>
        <w:jc w:val="both"/>
      </w:pPr>
      <w:bookmarkStart w:id="905" w:name="Bookmark_para_38_2"/>
      <w:bookmarkEnd w:id="905"/>
      <w:r>
        <w:rPr>
          <w:rFonts w:ascii="Arial" w:eastAsia="Arial" w:hAnsi="Arial" w:cs="Arial"/>
          <w:color w:val="000000"/>
          <w:sz w:val="20"/>
        </w:rPr>
        <w:t xml:space="preserve">And one last feature of subsections (iv) and (v) requires a different burden placement than under subsections (i) through (iii). Once a [**16]  plaintiff shows that removal of a barrier is "readily achievable," subsection (v) provides the public accommodation with the opportunity to show that it is not. </w:t>
      </w:r>
      <w:r>
        <w:rPr>
          <w:rFonts w:ascii="Arial" w:eastAsia="Arial" w:hAnsi="Arial" w:cs="Arial"/>
          <w:i/>
          <w:color w:val="000000"/>
          <w:sz w:val="20"/>
        </w:rPr>
        <w:t>Id.</w:t>
      </w:r>
      <w:r>
        <w:rPr>
          <w:rFonts w:ascii="Arial" w:eastAsia="Arial" w:hAnsi="Arial" w:cs="Arial"/>
          <w:color w:val="000000"/>
          <w:sz w:val="20"/>
        </w:rPr>
        <w:t xml:space="preserve"> § 12182(b)(2)(A)(v) ("where an entity can demonstrate that the removal of a barrier under clause (iv) is not readily achievable . . ."). In other words, subsection (v)'s text expressly anticipates two burdens: the plaintiff's in subsection (iv) to show removal is "readily achievable," and the public accommodation's in subsection (v) to show removal is "not readily achievable." </w:t>
      </w:r>
      <w:r>
        <w:rPr>
          <w:rFonts w:ascii="Arial" w:eastAsia="Arial" w:hAnsi="Arial" w:cs="Arial"/>
          <w:i/>
          <w:color w:val="000000"/>
          <w:sz w:val="20"/>
        </w:rPr>
        <w:t>Id.</w:t>
      </w:r>
      <w:r>
        <w:rPr>
          <w:rFonts w:ascii="Arial" w:eastAsia="Arial" w:hAnsi="Arial" w:cs="Arial"/>
          <w:color w:val="000000"/>
          <w:sz w:val="20"/>
        </w:rPr>
        <w:t xml:space="preserve"> It would make no sense for a single party to bear the burden to show both that the removal was "readily achievable" and that it was "not readily achievable."</w:t>
      </w:r>
    </w:p>
    <w:p w:rsidR="00022B47" w:rsidRDefault="00000000">
      <w:pPr>
        <w:pStyle w:val="Normal5"/>
        <w:widowControl w:val="0"/>
        <w:spacing w:before="200" w:line="260" w:lineRule="atLeast"/>
        <w:jc w:val="both"/>
      </w:pPr>
      <w:bookmarkStart w:id="906" w:name="Bookmark_para_39_1"/>
      <w:bookmarkEnd w:id="906"/>
      <w:r>
        <w:rPr>
          <w:rFonts w:ascii="Arial" w:eastAsia="Arial" w:hAnsi="Arial" w:cs="Arial"/>
          <w:color w:val="000000"/>
          <w:sz w:val="20"/>
        </w:rPr>
        <w:t xml:space="preserve"> [*1254]  </w:t>
      </w:r>
      <w:bookmarkStart w:id="907" w:name="Bookmark_LNHNREFclscc7_2"/>
      <w:bookmarkEnd w:id="907"/>
      <w:r>
        <w:rPr>
          <w:rFonts w:ascii="Arial" w:eastAsia="Arial" w:hAnsi="Arial" w:cs="Arial"/>
          <w:color w:val="000000"/>
          <w:sz w:val="20"/>
        </w:rPr>
        <w:t>In short, we must read subsection 12182(b)(2)(A)(i) to place the burden on the public accommodation to show that discrimination is "necessary." So if the plaintiff shows that (1) he or she has a disability, (2) the defendant is a public accommodation, and (3) the defendant uses eligibility criteria that screen or (or tend to screen out) people with disabilities, then the burden shifts to the defendant to show that the eligibility criteria is "necessary."</w:t>
      </w:r>
    </w:p>
    <w:p w:rsidR="00022B47" w:rsidRDefault="00000000">
      <w:pPr>
        <w:pStyle w:val="Normal5"/>
        <w:widowControl w:val="0"/>
        <w:spacing w:before="240" w:line="260" w:lineRule="atLeast"/>
      </w:pPr>
      <w:r>
        <w:br/>
      </w:r>
      <w:r>
        <w:rPr>
          <w:rFonts w:ascii="Arial" w:eastAsia="Arial" w:hAnsi="Arial" w:cs="Arial"/>
          <w:i/>
          <w:color w:val="000000"/>
          <w:sz w:val="20"/>
        </w:rPr>
        <w:t>C. The Plaintiff's Burden</w:t>
      </w:r>
    </w:p>
    <w:p w:rsidR="00022B47" w:rsidRDefault="00000000">
      <w:pPr>
        <w:pStyle w:val="Normal5"/>
        <w:widowControl w:val="0"/>
        <w:spacing w:before="200" w:line="260" w:lineRule="atLeast"/>
        <w:jc w:val="both"/>
      </w:pPr>
      <w:bookmarkStart w:id="908" w:name="Bookmark_para_40_1"/>
      <w:bookmarkEnd w:id="908"/>
      <w:r>
        <w:rPr>
          <w:rFonts w:ascii="Arial" w:eastAsia="Arial" w:hAnsi="Arial" w:cs="Arial"/>
          <w:color w:val="000000"/>
          <w:sz w:val="20"/>
        </w:rPr>
        <w:t xml:space="preserve">Applying the burden-shifting analysis to this case, we easily conclude that Campbell has satisfied his burden. The [**17]  parties stipulated that Campbell has a disability and that Universal's park, Volcano Bay, is a public accommodation. </w:t>
      </w:r>
      <w:bookmarkStart w:id="909" w:name="Bookmark_I68P4BD22D6MXV0030000400"/>
      <w:bookmarkEnd w:id="909"/>
      <w:r>
        <w:rPr>
          <w:rFonts w:ascii="Arial" w:eastAsia="Arial" w:hAnsi="Arial" w:cs="Arial"/>
          <w:color w:val="000000"/>
          <w:sz w:val="20"/>
        </w:rPr>
        <w:t xml:space="preserve">Universal hasn't contested that its two-hands-to-ride eligibility criterion screens out or tends to screen out those with disabilities. Universal has therefore forfeited any argument to the contrary. </w:t>
      </w:r>
      <w:bookmarkStart w:id="910" w:name="Bookmark_I68P4BD22D6MXV0020000400"/>
      <w:bookmarkEnd w:id="910"/>
      <w:r>
        <w:rPr>
          <w:rFonts w:ascii="Arial" w:eastAsia="Arial" w:hAnsi="Arial" w:cs="Arial"/>
          <w:i/>
          <w:color w:val="000000"/>
          <w:sz w:val="20"/>
        </w:rPr>
        <w:t>United States v. Campbell</w:t>
      </w:r>
      <w:r>
        <w:rPr>
          <w:rFonts w:ascii="Arial" w:eastAsia="Arial" w:hAnsi="Arial" w:cs="Arial"/>
          <w:color w:val="000000"/>
          <w:sz w:val="20"/>
        </w:rPr>
        <w:t>, 26 F.4th 860, 872 (11th Cir. 2022) (en banc).</w:t>
      </w:r>
    </w:p>
    <w:p w:rsidR="00022B47" w:rsidRDefault="00000000">
      <w:pPr>
        <w:pStyle w:val="Normal5"/>
        <w:widowControl w:val="0"/>
        <w:spacing w:before="200" w:line="260" w:lineRule="atLeast"/>
        <w:jc w:val="both"/>
      </w:pPr>
      <w:bookmarkStart w:id="911" w:name="Bookmark_para_41_1"/>
      <w:bookmarkEnd w:id="911"/>
      <w:r>
        <w:rPr>
          <w:rFonts w:ascii="Arial" w:eastAsia="Arial" w:hAnsi="Arial" w:cs="Arial"/>
          <w:color w:val="000000"/>
          <w:sz w:val="20"/>
        </w:rPr>
        <w:t>We turn, then, to what it means for an eligibility criterion to be "necessary."</w:t>
      </w:r>
    </w:p>
    <w:p w:rsidR="00022B47" w:rsidRDefault="00000000">
      <w:pPr>
        <w:pStyle w:val="Normal5"/>
        <w:widowControl w:val="0"/>
        <w:spacing w:before="240" w:line="260" w:lineRule="atLeast"/>
      </w:pPr>
      <w:r>
        <w:br/>
      </w:r>
      <w:r>
        <w:rPr>
          <w:rFonts w:ascii="Arial" w:eastAsia="Arial" w:hAnsi="Arial" w:cs="Arial"/>
          <w:i/>
          <w:color w:val="000000"/>
          <w:sz w:val="20"/>
        </w:rPr>
        <w:t>D. The Defendant's Burden: Necessity</w:t>
      </w:r>
    </w:p>
    <w:p w:rsidR="00022B47" w:rsidRDefault="00000000">
      <w:pPr>
        <w:pStyle w:val="Normal5"/>
        <w:widowControl w:val="0"/>
        <w:spacing w:before="200" w:line="260" w:lineRule="atLeast"/>
        <w:jc w:val="both"/>
      </w:pPr>
      <w:bookmarkStart w:id="912" w:name="Bookmark_para_42_1"/>
      <w:bookmarkStart w:id="913" w:name="Bookmark_LNHNREFclscc8_2"/>
      <w:bookmarkEnd w:id="912"/>
      <w:bookmarkEnd w:id="913"/>
      <w:r>
        <w:rPr>
          <w:rFonts w:ascii="Arial" w:eastAsia="Arial" w:hAnsi="Arial" w:cs="Arial"/>
          <w:color w:val="000000"/>
          <w:sz w:val="20"/>
        </w:rPr>
        <w:t>As we've mentioned, the ADA's prohibition on discriminatory eligibility criteria carves out an exception for those criteria that are "necessary." 42 U.S.C. § 12182(b)(2)(A)(i). But the parties disagree about what that term means. Universal says that "necessary" includes compliance with state law, reliance on manufacturers' recommendations because of their comparative advantage in dealing with equipment they sell, and avoiding undue administrative costs. For his part, Campbell insists that discrimination qualifies as "necessary" only if it is required for safety. We think that Campbell's definition is too narrow and that Universal's is too broad.</w:t>
      </w:r>
    </w:p>
    <w:p w:rsidR="00022B47" w:rsidRDefault="00000000">
      <w:pPr>
        <w:pStyle w:val="Normal5"/>
        <w:widowControl w:val="0"/>
        <w:spacing w:before="200" w:line="260" w:lineRule="atLeast"/>
        <w:jc w:val="both"/>
      </w:pPr>
      <w:bookmarkStart w:id="914" w:name="Bookmark_para_43_1"/>
      <w:bookmarkEnd w:id="914"/>
      <w:r>
        <w:rPr>
          <w:rFonts w:ascii="Arial" w:eastAsia="Arial" w:hAnsi="Arial" w:cs="Arial"/>
          <w:color w:val="000000"/>
          <w:sz w:val="20"/>
        </w:rPr>
        <w:t>We will start where the parties agree—answering whether "necessary" includes safety-related reasons—and then address Universal's reasons [**18]  why its criteria qualify as "necessary."</w:t>
      </w:r>
    </w:p>
    <w:p w:rsidR="00022B47" w:rsidRDefault="00000000">
      <w:pPr>
        <w:pStyle w:val="Normal5"/>
        <w:widowControl w:val="0"/>
        <w:spacing w:before="120" w:line="260" w:lineRule="atLeast"/>
      </w:pPr>
      <w:r>
        <w:rPr>
          <w:rFonts w:ascii="Arial" w:eastAsia="Arial" w:hAnsi="Arial" w:cs="Arial"/>
          <w:color w:val="000000"/>
          <w:sz w:val="20"/>
        </w:rPr>
        <w:t xml:space="preserve">1. </w:t>
      </w:r>
      <w:r>
        <w:rPr>
          <w:rFonts w:ascii="Arial" w:eastAsia="Arial" w:hAnsi="Arial" w:cs="Arial"/>
          <w:color w:val="000000"/>
          <w:sz w:val="20"/>
          <w:u w:val="single"/>
        </w:rPr>
        <w:t>"Necessary" Includes Legitimate Safety-Related Reasons</w:t>
      </w:r>
    </w:p>
    <w:p w:rsidR="00022B47" w:rsidRDefault="00000000">
      <w:pPr>
        <w:pStyle w:val="Normal5"/>
        <w:widowControl w:val="0"/>
        <w:spacing w:before="200" w:line="260" w:lineRule="atLeast"/>
        <w:jc w:val="both"/>
      </w:pPr>
      <w:bookmarkStart w:id="915" w:name="Bookmark_para_44_1"/>
      <w:bookmarkStart w:id="916" w:name="Bookmark_I68P4BD22D6MXV0050000400"/>
      <w:bookmarkEnd w:id="915"/>
      <w:bookmarkEnd w:id="916"/>
      <w:r>
        <w:rPr>
          <w:rFonts w:ascii="Arial" w:eastAsia="Arial" w:hAnsi="Arial" w:cs="Arial"/>
          <w:color w:val="000000"/>
          <w:sz w:val="20"/>
        </w:rPr>
        <w:t xml:space="preserve">Because this is a case about statutory interpretation, in determining whether what's "necessary" under subsection 12182(b)(2)(A)(i) includes anything more than what is required for safety reasons, we begin "with the text." </w:t>
      </w:r>
      <w:bookmarkStart w:id="917" w:name="Bookmark_I68P4BD22D6MXV0040000400"/>
      <w:bookmarkEnd w:id="917"/>
      <w:r>
        <w:rPr>
          <w:rFonts w:ascii="Arial" w:eastAsia="Arial" w:hAnsi="Arial" w:cs="Arial"/>
          <w:i/>
          <w:color w:val="000000"/>
          <w:sz w:val="20"/>
        </w:rPr>
        <w:t>Ross v. Blake</w:t>
      </w:r>
      <w:r>
        <w:rPr>
          <w:rFonts w:ascii="Arial" w:eastAsia="Arial" w:hAnsi="Arial" w:cs="Arial"/>
          <w:color w:val="000000"/>
          <w:sz w:val="20"/>
        </w:rPr>
        <w:t>, 578 U.S. 632, 638, 136 S. Ct. 1850, 195 L. Ed. 2d 117 (2016). But first we pause to explain why our analysis starts from the proposition that "necessary," at a minimum, includes discriminatory eligibility criteria imposed to ensure safety.</w:t>
      </w:r>
    </w:p>
    <w:p w:rsidR="00022B47" w:rsidRDefault="00000000">
      <w:pPr>
        <w:pStyle w:val="Normal5"/>
        <w:widowControl w:val="0"/>
        <w:spacing w:before="200" w:line="260" w:lineRule="atLeast"/>
        <w:jc w:val="both"/>
      </w:pPr>
      <w:bookmarkStart w:id="918" w:name="Bookmark_para_45_1"/>
      <w:bookmarkEnd w:id="918"/>
      <w:r>
        <w:rPr>
          <w:rFonts w:ascii="Arial" w:eastAsia="Arial" w:hAnsi="Arial" w:cs="Arial"/>
          <w:color w:val="000000"/>
          <w:sz w:val="20"/>
        </w:rPr>
        <w:t>To be sure, no party has argued that prohibiting riders without two natural hands on the Aqua Coaster is either "necessary" or unnecessary for safety reasons. That said, the parties agree that safety falls within the meaning of what is "necessary." And as it turns out, our later discussion of Universal's assertion—that it is "necessary" to rely on manufacturers' recommendations because of their comparative advantage in dealing with equipment they sell—implicates safety. Plus, on remand, the district court may need to consider whether Universal's requirements are "necessary" for safety. So we take a moment to explain why, under subsection 12182(b)(2)(A)(i), a prohibition is "necessary" if it is required for legitimate safety reasons.</w:t>
      </w:r>
    </w:p>
    <w:p w:rsidR="00022B47" w:rsidRDefault="00000000">
      <w:pPr>
        <w:pStyle w:val="Normal5"/>
        <w:widowControl w:val="0"/>
        <w:spacing w:before="200" w:line="260" w:lineRule="atLeast"/>
        <w:jc w:val="both"/>
      </w:pPr>
      <w:bookmarkStart w:id="919" w:name="Bookmark_para_46_1"/>
      <w:bookmarkStart w:id="920" w:name="Bookmark_LNHNREFclscc9_2"/>
      <w:bookmarkStart w:id="921" w:name="Bookmark_I68P4BD32N1PS30020000400"/>
      <w:bookmarkEnd w:id="919"/>
      <w:bookmarkEnd w:id="920"/>
      <w:bookmarkEnd w:id="921"/>
      <w:r>
        <w:rPr>
          <w:rFonts w:ascii="Arial" w:eastAsia="Arial" w:hAnsi="Arial" w:cs="Arial"/>
          <w:color w:val="000000"/>
          <w:sz w:val="20"/>
        </w:rPr>
        <w:t xml:space="preserve">The ADA does not [**19]  define "necessary." </w:t>
      </w:r>
      <w:r>
        <w:rPr>
          <w:rFonts w:ascii="Arial" w:eastAsia="Arial" w:hAnsi="Arial" w:cs="Arial"/>
          <w:i/>
          <w:color w:val="000000"/>
          <w:sz w:val="20"/>
        </w:rPr>
        <w:t>See</w:t>
      </w:r>
      <w:r>
        <w:rPr>
          <w:rFonts w:ascii="Arial" w:eastAsia="Arial" w:hAnsi="Arial" w:cs="Arial"/>
          <w:color w:val="000000"/>
          <w:sz w:val="20"/>
        </w:rPr>
        <w:t xml:space="preserve"> 42 U.S.C. § 12181 (Definitions). Without a statutory definition, we fall back to the baseline rule that "statutory terms are generally interpreted in accordance  [*1255]  with their ordinary meaning." </w:t>
      </w:r>
      <w:bookmarkStart w:id="922" w:name="Bookmark_I68P4BD32N1PS30010000400"/>
      <w:bookmarkEnd w:id="922"/>
      <w:r>
        <w:rPr>
          <w:rFonts w:ascii="Arial" w:eastAsia="Arial" w:hAnsi="Arial" w:cs="Arial"/>
          <w:i/>
          <w:color w:val="000000"/>
          <w:sz w:val="20"/>
        </w:rPr>
        <w:t>Sebelius v. Cloer</w:t>
      </w:r>
      <w:r>
        <w:rPr>
          <w:rFonts w:ascii="Arial" w:eastAsia="Arial" w:hAnsi="Arial" w:cs="Arial"/>
          <w:color w:val="000000"/>
          <w:sz w:val="20"/>
        </w:rPr>
        <w:t xml:space="preserve">, 569 U.S. 369, 376, 133 S. Ct. 1886, 185 L. Ed. 2d 1003 (2013) (quotation omitted). But the ordinary meaning of "necessary" doesn't provide much guidance, either, on our specific question—whether "necessary" includes what is required for safety reasons. </w:t>
      </w:r>
      <w:r>
        <w:rPr>
          <w:rFonts w:ascii="Arial" w:eastAsia="Arial" w:hAnsi="Arial" w:cs="Arial"/>
          <w:i/>
          <w:color w:val="000000"/>
          <w:sz w:val="20"/>
        </w:rPr>
        <w:t>Black's Law Dictionary</w:t>
      </w:r>
      <w:r>
        <w:rPr>
          <w:rFonts w:ascii="Arial" w:eastAsia="Arial" w:hAnsi="Arial" w:cs="Arial"/>
          <w:color w:val="000000"/>
          <w:sz w:val="20"/>
        </w:rPr>
        <w:t xml:space="preserve"> defines "necessary" as something "[t]hat is needed for some purpose or reason; essential" and something "[t]hat must exist or happen and cannot be avoided; inevitable." </w:t>
      </w:r>
      <w:r>
        <w:rPr>
          <w:rFonts w:ascii="Arial" w:eastAsia="Arial" w:hAnsi="Arial" w:cs="Arial"/>
          <w:i/>
          <w:color w:val="000000"/>
          <w:sz w:val="20"/>
        </w:rPr>
        <w:t>Necessary</w:t>
      </w:r>
      <w:r>
        <w:rPr>
          <w:rFonts w:ascii="Arial" w:eastAsia="Arial" w:hAnsi="Arial" w:cs="Arial"/>
          <w:color w:val="000000"/>
          <w:sz w:val="20"/>
        </w:rPr>
        <w:t>, Black's Law Dictionary (11th ed. 2019). The ADA exempts only discriminatory eligibility criteria that are "necessary for the provision of the goods, services, facilities, privileges, advantages, or accommodations being offered." 42 U.S.C. § 12182(b)(2)(A)(i). At best, we can say that the eligibility criteria must be in some way "essential" or they "cannot be avoided" in offering a facility.</w:t>
      </w:r>
    </w:p>
    <w:p w:rsidR="00022B47" w:rsidRDefault="00000000">
      <w:pPr>
        <w:pStyle w:val="Normal5"/>
        <w:widowControl w:val="0"/>
        <w:spacing w:before="200" w:line="260" w:lineRule="atLeast"/>
        <w:jc w:val="both"/>
      </w:pPr>
      <w:bookmarkStart w:id="923" w:name="Bookmark_para_47_1"/>
      <w:bookmarkEnd w:id="923"/>
      <w:r>
        <w:rPr>
          <w:rFonts w:ascii="Arial" w:eastAsia="Arial" w:hAnsi="Arial" w:cs="Arial"/>
          <w:color w:val="000000"/>
          <w:sz w:val="20"/>
        </w:rPr>
        <w:t>And to a certain extent, we can say that criteria to provide a safe user experience is "essential" in offering a facility for public use because a public accommodation would go out of business quickly if the facilities it offered to the public [**20]  were dangerous.</w:t>
      </w:r>
    </w:p>
    <w:p w:rsidR="00022B47" w:rsidRDefault="00000000">
      <w:pPr>
        <w:pStyle w:val="Normal5"/>
        <w:widowControl w:val="0"/>
        <w:spacing w:before="200" w:line="260" w:lineRule="atLeast"/>
        <w:jc w:val="both"/>
      </w:pPr>
      <w:bookmarkStart w:id="924" w:name="Bookmark_para_48_1"/>
      <w:bookmarkStart w:id="925" w:name="Bookmark_I68P4BD32N1PS30040000400"/>
      <w:bookmarkEnd w:id="924"/>
      <w:bookmarkEnd w:id="925"/>
      <w:r>
        <w:rPr>
          <w:rFonts w:ascii="Arial" w:eastAsia="Arial" w:hAnsi="Arial" w:cs="Arial"/>
          <w:color w:val="000000"/>
          <w:sz w:val="20"/>
        </w:rPr>
        <w:t xml:space="preserve">But we can do better than that. </w:t>
      </w:r>
      <w:bookmarkStart w:id="926" w:name="Bookmark_LNHNREFclscc10_2"/>
      <w:bookmarkEnd w:id="926"/>
      <w:r>
        <w:rPr>
          <w:rFonts w:ascii="Arial" w:eastAsia="Arial" w:hAnsi="Arial" w:cs="Arial"/>
          <w:color w:val="000000"/>
          <w:sz w:val="20"/>
        </w:rPr>
        <w:t xml:space="preserve">When we construe statutes, "we look to the entire statutory context." </w:t>
      </w:r>
      <w:bookmarkStart w:id="927" w:name="Bookmark_I68P4BD32N1PS30030000400"/>
      <w:bookmarkEnd w:id="927"/>
      <w:r>
        <w:rPr>
          <w:rFonts w:ascii="Arial" w:eastAsia="Arial" w:hAnsi="Arial" w:cs="Arial"/>
          <w:i/>
          <w:color w:val="000000"/>
          <w:sz w:val="20"/>
        </w:rPr>
        <w:t>United States v. DBB, Inc.</w:t>
      </w:r>
      <w:r>
        <w:rPr>
          <w:rFonts w:ascii="Arial" w:eastAsia="Arial" w:hAnsi="Arial" w:cs="Arial"/>
          <w:color w:val="000000"/>
          <w:sz w:val="20"/>
        </w:rPr>
        <w:t xml:space="preserve">, 180 F.3d 1277, 1281 (11th Cir. 1999). And here, another subsection of § 12182 comes close to requiring the conclusion that "necessary" includes what is required for safety reasons. In particular, subsection (b)(3) specifies that "[n]othing in this subchapter shall require an entity to permit an individual to participate in or benefit from the . . . facilities . . . of such entity where such individual poses a direct threat to the </w:t>
      </w:r>
      <w:r>
        <w:rPr>
          <w:rFonts w:ascii="Arial" w:eastAsia="Arial" w:hAnsi="Arial" w:cs="Arial"/>
          <w:i/>
          <w:color w:val="000000"/>
          <w:sz w:val="20"/>
        </w:rPr>
        <w:t>health or safety</w:t>
      </w:r>
      <w:r>
        <w:rPr>
          <w:rFonts w:ascii="Arial" w:eastAsia="Arial" w:hAnsi="Arial" w:cs="Arial"/>
          <w:color w:val="000000"/>
          <w:sz w:val="20"/>
        </w:rPr>
        <w:t xml:space="preserve"> of others." 42 U.S.C. § 12182(b)(3) (emphasis added). It then continues, "The term 'direct threat' means a significant risk to the </w:t>
      </w:r>
      <w:r>
        <w:rPr>
          <w:rFonts w:ascii="Arial" w:eastAsia="Arial" w:hAnsi="Arial" w:cs="Arial"/>
          <w:i/>
          <w:color w:val="000000"/>
          <w:sz w:val="20"/>
        </w:rPr>
        <w:t>health or safety</w:t>
      </w:r>
      <w:r>
        <w:rPr>
          <w:rFonts w:ascii="Arial" w:eastAsia="Arial" w:hAnsi="Arial" w:cs="Arial"/>
          <w:color w:val="000000"/>
          <w:sz w:val="20"/>
        </w:rPr>
        <w:t xml:space="preserve"> of others that cannot be eliminated by a modification of policies, practices, or procedures or by the provision of auxiliary aids or services." </w:t>
      </w:r>
      <w:r>
        <w:rPr>
          <w:rFonts w:ascii="Arial" w:eastAsia="Arial" w:hAnsi="Arial" w:cs="Arial"/>
          <w:i/>
          <w:color w:val="000000"/>
          <w:sz w:val="20"/>
        </w:rPr>
        <w:t>Id.</w:t>
      </w:r>
      <w:r>
        <w:rPr>
          <w:rFonts w:ascii="Arial" w:eastAsia="Arial" w:hAnsi="Arial" w:cs="Arial"/>
          <w:color w:val="000000"/>
          <w:sz w:val="20"/>
        </w:rPr>
        <w:t xml:space="preserve"> (emphasis added). Put differently, subsection (b)(3) reflects congressional intent that, at a minimum, the safety of others is "necessary" under subsection (b)(2)(A)(i). It's not a far leap to conclude that the customer's own safety is likewise "necessary."</w:t>
      </w:r>
    </w:p>
    <w:p w:rsidR="00022B47" w:rsidRDefault="00000000">
      <w:pPr>
        <w:pStyle w:val="Normal5"/>
        <w:widowControl w:val="0"/>
        <w:spacing w:before="200" w:line="260" w:lineRule="atLeast"/>
        <w:jc w:val="both"/>
      </w:pPr>
      <w:bookmarkStart w:id="928" w:name="Bookmark_para_49_1"/>
      <w:bookmarkStart w:id="929" w:name="Bookmark_I68P4BD32SF8K90010000400"/>
      <w:bookmarkEnd w:id="928"/>
      <w:bookmarkEnd w:id="929"/>
      <w:r>
        <w:rPr>
          <w:rFonts w:ascii="Arial" w:eastAsia="Arial" w:hAnsi="Arial" w:cs="Arial"/>
          <w:color w:val="000000"/>
          <w:sz w:val="20"/>
        </w:rPr>
        <w:t xml:space="preserve">And in any case, we cannot say that the term "necessary" unambiguously does not include a customer's own safety. So even if, after we apply all the statutory-interpretation tools in our judicial toolbox, [**21]  "necessary" is ambiguous as to whether it includes the customer's own safety, </w:t>
      </w:r>
      <w:bookmarkStart w:id="930" w:name="Bookmark_I68P4BD32N1PS30050000400"/>
      <w:bookmarkEnd w:id="930"/>
      <w:r>
        <w:rPr>
          <w:rFonts w:ascii="Arial" w:eastAsia="Arial" w:hAnsi="Arial" w:cs="Arial"/>
          <w:i/>
          <w:color w:val="000000"/>
          <w:sz w:val="20"/>
        </w:rPr>
        <w:t>Chevron, U.S.A., Inc. v. Nat. Res. Def. Council, Inc.</w:t>
      </w:r>
      <w:r>
        <w:rPr>
          <w:rFonts w:ascii="Arial" w:eastAsia="Arial" w:hAnsi="Arial" w:cs="Arial"/>
          <w:color w:val="000000"/>
          <w:sz w:val="20"/>
        </w:rPr>
        <w:t>, 467 U.S. 837, 843, 104 S. Ct. 2778, 81 L. Ed. 2d 694 (1984), requires us to defer to the administering agency's notice-and-comment-promulgated rule that answers this question, as long as "the agency's answer is based on a permissible construction of the statute."</w:t>
      </w:r>
    </w:p>
    <w:p w:rsidR="00022B47" w:rsidRDefault="00000000">
      <w:pPr>
        <w:pStyle w:val="Normal5"/>
        <w:widowControl w:val="0"/>
        <w:spacing w:before="200" w:line="260" w:lineRule="atLeast"/>
        <w:jc w:val="both"/>
      </w:pPr>
      <w:bookmarkStart w:id="931" w:name="Bookmark_para_50_1"/>
      <w:bookmarkStart w:id="932" w:name="Bookmark_I68P4BD32SF8K90030000400"/>
      <w:bookmarkEnd w:id="931"/>
      <w:bookmarkEnd w:id="932"/>
      <w:r>
        <w:rPr>
          <w:rFonts w:ascii="Arial" w:eastAsia="Arial" w:hAnsi="Arial" w:cs="Arial"/>
          <w:color w:val="000000"/>
          <w:sz w:val="20"/>
        </w:rPr>
        <w:t xml:space="preserve">Here, the administering agency—the Department of Justice—has promulgated a rule that is based on just such a construction. Title 28 C.F.R. § 36.301(b) provides that "[a] public accommodation may impose legitimate safety requirements that are necessary for safe operation." It continues, further specifying that "[s]afety requirements must be based on actual risks and not on mere speculation, stereotypes, or generalizations about individuals with disabilities." </w:t>
      </w:r>
      <w:r>
        <w:rPr>
          <w:rFonts w:ascii="Arial" w:eastAsia="Arial" w:hAnsi="Arial" w:cs="Arial"/>
          <w:i/>
          <w:color w:val="000000"/>
          <w:sz w:val="20"/>
        </w:rPr>
        <w:t>Id.</w:t>
      </w:r>
      <w:r>
        <w:rPr>
          <w:rFonts w:ascii="Arial" w:eastAsia="Arial" w:hAnsi="Arial" w:cs="Arial"/>
          <w:color w:val="000000"/>
          <w:sz w:val="20"/>
        </w:rPr>
        <w:t xml:space="preserve"> We have no trouble concluding that this regulation, which is at most a logical extension of the congressional intent to protect safety as reflected in subsection (b)(3), "is based on a permissible construction of the statute," </w:t>
      </w:r>
      <w:bookmarkStart w:id="933" w:name="Bookmark_I68P4BD32SF8K90020000400"/>
      <w:bookmarkEnd w:id="933"/>
      <w:r>
        <w:rPr>
          <w:rFonts w:ascii="Arial" w:eastAsia="Arial" w:hAnsi="Arial" w:cs="Arial"/>
          <w:i/>
          <w:color w:val="000000"/>
          <w:sz w:val="20"/>
        </w:rPr>
        <w:t>Chevron</w:t>
      </w:r>
      <w:r>
        <w:rPr>
          <w:rFonts w:ascii="Arial" w:eastAsia="Arial" w:hAnsi="Arial" w:cs="Arial"/>
          <w:color w:val="000000"/>
          <w:sz w:val="20"/>
        </w:rPr>
        <w:t>, 467 U.S. at 843. In sum, we agree with the parties that safety-related reasons qualify as "necessary" under subsection (b)(2)(A)(i).</w:t>
      </w:r>
    </w:p>
    <w:p w:rsidR="00022B47" w:rsidRDefault="00000000">
      <w:pPr>
        <w:pStyle w:val="Normal5"/>
        <w:widowControl w:val="0"/>
        <w:spacing w:before="200" w:line="260" w:lineRule="atLeast"/>
        <w:jc w:val="both"/>
      </w:pPr>
      <w:bookmarkStart w:id="934" w:name="Bookmark_para_51_1"/>
      <w:bookmarkEnd w:id="934"/>
      <w:r>
        <w:rPr>
          <w:rFonts w:ascii="Arial" w:eastAsia="Arial" w:hAnsi="Arial" w:cs="Arial"/>
          <w:color w:val="000000"/>
          <w:sz w:val="20"/>
        </w:rPr>
        <w:t> [*1256]  That established, we consider the parties' arguments about what, if anything, else the term "necessary" includes. Universal would extend the definition of "necessary" beyond [**22]  safety. If "necessary" means only "safety," it contends, then Congress's exception in subsection (b)(3) for "direct threat[s] to . . . health or safety" would be surplusage. Put another way, Congress explicitly stated that the ADA did not require a public accommodation to allow participation that would constitute a "direct threat" to the health or safety of others. 42 U.S.C. § 12812(b)(3). So if only those eligibility criteria that are required for safety qualify as "necessary" under subsection (b)(2)(A)(i), Universal says, "necessary" would be redundant of the "direct threat" provision.</w:t>
      </w:r>
    </w:p>
    <w:p w:rsidR="00022B47" w:rsidRDefault="00000000">
      <w:pPr>
        <w:pStyle w:val="Normal5"/>
        <w:widowControl w:val="0"/>
        <w:spacing w:before="200" w:line="260" w:lineRule="atLeast"/>
        <w:jc w:val="both"/>
      </w:pPr>
      <w:bookmarkStart w:id="935" w:name="Bookmark_para_52_1"/>
      <w:bookmarkStart w:id="936" w:name="Bookmark_I68P4BD32SF8K90050000400"/>
      <w:bookmarkEnd w:id="935"/>
      <w:bookmarkEnd w:id="936"/>
      <w:r>
        <w:rPr>
          <w:rFonts w:ascii="Arial" w:eastAsia="Arial" w:hAnsi="Arial" w:cs="Arial"/>
          <w:color w:val="000000"/>
          <w:sz w:val="20"/>
        </w:rPr>
        <w:t xml:space="preserve">We agree with Universal that "necessary" includes more than what is required for safety. </w:t>
      </w:r>
      <w:bookmarkStart w:id="937" w:name="Bookmark_LNHNREFclscc11_2"/>
      <w:bookmarkEnd w:id="937"/>
      <w:r>
        <w:rPr>
          <w:rFonts w:ascii="Arial" w:eastAsia="Arial" w:hAnsi="Arial" w:cs="Arial"/>
          <w:color w:val="000000"/>
          <w:sz w:val="20"/>
        </w:rPr>
        <w:t xml:space="preserve">Nothing in Title III suggests that the general definition of "necessary" is limited to what is required for safety. And the "surplusage canon obliges us, whenever possible, to disfavor an interpretation when that interpretation would render a clause, sentence, or word . . . superfluous, void, or insignificant." </w:t>
      </w:r>
      <w:bookmarkStart w:id="938" w:name="Bookmark_I68P4BD32SF8K90040000400"/>
      <w:bookmarkEnd w:id="938"/>
      <w:r>
        <w:rPr>
          <w:rFonts w:ascii="Arial" w:eastAsia="Arial" w:hAnsi="Arial" w:cs="Arial"/>
          <w:i/>
          <w:color w:val="000000"/>
          <w:sz w:val="20"/>
        </w:rPr>
        <w:t>In re Shek</w:t>
      </w:r>
      <w:r>
        <w:rPr>
          <w:rFonts w:ascii="Arial" w:eastAsia="Arial" w:hAnsi="Arial" w:cs="Arial"/>
          <w:color w:val="000000"/>
          <w:sz w:val="20"/>
        </w:rPr>
        <w:t xml:space="preserve">, 947 F.3d 770, 777 (11th Cir. 2020) (quotation omitted). Plus, even if we get to the Department of Justice regulation, it says only that safety is </w:t>
      </w:r>
      <w:r>
        <w:rPr>
          <w:rFonts w:ascii="Arial" w:eastAsia="Arial" w:hAnsi="Arial" w:cs="Arial"/>
          <w:i/>
          <w:color w:val="000000"/>
          <w:sz w:val="20"/>
        </w:rPr>
        <w:t>a</w:t>
      </w:r>
      <w:r>
        <w:rPr>
          <w:rFonts w:ascii="Arial" w:eastAsia="Arial" w:hAnsi="Arial" w:cs="Arial"/>
          <w:color w:val="000000"/>
          <w:sz w:val="20"/>
        </w:rPr>
        <w:t xml:space="preserve"> permissible justification for a discriminatory eligibility criterion, not that it is the </w:t>
      </w:r>
      <w:r>
        <w:rPr>
          <w:rFonts w:ascii="Arial" w:eastAsia="Arial" w:hAnsi="Arial" w:cs="Arial"/>
          <w:i/>
          <w:color w:val="000000"/>
          <w:sz w:val="20"/>
        </w:rPr>
        <w:t>only</w:t>
      </w:r>
      <w:r>
        <w:rPr>
          <w:rFonts w:ascii="Arial" w:eastAsia="Arial" w:hAnsi="Arial" w:cs="Arial"/>
          <w:color w:val="000000"/>
          <w:sz w:val="20"/>
        </w:rPr>
        <w:t xml:space="preserve"> permissible justification. 28 C.F.R. § 36.301(b). Still, though, this conclusion—that [**23]  "necessary" must include more than safety concerns—does not tell us what else "necessary" includes.</w:t>
      </w:r>
    </w:p>
    <w:p w:rsidR="00022B47" w:rsidRDefault="00000000">
      <w:pPr>
        <w:pStyle w:val="Normal5"/>
        <w:widowControl w:val="0"/>
        <w:spacing w:before="200" w:line="260" w:lineRule="atLeast"/>
        <w:jc w:val="both"/>
      </w:pPr>
      <w:bookmarkStart w:id="939" w:name="Bookmark_para_53_0"/>
      <w:bookmarkEnd w:id="939"/>
      <w:r>
        <w:rPr>
          <w:rFonts w:ascii="Arial" w:eastAsia="Arial" w:hAnsi="Arial" w:cs="Arial"/>
          <w:color w:val="000000"/>
          <w:sz w:val="20"/>
        </w:rPr>
        <w:t>Universal says "necessary" includes at least three other justifications. First, Universal asserts that it is "necessary" to exclude Campbell from the Aqua Coaster (and other rides) because state law requires it. Second, Universal contends that it is "necessary" to follow manufacturers' recommendations because manufacturers have a comparative advantage in identifying safety risks. And third, Universal argues that it is necessary to exclude Campbell for administrative feasibility and uniformity reasons. None of these justifications are persuasive.</w:t>
      </w:r>
    </w:p>
    <w:p w:rsidR="00022B47" w:rsidRDefault="00000000">
      <w:pPr>
        <w:pStyle w:val="Normal5"/>
        <w:widowControl w:val="0"/>
        <w:spacing w:before="120" w:line="260" w:lineRule="atLeast"/>
      </w:pPr>
      <w:r>
        <w:rPr>
          <w:rFonts w:ascii="Arial" w:eastAsia="Arial" w:hAnsi="Arial" w:cs="Arial"/>
          <w:color w:val="000000"/>
          <w:sz w:val="20"/>
        </w:rPr>
        <w:t xml:space="preserve">2. </w:t>
      </w:r>
      <w:r>
        <w:rPr>
          <w:rFonts w:ascii="Arial" w:eastAsia="Arial" w:hAnsi="Arial" w:cs="Arial"/>
          <w:color w:val="000000"/>
          <w:sz w:val="20"/>
          <w:u w:val="single"/>
        </w:rPr>
        <w:t>"Necessary" to Comply with State Law</w:t>
      </w:r>
    </w:p>
    <w:p w:rsidR="00022B47" w:rsidRDefault="00000000">
      <w:pPr>
        <w:pStyle w:val="Normal5"/>
        <w:widowControl w:val="0"/>
        <w:spacing w:before="200" w:line="260" w:lineRule="atLeast"/>
        <w:jc w:val="both"/>
      </w:pPr>
      <w:bookmarkStart w:id="940" w:name="Bookmark_para_54_0"/>
      <w:bookmarkEnd w:id="940"/>
      <w:r>
        <w:rPr>
          <w:rFonts w:ascii="Arial" w:eastAsia="Arial" w:hAnsi="Arial" w:cs="Arial"/>
          <w:color w:val="000000"/>
          <w:sz w:val="20"/>
        </w:rPr>
        <w:t>The first reason Universal gives for why it must exclude Campbell is because state law requires it. We are not persuaded.</w:t>
      </w:r>
    </w:p>
    <w:p w:rsidR="00022B47" w:rsidRDefault="00000000">
      <w:pPr>
        <w:pStyle w:val="Normal5"/>
        <w:widowControl w:val="0"/>
        <w:spacing w:before="200" w:line="260" w:lineRule="atLeast"/>
        <w:jc w:val="both"/>
      </w:pPr>
      <w:bookmarkStart w:id="941" w:name="Bookmark_para_55_0"/>
      <w:bookmarkEnd w:id="941"/>
      <w:r>
        <w:rPr>
          <w:rFonts w:ascii="Arial" w:eastAsia="Arial" w:hAnsi="Arial" w:cs="Arial"/>
          <w:color w:val="000000"/>
          <w:sz w:val="20"/>
        </w:rPr>
        <w:t>Florida law acts in a somewhat attenuated (multiple-step) way to require Universal to bar Campbell from riding. First, Florida requires amusement parks to follow some (undefined) certain minimum safety standards for amusement rides. Fla. Stat. § 616.242.</w:t>
      </w:r>
      <w:r>
        <w:rPr>
          <w:rFonts w:ascii="Arial" w:eastAsia="Arial" w:hAnsi="Arial" w:cs="Arial"/>
          <w:vertAlign w:val="superscript"/>
        </w:rPr>
        <w:footnoteReference w:customMarkFollows="1" w:id="20"/>
        <w:t>2</w:t>
      </w:r>
      <w:r>
        <w:rPr>
          <w:rFonts w:ascii="Arial" w:eastAsia="Arial" w:hAnsi="Arial" w:cs="Arial"/>
          <w:color w:val="000000"/>
          <w:sz w:val="20"/>
        </w:rPr>
        <w:t xml:space="preserve"> Second, Florida directed the Florida Department of Agriculture and Consumer Services to adopt rules "which are the same as or similar to" national standards [**24]  like the ASTM International Committee F24 Standards on Amusement Rides and Devices. </w:t>
      </w:r>
      <w:r>
        <w:rPr>
          <w:rFonts w:ascii="Arial" w:eastAsia="Arial" w:hAnsi="Arial" w:cs="Arial"/>
          <w:i/>
          <w:color w:val="000000"/>
          <w:sz w:val="20"/>
        </w:rPr>
        <w:t>Id.</w:t>
      </w:r>
      <w:r>
        <w:rPr>
          <w:rFonts w:ascii="Arial" w:eastAsia="Arial" w:hAnsi="Arial" w:cs="Arial"/>
          <w:color w:val="000000"/>
          <w:sz w:val="20"/>
        </w:rPr>
        <w:t xml:space="preserve"> § 616.242(4)(a). Third, in response, the Department adopted the "F-24 Committee standards." Fla. Admin. Code § 5J-18.0011(1) (Jul. 5, 2016). For their part, the F-24 standards require ride operators to comply with the manufacturer's ridership eligibility criteria. And finally, the manufacturer here—ProSlide—says that people with certain limb permutations cannot ride the Aqua Coaster.</w:t>
      </w:r>
    </w:p>
    <w:p w:rsidR="00022B47" w:rsidRDefault="00000000">
      <w:pPr>
        <w:pStyle w:val="Normal5"/>
        <w:widowControl w:val="0"/>
        <w:spacing w:before="200" w:line="260" w:lineRule="atLeast"/>
        <w:jc w:val="both"/>
      </w:pPr>
      <w:bookmarkStart w:id="943" w:name="Bookmark_para_56_0"/>
      <w:bookmarkEnd w:id="943"/>
      <w:r>
        <w:rPr>
          <w:rFonts w:ascii="Arial" w:eastAsia="Arial" w:hAnsi="Arial" w:cs="Arial"/>
          <w:color w:val="000000"/>
          <w:sz w:val="20"/>
        </w:rPr>
        <w:t> [*1257]  To recap, then, Florida law requires that amusement parks comply with ASTM standards. ASTM standards, in turn, demand compliance with manufacturer recommendations. And the manufacturer here says that Campbell can't ride because he doesn't have two hands.</w:t>
      </w:r>
    </w:p>
    <w:p w:rsidR="00022B47" w:rsidRDefault="00000000">
      <w:pPr>
        <w:pStyle w:val="Normal5"/>
        <w:widowControl w:val="0"/>
        <w:spacing w:before="200" w:line="260" w:lineRule="atLeast"/>
        <w:jc w:val="both"/>
      </w:pPr>
      <w:bookmarkStart w:id="944" w:name="Bookmark_para_57_0"/>
      <w:bookmarkEnd w:id="944"/>
      <w:r>
        <w:rPr>
          <w:rFonts w:ascii="Arial" w:eastAsia="Arial" w:hAnsi="Arial" w:cs="Arial"/>
          <w:color w:val="000000"/>
          <w:sz w:val="20"/>
        </w:rPr>
        <w:t>As we've mentioned, Universal argues that the term "necessary" in subsection (b)(2)(A)(i) encompasses compliance with Florida law. In other words, Universal says, it can impose discriminatory eligibility criteria when state law requires it to do so. Under-stood this way, no conflict arises between state law and federal law, even if state law requires discrimination without any legitimate reason for doing so: the ADA prohibits discrimination except where "necessary," and compliance with state law is "necessary."</w:t>
      </w:r>
    </w:p>
    <w:p w:rsidR="00022B47" w:rsidRDefault="00000000">
      <w:pPr>
        <w:pStyle w:val="Normal5"/>
        <w:widowControl w:val="0"/>
        <w:spacing w:before="200" w:line="260" w:lineRule="atLeast"/>
        <w:jc w:val="both"/>
      </w:pPr>
      <w:bookmarkStart w:id="945" w:name="Bookmark_para_58_0"/>
      <w:bookmarkStart w:id="946" w:name="Bookmark_I68P4BD42HM5XF0020000400"/>
      <w:bookmarkEnd w:id="945"/>
      <w:bookmarkEnd w:id="946"/>
      <w:r>
        <w:rPr>
          <w:rFonts w:ascii="Arial" w:eastAsia="Arial" w:hAnsi="Arial" w:cs="Arial"/>
          <w:color w:val="000000"/>
          <w:sz w:val="20"/>
        </w:rPr>
        <w:t xml:space="preserve">But there's one big problem [**25]  with this interpretation: it conflicts with the "plain meaning of the statutory language" and "the context of the entire statute, as assisted by the canons of statutory construction." </w:t>
      </w:r>
      <w:bookmarkStart w:id="947" w:name="Bookmark_I68P4BD42HM5XF0010000400"/>
      <w:bookmarkEnd w:id="947"/>
      <w:r>
        <w:rPr>
          <w:rFonts w:ascii="Arial" w:eastAsia="Arial" w:hAnsi="Arial" w:cs="Arial"/>
          <w:i/>
          <w:color w:val="000000"/>
          <w:sz w:val="20"/>
        </w:rPr>
        <w:t>Edison v. Douberly</w:t>
      </w:r>
      <w:r>
        <w:rPr>
          <w:rFonts w:ascii="Arial" w:eastAsia="Arial" w:hAnsi="Arial" w:cs="Arial"/>
          <w:color w:val="000000"/>
          <w:sz w:val="20"/>
        </w:rPr>
        <w:t>, 604 F.3d 1307, 1310 (11th Cir. 2010). When we employ all the tools in our statutory-interpretation toolbox, we must conclude that the text of the ADA precludes us from finding that it is "necessary" to comply with state law when state law otherwise requires a public accommodation to violate the ADA.</w:t>
      </w:r>
    </w:p>
    <w:p w:rsidR="00022B47" w:rsidRDefault="00000000">
      <w:pPr>
        <w:pStyle w:val="Normal5"/>
        <w:widowControl w:val="0"/>
        <w:spacing w:before="200" w:line="260" w:lineRule="atLeast"/>
        <w:jc w:val="both"/>
      </w:pPr>
      <w:bookmarkStart w:id="948" w:name="Bookmark_para_59_0"/>
      <w:bookmarkEnd w:id="948"/>
      <w:r>
        <w:rPr>
          <w:rFonts w:ascii="Arial" w:eastAsia="Arial" w:hAnsi="Arial" w:cs="Arial"/>
          <w:color w:val="000000"/>
          <w:sz w:val="20"/>
        </w:rPr>
        <w:t>We begin again from the recognition that the statutory text of subsection 12182(b)(2)(A)(i) does not answer the specific question here: that is, whether compliance with state law qualifies as "necessary" under that subsection. As with the question of safety, though nothing in the definition of "necessary"—that which cannot be avoided, inevitable—forbids Universal's answer that state law is "necessary," nothing in the definition requires that result, either. But statutory context and the canons of construction both firmly counsel against adopting Universal's definition.</w:t>
      </w:r>
    </w:p>
    <w:p w:rsidR="00022B47" w:rsidRDefault="00000000">
      <w:pPr>
        <w:pStyle w:val="Normal5"/>
        <w:widowControl w:val="0"/>
        <w:spacing w:before="200" w:line="260" w:lineRule="atLeast"/>
        <w:jc w:val="both"/>
      </w:pPr>
      <w:bookmarkStart w:id="949" w:name="Bookmark_para_60_0"/>
      <w:bookmarkEnd w:id="949"/>
      <w:r>
        <w:rPr>
          <w:rFonts w:ascii="Arial" w:eastAsia="Arial" w:hAnsi="Arial" w:cs="Arial"/>
          <w:color w:val="000000"/>
          <w:sz w:val="20"/>
        </w:rPr>
        <w:t xml:space="preserve">First, the statutory context: Universal's proposed answer—that "necessary" includes what state law requires—would conflict with the ADA's non-preemption provision when state law requires less discrimination [**26]  protection for those with a disability than does the ADA. In this respect, the ADA explicitly provides that the ADA does not preempt state laws that provide greater protection to those with a disability. 42 U.S.C. § 12201(b) ("Nothing in this chapter shall be construed to invalidate or limit the remedies, rights, and procedures . . . of any State . . . that provides greater or equal protection for the rights of individuals with disabilities than are afforded by this chapter."). So by implication, a state law that provides </w:t>
      </w:r>
      <w:r>
        <w:rPr>
          <w:rFonts w:ascii="Arial" w:eastAsia="Arial" w:hAnsi="Arial" w:cs="Arial"/>
          <w:i/>
          <w:color w:val="000000"/>
          <w:sz w:val="20"/>
        </w:rPr>
        <w:t>less</w:t>
      </w:r>
      <w:r>
        <w:rPr>
          <w:rFonts w:ascii="Arial" w:eastAsia="Arial" w:hAnsi="Arial" w:cs="Arial"/>
          <w:color w:val="000000"/>
          <w:sz w:val="20"/>
        </w:rPr>
        <w:t xml:space="preserve"> protection than the ADA to those with a disability is preempted. For instance, if a state passed a law that required public accommodations to discriminate against those with a disability—say, to get a business license—that law would be preempted by the ADA. But if the state passed a law requiring businesses to provide </w:t>
      </w:r>
      <w:r>
        <w:rPr>
          <w:rFonts w:ascii="Arial" w:eastAsia="Arial" w:hAnsi="Arial" w:cs="Arial"/>
          <w:i/>
          <w:color w:val="000000"/>
          <w:sz w:val="20"/>
        </w:rPr>
        <w:t>all</w:t>
      </w:r>
      <w:r>
        <w:rPr>
          <w:rFonts w:ascii="Arial" w:eastAsia="Arial" w:hAnsi="Arial" w:cs="Arial"/>
          <w:color w:val="000000"/>
          <w:sz w:val="20"/>
        </w:rPr>
        <w:t xml:space="preserve"> accommodations (not just </w:t>
      </w:r>
      <w:r>
        <w:rPr>
          <w:rFonts w:ascii="Arial" w:eastAsia="Arial" w:hAnsi="Arial" w:cs="Arial"/>
          <w:i/>
          <w:color w:val="000000"/>
          <w:sz w:val="20"/>
        </w:rPr>
        <w:t>reasonable</w:t>
      </w:r>
      <w:r>
        <w:rPr>
          <w:rFonts w:ascii="Arial" w:eastAsia="Arial" w:hAnsi="Arial" w:cs="Arial"/>
          <w:color w:val="000000"/>
          <w:sz w:val="20"/>
        </w:rPr>
        <w:t xml:space="preserve"> ones) to those with a disability, that law would not be preempted by the ADA because it would provide greater protection to those with disabilities.</w:t>
      </w:r>
    </w:p>
    <w:p w:rsidR="00022B47" w:rsidRDefault="00000000">
      <w:pPr>
        <w:pStyle w:val="Normal5"/>
        <w:widowControl w:val="0"/>
        <w:spacing w:before="200" w:line="260" w:lineRule="atLeast"/>
        <w:jc w:val="both"/>
      </w:pPr>
      <w:bookmarkStart w:id="950" w:name="Bookmark_para_61_0"/>
      <w:bookmarkStart w:id="951" w:name="Bookmark_I68P4BD42HM5XF0040000400"/>
      <w:bookmarkEnd w:id="950"/>
      <w:bookmarkEnd w:id="951"/>
      <w:r>
        <w:rPr>
          <w:rFonts w:ascii="Arial" w:eastAsia="Arial" w:hAnsi="Arial" w:cs="Arial"/>
          <w:color w:val="000000"/>
          <w:sz w:val="20"/>
        </w:rPr>
        <w:t xml:space="preserve">So if compliance with state law qualified as "necessary" when it required discrimination that violates the ADA, it would conflict with the ADA's preemption provision. </w:t>
      </w:r>
      <w:bookmarkStart w:id="952" w:name="Bookmark_LNHNREFclscc12_2"/>
      <w:bookmarkEnd w:id="952"/>
      <w:r>
        <w:rPr>
          <w:rFonts w:ascii="Arial" w:eastAsia="Arial" w:hAnsi="Arial" w:cs="Arial"/>
          <w:color w:val="000000"/>
          <w:sz w:val="20"/>
        </w:rPr>
        <w:t xml:space="preserve">And "a state [**27]  law at odds with a valid Act of Congress is no law at all." </w:t>
      </w:r>
      <w:bookmarkStart w:id="953" w:name="Bookmark_I68P4BD42HM5XF0030000400"/>
      <w:bookmarkEnd w:id="953"/>
      <w:r>
        <w:rPr>
          <w:rFonts w:ascii="Arial" w:eastAsia="Arial" w:hAnsi="Arial" w:cs="Arial"/>
          <w:i/>
          <w:color w:val="000000"/>
          <w:sz w:val="20"/>
        </w:rPr>
        <w:t>Barber ex rel. Barber v. Colo. Dep't of Revenue</w:t>
      </w:r>
      <w:r>
        <w:rPr>
          <w:rFonts w:ascii="Arial" w:eastAsia="Arial" w:hAnsi="Arial" w:cs="Arial"/>
          <w:color w:val="000000"/>
          <w:sz w:val="20"/>
        </w:rPr>
        <w:t xml:space="preserve">, 562 F.3d 1222, 1234 (10th Cir. 2009) (Gorsuch, J., concurring in the judgment). To paraphrase then-Judge Gorsuch, "the demands of the federal [ADA] do not yield to state laws that discriminate against the disabled; it works the other  [*1258]  way around." </w:t>
      </w:r>
      <w:r>
        <w:rPr>
          <w:rFonts w:ascii="Arial" w:eastAsia="Arial" w:hAnsi="Arial" w:cs="Arial"/>
          <w:i/>
          <w:color w:val="000000"/>
          <w:sz w:val="20"/>
        </w:rPr>
        <w:t>Id.</w:t>
      </w:r>
      <w:r>
        <w:rPr>
          <w:rFonts w:ascii="Arial" w:eastAsia="Arial" w:hAnsi="Arial" w:cs="Arial"/>
          <w:color w:val="000000"/>
          <w:sz w:val="20"/>
        </w:rPr>
        <w:t xml:space="preserve"> (discussing the demands of the federal Rehabilitation Act).</w:t>
      </w:r>
    </w:p>
    <w:p w:rsidR="00022B47" w:rsidRDefault="00000000">
      <w:pPr>
        <w:pStyle w:val="Normal5"/>
        <w:widowControl w:val="0"/>
        <w:spacing w:before="200" w:line="260" w:lineRule="atLeast"/>
        <w:jc w:val="both"/>
      </w:pPr>
      <w:bookmarkStart w:id="954" w:name="Bookmark_para_62"/>
      <w:bookmarkEnd w:id="954"/>
      <w:r>
        <w:rPr>
          <w:rFonts w:ascii="Arial" w:eastAsia="Arial" w:hAnsi="Arial" w:cs="Arial"/>
          <w:color w:val="000000"/>
          <w:sz w:val="20"/>
        </w:rPr>
        <w:t xml:space="preserve">Separate and apart from the ADA's preemption provision, Universal's construction of the ADA does not make sense. </w:t>
      </w:r>
      <w:bookmarkStart w:id="955" w:name="Bookmark_LNHNREFclscc13_2"/>
      <w:bookmarkEnd w:id="955"/>
      <w:r>
        <w:rPr>
          <w:rFonts w:ascii="Arial" w:eastAsia="Arial" w:hAnsi="Arial" w:cs="Arial"/>
          <w:color w:val="000000"/>
          <w:sz w:val="20"/>
        </w:rPr>
        <w:t xml:space="preserve">Congress passed a sweeping law to prohibit discrimination unless discrimination is "necessary." </w:t>
      </w:r>
      <w:r>
        <w:rPr>
          <w:rFonts w:ascii="Arial" w:eastAsia="Arial" w:hAnsi="Arial" w:cs="Arial"/>
          <w:i/>
          <w:color w:val="000000"/>
          <w:sz w:val="20"/>
        </w:rPr>
        <w:t>See</w:t>
      </w:r>
      <w:r>
        <w:rPr>
          <w:rFonts w:ascii="Arial" w:eastAsia="Arial" w:hAnsi="Arial" w:cs="Arial"/>
          <w:color w:val="000000"/>
          <w:sz w:val="20"/>
        </w:rPr>
        <w:t xml:space="preserve"> 42 U.S.C. § 12182(b)(2)(A)(i). </w:t>
      </w:r>
      <w:bookmarkStart w:id="956" w:name="Bookmark_I68P4BD42SF8KK0010000400"/>
      <w:bookmarkEnd w:id="956"/>
      <w:r>
        <w:rPr>
          <w:rFonts w:ascii="Arial" w:eastAsia="Arial" w:hAnsi="Arial" w:cs="Arial"/>
          <w:color w:val="000000"/>
          <w:sz w:val="20"/>
        </w:rPr>
        <w:t xml:space="preserve">If compliance with state law were "necessary," then any state could unilaterally nullify the ADA by enacting a state law requiring discrimination. </w:t>
      </w:r>
      <w:bookmarkStart w:id="957" w:name="Bookmark_I68P4BD42SF8KK0030000400"/>
      <w:bookmarkEnd w:id="957"/>
      <w:r>
        <w:rPr>
          <w:rFonts w:ascii="Arial" w:eastAsia="Arial" w:hAnsi="Arial" w:cs="Arial"/>
          <w:color w:val="000000"/>
          <w:sz w:val="20"/>
        </w:rPr>
        <w:t xml:space="preserve">That can't be right. </w:t>
      </w:r>
      <w:bookmarkStart w:id="958" w:name="Bookmark_I68P4BD42HM5XF0050000400"/>
      <w:bookmarkEnd w:id="958"/>
      <w:r>
        <w:rPr>
          <w:rFonts w:ascii="Arial" w:eastAsia="Arial" w:hAnsi="Arial" w:cs="Arial"/>
          <w:i/>
          <w:color w:val="000000"/>
          <w:sz w:val="20"/>
        </w:rPr>
        <w:t>Belevich v. Thomas</w:t>
      </w:r>
      <w:r>
        <w:rPr>
          <w:rFonts w:ascii="Arial" w:eastAsia="Arial" w:hAnsi="Arial" w:cs="Arial"/>
          <w:color w:val="000000"/>
          <w:sz w:val="20"/>
        </w:rPr>
        <w:t xml:space="preserve">, 17 F.4th 1048, 1053 (11th Cir. 2021) ("[E]ven if we agreed . . . that the statute is silent on this point, we would conclude that these specific defenses contravene the express purpose of the statute."); A. Scalia &amp; B. Garner, </w:t>
      </w:r>
      <w:r>
        <w:rPr>
          <w:rFonts w:ascii="Arial" w:eastAsia="Arial" w:hAnsi="Arial" w:cs="Arial"/>
          <w:smallCaps/>
          <w:color w:val="000000"/>
          <w:sz w:val="20"/>
        </w:rPr>
        <w:t>Reading Law: The Interpretation of Legal Texts</w:t>
      </w:r>
      <w:r>
        <w:rPr>
          <w:rFonts w:ascii="Arial" w:eastAsia="Arial" w:hAnsi="Arial" w:cs="Arial"/>
          <w:color w:val="000000"/>
          <w:sz w:val="20"/>
        </w:rPr>
        <w:t xml:space="preserve"> 63 (2012) ("A textually permissible interpretation that furthers rather than obstructs the document's purpose should be favored."). </w:t>
      </w:r>
      <w:bookmarkStart w:id="959" w:name="Bookmark_I68P4BD42SF8KK0030000400_2"/>
      <w:bookmarkEnd w:id="959"/>
      <w:r>
        <w:rPr>
          <w:rFonts w:ascii="Arial" w:eastAsia="Arial" w:hAnsi="Arial" w:cs="Arial"/>
          <w:color w:val="000000"/>
          <w:sz w:val="20"/>
        </w:rPr>
        <w:t xml:space="preserve">As the Second Circuit put it when considering Title II of the ADA, "If all state laws were insulated from Title II's reasonable modification [**28]  requirement solely because they were state laws, 'state law [would serve as] an obstacle to the accomplishment and execution of the full purposes and objectives of Congress' in enacting Title II." </w:t>
      </w:r>
      <w:bookmarkStart w:id="960" w:name="Bookmark_I68P4BD42SF8KK0020000400"/>
      <w:bookmarkEnd w:id="960"/>
      <w:r>
        <w:rPr>
          <w:rFonts w:ascii="Arial" w:eastAsia="Arial" w:hAnsi="Arial" w:cs="Arial"/>
          <w:i/>
          <w:color w:val="000000"/>
          <w:sz w:val="20"/>
        </w:rPr>
        <w:t>Mary Jo C. v. New York State &amp; Loc. Ret. Sys.</w:t>
      </w:r>
      <w:r>
        <w:rPr>
          <w:rFonts w:ascii="Arial" w:eastAsia="Arial" w:hAnsi="Arial" w:cs="Arial"/>
          <w:color w:val="000000"/>
          <w:sz w:val="20"/>
        </w:rPr>
        <w:t xml:space="preserve">, 707 F.3d 144, 163 (2d Cir. 2013) (alteration in original) (quoting </w:t>
      </w:r>
      <w:bookmarkStart w:id="961" w:name="Bookmark_I68P4BD42SF8KK0040000400"/>
      <w:bookmarkEnd w:id="961"/>
      <w:r>
        <w:rPr>
          <w:rFonts w:ascii="Arial" w:eastAsia="Arial" w:hAnsi="Arial" w:cs="Arial"/>
          <w:i/>
          <w:color w:val="000000"/>
          <w:sz w:val="20"/>
        </w:rPr>
        <w:t>Marsh v. Rosenbloom</w:t>
      </w:r>
      <w:r>
        <w:rPr>
          <w:rFonts w:ascii="Arial" w:eastAsia="Arial" w:hAnsi="Arial" w:cs="Arial"/>
          <w:color w:val="000000"/>
          <w:sz w:val="20"/>
        </w:rPr>
        <w:t>, 499 F.3d 165, 177 (2d Cir. 2007)).</w:t>
      </w:r>
    </w:p>
    <w:p w:rsidR="00022B47" w:rsidRDefault="00000000">
      <w:pPr>
        <w:pStyle w:val="Normal5"/>
        <w:widowControl w:val="0"/>
        <w:spacing w:before="200" w:line="260" w:lineRule="atLeast"/>
        <w:jc w:val="both"/>
      </w:pPr>
      <w:bookmarkStart w:id="962" w:name="Bookmark_para_63"/>
      <w:bookmarkEnd w:id="962"/>
      <w:r>
        <w:rPr>
          <w:rFonts w:ascii="Arial" w:eastAsia="Arial" w:hAnsi="Arial" w:cs="Arial"/>
          <w:color w:val="000000"/>
          <w:sz w:val="20"/>
        </w:rPr>
        <w:t>Still, this analysis doesn't prevent a state from regulating to ensure safety. After all, if a state imposed a requirement on businesses that related to legitimate safety concerns, then compliance with that state law would be "necessary." But compliance would be necessary because the rule promoted safety, not because the rule was a state law.</w:t>
      </w:r>
    </w:p>
    <w:p w:rsidR="00022B47" w:rsidRDefault="00000000">
      <w:pPr>
        <w:pStyle w:val="Normal5"/>
        <w:widowControl w:val="0"/>
        <w:spacing w:before="200" w:line="260" w:lineRule="atLeast"/>
        <w:jc w:val="both"/>
      </w:pPr>
      <w:bookmarkStart w:id="963" w:name="Bookmark_para_64"/>
      <w:bookmarkEnd w:id="963"/>
      <w:r>
        <w:rPr>
          <w:rFonts w:ascii="Arial" w:eastAsia="Arial" w:hAnsi="Arial" w:cs="Arial"/>
          <w:color w:val="000000"/>
          <w:sz w:val="20"/>
        </w:rPr>
        <w:t>Universal also resists the conclusion that compliance with state law does not qualify as "necessary" on the ground that if Universal fails to follow Florida law, Florida will subject Universal to closure or criminal and civil penalties, or all those things.</w:t>
      </w:r>
    </w:p>
    <w:p w:rsidR="00022B47" w:rsidRDefault="00000000">
      <w:pPr>
        <w:pStyle w:val="Normal5"/>
        <w:widowControl w:val="0"/>
        <w:spacing w:before="200" w:line="260" w:lineRule="atLeast"/>
        <w:jc w:val="both"/>
      </w:pPr>
      <w:bookmarkStart w:id="964" w:name="Bookmark_para_65"/>
      <w:bookmarkStart w:id="965" w:name="Bookmark_I68P4BD528T4RS0020000400"/>
      <w:bookmarkEnd w:id="964"/>
      <w:bookmarkEnd w:id="965"/>
      <w:r>
        <w:rPr>
          <w:rFonts w:ascii="Arial" w:eastAsia="Arial" w:hAnsi="Arial" w:cs="Arial"/>
          <w:color w:val="000000"/>
          <w:sz w:val="20"/>
        </w:rPr>
        <w:t xml:space="preserve">We don't agree. </w:t>
      </w:r>
      <w:bookmarkStart w:id="966" w:name="Bookmark_I68P4BD528T4RS0040000400"/>
      <w:bookmarkEnd w:id="966"/>
      <w:r>
        <w:rPr>
          <w:rFonts w:ascii="Arial" w:eastAsia="Arial" w:hAnsi="Arial" w:cs="Arial"/>
          <w:color w:val="000000"/>
          <w:sz w:val="20"/>
        </w:rPr>
        <w:t xml:space="preserve">If the ADA requires allowing Campbell to ride, then Universal doesn't face criminal and civil penalties from Florida. The Supremacy Clause requires "a different order of priority." </w:t>
      </w:r>
      <w:bookmarkStart w:id="967" w:name="Bookmark_I68P4BD528T4RS0010000400"/>
      <w:bookmarkEnd w:id="967"/>
      <w:r>
        <w:rPr>
          <w:rFonts w:ascii="Arial" w:eastAsia="Arial" w:hAnsi="Arial" w:cs="Arial"/>
          <w:i/>
          <w:color w:val="000000"/>
          <w:sz w:val="20"/>
        </w:rPr>
        <w:t>Quinones v. City of Evanston</w:t>
      </w:r>
      <w:r>
        <w:rPr>
          <w:rFonts w:ascii="Arial" w:eastAsia="Arial" w:hAnsi="Arial" w:cs="Arial"/>
          <w:color w:val="000000"/>
          <w:sz w:val="20"/>
        </w:rPr>
        <w:t xml:space="preserve">, 58 F.3d 275, 277 (7th Cir. 1995); </w:t>
      </w:r>
      <w:r>
        <w:rPr>
          <w:rFonts w:ascii="Arial" w:eastAsia="Arial" w:hAnsi="Arial" w:cs="Arial"/>
          <w:i/>
          <w:color w:val="000000"/>
          <w:sz w:val="20"/>
        </w:rPr>
        <w:t>see</w:t>
      </w:r>
      <w:r>
        <w:rPr>
          <w:rFonts w:ascii="Arial" w:eastAsia="Arial" w:hAnsi="Arial" w:cs="Arial"/>
          <w:color w:val="000000"/>
          <w:sz w:val="20"/>
        </w:rPr>
        <w:t xml:space="preserve"> U.S. CONST. art. VI, cl. 2. </w:t>
      </w:r>
      <w:bookmarkStart w:id="968" w:name="Bookmark_I68P4BD528T4RS0040000400_2"/>
      <w:bookmarkEnd w:id="968"/>
      <w:r>
        <w:rPr>
          <w:rFonts w:ascii="Arial" w:eastAsia="Arial" w:hAnsi="Arial" w:cs="Arial"/>
          <w:color w:val="000000"/>
          <w:sz w:val="20"/>
        </w:rPr>
        <w:t xml:space="preserve">If federal law requires Universal to allow Campbell to ride, and state law forbids it, then Universal must let Campbell ride. </w:t>
      </w:r>
      <w:bookmarkStart w:id="969" w:name="Bookmark_I68P4BD528T4RS0030000400"/>
      <w:bookmarkEnd w:id="969"/>
      <w:r>
        <w:rPr>
          <w:rFonts w:ascii="Arial" w:eastAsia="Arial" w:hAnsi="Arial" w:cs="Arial"/>
          <w:i/>
          <w:color w:val="000000"/>
          <w:sz w:val="20"/>
        </w:rPr>
        <w:t>Quinones</w:t>
      </w:r>
      <w:r>
        <w:rPr>
          <w:rFonts w:ascii="Arial" w:eastAsia="Arial" w:hAnsi="Arial" w:cs="Arial"/>
          <w:color w:val="000000"/>
          <w:sz w:val="20"/>
        </w:rPr>
        <w:t xml:space="preserve">, 58 F.3d at 277 ("A discriminatory state law is not a </w:t>
      </w:r>
      <w:r>
        <w:rPr>
          <w:rFonts w:ascii="Arial" w:eastAsia="Arial" w:hAnsi="Arial" w:cs="Arial"/>
          <w:i/>
          <w:color w:val="000000"/>
          <w:sz w:val="20"/>
        </w:rPr>
        <w:t>defense</w:t>
      </w:r>
      <w:r>
        <w:rPr>
          <w:rFonts w:ascii="Arial" w:eastAsia="Arial" w:hAnsi="Arial" w:cs="Arial"/>
          <w:color w:val="000000"/>
          <w:sz w:val="20"/>
        </w:rPr>
        <w:t xml:space="preserve"> to [**29]  liability under federal law; it is a </w:t>
      </w:r>
      <w:r>
        <w:rPr>
          <w:rFonts w:ascii="Arial" w:eastAsia="Arial" w:hAnsi="Arial" w:cs="Arial"/>
          <w:i/>
          <w:color w:val="000000"/>
          <w:sz w:val="20"/>
        </w:rPr>
        <w:t>source</w:t>
      </w:r>
      <w:r>
        <w:rPr>
          <w:rFonts w:ascii="Arial" w:eastAsia="Arial" w:hAnsi="Arial" w:cs="Arial"/>
          <w:color w:val="000000"/>
          <w:sz w:val="20"/>
        </w:rPr>
        <w:t xml:space="preserve"> of liability under federal law."); </w:t>
      </w:r>
      <w:r>
        <w:rPr>
          <w:rFonts w:ascii="Arial" w:eastAsia="Arial" w:hAnsi="Arial" w:cs="Arial"/>
          <w:i/>
          <w:color w:val="000000"/>
          <w:sz w:val="20"/>
        </w:rPr>
        <w:t xml:space="preserve">see also </w:t>
      </w:r>
      <w:bookmarkStart w:id="970" w:name="Bookmark_I68P4BD528T4RS0050000400"/>
      <w:bookmarkEnd w:id="970"/>
      <w:r>
        <w:rPr>
          <w:rFonts w:ascii="Arial" w:eastAsia="Arial" w:hAnsi="Arial" w:cs="Arial"/>
          <w:i/>
          <w:color w:val="000000"/>
          <w:sz w:val="20"/>
        </w:rPr>
        <w:t>Nat'l Fed'n of the Blind v. Lamone</w:t>
      </w:r>
      <w:r>
        <w:rPr>
          <w:rFonts w:ascii="Arial" w:eastAsia="Arial" w:hAnsi="Arial" w:cs="Arial"/>
          <w:color w:val="000000"/>
          <w:sz w:val="20"/>
        </w:rPr>
        <w:t>, 813 F.3d 494, 508 (4th Cir. 2016) ("[T]he strong form of defendants' argument—that the mere fact of a state statutory requirement insulates public entities from making otherwise reasonable modifications to prevent disability discrimination—cannot be correct."). Instead, Universal can assert the ADA as a defense to an enforcement action by Florida or seek a declaratory judgment ahead of time.</w:t>
      </w:r>
    </w:p>
    <w:p w:rsidR="00022B47" w:rsidRDefault="00000000">
      <w:pPr>
        <w:pStyle w:val="Normal5"/>
        <w:widowControl w:val="0"/>
        <w:spacing w:before="200" w:line="260" w:lineRule="atLeast"/>
        <w:jc w:val="both"/>
      </w:pPr>
      <w:bookmarkStart w:id="971" w:name="Bookmark_para_66"/>
      <w:bookmarkStart w:id="972" w:name="Bookmark_I7DM82RVY8D0000B2K700002"/>
      <w:bookmarkStart w:id="973" w:name="Bookmark_I68P4BD52N1PSN0030000400"/>
      <w:bookmarkEnd w:id="971"/>
      <w:bookmarkEnd w:id="972"/>
      <w:bookmarkEnd w:id="973"/>
      <w:r>
        <w:rPr>
          <w:rFonts w:ascii="Arial" w:eastAsia="Arial" w:hAnsi="Arial" w:cs="Arial"/>
          <w:color w:val="000000"/>
          <w:sz w:val="20"/>
        </w:rPr>
        <w:t xml:space="preserve">Universal cites </w:t>
      </w:r>
      <w:r>
        <w:rPr>
          <w:rFonts w:ascii="Arial" w:eastAsia="Arial" w:hAnsi="Arial" w:cs="Arial"/>
          <w:i/>
          <w:color w:val="000000"/>
          <w:sz w:val="20"/>
        </w:rPr>
        <w:t>Brickers v. Cleveland Board of Education</w:t>
      </w:r>
      <w:r>
        <w:rPr>
          <w:rFonts w:ascii="Arial" w:eastAsia="Arial" w:hAnsi="Arial" w:cs="Arial"/>
          <w:color w:val="000000"/>
          <w:sz w:val="20"/>
        </w:rPr>
        <w:t xml:space="preserve"> for the proposition that it faces what the Sixth Circuit has described as a "Hobson's choice" of "subject[ing] itself to potential ADA liability . . . or . . . subject[ing] itself to potential penalties from the state[.]" </w:t>
      </w:r>
      <w:bookmarkStart w:id="974" w:name="Bookmark_I68P4BD52N1PSN0020000400"/>
      <w:bookmarkEnd w:id="974"/>
      <w:r>
        <w:rPr>
          <w:rFonts w:ascii="Arial" w:eastAsia="Arial" w:hAnsi="Arial" w:cs="Arial"/>
          <w:color w:val="000000"/>
          <w:sz w:val="20"/>
        </w:rPr>
        <w:t>145 F.3d 846, 850 (6th Cir. 1998).</w:t>
      </w:r>
    </w:p>
    <w:p w:rsidR="00022B47" w:rsidRDefault="00000000">
      <w:pPr>
        <w:pStyle w:val="Normal5"/>
        <w:widowControl w:val="0"/>
        <w:spacing w:before="200" w:line="260" w:lineRule="atLeast"/>
        <w:jc w:val="both"/>
      </w:pPr>
      <w:bookmarkStart w:id="975" w:name="Bookmark_para_67"/>
      <w:bookmarkStart w:id="976" w:name="Bookmark_I7DM82RVRDT0000B2K700001"/>
      <w:bookmarkStart w:id="977" w:name="Bookmark_I68P4BD52N1PSN0050000400"/>
      <w:bookmarkEnd w:id="975"/>
      <w:bookmarkEnd w:id="976"/>
      <w:bookmarkEnd w:id="977"/>
      <w:r>
        <w:rPr>
          <w:rFonts w:ascii="Arial" w:eastAsia="Arial" w:hAnsi="Arial" w:cs="Arial"/>
          <w:color w:val="000000"/>
          <w:sz w:val="20"/>
        </w:rPr>
        <w:t xml:space="preserve">We respectfully disagree and decline to follow the Sixth Circuit. </w:t>
      </w:r>
      <w:bookmarkStart w:id="978" w:name="Bookmark_I68P4BD62HM5XT0020000400"/>
      <w:bookmarkEnd w:id="978"/>
      <w:r>
        <w:rPr>
          <w:rFonts w:ascii="Arial" w:eastAsia="Arial" w:hAnsi="Arial" w:cs="Arial"/>
          <w:color w:val="000000"/>
          <w:sz w:val="20"/>
        </w:rPr>
        <w:t xml:space="preserve">Instead, </w:t>
      </w:r>
      <w:bookmarkStart w:id="979" w:name="Bookmark_LNHNREFclscc14_2"/>
      <w:bookmarkEnd w:id="979"/>
      <w:r>
        <w:rPr>
          <w:rFonts w:ascii="Arial" w:eastAsia="Arial" w:hAnsi="Arial" w:cs="Arial"/>
          <w:color w:val="000000"/>
          <w:sz w:val="20"/>
        </w:rPr>
        <w:t xml:space="preserve">we align with the other circuits that have correctly recognized that federal law—not state law—must be followed when the two conflict. </w:t>
      </w:r>
      <w:r>
        <w:rPr>
          <w:rFonts w:ascii="Arial" w:eastAsia="Arial" w:hAnsi="Arial" w:cs="Arial"/>
          <w:i/>
          <w:color w:val="000000"/>
          <w:sz w:val="20"/>
        </w:rPr>
        <w:t xml:space="preserve">Cf. </w:t>
      </w:r>
      <w:bookmarkStart w:id="980" w:name="Bookmark_I68P4BD52N1PSN0040000400"/>
      <w:bookmarkEnd w:id="980"/>
      <w:r>
        <w:rPr>
          <w:rFonts w:ascii="Arial" w:eastAsia="Arial" w:hAnsi="Arial" w:cs="Arial"/>
          <w:i/>
          <w:color w:val="000000"/>
          <w:sz w:val="20"/>
        </w:rPr>
        <w:t>Barber</w:t>
      </w:r>
      <w:r>
        <w:rPr>
          <w:rFonts w:ascii="Arial" w:eastAsia="Arial" w:hAnsi="Arial" w:cs="Arial"/>
          <w:color w:val="000000"/>
          <w:sz w:val="20"/>
        </w:rPr>
        <w:t xml:space="preserve">, 562 F.3d at 1233 ("Reliance on state statutes to excuse non-compliance with federal laws is simply unacceptable under the Supremacy Clause.").  [*1259]  </w:t>
      </w:r>
      <w:bookmarkStart w:id="981" w:name="Bookmark_I68P4BD62HM5XT0020000400_2"/>
      <w:bookmarkEnd w:id="981"/>
      <w:r>
        <w:rPr>
          <w:rFonts w:ascii="Arial" w:eastAsia="Arial" w:hAnsi="Arial" w:cs="Arial"/>
          <w:color w:val="000000"/>
          <w:sz w:val="20"/>
        </w:rPr>
        <w:t xml:space="preserve">As then-Judge Gorsuch explained, "[s]tate officials who rely on their compliance with discriminatory state laws as evidence of their reasonableness [**30]  will normally find themselves proving their own liability, not shielding themselves from it." </w:t>
      </w:r>
      <w:bookmarkStart w:id="982" w:name="Bookmark_I68P4BD62HM5XT0010000400"/>
      <w:bookmarkEnd w:id="982"/>
      <w:r>
        <w:rPr>
          <w:rFonts w:ascii="Arial" w:eastAsia="Arial" w:hAnsi="Arial" w:cs="Arial"/>
          <w:i/>
          <w:color w:val="000000"/>
          <w:sz w:val="20"/>
        </w:rPr>
        <w:t>Id.</w:t>
      </w:r>
      <w:r>
        <w:rPr>
          <w:rFonts w:ascii="Arial" w:eastAsia="Arial" w:hAnsi="Arial" w:cs="Arial"/>
          <w:color w:val="000000"/>
          <w:sz w:val="20"/>
        </w:rPr>
        <w:t xml:space="preserve"> at 1234 (Gorsuch, J., concurring in the judgment).</w:t>
      </w:r>
    </w:p>
    <w:p w:rsidR="00022B47" w:rsidRDefault="00000000">
      <w:pPr>
        <w:pStyle w:val="Normal5"/>
        <w:widowControl w:val="0"/>
        <w:spacing w:before="200" w:line="260" w:lineRule="atLeast"/>
        <w:jc w:val="both"/>
      </w:pPr>
      <w:bookmarkStart w:id="983" w:name="Bookmark_para_68"/>
      <w:bookmarkStart w:id="984" w:name="Bookmark_LNHNREFclscc15_2"/>
      <w:bookmarkEnd w:id="983"/>
      <w:bookmarkEnd w:id="984"/>
      <w:r>
        <w:rPr>
          <w:rFonts w:ascii="Arial" w:eastAsia="Arial" w:hAnsi="Arial" w:cs="Arial"/>
          <w:color w:val="000000"/>
          <w:sz w:val="20"/>
        </w:rPr>
        <w:t>We hold that compliance with state law does not qualify as "necessary" under subsection (b)(2)(A)(i) of the ADA. Therefore, it does not excuse from ADA liability a public accommodation that imposes discriminatory eligibility criteria because of state law.</w:t>
      </w:r>
    </w:p>
    <w:p w:rsidR="00022B47" w:rsidRDefault="00000000">
      <w:pPr>
        <w:pStyle w:val="Normal5"/>
        <w:widowControl w:val="0"/>
        <w:spacing w:before="120" w:line="260" w:lineRule="atLeast"/>
      </w:pPr>
      <w:r>
        <w:rPr>
          <w:rFonts w:ascii="Arial" w:eastAsia="Arial" w:hAnsi="Arial" w:cs="Arial"/>
          <w:color w:val="000000"/>
          <w:sz w:val="20"/>
        </w:rPr>
        <w:t xml:space="preserve">3. </w:t>
      </w:r>
      <w:r>
        <w:rPr>
          <w:rFonts w:ascii="Arial" w:eastAsia="Arial" w:hAnsi="Arial" w:cs="Arial"/>
          <w:color w:val="000000"/>
          <w:sz w:val="20"/>
          <w:u w:val="single"/>
        </w:rPr>
        <w:t>Comparative Advantage</w:t>
      </w:r>
    </w:p>
    <w:p w:rsidR="00022B47" w:rsidRDefault="00000000">
      <w:pPr>
        <w:pStyle w:val="Normal5"/>
        <w:widowControl w:val="0"/>
        <w:spacing w:before="200" w:line="260" w:lineRule="atLeast"/>
        <w:jc w:val="both"/>
      </w:pPr>
      <w:bookmarkStart w:id="985" w:name="Bookmark_para_69"/>
      <w:bookmarkEnd w:id="985"/>
      <w:r>
        <w:rPr>
          <w:rFonts w:ascii="Arial" w:eastAsia="Arial" w:hAnsi="Arial" w:cs="Arial"/>
          <w:color w:val="000000"/>
          <w:sz w:val="20"/>
        </w:rPr>
        <w:t>Universal also says it is "necessary" to follow manufacturers' recommendations because manufacturers have a comparative advantage in identifying safety risks. ProSlide, Universal points out, has thirty-five years of experience designing water slides and may have sold the same ride to multiple water parks, while Universal had only the one version of the ride.</w:t>
      </w:r>
    </w:p>
    <w:p w:rsidR="00022B47" w:rsidRDefault="00000000">
      <w:pPr>
        <w:pStyle w:val="Normal5"/>
        <w:widowControl w:val="0"/>
        <w:spacing w:before="200" w:line="260" w:lineRule="atLeast"/>
        <w:jc w:val="both"/>
      </w:pPr>
      <w:bookmarkStart w:id="986" w:name="Bookmark_para_70"/>
      <w:bookmarkStart w:id="987" w:name="Bookmark_LNHNREFclscc16_2"/>
      <w:bookmarkEnd w:id="986"/>
      <w:bookmarkEnd w:id="987"/>
      <w:r>
        <w:rPr>
          <w:rFonts w:ascii="Arial" w:eastAsia="Arial" w:hAnsi="Arial" w:cs="Arial"/>
          <w:color w:val="000000"/>
          <w:sz w:val="20"/>
        </w:rPr>
        <w:t>We disagree that the comparative advantage of a manufacturer in identifying safety risks, in and of itself, qualifies as "necessary" under subsection (b)(2)(A)(i) and excuses a public accommodation from otherwise complying with the ADA. The ADA expressly prohibits the use of discriminatory eligibility criteria "through contractual or other arrangements." 42 U.S.C. § 12182(b)(1)(D). So the mere fact that a manufacturer has more experience and therefore a comparative advantage in identifying safety risks [**31]  does not make complying with its recommendations "necessary" when those recommendations are not, in fact, based on actual risks.</w:t>
      </w:r>
    </w:p>
    <w:p w:rsidR="00022B47" w:rsidRDefault="00000000">
      <w:pPr>
        <w:pStyle w:val="Normal5"/>
        <w:widowControl w:val="0"/>
        <w:spacing w:before="200" w:line="260" w:lineRule="atLeast"/>
        <w:jc w:val="both"/>
      </w:pPr>
      <w:bookmarkStart w:id="988" w:name="Bookmark_para_71"/>
      <w:bookmarkEnd w:id="988"/>
      <w:r>
        <w:rPr>
          <w:rFonts w:ascii="Arial" w:eastAsia="Arial" w:hAnsi="Arial" w:cs="Arial"/>
          <w:color w:val="000000"/>
          <w:sz w:val="20"/>
        </w:rPr>
        <w:t xml:space="preserve">Here, the manufacturer's comparative advantage is relevant with regard to </w:t>
      </w:r>
      <w:r>
        <w:rPr>
          <w:rFonts w:ascii="Arial" w:eastAsia="Arial" w:hAnsi="Arial" w:cs="Arial"/>
          <w:i/>
          <w:color w:val="000000"/>
          <w:sz w:val="20"/>
        </w:rPr>
        <w:t>safety</w:t>
      </w:r>
      <w:r>
        <w:rPr>
          <w:rFonts w:ascii="Arial" w:eastAsia="Arial" w:hAnsi="Arial" w:cs="Arial"/>
          <w:color w:val="000000"/>
          <w:sz w:val="20"/>
        </w:rPr>
        <w:t xml:space="preserve">-related concerns. Universal doesn't argue that the manufacturer has superior insight into any other way a requirement could be "necessary." As we've already mentioned, though, we agree that "necessary" includes safety. </w:t>
      </w:r>
      <w:bookmarkStart w:id="989" w:name="Bookmark_LNHNREFclscc17_2"/>
      <w:bookmarkEnd w:id="989"/>
      <w:r>
        <w:rPr>
          <w:rFonts w:ascii="Arial" w:eastAsia="Arial" w:hAnsi="Arial" w:cs="Arial"/>
          <w:color w:val="000000"/>
          <w:sz w:val="20"/>
        </w:rPr>
        <w:t xml:space="preserve">And we go one step further—only safety requirements addressing </w:t>
      </w:r>
      <w:r>
        <w:rPr>
          <w:rFonts w:ascii="Arial" w:eastAsia="Arial" w:hAnsi="Arial" w:cs="Arial"/>
          <w:i/>
          <w:color w:val="000000"/>
          <w:sz w:val="20"/>
        </w:rPr>
        <w:t>actual</w:t>
      </w:r>
      <w:r>
        <w:rPr>
          <w:rFonts w:ascii="Arial" w:eastAsia="Arial" w:hAnsi="Arial" w:cs="Arial"/>
          <w:color w:val="000000"/>
          <w:sz w:val="20"/>
        </w:rPr>
        <w:t xml:space="preserve"> safety risks are "necessary" under the ADA.</w:t>
      </w:r>
    </w:p>
    <w:p w:rsidR="00022B47" w:rsidRDefault="00000000">
      <w:pPr>
        <w:pStyle w:val="Normal5"/>
        <w:widowControl w:val="0"/>
        <w:spacing w:before="200" w:line="260" w:lineRule="atLeast"/>
        <w:jc w:val="both"/>
      </w:pPr>
      <w:bookmarkStart w:id="990" w:name="Bookmark_para_72"/>
      <w:bookmarkStart w:id="991" w:name="Bookmark_LNHNREFclscc18_0"/>
      <w:bookmarkEnd w:id="990"/>
      <w:bookmarkEnd w:id="991"/>
      <w:r>
        <w:rPr>
          <w:rFonts w:ascii="Arial" w:eastAsia="Arial" w:hAnsi="Arial" w:cs="Arial"/>
          <w:color w:val="000000"/>
          <w:sz w:val="20"/>
        </w:rPr>
        <w:t xml:space="preserve">Congress enacted the ADA to address disability discrimination based on stereotypes about disability. </w:t>
      </w:r>
      <w:r>
        <w:rPr>
          <w:rFonts w:ascii="Arial" w:eastAsia="Arial" w:hAnsi="Arial" w:cs="Arial"/>
          <w:i/>
          <w:color w:val="000000"/>
          <w:sz w:val="20"/>
        </w:rPr>
        <w:t>Id.</w:t>
      </w:r>
      <w:r>
        <w:rPr>
          <w:rFonts w:ascii="Arial" w:eastAsia="Arial" w:hAnsi="Arial" w:cs="Arial"/>
          <w:color w:val="000000"/>
          <w:sz w:val="20"/>
        </w:rPr>
        <w:t xml:space="preserve"> § 12101(a) ("The Congress finds that—(1) physical or mental disabilities in no way diminish a person's right to fully participate in all aspects of society, yet many people with physical or mental disabilities have been precluded from doing so because of discrimination; others who . . . are regarded as having a disability also have been subjected to discrimination[.]"). So it's not surprising that the ADA expressly prohibits discrimination against people both with disabilities and against people because of a "perceived physical or mental impairment whether or [**32]  not the impairment limits or is perceived to limit a major life activity." </w:t>
      </w:r>
      <w:r>
        <w:rPr>
          <w:rFonts w:ascii="Arial" w:eastAsia="Arial" w:hAnsi="Arial" w:cs="Arial"/>
          <w:i/>
          <w:color w:val="000000"/>
          <w:sz w:val="20"/>
        </w:rPr>
        <w:t>Id.</w:t>
      </w:r>
      <w:r>
        <w:rPr>
          <w:rFonts w:ascii="Arial" w:eastAsia="Arial" w:hAnsi="Arial" w:cs="Arial"/>
          <w:color w:val="000000"/>
          <w:sz w:val="20"/>
        </w:rPr>
        <w:t xml:space="preserve"> § 12102(3)(A) (emphasis added). Put simply, stereotypes about what people with disabilities can or cannot do don't justify exclusion under the ADA.</w:t>
      </w:r>
    </w:p>
    <w:p w:rsidR="00022B47" w:rsidRDefault="00000000">
      <w:pPr>
        <w:pStyle w:val="Normal5"/>
        <w:widowControl w:val="0"/>
        <w:spacing w:before="200" w:line="260" w:lineRule="atLeast"/>
        <w:jc w:val="both"/>
      </w:pPr>
      <w:bookmarkStart w:id="992" w:name="Bookmark_para_73"/>
      <w:bookmarkStart w:id="993" w:name="Bookmark_LNHNREFclscc19"/>
      <w:bookmarkStart w:id="994" w:name="Bookmark_I68P4BD62HM5XT0040000400"/>
      <w:bookmarkEnd w:id="992"/>
      <w:bookmarkEnd w:id="993"/>
      <w:bookmarkEnd w:id="994"/>
      <w:r>
        <w:rPr>
          <w:rFonts w:ascii="Arial" w:eastAsia="Arial" w:hAnsi="Arial" w:cs="Arial"/>
          <w:color w:val="000000"/>
          <w:sz w:val="20"/>
        </w:rPr>
        <w:t xml:space="preserve">Applying that principle here, we hold that a manufacturer-imposed safety requirement is "necessary" only to the extent it is related to actual risks to the health and safety of guests. A safety requirement imposed because of a stereotype is not "necessary" within the meaning of the ADA, when we consider the context that the ADA's definition of disability supplies. </w:t>
      </w:r>
      <w:r>
        <w:rPr>
          <w:rFonts w:ascii="Arial" w:eastAsia="Arial" w:hAnsi="Arial" w:cs="Arial"/>
          <w:i/>
          <w:color w:val="000000"/>
          <w:sz w:val="20"/>
        </w:rPr>
        <w:t xml:space="preserve">See </w:t>
      </w:r>
      <w:bookmarkStart w:id="995" w:name="Bookmark_I68P4BD62HM5XT0030000400"/>
      <w:bookmarkEnd w:id="995"/>
      <w:r>
        <w:rPr>
          <w:rFonts w:ascii="Arial" w:eastAsia="Arial" w:hAnsi="Arial" w:cs="Arial"/>
          <w:i/>
          <w:color w:val="000000"/>
          <w:sz w:val="20"/>
        </w:rPr>
        <w:t>DBB, Inc.</w:t>
      </w:r>
      <w:r>
        <w:rPr>
          <w:rFonts w:ascii="Arial" w:eastAsia="Arial" w:hAnsi="Arial" w:cs="Arial"/>
          <w:color w:val="000000"/>
          <w:sz w:val="20"/>
        </w:rPr>
        <w:t>, 180 F.3d at 1281. So a manufacturer's eligibility requirement, without more—that is, a manufacturer's eligibility requirement that is not based on actual safety risks—does not qualify as "necessary" under subsection (b)(2)(A)(i) just because a manufacturer has a comparative  [*1260]  advantage compared to a public accommodation in designing eligibility requirements.</w:t>
      </w:r>
    </w:p>
    <w:p w:rsidR="00022B47" w:rsidRDefault="00000000">
      <w:pPr>
        <w:pStyle w:val="Normal5"/>
        <w:widowControl w:val="0"/>
        <w:spacing w:before="200" w:line="260" w:lineRule="atLeast"/>
        <w:jc w:val="both"/>
      </w:pPr>
      <w:bookmarkStart w:id="996" w:name="Bookmark_para_74"/>
      <w:bookmarkStart w:id="997" w:name="Bookmark_I68P4BD62N1PST0010000400"/>
      <w:bookmarkEnd w:id="996"/>
      <w:bookmarkEnd w:id="997"/>
      <w:r>
        <w:rPr>
          <w:rFonts w:ascii="Arial" w:eastAsia="Arial" w:hAnsi="Arial" w:cs="Arial"/>
          <w:color w:val="000000"/>
          <w:sz w:val="20"/>
        </w:rPr>
        <w:t xml:space="preserve">And, to the extent the term "necessary" is ambiguous, the regulations reinforce this conclusion. </w:t>
      </w:r>
      <w:bookmarkStart w:id="998" w:name="Bookmark_I68P4BD62HM5XT0050000400"/>
      <w:bookmarkEnd w:id="998"/>
      <w:r>
        <w:rPr>
          <w:rFonts w:ascii="Arial" w:eastAsia="Arial" w:hAnsi="Arial" w:cs="Arial"/>
          <w:i/>
          <w:color w:val="000000"/>
          <w:sz w:val="20"/>
        </w:rPr>
        <w:t>Chevron</w:t>
      </w:r>
      <w:r>
        <w:rPr>
          <w:rFonts w:ascii="Arial" w:eastAsia="Arial" w:hAnsi="Arial" w:cs="Arial"/>
          <w:color w:val="000000"/>
          <w:sz w:val="20"/>
        </w:rPr>
        <w:t xml:space="preserve">, 467 U.S. at 843. </w:t>
      </w:r>
      <w:bookmarkStart w:id="999" w:name="Bookmark_LNHNREFclscc20"/>
      <w:bookmarkEnd w:id="999"/>
      <w:r>
        <w:rPr>
          <w:rFonts w:ascii="Arial" w:eastAsia="Arial" w:hAnsi="Arial" w:cs="Arial"/>
          <w:color w:val="000000"/>
          <w:sz w:val="20"/>
        </w:rPr>
        <w:t>As we've said, 28 C.F.R. § 36.301(b) provides that "[s]afety requirements must be based on actual risks and not on mere speculation, stereotypes, or generalizations about individuals with disabilities."</w:t>
      </w:r>
    </w:p>
    <w:p w:rsidR="00022B47" w:rsidRDefault="00000000">
      <w:pPr>
        <w:pStyle w:val="Normal5"/>
        <w:widowControl w:val="0"/>
        <w:spacing w:before="200" w:line="260" w:lineRule="atLeast"/>
        <w:jc w:val="both"/>
      </w:pPr>
      <w:bookmarkStart w:id="1000" w:name="Bookmark_para_75"/>
      <w:bookmarkEnd w:id="1000"/>
      <w:r>
        <w:rPr>
          <w:rFonts w:ascii="Arial" w:eastAsia="Arial" w:hAnsi="Arial" w:cs="Arial"/>
          <w:color w:val="000000"/>
          <w:sz w:val="20"/>
        </w:rPr>
        <w:t>Here, the record [**33]  reveals no "actual risks" to people like Campbell. To the contrary, the parties stipulated that "[a]side from identifying one risk that involves a potential hazard for a visually impaired patron . . . the hazard analyses performed by ProSlide and RAMS  [*1261]  identified no specific risks for anyone with a limb difference or other physical disability." So when ProSlide recommends that Universal not let Campbell ride, it raises the question, why? Based on the parties' stipulation, the recommendation identified no safety-related justification. Nor does Universal posit a different reason why ProSlide's recommendation is "necessary" for the slide.</w:t>
      </w:r>
      <w:r>
        <w:rPr>
          <w:rFonts w:ascii="Arial" w:eastAsia="Arial" w:hAnsi="Arial" w:cs="Arial"/>
          <w:vertAlign w:val="superscript"/>
        </w:rPr>
        <w:footnoteReference w:customMarkFollows="1" w:id="21"/>
        <w:t>3</w:t>
      </w:r>
      <w:r>
        <w:rPr>
          <w:rFonts w:ascii="Arial" w:eastAsia="Arial" w:hAnsi="Arial" w:cs="Arial"/>
          <w:color w:val="000000"/>
          <w:sz w:val="20"/>
        </w:rPr>
        <w:t xml:space="preserve"> So Universal's appeal to comparative advantage doesn't save its discriminatory eligibility criterion here.</w:t>
      </w:r>
    </w:p>
    <w:p w:rsidR="00022B47" w:rsidRDefault="00000000">
      <w:pPr>
        <w:pStyle w:val="Normal5"/>
        <w:widowControl w:val="0"/>
        <w:spacing w:before="120" w:line="260" w:lineRule="atLeast"/>
      </w:pPr>
      <w:r>
        <w:rPr>
          <w:rFonts w:ascii="Arial" w:eastAsia="Arial" w:hAnsi="Arial" w:cs="Arial"/>
          <w:color w:val="000000"/>
          <w:sz w:val="20"/>
        </w:rPr>
        <w:t xml:space="preserve">4. </w:t>
      </w:r>
      <w:r>
        <w:rPr>
          <w:rFonts w:ascii="Arial" w:eastAsia="Arial" w:hAnsi="Arial" w:cs="Arial"/>
          <w:color w:val="000000"/>
          <w:sz w:val="20"/>
          <w:u w:val="single"/>
        </w:rPr>
        <w:t>Administrative Feasibility and Uniformity</w:t>
      </w:r>
    </w:p>
    <w:p w:rsidR="00022B47" w:rsidRDefault="00000000">
      <w:pPr>
        <w:pStyle w:val="Normal5"/>
        <w:widowControl w:val="0"/>
        <w:spacing w:before="200" w:line="260" w:lineRule="atLeast"/>
        <w:jc w:val="both"/>
      </w:pPr>
      <w:bookmarkStart w:id="1002" w:name="Bookmark_para_76"/>
      <w:bookmarkEnd w:id="1002"/>
      <w:r>
        <w:rPr>
          <w:rFonts w:ascii="Arial" w:eastAsia="Arial" w:hAnsi="Arial" w:cs="Arial"/>
          <w:color w:val="000000"/>
          <w:sz w:val="20"/>
        </w:rPr>
        <w:t>Finally, Universal says it is "necessary" to exclude Campbell because making particularized safety determinations about the ability or inability of each guest to safely ride would be administratively infeasible. Rather, Universal asserts, a uniform rule is necessary. We think Universal overstates its concern on this record.</w:t>
      </w:r>
    </w:p>
    <w:p w:rsidR="00022B47" w:rsidRDefault="00000000">
      <w:pPr>
        <w:pStyle w:val="Normal5"/>
        <w:widowControl w:val="0"/>
        <w:spacing w:before="200" w:line="260" w:lineRule="atLeast"/>
        <w:jc w:val="both"/>
      </w:pPr>
      <w:bookmarkStart w:id="1003" w:name="Bookmark_para_77"/>
      <w:bookmarkEnd w:id="1003"/>
      <w:r>
        <w:rPr>
          <w:rFonts w:ascii="Arial" w:eastAsia="Arial" w:hAnsi="Arial" w:cs="Arial"/>
          <w:color w:val="000000"/>
          <w:sz w:val="20"/>
        </w:rPr>
        <w:t xml:space="preserve">Of course, administrative feasibility could be "necessary," given a record that [**34]  supports that conclusion. </w:t>
      </w:r>
      <w:bookmarkStart w:id="1004" w:name="Bookmark_LNHNREFclscc21"/>
      <w:bookmarkEnd w:id="1004"/>
      <w:r>
        <w:rPr>
          <w:rFonts w:ascii="Arial" w:eastAsia="Arial" w:hAnsi="Arial" w:cs="Arial"/>
          <w:color w:val="000000"/>
          <w:sz w:val="20"/>
        </w:rPr>
        <w:t>Even the ADA recognizes in subsection (b)(2)(A)(iii) that public accommodations need not make reasonable accommodations for those with disabilities if doing so would result in an undue burden on the public accommodation. 42 U.S.C. § 12182(b)(2)(A)(iii). Similarly, we think that, if a public accommodation could not feasibly safely administer a facility without employing a discriminatory eligibility criterion, that criterion could be said to be "necessary."</w:t>
      </w:r>
    </w:p>
    <w:p w:rsidR="00022B47" w:rsidRDefault="00000000">
      <w:pPr>
        <w:pStyle w:val="Normal5"/>
        <w:widowControl w:val="0"/>
        <w:spacing w:before="200" w:line="260" w:lineRule="atLeast"/>
        <w:jc w:val="both"/>
      </w:pPr>
      <w:bookmarkStart w:id="1005" w:name="Bookmark_para_78"/>
      <w:bookmarkEnd w:id="1005"/>
      <w:r>
        <w:rPr>
          <w:rFonts w:ascii="Arial" w:eastAsia="Arial" w:hAnsi="Arial" w:cs="Arial"/>
          <w:color w:val="000000"/>
          <w:sz w:val="20"/>
        </w:rPr>
        <w:t xml:space="preserve">But at this point in this case, Universal hasn't shown that administrative feasibility is relevant. Universal argues that it would be burdensome to have to anticipate all possible variations of limb differences and other abilities. But Universal stipulated that "[a]side from identifying one risk that involves a potential hazard for a visually impaired patron[,] . . . the hazard analyses performed by ProSlide and RAMS identified no specific risks for anyone with a limb difference or other physical disability." In other words, Universal has not identified a single specific risk to anyone with any type of limb difference. So it's not as though ProSlide and RAMS found actual risks for people with certain limb differences but did not consider the risks specific to those [**35]  with other types of limb differences because doing so would have been cost-prohibitive—Universal stipulated that "ProSlide and RAMS identified no specific risks </w:t>
      </w:r>
      <w:r>
        <w:rPr>
          <w:rFonts w:ascii="Arial" w:eastAsia="Arial" w:hAnsi="Arial" w:cs="Arial"/>
          <w:i/>
          <w:color w:val="000000"/>
          <w:sz w:val="20"/>
        </w:rPr>
        <w:t>for anyone with a limb difference</w:t>
      </w:r>
      <w:r>
        <w:rPr>
          <w:rFonts w:ascii="Arial" w:eastAsia="Arial" w:hAnsi="Arial" w:cs="Arial"/>
          <w:color w:val="000000"/>
          <w:sz w:val="20"/>
        </w:rPr>
        <w:t xml:space="preserve"> ...." (Emphasis added). And how a risk to a visually impaired rider has any relevance to risks for those with limb differences is not self-explanatory. In sum, on this record, Universal has not shown that the term "necessary" includes administrative efficiency or uniformity.</w:t>
      </w:r>
    </w:p>
    <w:p w:rsidR="00022B47" w:rsidRDefault="00000000">
      <w:pPr>
        <w:pStyle w:val="Normal5"/>
        <w:widowControl w:val="0"/>
        <w:spacing w:before="240" w:line="260" w:lineRule="atLeast"/>
      </w:pPr>
      <w:r>
        <w:br/>
      </w:r>
      <w:r>
        <w:rPr>
          <w:rFonts w:ascii="Arial" w:eastAsia="Arial" w:hAnsi="Arial" w:cs="Arial"/>
          <w:b/>
          <w:color w:val="000000"/>
          <w:sz w:val="20"/>
        </w:rPr>
        <w:t>IV. CONCLUSION</w:t>
      </w:r>
    </w:p>
    <w:p w:rsidR="00022B47" w:rsidRDefault="00000000">
      <w:pPr>
        <w:pStyle w:val="Normal5"/>
        <w:widowControl w:val="0"/>
        <w:spacing w:before="200" w:line="260" w:lineRule="atLeast"/>
        <w:jc w:val="both"/>
      </w:pPr>
      <w:bookmarkStart w:id="1006" w:name="Bookmark_para_79"/>
      <w:bookmarkEnd w:id="1006"/>
      <w:r>
        <w:rPr>
          <w:rFonts w:ascii="Arial" w:eastAsia="Arial" w:hAnsi="Arial" w:cs="Arial"/>
          <w:color w:val="000000"/>
          <w:sz w:val="20"/>
        </w:rPr>
        <w:t>For the foregoing reasons, we vacate and remand the district court's order for further proceedings consistent with this order.</w:t>
      </w:r>
    </w:p>
    <w:p w:rsidR="00022B47" w:rsidRDefault="00000000">
      <w:pPr>
        <w:pStyle w:val="Normal5"/>
        <w:widowControl w:val="0"/>
        <w:spacing w:before="200" w:line="260" w:lineRule="atLeast"/>
        <w:jc w:val="both"/>
      </w:pPr>
      <w:bookmarkStart w:id="1007" w:name="Bookmark_para_80"/>
      <w:bookmarkEnd w:id="1007"/>
      <w:r>
        <w:rPr>
          <w:rFonts w:ascii="Arial" w:eastAsia="Arial" w:hAnsi="Arial" w:cs="Arial"/>
          <w:b/>
          <w:color w:val="000000"/>
          <w:sz w:val="20"/>
        </w:rPr>
        <w:t>VACATED AND REMANDED</w:t>
      </w:r>
      <w:r>
        <w:rPr>
          <w:rFonts w:ascii="Arial" w:eastAsia="Arial" w:hAnsi="Arial" w:cs="Arial"/>
          <w:color w:val="000000"/>
          <w:sz w:val="20"/>
        </w:rPr>
        <w:t>.</w:t>
      </w:r>
    </w:p>
    <w:p w:rsidR="00022B47" w:rsidRDefault="00022B47">
      <w:pPr>
        <w:pStyle w:val="Normal5"/>
      </w:pPr>
    </w:p>
    <w:p w:rsidR="00022B47" w:rsidRDefault="00000000">
      <w:pPr>
        <w:pStyle w:val="Normal5"/>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88615177"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926115" id="Line 1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6"/>
        <w:sectPr w:rsidR="00022B47">
          <w:headerReference w:type="even" r:id="rId43"/>
          <w:headerReference w:type="default" r:id="rId44"/>
          <w:footerReference w:type="even" r:id="rId45"/>
          <w:footerReference w:type="default" r:id="rId46"/>
          <w:headerReference w:type="first" r:id="rId47"/>
          <w:footerReference w:type="first" r:id="rId48"/>
          <w:pgSz w:w="12240" w:h="15840"/>
          <w:pgMar w:top="840" w:right="1000" w:bottom="840" w:left="1000" w:header="400" w:footer="400" w:gutter="0"/>
          <w:cols w:space="720"/>
          <w:titlePg/>
        </w:sectPr>
      </w:pPr>
    </w:p>
    <w:p w:rsidR="00022B47" w:rsidRDefault="00022B47">
      <w:pPr>
        <w:pStyle w:val="Normal6"/>
      </w:pPr>
    </w:p>
    <w:p w:rsidR="00022B47" w:rsidRDefault="00000000">
      <w:pPr>
        <w:pStyle w:val="Heading15"/>
        <w:keepNext w:val="0"/>
        <w:widowControl w:val="0"/>
        <w:spacing w:after="200" w:line="340" w:lineRule="atLeast"/>
        <w:jc w:val="center"/>
      </w:pPr>
      <w:r>
        <w:rPr>
          <w:rFonts w:eastAsia="Arial"/>
          <w:color w:val="000000"/>
          <w:sz w:val="28"/>
        </w:rPr>
        <w:t>Hopman v. Union Pac. R.R.</w:t>
      </w:r>
    </w:p>
    <w:p w:rsidR="00022B47" w:rsidRDefault="00000000">
      <w:pPr>
        <w:pStyle w:val="Normal6"/>
        <w:widowControl w:val="0"/>
        <w:spacing w:before="120" w:line="260" w:lineRule="atLeast"/>
        <w:jc w:val="center"/>
      </w:pPr>
      <w:r>
        <w:rPr>
          <w:rFonts w:ascii="Arial" w:eastAsia="Arial" w:hAnsi="Arial" w:cs="Arial"/>
          <w:color w:val="000000"/>
          <w:sz w:val="20"/>
        </w:rPr>
        <w:t>United States Court of Appeals for the Eighth Circuit</w:t>
      </w:r>
    </w:p>
    <w:p w:rsidR="00022B47" w:rsidRDefault="00000000">
      <w:pPr>
        <w:pStyle w:val="Normal6"/>
        <w:widowControl w:val="0"/>
        <w:spacing w:before="120" w:line="260" w:lineRule="atLeast"/>
        <w:jc w:val="center"/>
      </w:pPr>
      <w:r>
        <w:rPr>
          <w:rFonts w:ascii="Arial" w:eastAsia="Arial" w:hAnsi="Arial" w:cs="Arial"/>
          <w:color w:val="000000"/>
          <w:sz w:val="20"/>
        </w:rPr>
        <w:t>January 10, 2023, Submitted; May 19, 2023, Filed</w:t>
      </w:r>
    </w:p>
    <w:p w:rsidR="00022B47" w:rsidRDefault="00000000">
      <w:pPr>
        <w:pStyle w:val="Normal6"/>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22-1881</w:t>
      </w:r>
    </w:p>
    <w:p w:rsidR="00022B47" w:rsidRDefault="00022B47">
      <w:pPr>
        <w:pStyle w:val="Normal6"/>
        <w:widowControl w:val="0"/>
        <w:spacing w:line="240" w:lineRule="atLeast"/>
        <w:jc w:val="both"/>
      </w:pPr>
      <w:bookmarkStart w:id="1008" w:name="Bookmark_7"/>
      <w:bookmarkEnd w:id="1008"/>
    </w:p>
    <w:p w:rsidR="00022B47" w:rsidRDefault="00000000">
      <w:pPr>
        <w:pStyle w:val="Normal6"/>
        <w:widowControl w:val="0"/>
        <w:spacing w:before="200" w:line="240" w:lineRule="atLeast"/>
      </w:pPr>
      <w:bookmarkStart w:id="1009" w:name="Reporter_5"/>
      <w:bookmarkEnd w:id="1009"/>
      <w:r>
        <w:rPr>
          <w:rFonts w:ascii="Arial" w:eastAsia="Arial" w:hAnsi="Arial" w:cs="Arial"/>
          <w:b/>
          <w:color w:val="000000"/>
          <w:sz w:val="18"/>
        </w:rPr>
        <w:t>Reporter</w:t>
      </w:r>
    </w:p>
    <w:p w:rsidR="00022B47" w:rsidRDefault="00000000">
      <w:pPr>
        <w:pStyle w:val="Normal6"/>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68 F.4th 394 *; 2023 U.S. App. LEXIS 12289 **</w:t>
      </w:r>
    </w:p>
    <w:p w:rsidR="00022B47" w:rsidRDefault="00000000">
      <w:pPr>
        <w:pStyle w:val="Normal6"/>
        <w:widowControl w:val="0"/>
        <w:spacing w:before="120" w:line="260" w:lineRule="atLeast"/>
      </w:pPr>
      <w:r>
        <w:rPr>
          <w:rFonts w:ascii="Arial" w:eastAsia="Arial" w:hAnsi="Arial" w:cs="Arial"/>
          <w:color w:val="000000"/>
          <w:sz w:val="20"/>
        </w:rPr>
        <w:t>Perry Hopman, Plaintiff - Appellant v. Union Pacific Railroad, Defendant - Appellee, Association of American Railroads; The Chamber of Commerce of the United States of America, Amici on Behalf of Appellee</w:t>
      </w:r>
    </w:p>
    <w:p w:rsidR="00022B47" w:rsidRDefault="00000000">
      <w:pPr>
        <w:pStyle w:val="Normal6"/>
        <w:widowControl w:val="0"/>
        <w:spacing w:before="240" w:line="260" w:lineRule="atLeast"/>
        <w:jc w:val="both"/>
      </w:pPr>
      <w:bookmarkStart w:id="1010" w:name="Prior_History_5"/>
      <w:bookmarkEnd w:id="1010"/>
      <w:r>
        <w:rPr>
          <w:rFonts w:ascii="Arial" w:eastAsia="Arial" w:hAnsi="Arial" w:cs="Arial"/>
          <w:b/>
          <w:color w:val="000000"/>
          <w:sz w:val="20"/>
        </w:rPr>
        <w:t>Prior History:</w:t>
      </w:r>
      <w:r>
        <w:rPr>
          <w:rFonts w:ascii="Arial" w:eastAsia="Arial" w:hAnsi="Arial" w:cs="Arial"/>
          <w:color w:val="000000"/>
          <w:sz w:val="20"/>
        </w:rPr>
        <w:t> </w:t>
      </w:r>
      <w:bookmarkStart w:id="1011" w:name="Bookmark_para_1_5"/>
      <w:bookmarkEnd w:id="1011"/>
      <w:r>
        <w:rPr>
          <w:rFonts w:ascii="Arial" w:eastAsia="Arial" w:hAnsi="Arial" w:cs="Arial"/>
          <w:color w:val="000000"/>
          <w:sz w:val="20"/>
        </w:rPr>
        <w:t> [**1] Appeal from United States District Court for the Eastern District of Arkansas - Central.</w:t>
      </w:r>
    </w:p>
    <w:p w:rsidR="00022B47" w:rsidRDefault="00000000">
      <w:pPr>
        <w:pStyle w:val="Normal6"/>
        <w:widowControl w:val="0"/>
        <w:spacing w:before="240" w:line="260" w:lineRule="atLeast"/>
      </w:pPr>
      <w:bookmarkStart w:id="1012" w:name="Counsel_5"/>
      <w:bookmarkEnd w:id="1012"/>
      <w:r>
        <w:rPr>
          <w:rFonts w:ascii="Arial" w:eastAsia="Arial" w:hAnsi="Arial" w:cs="Arial"/>
          <w:b/>
          <w:color w:val="000000"/>
          <w:sz w:val="20"/>
        </w:rPr>
        <w:t>Counsel:</w:t>
      </w:r>
      <w:r>
        <w:rPr>
          <w:rFonts w:ascii="Arial" w:eastAsia="Arial" w:hAnsi="Arial" w:cs="Arial"/>
          <w:color w:val="000000"/>
          <w:sz w:val="20"/>
        </w:rPr>
        <w:t> For Perry Hopman, Plaintiff - Appellant: Katherine L. Butler, BUTLER &amp; HARRIS, Houston, TX; John W. Griffin Jr., MAREK &amp; GRIFFIN, Victoria, TX; Paul R. Harris, SHELLIST &amp; LAZARZ, Houston, TX; Michael Neuerburg, SIMMONS &amp; PERRINE, Cedar Rapids, IA; Gregory G. Paul, MORGAN &amp; PAUL, Pittsburg, PA.</w:t>
      </w:r>
    </w:p>
    <w:p w:rsidR="00022B47" w:rsidRDefault="00000000">
      <w:pPr>
        <w:pStyle w:val="Normal6"/>
        <w:widowControl w:val="0"/>
        <w:spacing w:before="120" w:line="260" w:lineRule="atLeast"/>
      </w:pPr>
      <w:r>
        <w:rPr>
          <w:rFonts w:ascii="Arial" w:eastAsia="Arial" w:hAnsi="Arial" w:cs="Arial"/>
          <w:color w:val="000000"/>
          <w:sz w:val="20"/>
        </w:rPr>
        <w:t>For Union Pacific Railroad, Defendant - Appellee: Robert J. Carty Jr., NICHOLS &amp; BRAR, Houston, TX; Torriano N. Garland, Senior Counsel, UNION PACIFIC RAILROAD, Omaha, NE; Bryan Michael Killian, MORGAN &amp; LEWIS, Washington, DC; Amanda Leigh Salz, MORGAN &amp; LEWIS, Washington, DC; Linda Cooper Schoonmaker, SEYFARTH &amp; SHAW, Houston, TX; Stephanie Schuster, MORGAN &amp; LEWIS, Washington, DC.</w:t>
      </w:r>
    </w:p>
    <w:p w:rsidR="00022B47" w:rsidRDefault="00000000">
      <w:pPr>
        <w:pStyle w:val="Normal6"/>
        <w:widowControl w:val="0"/>
        <w:spacing w:before="120" w:line="260" w:lineRule="atLeast"/>
      </w:pPr>
      <w:r>
        <w:rPr>
          <w:rFonts w:ascii="Arial" w:eastAsia="Arial" w:hAnsi="Arial" w:cs="Arial"/>
          <w:color w:val="000000"/>
          <w:sz w:val="20"/>
        </w:rPr>
        <w:t>For Association of American Railroads, Amicus on Behalf of Appellee(s): William A. Brasher, REIFERS &amp; HOLMES, Saint Louis, MO; Kathryn D. Kirmayer, ASSOCIATION OF AMERICAN RAILROADS, Washington, DC; Daniel Saphire, ASSOCIATION OF AMERICAN RAILROADS, Washington, DC.</w:t>
      </w:r>
    </w:p>
    <w:p w:rsidR="00022B47" w:rsidRDefault="00000000">
      <w:pPr>
        <w:pStyle w:val="Normal6"/>
        <w:widowControl w:val="0"/>
        <w:spacing w:before="120" w:line="260" w:lineRule="atLeast"/>
      </w:pPr>
      <w:r>
        <w:rPr>
          <w:rFonts w:ascii="Arial" w:eastAsia="Arial" w:hAnsi="Arial" w:cs="Arial"/>
          <w:color w:val="000000"/>
          <w:sz w:val="20"/>
        </w:rPr>
        <w:t>For The Chamber of Commerce of the United States of America, Amicus on Behalf of Appellee(s): Tyler S. Badgley, U.S. CHAMBER OF COMMERCE, Washington, DC; Anthony R. Jadick, [**2]  DECHERT, LLP., Philadelphia, PA; Brian Andrew Kulp, DECHERT, LLP., Philadelphia, PA; Stephanie A. Maloney, U.S. CHAMBER OF COMMERCE, Washington, DC; Michael H. McGinley, DECHERT, LLP., Philadelphia, PA.</w:t>
      </w:r>
    </w:p>
    <w:p w:rsidR="00022B47" w:rsidRDefault="00000000">
      <w:pPr>
        <w:pStyle w:val="Normal6"/>
        <w:widowControl w:val="0"/>
        <w:spacing w:before="240" w:line="260" w:lineRule="atLeast"/>
      </w:pPr>
      <w:bookmarkStart w:id="1013" w:name="Judges_5"/>
      <w:bookmarkEnd w:id="1013"/>
      <w:r>
        <w:rPr>
          <w:rFonts w:ascii="Arial" w:eastAsia="Arial" w:hAnsi="Arial" w:cs="Arial"/>
          <w:b/>
          <w:color w:val="000000"/>
          <w:sz w:val="20"/>
        </w:rPr>
        <w:t>Judges:</w:t>
      </w:r>
      <w:r>
        <w:rPr>
          <w:rFonts w:ascii="Arial" w:eastAsia="Arial" w:hAnsi="Arial" w:cs="Arial"/>
          <w:color w:val="000000"/>
          <w:sz w:val="20"/>
        </w:rPr>
        <w:t> Before SMITH, Chief Judge, WOLLMAN and LOKEN, Circuit Judges.</w:t>
      </w:r>
    </w:p>
    <w:p w:rsidR="00022B47" w:rsidRDefault="00000000">
      <w:pPr>
        <w:pStyle w:val="Normal6"/>
        <w:widowControl w:val="0"/>
        <w:spacing w:before="240" w:line="260" w:lineRule="atLeast"/>
      </w:pPr>
      <w:bookmarkStart w:id="1014" w:name="Opinion_by_3"/>
      <w:bookmarkEnd w:id="1014"/>
      <w:r>
        <w:rPr>
          <w:rFonts w:ascii="Arial" w:eastAsia="Arial" w:hAnsi="Arial" w:cs="Arial"/>
          <w:b/>
          <w:color w:val="000000"/>
          <w:sz w:val="20"/>
        </w:rPr>
        <w:t>Opinion by:</w:t>
      </w:r>
      <w:r>
        <w:rPr>
          <w:rFonts w:ascii="Arial" w:eastAsia="Arial" w:hAnsi="Arial" w:cs="Arial"/>
          <w:color w:val="000000"/>
          <w:sz w:val="20"/>
        </w:rPr>
        <w:t> LOKEN</w:t>
      </w:r>
    </w:p>
    <w:p w:rsidR="00022B47" w:rsidRDefault="00000000">
      <w:pPr>
        <w:pStyle w:val="Normal6"/>
        <w:keepNext/>
        <w:widowControl w:val="0"/>
        <w:spacing w:before="240" w:line="340" w:lineRule="atLeast"/>
      </w:pPr>
      <w:bookmarkStart w:id="1015" w:name="Opinion_5"/>
      <w:bookmarkEnd w:id="1015"/>
      <w:r>
        <w:rPr>
          <w:rFonts w:ascii="Arial" w:eastAsia="Arial" w:hAnsi="Arial" w:cs="Arial"/>
          <w:b/>
          <w:color w:val="000000"/>
          <w:sz w:val="28"/>
        </w:rPr>
        <w:t>Opinion</w:t>
      </w:r>
    </w:p>
    <w:p w:rsidR="00022B47" w:rsidRDefault="0025213E">
      <w:pPr>
        <w:pStyle w:val="Normal6"/>
        <w:spacing w:line="60" w:lineRule="exact"/>
      </w:pPr>
      <w:r>
        <w:rPr>
          <w:noProof/>
        </w:rPr>
        <mc:AlternateContent>
          <mc:Choice Requires="wps">
            <w:drawing>
              <wp:anchor distT="0" distB="0" distL="114300" distR="114300" simplePos="0" relativeHeight="25167052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764865034"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46FE21" id="Line 1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6"/>
      </w:pPr>
    </w:p>
    <w:p w:rsidR="00022B47" w:rsidRDefault="00000000">
      <w:pPr>
        <w:pStyle w:val="Normal6"/>
        <w:widowControl w:val="0"/>
        <w:spacing w:before="200" w:line="260" w:lineRule="atLeast"/>
        <w:jc w:val="both"/>
      </w:pPr>
      <w:bookmarkStart w:id="1016" w:name="Bookmark_para_2_5"/>
      <w:bookmarkEnd w:id="1016"/>
      <w:r>
        <w:rPr>
          <w:rFonts w:ascii="Arial" w:eastAsia="Arial" w:hAnsi="Arial" w:cs="Arial"/>
          <w:color w:val="000000"/>
          <w:sz w:val="20"/>
        </w:rPr>
        <w:t> [*395]  LOKEN, Circuit Judge.</w:t>
      </w:r>
    </w:p>
    <w:p w:rsidR="00022B47" w:rsidRDefault="00000000">
      <w:pPr>
        <w:pStyle w:val="Normal6"/>
        <w:widowControl w:val="0"/>
        <w:spacing w:before="200" w:line="260" w:lineRule="atLeast"/>
        <w:jc w:val="both"/>
      </w:pPr>
      <w:bookmarkStart w:id="1017" w:name="Bookmark_para_3_5"/>
      <w:bookmarkEnd w:id="1017"/>
      <w:r>
        <w:rPr>
          <w:rFonts w:ascii="Arial" w:eastAsia="Arial" w:hAnsi="Arial" w:cs="Arial"/>
          <w:color w:val="000000"/>
          <w:sz w:val="20"/>
        </w:rPr>
        <w:t xml:space="preserve">Perry Hopman, then a conductor now an engineer for Union Pacific Railroad ("Union Pacific"), brought this action under the Americans with Disabilities Act ("ADA"), 42 U.S.C. § 12117(a), when Union Pacific refused Hopman's requests that he be allowed to bring his Rottweiler service dog on board moving Union Pacific freight trains as a reasonable accommodation to ameliorate the effects of Hopman's undisputed disabilities, post-traumatic stress disorder (PTSD) and migraine headaches resulting from his prior service in the military. </w:t>
      </w:r>
      <w:bookmarkStart w:id="1018" w:name="Bookmark_I6897V0T2HM67D0020000400"/>
      <w:bookmarkEnd w:id="1018"/>
      <w:r>
        <w:rPr>
          <w:rFonts w:ascii="Arial" w:eastAsia="Arial" w:hAnsi="Arial" w:cs="Arial"/>
          <w:color w:val="000000"/>
          <w:sz w:val="20"/>
        </w:rPr>
        <w:t>At the end of a week-long trial, the district court</w:t>
      </w:r>
      <w:r>
        <w:rPr>
          <w:rFonts w:ascii="Arial" w:eastAsia="Arial" w:hAnsi="Arial" w:cs="Arial"/>
          <w:vertAlign w:val="superscript"/>
        </w:rPr>
        <w:footnoteReference w:customMarkFollows="1" w:id="22"/>
        <w:t>1</w:t>
      </w:r>
      <w:r>
        <w:rPr>
          <w:rFonts w:ascii="Arial" w:eastAsia="Arial" w:hAnsi="Arial" w:cs="Arial"/>
          <w:color w:val="000000"/>
          <w:sz w:val="20"/>
        </w:rPr>
        <w:t xml:space="preserve"> denied Union Pacific's motion  [*396]  for judgment as a matter of law. The jury then returned a verdict for Hopman, awarding compensatory but not punitive damages. The district court granted Union Pacific's renewed motion for judgment as a matter of law, concluding there is no legally sufficient evidentiary basis for the jury's verdict. </w:t>
      </w:r>
      <w:bookmarkStart w:id="1020" w:name="Bookmark_I6897V0T2HM67D0010000400"/>
      <w:bookmarkEnd w:id="1020"/>
      <w:r>
        <w:rPr>
          <w:rFonts w:ascii="Arial" w:eastAsia="Arial" w:hAnsi="Arial" w:cs="Arial"/>
          <w:color w:val="000000"/>
          <w:sz w:val="20"/>
          <w:u w:val="single"/>
        </w:rPr>
        <w:t>Hopman v. Union Pac. R.R.</w:t>
      </w:r>
      <w:r>
        <w:rPr>
          <w:rFonts w:ascii="Arial" w:eastAsia="Arial" w:hAnsi="Arial" w:cs="Arial"/>
          <w:color w:val="000000"/>
          <w:sz w:val="20"/>
        </w:rPr>
        <w:t>, No. 4:18-cv-00074-KGB, Order, 2022 U.S. Dist. LEXIS 58864. Hopman appeals. We affirm.</w:t>
      </w:r>
    </w:p>
    <w:p w:rsidR="00022B47" w:rsidRDefault="00000000">
      <w:pPr>
        <w:pStyle w:val="Normal6"/>
        <w:widowControl w:val="0"/>
        <w:spacing w:before="240" w:line="260" w:lineRule="atLeast"/>
      </w:pPr>
      <w:r>
        <w:br/>
      </w:r>
      <w:r>
        <w:rPr>
          <w:rFonts w:ascii="Arial" w:eastAsia="Arial" w:hAnsi="Arial" w:cs="Arial"/>
          <w:b/>
          <w:color w:val="000000"/>
          <w:sz w:val="20"/>
        </w:rPr>
        <w:t>I. Framing the Regulatory</w:t>
      </w:r>
      <w:r>
        <w:rPr>
          <w:rFonts w:ascii="Arial" w:eastAsia="Arial" w:hAnsi="Arial" w:cs="Arial"/>
          <w:color w:val="000000"/>
          <w:sz w:val="20"/>
        </w:rPr>
        <w:t> [**3] </w:t>
      </w:r>
      <w:r>
        <w:rPr>
          <w:rFonts w:ascii="Arial" w:eastAsia="Arial" w:hAnsi="Arial" w:cs="Arial"/>
          <w:b/>
          <w:color w:val="000000"/>
          <w:sz w:val="20"/>
        </w:rPr>
        <w:t xml:space="preserve"> Issue</w:t>
      </w:r>
    </w:p>
    <w:p w:rsidR="00022B47" w:rsidRDefault="00000000">
      <w:pPr>
        <w:pStyle w:val="Normal6"/>
        <w:widowControl w:val="0"/>
        <w:spacing w:before="200" w:line="260" w:lineRule="atLeast"/>
        <w:jc w:val="both"/>
      </w:pPr>
      <w:bookmarkStart w:id="1021" w:name="Bookmark_para_4_5"/>
      <w:bookmarkStart w:id="1022" w:name="Bookmark_I6897V0T2HM67D0040000400"/>
      <w:bookmarkStart w:id="1023" w:name="Bookmark_I6897V0T2SF8130010000400"/>
      <w:bookmarkStart w:id="1024" w:name="Bookmark_LNHNREFclscc1_4"/>
      <w:bookmarkEnd w:id="1021"/>
      <w:bookmarkEnd w:id="1022"/>
      <w:bookmarkEnd w:id="1023"/>
      <w:bookmarkEnd w:id="1024"/>
      <w:r>
        <w:rPr>
          <w:rFonts w:ascii="Arial" w:eastAsia="Arial" w:hAnsi="Arial" w:cs="Arial"/>
          <w:color w:val="000000"/>
          <w:sz w:val="20"/>
        </w:rPr>
        <w:t xml:space="preserve">"The ADA bars private employers from discriminating against a 'qualified individual on the basis of disability.' 42 U.S.C. § 12112(a). Discrimination is defined to include 'not making reasonable accommodations to the known physical or mental limitations of an otherwise qualified [employee] with a disability.' 42 U.S.C. § 12112(b)(5)(A)." </w:t>
      </w:r>
      <w:bookmarkStart w:id="1025" w:name="Bookmark_I6897V0T2HM67D0030000400"/>
      <w:bookmarkEnd w:id="1025"/>
      <w:r>
        <w:rPr>
          <w:rFonts w:ascii="Arial" w:eastAsia="Arial" w:hAnsi="Arial" w:cs="Arial"/>
          <w:color w:val="000000"/>
          <w:sz w:val="20"/>
          <w:u w:val="single"/>
        </w:rPr>
        <w:t>Faidley v. United Parcel Service, Inc.</w:t>
      </w:r>
      <w:r>
        <w:rPr>
          <w:rFonts w:ascii="Arial" w:eastAsia="Arial" w:hAnsi="Arial" w:cs="Arial"/>
          <w:color w:val="000000"/>
          <w:sz w:val="20"/>
        </w:rPr>
        <w:t xml:space="preserve">, 889 F.3d 933, 940 (8th Cir. 2018) (en banc). "To prevail on his failure-to-accommodate claim under the ADA, [Hopman] must establish both a prima facie case of discrimination based on disability and a failure to accommodate it." </w:t>
      </w:r>
      <w:bookmarkStart w:id="1026" w:name="Bookmark_I6897V0T2HM67D0050000400"/>
      <w:bookmarkEnd w:id="1026"/>
      <w:r>
        <w:rPr>
          <w:rFonts w:ascii="Arial" w:eastAsia="Arial" w:hAnsi="Arial" w:cs="Arial"/>
          <w:color w:val="000000"/>
          <w:sz w:val="20"/>
          <w:u w:val="single"/>
        </w:rPr>
        <w:t>Moses v. Dassault Falcon Jet-Wilminton Corp.</w:t>
      </w:r>
      <w:r>
        <w:rPr>
          <w:rFonts w:ascii="Arial" w:eastAsia="Arial" w:hAnsi="Arial" w:cs="Arial"/>
          <w:color w:val="000000"/>
          <w:sz w:val="20"/>
        </w:rPr>
        <w:t>, 894 F.3d 911, 923 (8th Cir. 2018) (quotation omitted).</w:t>
      </w:r>
    </w:p>
    <w:p w:rsidR="00022B47" w:rsidRDefault="00000000">
      <w:pPr>
        <w:pStyle w:val="Normal6"/>
        <w:widowControl w:val="0"/>
        <w:spacing w:before="200" w:line="260" w:lineRule="atLeast"/>
        <w:jc w:val="both"/>
      </w:pPr>
      <w:bookmarkStart w:id="1027" w:name="Bookmark_para_5_5"/>
      <w:bookmarkStart w:id="1028" w:name="Bookmark_I6897V0T2SF8130030000400"/>
      <w:bookmarkStart w:id="1029" w:name="Bookmark_LNHNREFclscc2_4"/>
      <w:bookmarkEnd w:id="1027"/>
      <w:bookmarkEnd w:id="1028"/>
      <w:bookmarkEnd w:id="1029"/>
      <w:r>
        <w:rPr>
          <w:rFonts w:ascii="Arial" w:eastAsia="Arial" w:hAnsi="Arial" w:cs="Arial"/>
          <w:color w:val="000000"/>
          <w:sz w:val="20"/>
        </w:rPr>
        <w:t xml:space="preserve">Title I of the ADA is titled "Employment." Its obvious focus is employer discrimination that disadvantages the job opportunities of persons with disabilities. Indeed, the statute defines a "qualified individual" as "an individual who, with or without reasonable accommodation, can perform the essential functions of the employment position that such individual holds or desires." 42 U.S.C. § 12111(8). Thus, most failure-to-accommodate cases involve whether the employer "failed to provide reasonable accommodations . . . that would have allowed [the employee] to perform the essential functions of [his] position." </w:t>
      </w:r>
      <w:bookmarkStart w:id="1030" w:name="Bookmark_I6897V0T2SF8130020000400"/>
      <w:bookmarkEnd w:id="1030"/>
      <w:r>
        <w:rPr>
          <w:rFonts w:ascii="Arial" w:eastAsia="Arial" w:hAnsi="Arial" w:cs="Arial"/>
          <w:color w:val="000000"/>
          <w:sz w:val="20"/>
          <w:u w:val="single"/>
        </w:rPr>
        <w:t>Fjellestad v. Pizza Hut of Am., Inc.</w:t>
      </w:r>
      <w:r>
        <w:rPr>
          <w:rFonts w:ascii="Arial" w:eastAsia="Arial" w:hAnsi="Arial" w:cs="Arial"/>
          <w:color w:val="000000"/>
          <w:sz w:val="20"/>
        </w:rPr>
        <w:t>, 188 F.3d 944, 950 (8th Cir. 1999). This case does not. From the outset of the litigation, Hopman has conceded that he is able [**4]  to perform the essential functions of his work on Union Pacific trains with or without the service dog accommodation he seeks. Indeed, Union Pacific promoted Hopman from conductor to engineer during the litigation.</w:t>
      </w:r>
    </w:p>
    <w:p w:rsidR="00022B47" w:rsidRDefault="00000000">
      <w:pPr>
        <w:pStyle w:val="Normal6"/>
        <w:widowControl w:val="0"/>
        <w:spacing w:before="200" w:line="260" w:lineRule="atLeast"/>
        <w:jc w:val="both"/>
      </w:pPr>
      <w:bookmarkStart w:id="1031" w:name="Bookmark_para_6_5"/>
      <w:bookmarkEnd w:id="1031"/>
      <w:r>
        <w:rPr>
          <w:rFonts w:ascii="Arial" w:eastAsia="Arial" w:hAnsi="Arial" w:cs="Arial"/>
          <w:color w:val="000000"/>
          <w:sz w:val="20"/>
        </w:rPr>
        <w:t xml:space="preserve">Employers seeking to hire and retain qualified workers offer attractions not directly related to job performance, including "fringe benefits" such as health and retirement benefits, and privileges such as employee lounges and fitness facilities. The question underlying this appeal, which we have not addressed in prior cases, is whether Congress in the ADA also intended to bar employer discrimination that does not directly affect the ability of an employee who is a qualified individual to perform his job's essential functions. </w:t>
      </w:r>
      <w:bookmarkStart w:id="1032" w:name="Bookmark_LNHNREFclscc3_4"/>
      <w:bookmarkEnd w:id="1032"/>
      <w:r>
        <w:rPr>
          <w:rFonts w:ascii="Arial" w:eastAsia="Arial" w:hAnsi="Arial" w:cs="Arial"/>
          <w:color w:val="000000"/>
          <w:sz w:val="20"/>
        </w:rPr>
        <w:t>The statute contains strong indications that Congress did intend to bar employer discrimination in providing such benefits and privileges.</w:t>
      </w:r>
    </w:p>
    <w:p w:rsidR="00022B47" w:rsidRDefault="00000000">
      <w:pPr>
        <w:pStyle w:val="Normal6"/>
        <w:widowControl w:val="0"/>
        <w:spacing w:before="200" w:line="260" w:lineRule="atLeast"/>
        <w:jc w:val="both"/>
      </w:pPr>
      <w:bookmarkStart w:id="1033" w:name="Bookmark_para_7_5"/>
      <w:bookmarkEnd w:id="1033"/>
      <w:r>
        <w:rPr>
          <w:rFonts w:ascii="Arial" w:eastAsia="Arial" w:hAnsi="Arial" w:cs="Arial"/>
          <w:color w:val="000000"/>
          <w:sz w:val="20"/>
        </w:rPr>
        <w:t xml:space="preserve">The discrimination prohibition in § 12112(a) includes discrimination "in regard to . . . other terms, conditions, and </w:t>
      </w:r>
      <w:r>
        <w:rPr>
          <w:rFonts w:ascii="Arial" w:eastAsia="Arial" w:hAnsi="Arial" w:cs="Arial"/>
          <w:i/>
          <w:color w:val="000000"/>
          <w:sz w:val="20"/>
        </w:rPr>
        <w:t>privileges</w:t>
      </w:r>
      <w:r>
        <w:rPr>
          <w:rFonts w:ascii="Arial" w:eastAsia="Arial" w:hAnsi="Arial" w:cs="Arial"/>
          <w:color w:val="000000"/>
          <w:sz w:val="20"/>
        </w:rPr>
        <w:t xml:space="preserve"> of employment." The definition of "discriminate" in § 12112(b) includes in subpart (2), subjecting qualified employees with a disability to discrimination by "an organization providing </w:t>
      </w:r>
      <w:r>
        <w:rPr>
          <w:rFonts w:ascii="Arial" w:eastAsia="Arial" w:hAnsi="Arial" w:cs="Arial"/>
          <w:i/>
          <w:color w:val="000000"/>
          <w:sz w:val="20"/>
        </w:rPr>
        <w:t>fringe benefits</w:t>
      </w:r>
      <w:r>
        <w:rPr>
          <w:rFonts w:ascii="Arial" w:eastAsia="Arial" w:hAnsi="Arial" w:cs="Arial"/>
          <w:color w:val="000000"/>
          <w:sz w:val="20"/>
        </w:rPr>
        <w:t xml:space="preserve">" to the employer, [**5]  and in (4), "excluding or otherwise denying equal jobs </w:t>
      </w:r>
      <w:r>
        <w:rPr>
          <w:rFonts w:ascii="Arial" w:eastAsia="Arial" w:hAnsi="Arial" w:cs="Arial"/>
          <w:i/>
          <w:color w:val="000000"/>
          <w:sz w:val="20"/>
        </w:rPr>
        <w:t>or benefits</w:t>
      </w:r>
      <w:r>
        <w:rPr>
          <w:rFonts w:ascii="Arial" w:eastAsia="Arial" w:hAnsi="Arial" w:cs="Arial"/>
          <w:color w:val="000000"/>
          <w:sz w:val="20"/>
        </w:rPr>
        <w:t>." (Emphases added). Subpart (5)(A) defines discrimination as including "not making reasonable accommodations to the known physical or mental limitations of an otherwise qualified individual with a disability . . . unless . . . the accommodation would impose an undue hardship on the operation of the [employer's] business." The definition of "reasonable accommodation" in § 12111(9)(A) states that it may include  [*397]  "</w:t>
      </w:r>
      <w:r>
        <w:rPr>
          <w:rFonts w:ascii="Arial" w:eastAsia="Arial" w:hAnsi="Arial" w:cs="Arial"/>
          <w:i/>
          <w:color w:val="000000"/>
          <w:sz w:val="20"/>
        </w:rPr>
        <w:t>making existing facilities used by employees readily accessible</w:t>
      </w:r>
      <w:r>
        <w:rPr>
          <w:rFonts w:ascii="Arial" w:eastAsia="Arial" w:hAnsi="Arial" w:cs="Arial"/>
          <w:color w:val="000000"/>
          <w:sz w:val="20"/>
        </w:rPr>
        <w:t xml:space="preserve"> to and usable by individuals with disabilities."</w:t>
      </w:r>
    </w:p>
    <w:p w:rsidR="00022B47" w:rsidRDefault="00000000">
      <w:pPr>
        <w:pStyle w:val="Normal6"/>
        <w:widowControl w:val="0"/>
        <w:spacing w:before="200" w:line="260" w:lineRule="atLeast"/>
        <w:jc w:val="both"/>
      </w:pPr>
      <w:bookmarkStart w:id="1034" w:name="Bookmark_para_8_5"/>
      <w:bookmarkEnd w:id="1034"/>
      <w:r>
        <w:rPr>
          <w:rFonts w:ascii="Arial" w:eastAsia="Arial" w:hAnsi="Arial" w:cs="Arial"/>
          <w:color w:val="000000"/>
          <w:sz w:val="20"/>
        </w:rPr>
        <w:t>The ADA's legislative history confirms that these italicized statutory terms were not inadvertently or carelessly included:</w:t>
      </w:r>
    </w:p>
    <w:p w:rsidR="00022B47" w:rsidRDefault="00000000">
      <w:pPr>
        <w:pStyle w:val="Normal6"/>
        <w:widowControl w:val="0"/>
        <w:spacing w:line="260" w:lineRule="atLeast"/>
        <w:ind w:left="400"/>
        <w:jc w:val="both"/>
      </w:pPr>
      <w:bookmarkStart w:id="1035" w:name="Bookmark_para_9_5"/>
      <w:bookmarkStart w:id="1036" w:name="Bookmark_LNHNREFclscc4_4"/>
      <w:bookmarkEnd w:id="1035"/>
      <w:bookmarkEnd w:id="1036"/>
      <w:r>
        <w:rPr>
          <w:rFonts w:ascii="Arial" w:eastAsia="Arial" w:hAnsi="Arial" w:cs="Arial"/>
          <w:color w:val="000000"/>
          <w:sz w:val="20"/>
        </w:rPr>
        <w:t>The phrasing of [42 U.S.C. § 12112(a)] is consistent with regulations implementing section 504 of the Rehabilitation Act of 1973. Consistent with these regulations, the phrase "other terms, conditions, and privileges of employment" includes . . . (5) leaves of absence, sick leave, or any other leave; (6) fringe benefits available by virtue of employment, whether or not administered by the [employer] . . . and (8) employer-sponsored activities, including social or recreational programs.</w:t>
      </w:r>
    </w:p>
    <w:p w:rsidR="00022B47" w:rsidRDefault="00000000">
      <w:pPr>
        <w:pStyle w:val="Normal6"/>
        <w:widowControl w:val="0"/>
        <w:spacing w:before="200" w:line="260" w:lineRule="atLeast"/>
        <w:jc w:val="both"/>
      </w:pPr>
      <w:r>
        <w:rPr>
          <w:rFonts w:ascii="Arial" w:eastAsia="Arial" w:hAnsi="Arial" w:cs="Arial"/>
          <w:color w:val="000000"/>
          <w:sz w:val="20"/>
        </w:rPr>
        <w:t xml:space="preserve">S. Rep. No. 101-116, at 25 (1989); </w:t>
      </w:r>
      <w:r>
        <w:rPr>
          <w:rFonts w:ascii="Arial" w:eastAsia="Arial" w:hAnsi="Arial" w:cs="Arial"/>
          <w:color w:val="000000"/>
          <w:sz w:val="20"/>
          <w:u w:val="single"/>
        </w:rPr>
        <w:t>see</w:t>
      </w:r>
      <w:r>
        <w:rPr>
          <w:rFonts w:ascii="Arial" w:eastAsia="Arial" w:hAnsi="Arial" w:cs="Arial"/>
          <w:color w:val="000000"/>
          <w:sz w:val="20"/>
        </w:rPr>
        <w:t xml:space="preserve"> H.R. Rep. No. 485 pt. 2, at 54-55 (1990). </w:t>
      </w:r>
      <w:bookmarkStart w:id="1037" w:name="Bookmark_LNHNREFclscc5_4"/>
      <w:bookmarkEnd w:id="1037"/>
      <w:r>
        <w:rPr>
          <w:rFonts w:ascii="Arial" w:eastAsia="Arial" w:hAnsi="Arial" w:cs="Arial"/>
          <w:color w:val="000000"/>
          <w:sz w:val="20"/>
        </w:rPr>
        <w:t>Likewise, [**6]  the EEOC's implementing regulations define the term "reasonable accommodation" as including three distinct requirements:</w:t>
      </w:r>
    </w:p>
    <w:p w:rsidR="00022B47" w:rsidRDefault="00000000">
      <w:pPr>
        <w:pStyle w:val="Normal6"/>
        <w:widowControl w:val="0"/>
        <w:spacing w:line="260" w:lineRule="atLeast"/>
        <w:ind w:left="400"/>
        <w:jc w:val="both"/>
      </w:pPr>
      <w:bookmarkStart w:id="1038" w:name="Bookmark_para_10_5"/>
      <w:bookmarkEnd w:id="1038"/>
      <w:r>
        <w:rPr>
          <w:rFonts w:ascii="Arial" w:eastAsia="Arial" w:hAnsi="Arial" w:cs="Arial"/>
          <w:color w:val="000000"/>
          <w:sz w:val="20"/>
        </w:rPr>
        <w:t>(i) Modifications or adjustments to a job application process that enable a qualified applicant with a disability to be considered for the position such qualified applicant desires; or</w:t>
      </w:r>
    </w:p>
    <w:p w:rsidR="00022B47" w:rsidRDefault="00000000">
      <w:pPr>
        <w:pStyle w:val="Normal6"/>
        <w:widowControl w:val="0"/>
        <w:spacing w:line="260" w:lineRule="atLeast"/>
        <w:ind w:left="400"/>
        <w:jc w:val="both"/>
      </w:pPr>
      <w:bookmarkStart w:id="1039" w:name="Bookmark_para_11_5"/>
      <w:bookmarkEnd w:id="1039"/>
      <w:r>
        <w:rPr>
          <w:rFonts w:ascii="Arial" w:eastAsia="Arial" w:hAnsi="Arial" w:cs="Arial"/>
          <w:color w:val="000000"/>
          <w:sz w:val="20"/>
        </w:rPr>
        <w:t>(ii) Modifications or adjustments to the work environment, or to the manner or circumstances under which the position held or desired is customarily performed, that enable an individual with a disability who is qualified to perform the essential functions of that position; or</w:t>
      </w:r>
    </w:p>
    <w:p w:rsidR="00022B47" w:rsidRDefault="00000000">
      <w:pPr>
        <w:pStyle w:val="Normal6"/>
        <w:widowControl w:val="0"/>
        <w:spacing w:before="200" w:line="260" w:lineRule="atLeast"/>
        <w:ind w:left="400"/>
        <w:jc w:val="both"/>
      </w:pPr>
      <w:bookmarkStart w:id="1040" w:name="Bookmark_para_12_5"/>
      <w:bookmarkEnd w:id="1040"/>
      <w:r>
        <w:rPr>
          <w:rFonts w:ascii="Arial" w:eastAsia="Arial" w:hAnsi="Arial" w:cs="Arial"/>
          <w:color w:val="000000"/>
          <w:sz w:val="20"/>
        </w:rPr>
        <w:t xml:space="preserve">(iii) Modifications or adjustments that enable a covered entity's employee with a disability </w:t>
      </w:r>
      <w:r>
        <w:rPr>
          <w:rFonts w:ascii="Arial" w:eastAsia="Arial" w:hAnsi="Arial" w:cs="Arial"/>
          <w:i/>
          <w:color w:val="000000"/>
          <w:sz w:val="20"/>
        </w:rPr>
        <w:t>to enjoy equal benefits and privileges of employment as are enjoyed by its other similarly situated employees without disabilities</w:t>
      </w:r>
      <w:r>
        <w:rPr>
          <w:rFonts w:ascii="Arial" w:eastAsia="Arial" w:hAnsi="Arial" w:cs="Arial"/>
          <w:color w:val="000000"/>
          <w:sz w:val="20"/>
        </w:rPr>
        <w:t>.</w:t>
      </w:r>
    </w:p>
    <w:p w:rsidR="00022B47" w:rsidRDefault="00000000">
      <w:pPr>
        <w:pStyle w:val="Normal6"/>
        <w:widowControl w:val="0"/>
        <w:spacing w:line="260" w:lineRule="atLeast"/>
        <w:jc w:val="both"/>
      </w:pPr>
      <w:r>
        <w:rPr>
          <w:rFonts w:ascii="Arial" w:eastAsia="Arial" w:hAnsi="Arial" w:cs="Arial"/>
          <w:color w:val="000000"/>
          <w:sz w:val="20"/>
        </w:rPr>
        <w:t>29 C.F.R. § 1630.2(o)(1) (emphasis added). Hopman's Opening Brief states that he "sought the kind of modification or adjustment of policies envisioned by . . . 29 C.F.R. § 1630.2(o)(1)(iii)."</w:t>
      </w:r>
    </w:p>
    <w:p w:rsidR="00022B47" w:rsidRDefault="00000000">
      <w:pPr>
        <w:pStyle w:val="Normal6"/>
        <w:widowControl w:val="0"/>
        <w:spacing w:before="240" w:line="260" w:lineRule="atLeast"/>
      </w:pPr>
      <w:r>
        <w:br/>
      </w:r>
      <w:r>
        <w:rPr>
          <w:rFonts w:ascii="Arial" w:eastAsia="Arial" w:hAnsi="Arial" w:cs="Arial"/>
          <w:b/>
          <w:color w:val="000000"/>
          <w:sz w:val="20"/>
        </w:rPr>
        <w:t>II. Background</w:t>
      </w:r>
    </w:p>
    <w:p w:rsidR="00022B47" w:rsidRDefault="00000000">
      <w:pPr>
        <w:pStyle w:val="Normal6"/>
        <w:widowControl w:val="0"/>
        <w:spacing w:before="200" w:line="260" w:lineRule="atLeast"/>
        <w:jc w:val="both"/>
      </w:pPr>
      <w:bookmarkStart w:id="1041" w:name="Bookmark_para_13_5"/>
      <w:bookmarkEnd w:id="1041"/>
      <w:r>
        <w:rPr>
          <w:rFonts w:ascii="Arial" w:eastAsia="Arial" w:hAnsi="Arial" w:cs="Arial"/>
          <w:color w:val="000000"/>
          <w:sz w:val="20"/>
        </w:rPr>
        <w:t>Hopman served two military tours as a flight medic -- in Iraq from 2006-2008, where he responded to scenes of catastrophic injury and death from IEDs that wreaked havoc on our troops, and in Kosovo in 2010, a tour that ended when he suffered traumatic [**7]  brain injury after falling 50 feet out of a helicopter. Hopman testified that these experiences left him with anxiety, depression, sleeplessness, nausea-inducing migraines, flashback triggers from loud noises or certain sights and smells, and difficulties concentrating. Union Pacific concedes he is a qualified individual with a disability, post-traumatic stress disorder.</w:t>
      </w:r>
    </w:p>
    <w:p w:rsidR="00022B47" w:rsidRDefault="00000000">
      <w:pPr>
        <w:pStyle w:val="Normal6"/>
        <w:widowControl w:val="0"/>
        <w:spacing w:before="200" w:line="260" w:lineRule="atLeast"/>
        <w:jc w:val="both"/>
      </w:pPr>
      <w:bookmarkStart w:id="1042" w:name="Bookmark_para_14_5"/>
      <w:bookmarkEnd w:id="1042"/>
      <w:r>
        <w:rPr>
          <w:rFonts w:ascii="Arial" w:eastAsia="Arial" w:hAnsi="Arial" w:cs="Arial"/>
          <w:color w:val="000000"/>
          <w:sz w:val="20"/>
        </w:rPr>
        <w:t>Hopman started working for Union Pacific as a train conductor in 2008, between his tours of duty. He returned to this job in May 2015, after reconstructive surgery, lengthy treatment for PTSD and traumatic brain injury, and extensive physical and occupational therapy. He successfully passed Union Pacific's fitness re-entrance test but suffered at work from flashbacks and migraine headaches with nausea. Helped by public funding, Hopman purchased a service dog, "Atlas," and secured an experienced service dog trainer. In April 2016, Union Pacific denied Hopman's request to bring Atlas to work. The written denial explained that a service dog would result in a direct threat to the health and safety of employees because "the railroad environment is constantly shifting and changing," "it is unclear how a service dog would [**8]  adapt to moving box cars, locomotives and oftentimes loud and dangerous conditions," and an unmonitored service dog "may pose a risk to co-workers" when Hopman "is performing his essential duties."</w:t>
      </w:r>
    </w:p>
    <w:p w:rsidR="00022B47" w:rsidRDefault="00000000">
      <w:pPr>
        <w:pStyle w:val="Normal6"/>
        <w:widowControl w:val="0"/>
        <w:spacing w:before="200" w:line="260" w:lineRule="atLeast"/>
        <w:jc w:val="both"/>
      </w:pPr>
      <w:bookmarkStart w:id="1043" w:name="Bookmark_para_15_5"/>
      <w:bookmarkEnd w:id="1043"/>
      <w:r>
        <w:rPr>
          <w:rFonts w:ascii="Arial" w:eastAsia="Arial" w:hAnsi="Arial" w:cs="Arial"/>
          <w:color w:val="000000"/>
          <w:sz w:val="20"/>
        </w:rPr>
        <w:t> [*398]  Union Pacific later denied Hopman's renewed request after Atlas was fully trained but offered him alternative accommodations -- take FMLA leave, or accept transfer to a yard position that does not require overnight stays. Hopman temporarily transferred to a yard position "that paid road money." But he returned to his job as a conductor because the yard is "a frenzied environment" that created more frequent flashback triggers. He was subsequently promoted to freight train engineer.</w:t>
      </w:r>
    </w:p>
    <w:p w:rsidR="00022B47" w:rsidRDefault="00000000">
      <w:pPr>
        <w:pStyle w:val="Normal6"/>
        <w:widowControl w:val="0"/>
        <w:spacing w:before="200" w:line="260" w:lineRule="atLeast"/>
        <w:jc w:val="both"/>
      </w:pPr>
      <w:bookmarkStart w:id="1044" w:name="Bookmark_para_16_5"/>
      <w:bookmarkStart w:id="1045" w:name="Bookmark_I6897V0T2SF8130050000400"/>
      <w:bookmarkStart w:id="1046" w:name="Bookmark_I6897V0V2N1PTB0020000400"/>
      <w:bookmarkEnd w:id="1044"/>
      <w:bookmarkEnd w:id="1045"/>
      <w:bookmarkEnd w:id="1046"/>
      <w:r>
        <w:rPr>
          <w:rFonts w:ascii="Arial" w:eastAsia="Arial" w:hAnsi="Arial" w:cs="Arial"/>
          <w:color w:val="000000"/>
          <w:sz w:val="20"/>
        </w:rPr>
        <w:t xml:space="preserve">The district court denied Union Pacific's motion for summary judgment. Quoting 29 C.F.R. § 1630.2(o)(1)(iii), the court found "that the ADA permits Mr. Hopman to seek from Union Pacific a reasonable accommodation to enjoy equal benefits and privileges of employment as are enjoyed by its other similarly situated employees without disabilities," despite his being able to perform the essential functions of his job. </w:t>
      </w:r>
      <w:bookmarkStart w:id="1047" w:name="Bookmark_I6897V0T2SF8130040000400"/>
      <w:bookmarkEnd w:id="1047"/>
      <w:r>
        <w:rPr>
          <w:rFonts w:ascii="Arial" w:eastAsia="Arial" w:hAnsi="Arial" w:cs="Arial"/>
          <w:color w:val="000000"/>
          <w:sz w:val="20"/>
          <w:u w:val="single"/>
        </w:rPr>
        <w:t>Hopman v. Union Pacific R.R.</w:t>
      </w:r>
      <w:r>
        <w:rPr>
          <w:rFonts w:ascii="Arial" w:eastAsia="Arial" w:hAnsi="Arial" w:cs="Arial"/>
          <w:color w:val="000000"/>
          <w:sz w:val="20"/>
        </w:rPr>
        <w:t xml:space="preserve">, 462 F. Supp. 3d 913, 926 (E.D. Ark. 2020) (quotation omitted). The court noted Union Pacific's argument that a "benefit" or "privilege" must be a "tangible service offered [**9]  by an employer." But viewing the summary judgment record in the light most favorable to Hopman, the non-moving party, the court stated it "is not inclined to grant judgment as a matter of law . . . on this point at this stage of the litigation." </w:t>
      </w:r>
      <w:bookmarkStart w:id="1048" w:name="Bookmark_I6897V0V2N1PTB0010000400"/>
      <w:bookmarkEnd w:id="1048"/>
      <w:r>
        <w:rPr>
          <w:rFonts w:ascii="Arial" w:eastAsia="Arial" w:hAnsi="Arial" w:cs="Arial"/>
          <w:color w:val="000000"/>
          <w:sz w:val="20"/>
          <w:u w:val="single"/>
        </w:rPr>
        <w:t>Id.</w:t>
      </w:r>
      <w:r>
        <w:rPr>
          <w:rFonts w:ascii="Arial" w:eastAsia="Arial" w:hAnsi="Arial" w:cs="Arial"/>
          <w:color w:val="000000"/>
          <w:sz w:val="20"/>
        </w:rPr>
        <w:t xml:space="preserve"> at 928.</w:t>
      </w:r>
    </w:p>
    <w:p w:rsidR="00022B47" w:rsidRDefault="00000000">
      <w:pPr>
        <w:pStyle w:val="Normal6"/>
        <w:widowControl w:val="0"/>
        <w:spacing w:before="200" w:line="260" w:lineRule="atLeast"/>
        <w:jc w:val="both"/>
      </w:pPr>
      <w:bookmarkStart w:id="1049" w:name="Bookmark_para_17_5"/>
      <w:bookmarkEnd w:id="1049"/>
      <w:r>
        <w:rPr>
          <w:rFonts w:ascii="Arial" w:eastAsia="Arial" w:hAnsi="Arial" w:cs="Arial"/>
          <w:color w:val="000000"/>
          <w:sz w:val="20"/>
        </w:rPr>
        <w:t>At trial, Hopman ignored the essential terms of the EEOC regulation on which his claim was based even though these terms were incorporated in jury Instruction No. 10 that set forth the elements of his failure-to-accommodate claim:</w:t>
      </w:r>
    </w:p>
    <w:p w:rsidR="00022B47" w:rsidRDefault="00000000">
      <w:pPr>
        <w:pStyle w:val="Normal6"/>
        <w:widowControl w:val="0"/>
        <w:spacing w:line="260" w:lineRule="atLeast"/>
        <w:ind w:left="400"/>
        <w:jc w:val="both"/>
      </w:pPr>
      <w:bookmarkStart w:id="1050" w:name="Bookmark_para_18_5"/>
      <w:bookmarkEnd w:id="1050"/>
      <w:r>
        <w:rPr>
          <w:rFonts w:ascii="Arial" w:eastAsia="Arial" w:hAnsi="Arial" w:cs="Arial"/>
          <w:color w:val="000000"/>
          <w:sz w:val="20"/>
        </w:rPr>
        <w:t>Fourth, allowing Mr. Hopman his requested accommodation was (1) reasonable and (2) a modification or adjustment to enable Mr. Hopman with a disability to enjoy equal benefits and privileges of employment as are enjoyed by Union Pacific Railroad's other similarly situated employees without disabilities.</w:t>
      </w:r>
    </w:p>
    <w:p w:rsidR="00022B47" w:rsidRDefault="00000000">
      <w:pPr>
        <w:pStyle w:val="Normal6"/>
        <w:widowControl w:val="0"/>
        <w:spacing w:line="260" w:lineRule="atLeast"/>
        <w:jc w:val="both"/>
      </w:pPr>
      <w:r>
        <w:rPr>
          <w:rFonts w:ascii="Arial" w:eastAsia="Arial" w:hAnsi="Arial" w:cs="Arial"/>
          <w:color w:val="000000"/>
          <w:sz w:val="20"/>
        </w:rPr>
        <w:t>During Hopman's closing arguments, the only mention of benefits and privileges of employment came at the very end of his rebuttal:</w:t>
      </w:r>
    </w:p>
    <w:p w:rsidR="00022B47" w:rsidRDefault="00000000">
      <w:pPr>
        <w:pStyle w:val="Normal6"/>
        <w:widowControl w:val="0"/>
        <w:spacing w:before="200" w:line="260" w:lineRule="atLeast"/>
        <w:ind w:left="400"/>
        <w:jc w:val="both"/>
      </w:pPr>
      <w:bookmarkStart w:id="1051" w:name="Bookmark_para_19_5"/>
      <w:bookmarkEnd w:id="1051"/>
      <w:r>
        <w:rPr>
          <w:rFonts w:ascii="Arial" w:eastAsia="Arial" w:hAnsi="Arial" w:cs="Arial"/>
          <w:color w:val="000000"/>
          <w:sz w:val="20"/>
        </w:rPr>
        <w:t>It seems like the only benefit o[r] privilege of employment [Union Pacific] think[s] Mr. Hopman is entitled to is money. They want to be sure to tell you how much money he makes. But you've already heard he works extremely hard. . . . Let him do it without the pain and suffering. Let him do [**10]  it as he can if he's allowed to really flourish and not throw up out of the window every day.</w:t>
      </w:r>
    </w:p>
    <w:p w:rsidR="00022B47" w:rsidRDefault="00000000">
      <w:pPr>
        <w:pStyle w:val="Normal6"/>
        <w:widowControl w:val="0"/>
        <w:spacing w:line="260" w:lineRule="atLeast"/>
        <w:jc w:val="both"/>
      </w:pPr>
      <w:r>
        <w:rPr>
          <w:rFonts w:ascii="Arial" w:eastAsia="Arial" w:hAnsi="Arial" w:cs="Arial"/>
          <w:color w:val="000000"/>
          <w:sz w:val="20"/>
        </w:rPr>
        <w:t>From Hopman's perspective, this is certainly a fair point. But it is a job performance argument, and Hopman did not claim denial of a job performance accommodation under 29 C.F.R. § 1630.2(o)(1)(ii), presumably because he is able to perform the essential functions of his conductor and engineer jobs with or without the requested service dog accommodation.</w:t>
      </w:r>
    </w:p>
    <w:p w:rsidR="00022B47" w:rsidRDefault="00000000">
      <w:pPr>
        <w:pStyle w:val="Normal6"/>
        <w:widowControl w:val="0"/>
        <w:spacing w:before="200" w:line="260" w:lineRule="atLeast"/>
        <w:jc w:val="both"/>
      </w:pPr>
      <w:bookmarkStart w:id="1052" w:name="Bookmark_para_20_5"/>
      <w:bookmarkEnd w:id="1052"/>
      <w:r>
        <w:rPr>
          <w:rFonts w:ascii="Arial" w:eastAsia="Arial" w:hAnsi="Arial" w:cs="Arial"/>
          <w:color w:val="000000"/>
          <w:sz w:val="20"/>
        </w:rPr>
        <w:t xml:space="preserve">The district court granted Union Pacific's renewed motion for judgment as a matter of law. The court rejected Hopman's claim "that freedom from mental or psychological pain caused by PTSD is a benefit or privilege of employment that [Congress] envisioned employers being required to offer employees." At issue is the employer obligation in 29 C.F.R. § 1630.2(o)(1)(iii) to make reasonable accommodation relating to benefits and privileges of employment. </w:t>
      </w:r>
      <w:bookmarkStart w:id="1053" w:name="Bookmark_I7BN7R955P90000674100009"/>
      <w:bookmarkStart w:id="1054" w:name="Bookmark_I6897V0V2N1PTB0040000400"/>
      <w:bookmarkEnd w:id="1053"/>
      <w:bookmarkEnd w:id="1054"/>
      <w:r>
        <w:rPr>
          <w:rFonts w:ascii="Arial" w:eastAsia="Arial" w:hAnsi="Arial" w:cs="Arial"/>
          <w:color w:val="000000"/>
          <w:sz w:val="20"/>
        </w:rPr>
        <w:t xml:space="preserve">This obligation "is applicable to </w:t>
      </w:r>
      <w:r>
        <w:rPr>
          <w:rFonts w:ascii="Arial" w:eastAsia="Arial" w:hAnsi="Arial" w:cs="Arial"/>
          <w:i/>
          <w:color w:val="000000"/>
          <w:sz w:val="20"/>
        </w:rPr>
        <w:t>employer sponsored</w:t>
      </w:r>
      <w:r>
        <w:rPr>
          <w:rFonts w:ascii="Arial" w:eastAsia="Arial" w:hAnsi="Arial" w:cs="Arial"/>
          <w:color w:val="000000"/>
          <w:sz w:val="20"/>
        </w:rPr>
        <w:t xml:space="preserve"> placement or counseling services, and to </w:t>
      </w:r>
      <w:r>
        <w:rPr>
          <w:rFonts w:ascii="Arial" w:eastAsia="Arial" w:hAnsi="Arial" w:cs="Arial"/>
          <w:i/>
          <w:color w:val="000000"/>
          <w:sz w:val="20"/>
        </w:rPr>
        <w:t>employer provided</w:t>
      </w:r>
      <w:r>
        <w:rPr>
          <w:rFonts w:ascii="Arial" w:eastAsia="Arial" w:hAnsi="Arial" w:cs="Arial"/>
          <w:color w:val="000000"/>
          <w:sz w:val="20"/>
        </w:rPr>
        <w:t xml:space="preserve"> cafeterias, lounges, gymnasiums, auditoriums, transportation and the like." Order at 7 (emphasis in original), citing 29 C.F.R. Pt. 1630 App. § 1630.9. Hopman at trial "did not identify a corresponding  [*399]  benefit or privilege of employment offered to Union Pacific employees." [**11]  </w:t>
      </w:r>
      <w:r>
        <w:rPr>
          <w:rFonts w:ascii="Arial" w:eastAsia="Arial" w:hAnsi="Arial" w:cs="Arial"/>
          <w:color w:val="000000"/>
          <w:sz w:val="20"/>
          <w:u w:val="single"/>
        </w:rPr>
        <w:t>Id.</w:t>
      </w:r>
      <w:r>
        <w:rPr>
          <w:rFonts w:ascii="Arial" w:eastAsia="Arial" w:hAnsi="Arial" w:cs="Arial"/>
          <w:color w:val="000000"/>
          <w:sz w:val="20"/>
        </w:rPr>
        <w:t xml:space="preserve"> at 9. The service dog accommodation case on which he relies, </w:t>
      </w:r>
      <w:bookmarkStart w:id="1055" w:name="Bookmark_I6897V0V2N1PTB0030000400"/>
      <w:bookmarkEnd w:id="1055"/>
      <w:r>
        <w:rPr>
          <w:rFonts w:ascii="Arial" w:eastAsia="Arial" w:hAnsi="Arial" w:cs="Arial"/>
          <w:color w:val="000000"/>
          <w:sz w:val="20"/>
          <w:u w:val="single"/>
        </w:rPr>
        <w:t>Alonzo-Miranda v. Schlumberger Tech. Corp.</w:t>
      </w:r>
      <w:r>
        <w:rPr>
          <w:rFonts w:ascii="Arial" w:eastAsia="Arial" w:hAnsi="Arial" w:cs="Arial"/>
          <w:color w:val="000000"/>
          <w:sz w:val="20"/>
        </w:rPr>
        <w:t xml:space="preserve">, No. 5:13-cv-1057, 2015 U.S. Dist. LEXIS 76028, 2015 WL 13768973 (W.D. Tex. June 11, 2015), "is an essential function case, not solely a benefit and privilege of employment case." </w:t>
      </w:r>
      <w:r>
        <w:rPr>
          <w:rFonts w:ascii="Arial" w:eastAsia="Arial" w:hAnsi="Arial" w:cs="Arial"/>
          <w:color w:val="000000"/>
          <w:sz w:val="20"/>
          <w:u w:val="single"/>
        </w:rPr>
        <w:t>Id.</w:t>
      </w:r>
      <w:r>
        <w:rPr>
          <w:rFonts w:ascii="Arial" w:eastAsia="Arial" w:hAnsi="Arial" w:cs="Arial"/>
          <w:color w:val="000000"/>
          <w:sz w:val="20"/>
        </w:rPr>
        <w:t xml:space="preserve"> at 15. Evidence and argument that Hopman's job performance will be better if he "not be burdened with the symptoms of PTSD and migraines" during work days support a job performance accommodation claim that Hopman did not assert. </w:t>
      </w:r>
      <w:r>
        <w:rPr>
          <w:rFonts w:ascii="Arial" w:eastAsia="Arial" w:hAnsi="Arial" w:cs="Arial"/>
          <w:color w:val="000000"/>
          <w:sz w:val="20"/>
          <w:u w:val="single"/>
        </w:rPr>
        <w:t>Id.</w:t>
      </w:r>
      <w:r>
        <w:rPr>
          <w:rFonts w:ascii="Arial" w:eastAsia="Arial" w:hAnsi="Arial" w:cs="Arial"/>
          <w:color w:val="000000"/>
          <w:sz w:val="20"/>
        </w:rPr>
        <w:t xml:space="preserve"> at 18-19. Accordingly, the court concluded, "[t]here is no legally sufficient evidentiary basis for a reasonable jury to find that Mr. Hopman has identified a cognizable benefit or privilege of employment that he is entitled to as a reasonable accommodation."</w:t>
      </w:r>
      <w:r>
        <w:rPr>
          <w:rFonts w:ascii="Arial" w:eastAsia="Arial" w:hAnsi="Arial" w:cs="Arial"/>
          <w:vertAlign w:val="superscript"/>
        </w:rPr>
        <w:footnoteReference w:customMarkFollows="1" w:id="23"/>
        <w:t>2</w:t>
      </w:r>
      <w:r>
        <w:rPr>
          <w:rFonts w:ascii="Arial" w:eastAsia="Arial" w:hAnsi="Arial" w:cs="Arial"/>
          <w:color w:val="000000"/>
          <w:sz w:val="20"/>
        </w:rPr>
        <w:t xml:space="preserve"> </w:t>
      </w:r>
      <w:r>
        <w:rPr>
          <w:rFonts w:ascii="Arial" w:eastAsia="Arial" w:hAnsi="Arial" w:cs="Arial"/>
          <w:color w:val="000000"/>
          <w:sz w:val="20"/>
          <w:u w:val="single"/>
        </w:rPr>
        <w:t>Id.</w:t>
      </w:r>
      <w:r>
        <w:rPr>
          <w:rFonts w:ascii="Arial" w:eastAsia="Arial" w:hAnsi="Arial" w:cs="Arial"/>
          <w:color w:val="000000"/>
          <w:sz w:val="20"/>
        </w:rPr>
        <w:t xml:space="preserve"> at 23.</w:t>
      </w:r>
    </w:p>
    <w:p w:rsidR="00022B47" w:rsidRDefault="00000000">
      <w:pPr>
        <w:pStyle w:val="Normal6"/>
        <w:widowControl w:val="0"/>
        <w:spacing w:before="240" w:line="260" w:lineRule="atLeast"/>
      </w:pPr>
      <w:r>
        <w:br/>
      </w:r>
      <w:r>
        <w:rPr>
          <w:rFonts w:ascii="Arial" w:eastAsia="Arial" w:hAnsi="Arial" w:cs="Arial"/>
          <w:b/>
          <w:color w:val="000000"/>
          <w:sz w:val="20"/>
        </w:rPr>
        <w:t>III. Discussion</w:t>
      </w:r>
    </w:p>
    <w:p w:rsidR="00022B47" w:rsidRDefault="00000000">
      <w:pPr>
        <w:pStyle w:val="Normal6"/>
        <w:widowControl w:val="0"/>
        <w:spacing w:before="200" w:line="260" w:lineRule="atLeast"/>
        <w:jc w:val="both"/>
      </w:pPr>
      <w:bookmarkStart w:id="1057" w:name="Bookmark_para_21_5"/>
      <w:bookmarkStart w:id="1058" w:name="Bookmark_I6897V0V2HM67S0010000400"/>
      <w:bookmarkStart w:id="1059" w:name="Bookmark_I6897V0V2HM67S0030000400"/>
      <w:bookmarkStart w:id="1060" w:name="Bookmark_I6897V0V2HM67S0050000400"/>
      <w:bookmarkStart w:id="1061" w:name="Bookmark_LNHNREFclscc6_4"/>
      <w:bookmarkEnd w:id="1057"/>
      <w:bookmarkEnd w:id="1058"/>
      <w:bookmarkEnd w:id="1059"/>
      <w:bookmarkEnd w:id="1060"/>
      <w:bookmarkEnd w:id="1061"/>
      <w:r>
        <w:rPr>
          <w:rFonts w:ascii="Arial" w:eastAsia="Arial" w:hAnsi="Arial" w:cs="Arial"/>
          <w:color w:val="000000"/>
          <w:sz w:val="20"/>
        </w:rPr>
        <w:t xml:space="preserve">"We review </w:t>
      </w:r>
      <w:r>
        <w:rPr>
          <w:rFonts w:ascii="Arial" w:eastAsia="Arial" w:hAnsi="Arial" w:cs="Arial"/>
          <w:i/>
          <w:color w:val="000000"/>
          <w:sz w:val="20"/>
        </w:rPr>
        <w:t>de novo</w:t>
      </w:r>
      <w:r>
        <w:rPr>
          <w:rFonts w:ascii="Arial" w:eastAsia="Arial" w:hAnsi="Arial" w:cs="Arial"/>
          <w:color w:val="000000"/>
          <w:sz w:val="20"/>
        </w:rPr>
        <w:t xml:space="preserve"> the grant of a renewed motion for judgment as a matter of law, viewing the evidence in the light most favorable to the verdict." </w:t>
      </w:r>
      <w:bookmarkStart w:id="1062" w:name="Bookmark_I6897V0V2N1PTB0050000400"/>
      <w:bookmarkEnd w:id="1062"/>
      <w:r>
        <w:rPr>
          <w:rFonts w:ascii="Arial" w:eastAsia="Arial" w:hAnsi="Arial" w:cs="Arial"/>
          <w:color w:val="000000"/>
          <w:sz w:val="20"/>
          <w:u w:val="single"/>
        </w:rPr>
        <w:t>Monohon v. BNSF Ry. Co.</w:t>
      </w:r>
      <w:r>
        <w:rPr>
          <w:rFonts w:ascii="Arial" w:eastAsia="Arial" w:hAnsi="Arial" w:cs="Arial"/>
          <w:color w:val="000000"/>
          <w:sz w:val="20"/>
        </w:rPr>
        <w:t xml:space="preserve">, 17 F.4th 773, 780 (8th Cir. 2021). "Judgment as a matter of law is only appropriate when no reasonable jury could have found for the nonmoving party." </w:t>
      </w:r>
      <w:bookmarkStart w:id="1063" w:name="Bookmark_I6897V0V2HM67S0020000400"/>
      <w:bookmarkEnd w:id="1063"/>
      <w:r>
        <w:rPr>
          <w:rFonts w:ascii="Arial" w:eastAsia="Arial" w:hAnsi="Arial" w:cs="Arial"/>
          <w:color w:val="000000"/>
          <w:sz w:val="20"/>
          <w:u w:val="single"/>
        </w:rPr>
        <w:t>Mattis v. Carlon Elec. Prods.</w:t>
      </w:r>
      <w:r>
        <w:rPr>
          <w:rFonts w:ascii="Arial" w:eastAsia="Arial" w:hAnsi="Arial" w:cs="Arial"/>
          <w:color w:val="000000"/>
          <w:sz w:val="20"/>
        </w:rPr>
        <w:t xml:space="preserve">, 295 F.3d 856, 860 (8th Cir. 2002). "[C]onflicts in the evidence must be resolved in favor of the verdict." </w:t>
      </w:r>
      <w:bookmarkStart w:id="1064" w:name="Bookmark_I6897V0V2HM67S0040000400"/>
      <w:bookmarkEnd w:id="1064"/>
      <w:r>
        <w:rPr>
          <w:rFonts w:ascii="Arial" w:eastAsia="Arial" w:hAnsi="Arial" w:cs="Arial"/>
          <w:color w:val="000000"/>
          <w:sz w:val="20"/>
          <w:u w:val="single"/>
        </w:rPr>
        <w:t>S. Wine &amp; Spirits of Nevada v. Mountain Valley Spring Co.</w:t>
      </w:r>
      <w:r>
        <w:rPr>
          <w:rFonts w:ascii="Arial" w:eastAsia="Arial" w:hAnsi="Arial" w:cs="Arial"/>
          <w:color w:val="000000"/>
          <w:sz w:val="20"/>
        </w:rPr>
        <w:t>, 646 F.3d 526, 533 (8th Cir. 2011).</w:t>
      </w:r>
    </w:p>
    <w:p w:rsidR="00022B47" w:rsidRDefault="00000000">
      <w:pPr>
        <w:pStyle w:val="Normal6"/>
        <w:widowControl w:val="0"/>
        <w:spacing w:before="200" w:line="260" w:lineRule="atLeast"/>
        <w:jc w:val="both"/>
      </w:pPr>
      <w:bookmarkStart w:id="1065" w:name="Bookmark_para_22_5"/>
      <w:bookmarkEnd w:id="1065"/>
      <w:r>
        <w:rPr>
          <w:rFonts w:ascii="Arial" w:eastAsia="Arial" w:hAnsi="Arial" w:cs="Arial"/>
          <w:color w:val="000000"/>
          <w:sz w:val="20"/>
        </w:rPr>
        <w:t>Though Hopman restates his job performance arguments on appeal, in the district court he explicitly limited his failure-to-accommodate claim to one of the three subsections [**12]  of the applicable EEOC regulation: "Modifications or adjustments that enable a [Union Pacific] employee with a disability to enjoy equal benefits and privileges of employment as are enjoyed by its other similarly situated employees without disabilities." 29 C.F.R. § 1630.2(o)(1)(iii). Thus, whether Hopman might have had a job performance accommodation claim is not before us. Ruling on the claim that is before us, the district court concluded that "benefits and privileges of employment" (1) refers only to employer-provided services; (2) must be offered to non-disabled individuals in addition to disabled ones; and (3) does not include freedom from mental or psychological pain. We agree.</w:t>
      </w:r>
    </w:p>
    <w:p w:rsidR="00022B47" w:rsidRDefault="00000000">
      <w:pPr>
        <w:pStyle w:val="Normal6"/>
        <w:widowControl w:val="0"/>
        <w:spacing w:before="200" w:line="260" w:lineRule="atLeast"/>
        <w:jc w:val="both"/>
      </w:pPr>
      <w:bookmarkStart w:id="1066" w:name="Bookmark_para_23_5"/>
      <w:bookmarkEnd w:id="1066"/>
      <w:r>
        <w:rPr>
          <w:rFonts w:ascii="Arial" w:eastAsia="Arial" w:hAnsi="Arial" w:cs="Arial"/>
          <w:color w:val="000000"/>
          <w:sz w:val="20"/>
        </w:rPr>
        <w:t>The argument section of Hopman's Opening Brief begins by arguing the district court made a slew of procedural errors -- misstating the nature of the accommodation he requested, improper fact-finding, and citing "irrelevant cases." We disagree. The district court recognized that Hopman had limited his failure-to-accommodate claim to the denial of equal benefits and privileges of employment, interpreted what the ADA and the implementing EEOC regulations require to prove that claim, gave Hopman notice of what must therefore be proved [**13]  in its summary judgment order and in jury Instruction No. 10, and then held that Hopman had failed to introduce the evidence needed to prove that claim. That Hopman chose to ignore the district court's repeated warning of what he needed to prove was hardly procedural error by the court.</w:t>
      </w:r>
    </w:p>
    <w:p w:rsidR="00022B47" w:rsidRDefault="00000000">
      <w:pPr>
        <w:pStyle w:val="Normal6"/>
        <w:widowControl w:val="0"/>
        <w:spacing w:before="200" w:line="260" w:lineRule="atLeast"/>
        <w:jc w:val="both"/>
      </w:pPr>
      <w:bookmarkStart w:id="1067" w:name="Bookmark_para_24_5"/>
      <w:bookmarkEnd w:id="1067"/>
      <w:r>
        <w:rPr>
          <w:rFonts w:ascii="Arial" w:eastAsia="Arial" w:hAnsi="Arial" w:cs="Arial"/>
          <w:color w:val="000000"/>
          <w:sz w:val="20"/>
        </w:rPr>
        <w:t xml:space="preserve"> [*400]  </w:t>
      </w:r>
      <w:bookmarkStart w:id="1068" w:name="Bookmark_I6897V0V2HM67W0020000400"/>
      <w:bookmarkEnd w:id="1068"/>
      <w:r>
        <w:rPr>
          <w:rFonts w:ascii="Arial" w:eastAsia="Arial" w:hAnsi="Arial" w:cs="Arial"/>
          <w:color w:val="000000"/>
          <w:sz w:val="20"/>
          <w:u w:val="single"/>
        </w:rPr>
        <w:t>A</w:t>
      </w:r>
      <w:r>
        <w:rPr>
          <w:rFonts w:ascii="Arial" w:eastAsia="Arial" w:hAnsi="Arial" w:cs="Arial"/>
          <w:color w:val="000000"/>
          <w:sz w:val="20"/>
        </w:rPr>
        <w:t xml:space="preserve">. Turning to the merits of the district court's legal conclusions, Hopman argues the district court erred in concluding that a failure-to-accommodate claim under 29 C.F.R. § 1630.2(o)(1)(iii) requires proof of an employer-sponsored or employer-provided benefit or privilege that is provided to workers without disabilities. We first note that the district court's interpretation, as reflected in the above-quoted portion of jury Instruction No. 10, is consistent with the plain text of the regulation, which includes only benefits and privileges "enjoyed by its other similarly situated employees without disabilities." </w:t>
      </w:r>
      <w:bookmarkStart w:id="1069" w:name="Bookmark_LNHNREFclscc7_3"/>
      <w:bookmarkEnd w:id="1069"/>
      <w:r>
        <w:rPr>
          <w:rFonts w:ascii="Arial" w:eastAsia="Arial" w:hAnsi="Arial" w:cs="Arial"/>
          <w:color w:val="000000"/>
          <w:sz w:val="20"/>
        </w:rPr>
        <w:t xml:space="preserve">Unless we conclude that a regulation is contrary to the commands of the statute it is interpreting -- which Hopman intimates but does not argue -- "we must give controlling weight" to its plain text. </w:t>
      </w:r>
      <w:bookmarkStart w:id="1070" w:name="Bookmark_I6897V0V2HM67W0010000400"/>
      <w:bookmarkEnd w:id="1070"/>
      <w:r>
        <w:rPr>
          <w:rFonts w:ascii="Arial" w:eastAsia="Arial" w:hAnsi="Arial" w:cs="Arial"/>
          <w:color w:val="000000"/>
          <w:sz w:val="20"/>
          <w:u w:val="single"/>
        </w:rPr>
        <w:t>Berndsen v. N. Dakota Univ. Sys.</w:t>
      </w:r>
      <w:r>
        <w:rPr>
          <w:rFonts w:ascii="Arial" w:eastAsia="Arial" w:hAnsi="Arial" w:cs="Arial"/>
          <w:color w:val="000000"/>
          <w:sz w:val="20"/>
        </w:rPr>
        <w:t>, 7 F.4th 782, 789 (8th Cir. 2021).</w:t>
      </w:r>
    </w:p>
    <w:p w:rsidR="00022B47" w:rsidRDefault="00000000">
      <w:pPr>
        <w:pStyle w:val="Normal6"/>
        <w:widowControl w:val="0"/>
        <w:spacing w:before="200" w:line="260" w:lineRule="atLeast"/>
        <w:jc w:val="both"/>
      </w:pPr>
      <w:bookmarkStart w:id="1071" w:name="Bookmark_para_25_5"/>
      <w:bookmarkStart w:id="1072" w:name="Bookmark_LNHNREFclscc8_3"/>
      <w:bookmarkEnd w:id="1071"/>
      <w:bookmarkEnd w:id="1072"/>
      <w:r>
        <w:rPr>
          <w:rFonts w:ascii="Arial" w:eastAsia="Arial" w:hAnsi="Arial" w:cs="Arial"/>
          <w:color w:val="000000"/>
          <w:sz w:val="20"/>
        </w:rPr>
        <w:t>As we have explained, although "benefits and privileges of employment" is not a term used and defined in the ADA, the statutory [**14]  meaning of those terms -- fringe benefits, access to recreational programs and facilities, and other employer-provided workplace advantages not directly related to job performance -- can be derived from various provisions of the statute, confirmed by its legislative history. The EEOC has consistently defined the terms in this fashion. Importantly, the agency's Interpretive Guidance on Title I, Appendix to 29 C.F.R. Part 1630, addresses this issue:</w:t>
      </w:r>
    </w:p>
    <w:p w:rsidR="00022B47" w:rsidRDefault="00000000">
      <w:pPr>
        <w:pStyle w:val="Normal6"/>
        <w:widowControl w:val="0"/>
        <w:spacing w:before="200" w:line="260" w:lineRule="atLeast"/>
        <w:ind w:left="400"/>
        <w:jc w:val="both"/>
      </w:pPr>
      <w:bookmarkStart w:id="1073" w:name="Bookmark_para_26_5"/>
      <w:bookmarkEnd w:id="1073"/>
      <w:r>
        <w:rPr>
          <w:rFonts w:ascii="Arial" w:eastAsia="Arial" w:hAnsi="Arial" w:cs="Arial"/>
          <w:color w:val="000000"/>
          <w:sz w:val="20"/>
        </w:rPr>
        <w:t xml:space="preserve">The obligation to make reasonable accommodation is a form of non-discrimination. . . . [It] applies to all services and programs provided in connection with employment, and to all non-work facilities </w:t>
      </w:r>
      <w:r>
        <w:rPr>
          <w:rFonts w:ascii="Arial" w:eastAsia="Arial" w:hAnsi="Arial" w:cs="Arial"/>
          <w:i/>
          <w:color w:val="000000"/>
          <w:sz w:val="20"/>
        </w:rPr>
        <w:t>provided or maintained by an employer</w:t>
      </w:r>
      <w:r>
        <w:rPr>
          <w:rFonts w:ascii="Arial" w:eastAsia="Arial" w:hAnsi="Arial" w:cs="Arial"/>
          <w:color w:val="000000"/>
          <w:sz w:val="20"/>
        </w:rPr>
        <w:t xml:space="preserve"> for use by its employees. </w:t>
      </w:r>
      <w:bookmarkStart w:id="1074" w:name="Bookmark_I6897V0V2HM67W0040000400"/>
      <w:bookmarkEnd w:id="1074"/>
      <w:r>
        <w:rPr>
          <w:rFonts w:ascii="Arial" w:eastAsia="Arial" w:hAnsi="Arial" w:cs="Arial"/>
          <w:color w:val="000000"/>
          <w:sz w:val="20"/>
        </w:rPr>
        <w:t xml:space="preserve">Accordingly, the obligation to accommodate is applicable to </w:t>
      </w:r>
      <w:r>
        <w:rPr>
          <w:rFonts w:ascii="Arial" w:eastAsia="Arial" w:hAnsi="Arial" w:cs="Arial"/>
          <w:i/>
          <w:color w:val="000000"/>
          <w:sz w:val="20"/>
        </w:rPr>
        <w:t>employer sponsored</w:t>
      </w:r>
      <w:r>
        <w:rPr>
          <w:rFonts w:ascii="Arial" w:eastAsia="Arial" w:hAnsi="Arial" w:cs="Arial"/>
          <w:color w:val="000000"/>
          <w:sz w:val="20"/>
        </w:rPr>
        <w:t xml:space="preserve"> placement or counseling services, and to </w:t>
      </w:r>
      <w:r>
        <w:rPr>
          <w:rFonts w:ascii="Arial" w:eastAsia="Arial" w:hAnsi="Arial" w:cs="Arial"/>
          <w:i/>
          <w:color w:val="000000"/>
          <w:sz w:val="20"/>
        </w:rPr>
        <w:t>employer provided</w:t>
      </w:r>
      <w:r>
        <w:rPr>
          <w:rFonts w:ascii="Arial" w:eastAsia="Arial" w:hAnsi="Arial" w:cs="Arial"/>
          <w:color w:val="000000"/>
          <w:sz w:val="20"/>
        </w:rPr>
        <w:t xml:space="preserve"> cafeterias, lounges, gymnasiums, auditoriums, transportation and the like.</w:t>
      </w:r>
    </w:p>
    <w:p w:rsidR="00022B47" w:rsidRDefault="00000000">
      <w:pPr>
        <w:pStyle w:val="Normal6"/>
        <w:widowControl w:val="0"/>
        <w:spacing w:before="200" w:line="260" w:lineRule="atLeast"/>
        <w:jc w:val="both"/>
      </w:pPr>
      <w:bookmarkStart w:id="1075" w:name="Bookmark_I6897V0V2HM67W0040000400_2"/>
      <w:bookmarkEnd w:id="1075"/>
      <w:r>
        <w:rPr>
          <w:rFonts w:ascii="Arial" w:eastAsia="Arial" w:hAnsi="Arial" w:cs="Arial"/>
          <w:color w:val="000000"/>
          <w:sz w:val="20"/>
        </w:rPr>
        <w:t xml:space="preserve">Part 1630 App., § 1630.9 (emphasis added). In </w:t>
      </w:r>
      <w:bookmarkStart w:id="1076" w:name="Bookmark_I6897V0V2HM67W0030000400"/>
      <w:bookmarkEnd w:id="1076"/>
      <w:r>
        <w:rPr>
          <w:rFonts w:ascii="Arial" w:eastAsia="Arial" w:hAnsi="Arial" w:cs="Arial"/>
          <w:color w:val="000000"/>
          <w:sz w:val="20"/>
          <w:u w:val="single"/>
        </w:rPr>
        <w:t>Morriss v. BNSF Ry. Co.</w:t>
      </w:r>
      <w:r>
        <w:rPr>
          <w:rFonts w:ascii="Arial" w:eastAsia="Arial" w:hAnsi="Arial" w:cs="Arial"/>
          <w:color w:val="000000"/>
          <w:sz w:val="20"/>
        </w:rPr>
        <w:t>, 817 F.3d 1104, 1108-09 (8th Cir. 2016), we relied on another section of this Interpretive Guidance in holding that obesity is not a physical disorder under the ADA unless it occurs as a result of a physiological disorder.</w:t>
      </w:r>
    </w:p>
    <w:p w:rsidR="00022B47" w:rsidRDefault="00000000">
      <w:pPr>
        <w:pStyle w:val="Normal6"/>
        <w:widowControl w:val="0"/>
        <w:spacing w:before="200" w:line="260" w:lineRule="atLeast"/>
        <w:jc w:val="both"/>
      </w:pPr>
      <w:bookmarkStart w:id="1077" w:name="Bookmark_para_27_5"/>
      <w:bookmarkEnd w:id="1077"/>
      <w:r>
        <w:rPr>
          <w:rFonts w:ascii="Arial" w:eastAsia="Arial" w:hAnsi="Arial" w:cs="Arial"/>
          <w:color w:val="000000"/>
          <w:sz w:val="20"/>
        </w:rPr>
        <w:t xml:space="preserve">Similarly, an EEOC "Technical Assistance Manual," in addressing the issue of "Accommodations to Ensure Equal [**15]  Benefits of Employment," stated that "[e]mployees with disabilities must have equal access to lunchrooms, employee lounges, rest rooms, meeting rooms, and other </w:t>
      </w:r>
      <w:r>
        <w:rPr>
          <w:rFonts w:ascii="Arial" w:eastAsia="Arial" w:hAnsi="Arial" w:cs="Arial"/>
          <w:i/>
          <w:color w:val="000000"/>
          <w:sz w:val="20"/>
        </w:rPr>
        <w:t>employer-provided or sponsored</w:t>
      </w:r>
      <w:r>
        <w:rPr>
          <w:rFonts w:ascii="Arial" w:eastAsia="Arial" w:hAnsi="Arial" w:cs="Arial"/>
          <w:color w:val="000000"/>
          <w:sz w:val="20"/>
        </w:rPr>
        <w:t xml:space="preserve"> services such as health programs, transportation, and social events." EEOC, Technical Assistance Manual on the Employment Provisions (Title I) of the Americans with Disabilities Act § 3.3 (1992).</w:t>
      </w:r>
      <w:r>
        <w:rPr>
          <w:rFonts w:ascii="Arial" w:eastAsia="Arial" w:hAnsi="Arial" w:cs="Arial"/>
          <w:vertAlign w:val="superscript"/>
        </w:rPr>
        <w:footnoteReference w:customMarkFollows="1" w:id="24"/>
        <w:t>3</w:t>
      </w:r>
    </w:p>
    <w:p w:rsidR="00022B47" w:rsidRDefault="00000000">
      <w:pPr>
        <w:pStyle w:val="Normal6"/>
        <w:widowControl w:val="0"/>
        <w:spacing w:before="200" w:line="260" w:lineRule="atLeast"/>
        <w:jc w:val="both"/>
      </w:pPr>
      <w:bookmarkStart w:id="1079" w:name="Bookmark_para_28_5"/>
      <w:bookmarkEnd w:id="1079"/>
      <w:r>
        <w:rPr>
          <w:rFonts w:ascii="Arial" w:eastAsia="Arial" w:hAnsi="Arial" w:cs="Arial"/>
          <w:color w:val="000000"/>
          <w:sz w:val="20"/>
        </w:rPr>
        <w:t xml:space="preserve">Hopman argues that the district court's interpretation (and therefore the EEOC regulation) is a "perverse view . . . firmly at odds with disability law." But he cites no case, and we have found none, where an employee's failure-to-accommodate claim was based entirely on the benefits and privileges of employment duty in 29 C.F.R. § 1630.2(o)(1)(iii), and the court held that the duty was not limited to employer provided or sponsored services and programs. </w:t>
      </w:r>
      <w:bookmarkStart w:id="1080" w:name="Bookmark_LNHNREFclscc9_3"/>
      <w:bookmarkEnd w:id="1080"/>
      <w:r>
        <w:rPr>
          <w:rFonts w:ascii="Arial" w:eastAsia="Arial" w:hAnsi="Arial" w:cs="Arial"/>
          <w:color w:val="000000"/>
          <w:sz w:val="20"/>
        </w:rPr>
        <w:t>We agree with the district court that the employer duty to provide "equal benefits and privileges of employment" defined in § 1630.2(o)(1)(iii) is limited by the plain text of the regulation.</w:t>
      </w:r>
    </w:p>
    <w:p w:rsidR="00022B47" w:rsidRDefault="00000000">
      <w:pPr>
        <w:pStyle w:val="Normal6"/>
        <w:widowControl w:val="0"/>
        <w:spacing w:before="200" w:line="260" w:lineRule="atLeast"/>
        <w:jc w:val="both"/>
      </w:pPr>
      <w:bookmarkStart w:id="1081" w:name="Bookmark_para_29_5"/>
      <w:bookmarkEnd w:id="1081"/>
      <w:r>
        <w:rPr>
          <w:rFonts w:ascii="Arial" w:eastAsia="Arial" w:hAnsi="Arial" w:cs="Arial"/>
          <w:color w:val="000000"/>
          <w:sz w:val="20"/>
        </w:rPr>
        <w:t xml:space="preserve"> [*401]  </w:t>
      </w:r>
      <w:bookmarkStart w:id="1082" w:name="Bookmark_I6897V0W28T45N0010000400"/>
      <w:bookmarkEnd w:id="1082"/>
      <w:r>
        <w:rPr>
          <w:rFonts w:ascii="Arial" w:eastAsia="Arial" w:hAnsi="Arial" w:cs="Arial"/>
          <w:color w:val="000000"/>
          <w:sz w:val="20"/>
          <w:u w:val="single"/>
        </w:rPr>
        <w:t>B</w:t>
      </w:r>
      <w:r>
        <w:rPr>
          <w:rFonts w:ascii="Arial" w:eastAsia="Arial" w:hAnsi="Arial" w:cs="Arial"/>
          <w:color w:val="000000"/>
          <w:sz w:val="20"/>
        </w:rPr>
        <w:t xml:space="preserve">. At trial, counsel argued "that Mr. Hopman should not have to endure 'physical and emotional pain' his episodes bring him at work." </w:t>
      </w:r>
      <w:r>
        <w:rPr>
          <w:rFonts w:ascii="Arial" w:eastAsia="Arial" w:hAnsi="Arial" w:cs="Arial"/>
          <w:color w:val="000000"/>
          <w:sz w:val="20"/>
          <w:u w:val="single"/>
        </w:rPr>
        <w:t>Hopman</w:t>
      </w:r>
      <w:r>
        <w:rPr>
          <w:rFonts w:ascii="Arial" w:eastAsia="Arial" w:hAnsi="Arial" w:cs="Arial"/>
          <w:color w:val="000000"/>
          <w:sz w:val="20"/>
        </w:rPr>
        <w:t xml:space="preserve">, Order at 17. The district court noted that "Mr. Hopman has not pointed the Court to authority where a court has articulated [**16]  a right to work without mental or psychological pain." </w:t>
      </w:r>
      <w:r>
        <w:rPr>
          <w:rFonts w:ascii="Arial" w:eastAsia="Arial" w:hAnsi="Arial" w:cs="Arial"/>
          <w:color w:val="000000"/>
          <w:sz w:val="20"/>
          <w:u w:val="single"/>
        </w:rPr>
        <w:t>Id.</w:t>
      </w:r>
      <w:r>
        <w:rPr>
          <w:rFonts w:ascii="Arial" w:eastAsia="Arial" w:hAnsi="Arial" w:cs="Arial"/>
          <w:color w:val="000000"/>
          <w:sz w:val="20"/>
        </w:rPr>
        <w:t xml:space="preserve"> On appeal, without stating this is an issue presented, Hopman asserts the court misstated the nature of the accommodation requested and then argues the merits of whether the ability to work with reduced pain is a benefit or privilege of employment that is part of an employer's duty to provide accommodations under § 1630.2(o)(1)(iii). This will not do. </w:t>
      </w:r>
      <w:r>
        <w:rPr>
          <w:rFonts w:ascii="Arial" w:eastAsia="Arial" w:hAnsi="Arial" w:cs="Arial"/>
          <w:color w:val="000000"/>
          <w:sz w:val="20"/>
          <w:u w:val="single"/>
        </w:rPr>
        <w:t>See</w:t>
      </w:r>
      <w:r>
        <w:rPr>
          <w:rFonts w:ascii="Arial" w:eastAsia="Arial" w:hAnsi="Arial" w:cs="Arial"/>
          <w:color w:val="000000"/>
          <w:sz w:val="20"/>
        </w:rPr>
        <w:t xml:space="preserve"> Fed. R. App. P. 28(a)(5); </w:t>
      </w:r>
      <w:bookmarkStart w:id="1083" w:name="Bookmark_I6897V0V2HM67W0050000400"/>
      <w:bookmarkEnd w:id="1083"/>
      <w:r>
        <w:rPr>
          <w:rFonts w:ascii="Arial" w:eastAsia="Arial" w:hAnsi="Arial" w:cs="Arial"/>
          <w:color w:val="000000"/>
          <w:sz w:val="20"/>
          <w:u w:val="single"/>
        </w:rPr>
        <w:t>Fed. Ins. Co. v. Axos Clearing LLC</w:t>
      </w:r>
      <w:r>
        <w:rPr>
          <w:rFonts w:ascii="Arial" w:eastAsia="Arial" w:hAnsi="Arial" w:cs="Arial"/>
          <w:color w:val="000000"/>
          <w:sz w:val="20"/>
        </w:rPr>
        <w:t>, 982 F.3d 536, 542 n.5 (8th Cir. 2020).</w:t>
      </w:r>
    </w:p>
    <w:p w:rsidR="00022B47" w:rsidRDefault="00000000">
      <w:pPr>
        <w:pStyle w:val="Normal6"/>
        <w:widowControl w:val="0"/>
        <w:spacing w:before="200" w:line="260" w:lineRule="atLeast"/>
        <w:jc w:val="both"/>
      </w:pPr>
      <w:bookmarkStart w:id="1084" w:name="Bookmark_para_30_5"/>
      <w:bookmarkEnd w:id="1084"/>
      <w:r>
        <w:rPr>
          <w:rFonts w:ascii="Arial" w:eastAsia="Arial" w:hAnsi="Arial" w:cs="Arial"/>
          <w:color w:val="000000"/>
          <w:sz w:val="20"/>
        </w:rPr>
        <w:t xml:space="preserve">On the merits of this question, mitigating pain is not an employer sponsored program or service. </w:t>
      </w:r>
      <w:bookmarkStart w:id="1085" w:name="Bookmark_LNHNREFclscc10_3"/>
      <w:bookmarkEnd w:id="1085"/>
      <w:r>
        <w:rPr>
          <w:rFonts w:ascii="Arial" w:eastAsia="Arial" w:hAnsi="Arial" w:cs="Arial"/>
          <w:color w:val="000000"/>
          <w:sz w:val="20"/>
        </w:rPr>
        <w:t>But even putting that formidable obstacle aside, the EEOC's Interpretive Guidance addresses this issue more fundamentally:</w:t>
      </w:r>
    </w:p>
    <w:p w:rsidR="00022B47" w:rsidRDefault="00000000">
      <w:pPr>
        <w:pStyle w:val="Normal6"/>
        <w:widowControl w:val="0"/>
        <w:spacing w:before="200" w:line="260" w:lineRule="atLeast"/>
        <w:ind w:left="400"/>
        <w:jc w:val="both"/>
      </w:pPr>
      <w:bookmarkStart w:id="1086" w:name="Bookmark_para_31_5"/>
      <w:bookmarkEnd w:id="1086"/>
      <w:r>
        <w:rPr>
          <w:rFonts w:ascii="Arial" w:eastAsia="Arial" w:hAnsi="Arial" w:cs="Arial"/>
          <w:color w:val="000000"/>
          <w:sz w:val="20"/>
        </w:rPr>
        <w:t xml:space="preserve">The obligation to make reasonable accommodation . . . does not extend to the provision of adjustments or modifications that are primarily for the personal benefit of the individual with a disability. Thus, if an adjustment or modification is job-related, </w:t>
      </w:r>
      <w:r>
        <w:rPr>
          <w:rFonts w:ascii="Arial" w:eastAsia="Arial" w:hAnsi="Arial" w:cs="Arial"/>
          <w:i/>
          <w:color w:val="000000"/>
          <w:sz w:val="20"/>
        </w:rPr>
        <w:t>e.g.</w:t>
      </w:r>
      <w:r>
        <w:rPr>
          <w:rFonts w:ascii="Arial" w:eastAsia="Arial" w:hAnsi="Arial" w:cs="Arial"/>
          <w:color w:val="000000"/>
          <w:sz w:val="20"/>
        </w:rPr>
        <w:t>, specifically assists the individual in performing the duties of a particular job, it will be considered a type of reasonable accommodation. On the other hand, if an adjustment or modification assists the individual throughout his or her daily activities, on and off the job, it will be considered a personal item that the [**17]  employer is not required to provide. Accordingly, an employer would generally not be required to provide an employee with a prosthetic limb, wheelchair, or eyeglasses.</w:t>
      </w:r>
    </w:p>
    <w:p w:rsidR="00022B47" w:rsidRDefault="00000000">
      <w:pPr>
        <w:pStyle w:val="Normal6"/>
        <w:widowControl w:val="0"/>
        <w:spacing w:line="260" w:lineRule="atLeast"/>
        <w:ind w:left="400"/>
        <w:jc w:val="both"/>
      </w:pPr>
      <w:bookmarkStart w:id="1087" w:name="Bookmark_para_32_5"/>
      <w:bookmarkEnd w:id="1087"/>
      <w:r>
        <w:rPr>
          <w:rFonts w:ascii="Arial" w:eastAsia="Arial" w:hAnsi="Arial" w:cs="Arial"/>
          <w:color w:val="000000"/>
          <w:sz w:val="20"/>
        </w:rPr>
        <w:t>* * * *</w:t>
      </w:r>
    </w:p>
    <w:p w:rsidR="00022B47" w:rsidRDefault="00000000">
      <w:pPr>
        <w:pStyle w:val="Normal6"/>
        <w:widowControl w:val="0"/>
        <w:spacing w:line="260" w:lineRule="atLeast"/>
        <w:ind w:left="400"/>
        <w:jc w:val="both"/>
      </w:pPr>
      <w:bookmarkStart w:id="1088" w:name="Bookmark_para_33_4"/>
      <w:bookmarkEnd w:id="1088"/>
      <w:r>
        <w:rPr>
          <w:rFonts w:ascii="Arial" w:eastAsia="Arial" w:hAnsi="Arial" w:cs="Arial"/>
          <w:color w:val="000000"/>
          <w:sz w:val="20"/>
        </w:rPr>
        <w:t>It should be noted that it would not be a violation of this part for an employer to provide any of these personal modifications or adjustments, or to engage in supported employment or similar rehabilitative programs.</w:t>
      </w:r>
    </w:p>
    <w:p w:rsidR="00022B47" w:rsidRDefault="00000000">
      <w:pPr>
        <w:pStyle w:val="Normal6"/>
        <w:widowControl w:val="0"/>
        <w:spacing w:before="200" w:line="260" w:lineRule="atLeast"/>
        <w:jc w:val="both"/>
      </w:pPr>
      <w:bookmarkStart w:id="1089" w:name="Bookmark_I6897V0W28T45N0030000400"/>
      <w:bookmarkEnd w:id="1089"/>
      <w:r>
        <w:rPr>
          <w:rFonts w:ascii="Arial" w:eastAsia="Arial" w:hAnsi="Arial" w:cs="Arial"/>
          <w:color w:val="000000"/>
          <w:sz w:val="20"/>
        </w:rPr>
        <w:t xml:space="preserve">29 C.F.R. Part 1630 App., § 1630.9. The district court noted there is strong judicial support for this interpretation of the statute. </w:t>
      </w:r>
      <w:bookmarkStart w:id="1090" w:name="Bookmark_LNHNREFclscc11_3"/>
      <w:bookmarkEnd w:id="1090"/>
      <w:r>
        <w:rPr>
          <w:rFonts w:ascii="Arial" w:eastAsia="Arial" w:hAnsi="Arial" w:cs="Arial"/>
          <w:color w:val="000000"/>
          <w:sz w:val="20"/>
        </w:rPr>
        <w:t xml:space="preserve">As a unanimous Supreme Court said in interpreting Section 504 of the Rehabilitation Act of 1973, "[a]ny interpretation of § 504 must therefore be responsive to two powerful but countervailing considerations -- the need to give effect to the statutory objectives and the desire to keep § 504 within manageable bounds." </w:t>
      </w:r>
      <w:bookmarkStart w:id="1091" w:name="Bookmark_I6897V0W28T45N0020000400"/>
      <w:bookmarkEnd w:id="1091"/>
      <w:r>
        <w:rPr>
          <w:rFonts w:ascii="Arial" w:eastAsia="Arial" w:hAnsi="Arial" w:cs="Arial"/>
          <w:color w:val="000000"/>
          <w:sz w:val="20"/>
          <w:u w:val="single"/>
        </w:rPr>
        <w:t>Alexander v. Choate</w:t>
      </w:r>
      <w:r>
        <w:rPr>
          <w:rFonts w:ascii="Arial" w:eastAsia="Arial" w:hAnsi="Arial" w:cs="Arial"/>
          <w:color w:val="000000"/>
          <w:sz w:val="20"/>
        </w:rPr>
        <w:t xml:space="preserve">, 469 U.S. 287, 299, 105 S. Ct. 712, 83 L. Ed. 2d 661 (1985); </w:t>
      </w:r>
      <w:r>
        <w:rPr>
          <w:rFonts w:ascii="Arial" w:eastAsia="Arial" w:hAnsi="Arial" w:cs="Arial"/>
          <w:color w:val="000000"/>
          <w:sz w:val="20"/>
          <w:u w:val="single"/>
        </w:rPr>
        <w:t xml:space="preserve">see </w:t>
      </w:r>
      <w:bookmarkStart w:id="1092" w:name="Bookmark_I6897V0W28T45N0040000400"/>
      <w:bookmarkEnd w:id="1092"/>
      <w:r>
        <w:rPr>
          <w:rFonts w:ascii="Arial" w:eastAsia="Arial" w:hAnsi="Arial" w:cs="Arial"/>
          <w:color w:val="000000"/>
          <w:sz w:val="20"/>
          <w:u w:val="single"/>
        </w:rPr>
        <w:t>Cannice v. Norwest Bank Iowa N.A.</w:t>
      </w:r>
      <w:r>
        <w:rPr>
          <w:rFonts w:ascii="Arial" w:eastAsia="Arial" w:hAnsi="Arial" w:cs="Arial"/>
          <w:color w:val="000000"/>
          <w:sz w:val="20"/>
        </w:rPr>
        <w:t>, 189 F.3d 723, 728 (8th Cir. 1999) (the obligation to make reasonable accommodation in Title I of the ADA does not "extend[] to providing an aggravation-free environment.") Providing a service dog at work so that an employee with a disability has the same assistance the service dog provides away from work is not a cognizable benefit or privilege of employment.</w:t>
      </w:r>
    </w:p>
    <w:p w:rsidR="00022B47" w:rsidRDefault="00000000">
      <w:pPr>
        <w:pStyle w:val="Normal6"/>
        <w:widowControl w:val="0"/>
        <w:spacing w:before="200" w:line="260" w:lineRule="atLeast"/>
        <w:jc w:val="both"/>
      </w:pPr>
      <w:bookmarkStart w:id="1093" w:name="Bookmark_para_34_4"/>
      <w:bookmarkStart w:id="1094" w:name="Bookmark_I7BN7R94BW90000674100003"/>
      <w:bookmarkStart w:id="1095" w:name="Bookmark_I7BN7R94H7M0000674100004"/>
      <w:bookmarkStart w:id="1096" w:name="Bookmark_I7BN7R94N670000674100005"/>
      <w:bookmarkStart w:id="1097" w:name="Bookmark_I7BN7R94SV10000674100006"/>
      <w:bookmarkStart w:id="1098" w:name="Bookmark_I7BN7R94XGS0000674100007"/>
      <w:bookmarkStart w:id="1099" w:name="Bookmark_I7BN7R9522H0000674100008"/>
      <w:bookmarkStart w:id="1100" w:name="Bookmark_I6897V0W2D6NN50020000400"/>
      <w:bookmarkStart w:id="1101" w:name="Bookmark_I7BN7R93R8H0000674100001"/>
      <w:bookmarkStart w:id="1102" w:name="Bookmark_I7BN7R945WK0000674100002"/>
      <w:bookmarkStart w:id="1103" w:name="Bookmark_I6897V0X2SF81R0040000400"/>
      <w:bookmarkEnd w:id="1093"/>
      <w:bookmarkEnd w:id="1094"/>
      <w:bookmarkEnd w:id="1095"/>
      <w:bookmarkEnd w:id="1096"/>
      <w:bookmarkEnd w:id="1097"/>
      <w:bookmarkEnd w:id="1098"/>
      <w:bookmarkEnd w:id="1099"/>
      <w:bookmarkEnd w:id="1100"/>
      <w:bookmarkEnd w:id="1101"/>
      <w:bookmarkEnd w:id="1102"/>
      <w:bookmarkEnd w:id="1103"/>
      <w:r>
        <w:rPr>
          <w:rFonts w:ascii="Arial" w:eastAsia="Arial" w:hAnsi="Arial" w:cs="Arial"/>
          <w:color w:val="000000"/>
          <w:sz w:val="20"/>
          <w:u w:val="single"/>
        </w:rPr>
        <w:t>C</w:t>
      </w:r>
      <w:r>
        <w:rPr>
          <w:rFonts w:ascii="Arial" w:eastAsia="Arial" w:hAnsi="Arial" w:cs="Arial"/>
          <w:color w:val="000000"/>
          <w:sz w:val="20"/>
        </w:rPr>
        <w:t>. For these reasons, we affirm the district court's decision to grant Union Pacific's renewed judgment as a matter [**18]  of law. We have considered the cases cited by Hopman from outside the circuit and conclude most are distinguishable, as the district court carefully reasoned, and the rest are non-binding and unpersuasive.</w:t>
      </w:r>
      <w:r>
        <w:rPr>
          <w:rFonts w:ascii="Arial" w:eastAsia="Arial" w:hAnsi="Arial" w:cs="Arial"/>
          <w:vertAlign w:val="superscript"/>
        </w:rPr>
        <w:footnoteReference w:customMarkFollows="1" w:id="25"/>
        <w:t>4</w:t>
      </w:r>
      <w:r>
        <w:rPr>
          <w:rFonts w:ascii="Arial" w:eastAsia="Arial" w:hAnsi="Arial" w:cs="Arial"/>
          <w:color w:val="000000"/>
          <w:sz w:val="20"/>
        </w:rPr>
        <w:t xml:space="preserve"> We  [*402]  also emphasize that ADA failure-to-accommodate cases are fact-and context-specific, and this opinion should be applied accordingly. Therefore, at least in the context presented by this case, for reasons we have explained, we reject the alternative argument of Union Pacific and its supporting </w:t>
      </w:r>
      <w:r>
        <w:rPr>
          <w:rFonts w:ascii="Arial" w:eastAsia="Arial" w:hAnsi="Arial" w:cs="Arial"/>
          <w:i/>
          <w:color w:val="000000"/>
          <w:sz w:val="20"/>
        </w:rPr>
        <w:t>amici</w:t>
      </w:r>
      <w:r>
        <w:rPr>
          <w:rFonts w:ascii="Arial" w:eastAsia="Arial" w:hAnsi="Arial" w:cs="Arial"/>
          <w:color w:val="000000"/>
          <w:sz w:val="20"/>
        </w:rPr>
        <w:t xml:space="preserve"> that the ADA "requires employers to provide reasonable accommodations only when necessary to enable employees to perform the essential functions of their jobs." There are conflicting views, or at least contrary reasoning, among the many circuit opinions addressing this issue, but it is often possible to reconcile apparent circuit conflicts by careful attention to distinguishing facts and contexts in the various cases.</w:t>
      </w:r>
    </w:p>
    <w:p w:rsidR="00022B47" w:rsidRDefault="00000000">
      <w:pPr>
        <w:pStyle w:val="Normal6"/>
        <w:widowControl w:val="0"/>
        <w:spacing w:before="200" w:line="260" w:lineRule="atLeast"/>
        <w:jc w:val="both"/>
      </w:pPr>
      <w:bookmarkStart w:id="1113" w:name="Bookmark_para_35_4"/>
      <w:bookmarkStart w:id="1114" w:name="Bookmark_I6897V0X28T4600030000400"/>
      <w:bookmarkEnd w:id="1113"/>
      <w:bookmarkEnd w:id="1114"/>
      <w:r>
        <w:rPr>
          <w:rFonts w:ascii="Arial" w:eastAsia="Arial" w:hAnsi="Arial" w:cs="Arial"/>
          <w:color w:val="000000"/>
          <w:sz w:val="20"/>
        </w:rPr>
        <w:t xml:space="preserve">Another issue is lurking here that we need not resolve in this case. The district court derived jury Instruction No. 10, to which no party objected, from Eighth Circuit Model Civil Jury Instruction 9.42, entitled Elements of Claim: Reasonable Accommodation. The model instruction seems to [**19]  ignore our holdings in many panel decisions, endorsed by the court en banc in </w:t>
      </w:r>
      <w:bookmarkStart w:id="1115" w:name="Bookmark_I6897V0X28T4600020000400"/>
      <w:bookmarkEnd w:id="1115"/>
      <w:r>
        <w:rPr>
          <w:rFonts w:ascii="Arial" w:eastAsia="Arial" w:hAnsi="Arial" w:cs="Arial"/>
          <w:color w:val="000000"/>
          <w:sz w:val="20"/>
          <w:u w:val="single"/>
        </w:rPr>
        <w:t>Faidley</w:t>
      </w:r>
      <w:bookmarkStart w:id="1116" w:name="Bookmark_I6897V0Y2SF81V0020000400"/>
      <w:bookmarkEnd w:id="1116"/>
      <w:r>
        <w:rPr>
          <w:rFonts w:ascii="Arial" w:eastAsia="Arial" w:hAnsi="Arial" w:cs="Arial"/>
          <w:color w:val="000000"/>
          <w:sz w:val="20"/>
        </w:rPr>
        <w:t xml:space="preserve">, that an ADA failure-to-accommodate claim requires proof of a prima facie case of discrimination, which in turn requires proof that the employee "suffered an adverse employment decision because of the disability." </w:t>
      </w:r>
      <w:bookmarkStart w:id="1117" w:name="Bookmark_I6897V0X28T4600040000400"/>
      <w:bookmarkEnd w:id="1117"/>
      <w:r>
        <w:rPr>
          <w:rFonts w:ascii="Arial" w:eastAsia="Arial" w:hAnsi="Arial" w:cs="Arial"/>
          <w:color w:val="000000"/>
          <w:sz w:val="20"/>
          <w:u w:val="single"/>
        </w:rPr>
        <w:t>Moses</w:t>
      </w:r>
      <w:r>
        <w:rPr>
          <w:rFonts w:ascii="Arial" w:eastAsia="Arial" w:hAnsi="Arial" w:cs="Arial"/>
          <w:color w:val="000000"/>
          <w:sz w:val="20"/>
        </w:rPr>
        <w:t xml:space="preserve">, 894 F.3d at 923. </w:t>
      </w:r>
      <w:bookmarkStart w:id="1118" w:name="Bookmark_I6897V0Y2SF81V0020000400_2"/>
      <w:bookmarkEnd w:id="1118"/>
      <w:r>
        <w:rPr>
          <w:rFonts w:ascii="Arial" w:eastAsia="Arial" w:hAnsi="Arial" w:cs="Arial"/>
          <w:color w:val="000000"/>
          <w:sz w:val="20"/>
        </w:rPr>
        <w:t xml:space="preserve">Whether a failure-to-accommodate claim requires proof of an adverse employment action has generated sharp controversy elsewhere. </w:t>
      </w:r>
      <w:r>
        <w:rPr>
          <w:rFonts w:ascii="Arial" w:eastAsia="Arial" w:hAnsi="Arial" w:cs="Arial"/>
          <w:color w:val="000000"/>
          <w:sz w:val="20"/>
          <w:u w:val="single"/>
        </w:rPr>
        <w:t>See, e.g.</w:t>
      </w:r>
      <w:r>
        <w:rPr>
          <w:rFonts w:ascii="Arial" w:eastAsia="Arial" w:hAnsi="Arial" w:cs="Arial"/>
          <w:color w:val="000000"/>
          <w:sz w:val="20"/>
        </w:rPr>
        <w:t xml:space="preserve">, the Tenth Circuit's 7-6 en banc decision in </w:t>
      </w:r>
      <w:bookmarkStart w:id="1119" w:name="Bookmark_I6897V0Y2SF81V0010000400"/>
      <w:bookmarkEnd w:id="1119"/>
      <w:r>
        <w:rPr>
          <w:rFonts w:ascii="Arial" w:eastAsia="Arial" w:hAnsi="Arial" w:cs="Arial"/>
          <w:color w:val="000000"/>
          <w:sz w:val="20"/>
          <w:u w:val="single"/>
        </w:rPr>
        <w:t>Exby-Stolley v. Bd. of Cnty. Comm'rs</w:t>
      </w:r>
      <w:r>
        <w:rPr>
          <w:rFonts w:ascii="Arial" w:eastAsia="Arial" w:hAnsi="Arial" w:cs="Arial"/>
          <w:color w:val="000000"/>
          <w:sz w:val="20"/>
        </w:rPr>
        <w:t>, 979 F.3d 784 (10th Cir. 2020). We have not applied this principle to a failure-to-accommodate claim under 29 C.F.R. § 1630.2(o)(1)(iii). At first glance, the shoe does not seem to fit if the benefit or privilege of employment at issue is not directly job-related.</w:t>
      </w:r>
    </w:p>
    <w:p w:rsidR="00022B47" w:rsidRDefault="00000000">
      <w:pPr>
        <w:pStyle w:val="Normal6"/>
        <w:widowControl w:val="0"/>
        <w:spacing w:before="200" w:line="260" w:lineRule="atLeast"/>
        <w:jc w:val="both"/>
      </w:pPr>
      <w:bookmarkStart w:id="1120" w:name="Bookmark_para_36_4"/>
      <w:bookmarkEnd w:id="1120"/>
      <w:r>
        <w:rPr>
          <w:rFonts w:ascii="Arial" w:eastAsia="Arial" w:hAnsi="Arial" w:cs="Arial"/>
          <w:color w:val="000000"/>
          <w:sz w:val="20"/>
        </w:rPr>
        <w:t>The judgment of the district court is affirmed.</w:t>
      </w:r>
    </w:p>
    <w:p w:rsidR="00022B47" w:rsidRDefault="00022B47">
      <w:pPr>
        <w:pStyle w:val="Normal6"/>
      </w:pPr>
    </w:p>
    <w:p w:rsidR="00022B47" w:rsidRDefault="00000000">
      <w:pPr>
        <w:pStyle w:val="Normal6"/>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671552"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3934501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7B43D2" id="Line 15"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7"/>
        <w:sectPr w:rsidR="00022B47">
          <w:headerReference w:type="even" r:id="rId49"/>
          <w:headerReference w:type="default" r:id="rId50"/>
          <w:footerReference w:type="even" r:id="rId51"/>
          <w:footerReference w:type="default" r:id="rId52"/>
          <w:headerReference w:type="first" r:id="rId53"/>
          <w:footerReference w:type="first" r:id="rId54"/>
          <w:pgSz w:w="12240" w:h="15840"/>
          <w:pgMar w:top="840" w:right="1000" w:bottom="840" w:left="1000" w:header="400" w:footer="400" w:gutter="0"/>
          <w:cols w:space="720"/>
          <w:titlePg/>
        </w:sectPr>
      </w:pPr>
    </w:p>
    <w:p w:rsidR="00022B47" w:rsidRDefault="00022B47">
      <w:pPr>
        <w:pStyle w:val="Normal7"/>
      </w:pPr>
    </w:p>
    <w:p w:rsidR="00022B47" w:rsidRDefault="00000000">
      <w:pPr>
        <w:pStyle w:val="Heading16"/>
        <w:keepNext w:val="0"/>
        <w:widowControl w:val="0"/>
        <w:spacing w:after="200" w:line="340" w:lineRule="atLeast"/>
        <w:jc w:val="center"/>
      </w:pPr>
      <w:r>
        <w:rPr>
          <w:rFonts w:eastAsia="Arial"/>
          <w:color w:val="000000"/>
          <w:sz w:val="28"/>
        </w:rPr>
        <w:t>Reinoehl v. Whitmer</w:t>
      </w:r>
    </w:p>
    <w:p w:rsidR="00022B47" w:rsidRDefault="00000000">
      <w:pPr>
        <w:pStyle w:val="Normal7"/>
        <w:widowControl w:val="0"/>
        <w:spacing w:before="120" w:line="260" w:lineRule="atLeast"/>
        <w:jc w:val="center"/>
      </w:pPr>
      <w:r>
        <w:rPr>
          <w:rFonts w:ascii="Arial" w:eastAsia="Arial" w:hAnsi="Arial" w:cs="Arial"/>
          <w:color w:val="000000"/>
          <w:sz w:val="20"/>
        </w:rPr>
        <w:t>United States Court of Appeals for the Sixth Circuit</w:t>
      </w:r>
    </w:p>
    <w:p w:rsidR="00022B47" w:rsidRDefault="00000000">
      <w:pPr>
        <w:pStyle w:val="Normal7"/>
        <w:widowControl w:val="0"/>
        <w:spacing w:before="120" w:line="260" w:lineRule="atLeast"/>
        <w:jc w:val="center"/>
      </w:pPr>
      <w:r>
        <w:rPr>
          <w:rFonts w:ascii="Arial" w:eastAsia="Arial" w:hAnsi="Arial" w:cs="Arial"/>
          <w:color w:val="000000"/>
          <w:sz w:val="20"/>
        </w:rPr>
        <w:t>April 17, 2023, Filed</w:t>
      </w:r>
    </w:p>
    <w:p w:rsidR="00022B47" w:rsidRDefault="00000000">
      <w:pPr>
        <w:pStyle w:val="Normal7"/>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22-1343</w:t>
      </w:r>
    </w:p>
    <w:p w:rsidR="00022B47" w:rsidRDefault="00022B47">
      <w:pPr>
        <w:pStyle w:val="Normal7"/>
        <w:widowControl w:val="0"/>
        <w:spacing w:line="240" w:lineRule="atLeast"/>
        <w:jc w:val="both"/>
      </w:pPr>
      <w:bookmarkStart w:id="1121" w:name="Bookmark_8"/>
      <w:bookmarkEnd w:id="1121"/>
    </w:p>
    <w:p w:rsidR="00022B47" w:rsidRDefault="00000000">
      <w:pPr>
        <w:pStyle w:val="Normal7"/>
        <w:widowControl w:val="0"/>
        <w:spacing w:before="200" w:line="240" w:lineRule="atLeast"/>
      </w:pPr>
      <w:bookmarkStart w:id="1122" w:name="Reporter_6"/>
      <w:bookmarkEnd w:id="1122"/>
      <w:r>
        <w:rPr>
          <w:rFonts w:ascii="Arial" w:eastAsia="Arial" w:hAnsi="Arial" w:cs="Arial"/>
          <w:b/>
          <w:color w:val="000000"/>
          <w:sz w:val="18"/>
        </w:rPr>
        <w:t>Reporter</w:t>
      </w:r>
    </w:p>
    <w:p w:rsidR="00022B47" w:rsidRDefault="00000000">
      <w:pPr>
        <w:pStyle w:val="Normal7"/>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2023 U.S. App. LEXIS 9153 *; 2023 WL 3046052</w:t>
      </w:r>
    </w:p>
    <w:p w:rsidR="00022B47" w:rsidRDefault="00000000">
      <w:pPr>
        <w:pStyle w:val="Normal7"/>
        <w:widowControl w:val="0"/>
        <w:spacing w:before="120" w:line="260" w:lineRule="atLeast"/>
      </w:pPr>
      <w:r>
        <w:rPr>
          <w:rFonts w:ascii="Arial" w:eastAsia="Arial" w:hAnsi="Arial" w:cs="Arial"/>
          <w:color w:val="000000"/>
          <w:sz w:val="20"/>
        </w:rPr>
        <w:t>JENNIFER J. REINOEHL, Plaintiff-Appellant, v. GRETCHEN WHITMER, Governor, et al., Defendants-Appellees.</w:t>
      </w:r>
    </w:p>
    <w:p w:rsidR="00022B47" w:rsidRDefault="00000000">
      <w:pPr>
        <w:pStyle w:val="Normal7"/>
        <w:widowControl w:val="0"/>
        <w:spacing w:before="240" w:line="260" w:lineRule="atLeast"/>
        <w:jc w:val="both"/>
      </w:pPr>
      <w:bookmarkStart w:id="1123" w:name="Notice_1"/>
      <w:bookmarkEnd w:id="1123"/>
      <w:r>
        <w:rPr>
          <w:rFonts w:ascii="Arial" w:eastAsia="Arial" w:hAnsi="Arial" w:cs="Arial"/>
          <w:b/>
          <w:color w:val="000000"/>
          <w:sz w:val="20"/>
        </w:rPr>
        <w:t>Notice:</w:t>
      </w:r>
      <w:r>
        <w:rPr>
          <w:rFonts w:ascii="Arial" w:eastAsia="Arial" w:hAnsi="Arial" w:cs="Arial"/>
          <w:color w:val="000000"/>
          <w:sz w:val="20"/>
        </w:rPr>
        <w:t> </w:t>
      </w:r>
      <w:bookmarkStart w:id="1124" w:name="Bookmark_para_1_6"/>
      <w:bookmarkEnd w:id="1124"/>
      <w:r>
        <w:rPr>
          <w:rFonts w:ascii="Arial" w:eastAsia="Arial" w:hAnsi="Arial" w:cs="Arial"/>
          <w:color w:val="000000"/>
          <w:sz w:val="20"/>
        </w:rPr>
        <w:t>CONSULT 6TH CIR. R. 32.1 FOR CITATION OF UNPUBLISHED OPINIONS AND DECISIONS.</w:t>
      </w:r>
    </w:p>
    <w:p w:rsidR="00022B47" w:rsidRDefault="00000000">
      <w:pPr>
        <w:pStyle w:val="Normal7"/>
        <w:widowControl w:val="0"/>
        <w:spacing w:before="240" w:line="260" w:lineRule="atLeast"/>
      </w:pPr>
      <w:bookmarkStart w:id="1125" w:name="Subsequent_History"/>
      <w:bookmarkEnd w:id="1125"/>
      <w:r>
        <w:rPr>
          <w:rFonts w:ascii="Arial" w:eastAsia="Arial" w:hAnsi="Arial" w:cs="Arial"/>
          <w:b/>
          <w:color w:val="000000"/>
          <w:sz w:val="20"/>
        </w:rPr>
        <w:t>Subsequent History:</w:t>
      </w:r>
      <w:r>
        <w:rPr>
          <w:rFonts w:ascii="Arial" w:eastAsia="Arial" w:hAnsi="Arial" w:cs="Arial"/>
          <w:color w:val="000000"/>
          <w:sz w:val="20"/>
        </w:rPr>
        <w:t> Rehearing denied by, En banc Reinoehl v. Whitmer, 2023 U.S. App. LEXIS 13287 (6th Cir., May 30, 2023)</w:t>
      </w:r>
    </w:p>
    <w:p w:rsidR="00022B47" w:rsidRDefault="00000000">
      <w:pPr>
        <w:pStyle w:val="Normal7"/>
        <w:widowControl w:val="0"/>
        <w:spacing w:before="240" w:line="260" w:lineRule="atLeast"/>
        <w:jc w:val="both"/>
      </w:pPr>
      <w:bookmarkStart w:id="1126" w:name="Prior_History_6"/>
      <w:bookmarkEnd w:id="1126"/>
      <w:r>
        <w:rPr>
          <w:rFonts w:ascii="Arial" w:eastAsia="Arial" w:hAnsi="Arial" w:cs="Arial"/>
          <w:b/>
          <w:color w:val="000000"/>
          <w:sz w:val="20"/>
        </w:rPr>
        <w:t>Prior History:</w:t>
      </w:r>
      <w:r>
        <w:rPr>
          <w:rFonts w:ascii="Arial" w:eastAsia="Arial" w:hAnsi="Arial" w:cs="Arial"/>
          <w:color w:val="000000"/>
          <w:sz w:val="20"/>
        </w:rPr>
        <w:t> </w:t>
      </w:r>
      <w:bookmarkStart w:id="1127" w:name="Bookmark_para_2_6"/>
      <w:bookmarkEnd w:id="1127"/>
      <w:r>
        <w:rPr>
          <w:rFonts w:ascii="Arial" w:eastAsia="Arial" w:hAnsi="Arial" w:cs="Arial"/>
          <w:color w:val="000000"/>
          <w:sz w:val="20"/>
        </w:rPr>
        <w:t> [*1] ON APPEAL FROM THE UNITED STATES DISTRICT COURT FOR THE WESTERN DISTRICT OF MICHIGAN.</w:t>
      </w:r>
    </w:p>
    <w:p w:rsidR="00022B47" w:rsidRDefault="00000000">
      <w:pPr>
        <w:pStyle w:val="Normal7"/>
        <w:widowControl w:val="0"/>
        <w:spacing w:before="120" w:line="260" w:lineRule="atLeast"/>
      </w:pPr>
      <w:r>
        <w:rPr>
          <w:rFonts w:ascii="Arial" w:eastAsia="Arial" w:hAnsi="Arial" w:cs="Arial"/>
          <w:color w:val="000000"/>
          <w:sz w:val="20"/>
        </w:rPr>
        <w:t>Reinoehl v. Whitmer, 2022 U.S. Dist. LEXIS 52326, 2022 WL 855266 (W.D. Mich., Mar. 23, 2022)</w:t>
      </w:r>
    </w:p>
    <w:p w:rsidR="00022B47" w:rsidRDefault="00000000">
      <w:pPr>
        <w:pStyle w:val="Normal7"/>
        <w:widowControl w:val="0"/>
        <w:spacing w:before="240" w:line="260" w:lineRule="atLeast"/>
      </w:pPr>
      <w:bookmarkStart w:id="1128" w:name="Counsel_6"/>
      <w:bookmarkEnd w:id="1128"/>
      <w:r>
        <w:rPr>
          <w:rFonts w:ascii="Arial" w:eastAsia="Arial" w:hAnsi="Arial" w:cs="Arial"/>
          <w:b/>
          <w:color w:val="000000"/>
          <w:sz w:val="20"/>
        </w:rPr>
        <w:t>Counsel:</w:t>
      </w:r>
      <w:r>
        <w:rPr>
          <w:rFonts w:ascii="Arial" w:eastAsia="Arial" w:hAnsi="Arial" w:cs="Arial"/>
          <w:color w:val="000000"/>
          <w:sz w:val="20"/>
        </w:rPr>
        <w:t> JENNIFER J. REINOEHL, Plaintiff - Appellant, Pro se, Granger, IN.</w:t>
      </w:r>
    </w:p>
    <w:p w:rsidR="00022B47" w:rsidRDefault="00000000">
      <w:pPr>
        <w:pStyle w:val="Normal7"/>
        <w:widowControl w:val="0"/>
        <w:spacing w:before="120" w:line="260" w:lineRule="atLeast"/>
      </w:pPr>
      <w:r>
        <w:rPr>
          <w:rFonts w:ascii="Arial" w:eastAsia="Arial" w:hAnsi="Arial" w:cs="Arial"/>
          <w:color w:val="000000"/>
          <w:sz w:val="20"/>
        </w:rPr>
        <w:t>For GRETCHEN WHITMER, Governor, ROBERT GORDON, Defendants - Appellees: Daniel John Ping, Office of the Attorney General, Lansing, MI.</w:t>
      </w:r>
    </w:p>
    <w:p w:rsidR="00022B47" w:rsidRDefault="00000000">
      <w:pPr>
        <w:pStyle w:val="Normal7"/>
        <w:widowControl w:val="0"/>
        <w:spacing w:before="120" w:line="260" w:lineRule="atLeast"/>
      </w:pPr>
      <w:r>
        <w:rPr>
          <w:rFonts w:ascii="Arial" w:eastAsia="Arial" w:hAnsi="Arial" w:cs="Arial"/>
          <w:color w:val="000000"/>
          <w:sz w:val="20"/>
        </w:rPr>
        <w:t>For YOUNG MEN'S CHRISTIAN ASSOCIATION OF GREATER MICHIANA, INC., Defendant - Appellee: Dennis K. Egan, Kotz Sangster Wysocki, Bloomfield Hills, MI; Daniel John Ping, Office of the Attorney General, Lansing, MI.</w:t>
      </w:r>
    </w:p>
    <w:p w:rsidR="00022B47" w:rsidRDefault="00000000">
      <w:pPr>
        <w:pStyle w:val="Normal7"/>
        <w:widowControl w:val="0"/>
        <w:spacing w:before="240" w:line="260" w:lineRule="atLeast"/>
      </w:pPr>
      <w:bookmarkStart w:id="1129" w:name="Judges_6"/>
      <w:bookmarkEnd w:id="1129"/>
      <w:r>
        <w:rPr>
          <w:rFonts w:ascii="Arial" w:eastAsia="Arial" w:hAnsi="Arial" w:cs="Arial"/>
          <w:b/>
          <w:color w:val="000000"/>
          <w:sz w:val="20"/>
        </w:rPr>
        <w:t>Judges:</w:t>
      </w:r>
      <w:r>
        <w:rPr>
          <w:rFonts w:ascii="Arial" w:eastAsia="Arial" w:hAnsi="Arial" w:cs="Arial"/>
          <w:color w:val="000000"/>
          <w:sz w:val="20"/>
        </w:rPr>
        <w:t> Before: GUY, KETHLEDGE and BUSH, Circuit Judges.</w:t>
      </w:r>
    </w:p>
    <w:p w:rsidR="00022B47" w:rsidRDefault="00000000">
      <w:pPr>
        <w:pStyle w:val="Normal7"/>
        <w:keepNext/>
        <w:widowControl w:val="0"/>
        <w:spacing w:before="240" w:line="340" w:lineRule="atLeast"/>
      </w:pPr>
      <w:bookmarkStart w:id="1130" w:name="Opinion_6"/>
      <w:bookmarkEnd w:id="1130"/>
      <w:r>
        <w:rPr>
          <w:rFonts w:ascii="Arial" w:eastAsia="Arial" w:hAnsi="Arial" w:cs="Arial"/>
          <w:b/>
          <w:color w:val="000000"/>
          <w:sz w:val="28"/>
        </w:rPr>
        <w:t>Opinion</w:t>
      </w:r>
    </w:p>
    <w:p w:rsidR="00022B47" w:rsidRDefault="0025213E">
      <w:pPr>
        <w:pStyle w:val="Normal7"/>
        <w:spacing w:line="60" w:lineRule="exact"/>
      </w:pPr>
      <w:r>
        <w:rPr>
          <w:noProof/>
        </w:rPr>
        <mc:AlternateContent>
          <mc:Choice Requires="wps">
            <w:drawing>
              <wp:anchor distT="0" distB="0" distL="114300" distR="114300" simplePos="0" relativeHeight="251672576"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86350783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648C06" id="Line 16"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7"/>
        <w:spacing w:line="120" w:lineRule="exact"/>
      </w:pPr>
    </w:p>
    <w:p w:rsidR="00022B47" w:rsidRDefault="00000000">
      <w:pPr>
        <w:pStyle w:val="Normal7"/>
        <w:widowControl w:val="0"/>
        <w:spacing w:before="240" w:line="260" w:lineRule="atLeast"/>
      </w:pPr>
      <w:r>
        <w:br/>
      </w:r>
      <w:r>
        <w:rPr>
          <w:rFonts w:ascii="Arial" w:eastAsia="Arial" w:hAnsi="Arial" w:cs="Arial"/>
          <w:color w:val="000000"/>
          <w:sz w:val="20"/>
          <w:u w:val="single"/>
        </w:rPr>
        <w:t>ORDER</w:t>
      </w:r>
    </w:p>
    <w:p w:rsidR="00022B47" w:rsidRDefault="00000000">
      <w:pPr>
        <w:pStyle w:val="Normal7"/>
        <w:widowControl w:val="0"/>
        <w:spacing w:before="200" w:line="260" w:lineRule="atLeast"/>
        <w:jc w:val="both"/>
      </w:pPr>
      <w:bookmarkStart w:id="1131" w:name="Bookmark_para_3_6"/>
      <w:bookmarkEnd w:id="1131"/>
      <w:r>
        <w:rPr>
          <w:rFonts w:ascii="Arial" w:eastAsia="Arial" w:hAnsi="Arial" w:cs="Arial"/>
          <w:color w:val="000000"/>
          <w:sz w:val="20"/>
        </w:rPr>
        <w:t xml:space="preserve">Pro se litigant Jennifer J. Reinoehl appeals the district court's judgment dismissing her complaint claiming discrimination based on Michigan's mask mandate. This case has been referred to a panel of the court that, upon examination, unanimously agrees that oral argument is not needed. </w:t>
      </w:r>
      <w:r>
        <w:rPr>
          <w:rFonts w:ascii="Arial" w:eastAsia="Arial" w:hAnsi="Arial" w:cs="Arial"/>
          <w:i/>
          <w:color w:val="000000"/>
          <w:sz w:val="20"/>
        </w:rPr>
        <w:t>See</w:t>
      </w:r>
      <w:r>
        <w:rPr>
          <w:rFonts w:ascii="Arial" w:eastAsia="Arial" w:hAnsi="Arial" w:cs="Arial"/>
          <w:color w:val="000000"/>
          <w:sz w:val="20"/>
        </w:rPr>
        <w:t xml:space="preserve"> Fed. R. App. P. 34(a). Because Reinoehl failed to state viable claims, we affirm the dismissal.</w:t>
      </w:r>
    </w:p>
    <w:p w:rsidR="00022B47" w:rsidRDefault="00000000">
      <w:pPr>
        <w:pStyle w:val="Normal7"/>
        <w:widowControl w:val="0"/>
        <w:spacing w:before="200" w:line="260" w:lineRule="atLeast"/>
        <w:jc w:val="both"/>
      </w:pPr>
      <w:bookmarkStart w:id="1132" w:name="Bookmark_para_4_6"/>
      <w:bookmarkEnd w:id="1132"/>
      <w:r>
        <w:rPr>
          <w:rFonts w:ascii="Arial" w:eastAsia="Arial" w:hAnsi="Arial" w:cs="Arial"/>
          <w:color w:val="000000"/>
          <w:sz w:val="20"/>
        </w:rPr>
        <w:t>In 2021, Reinoehl sued Michigan Governor Gretchen Whitmer, Director of the Michigan Department of Health and Human Services Robert Gordon, and the Young Men's Christian Association of Greater Michiana, Inc. (YMCA). Although much of her complaint concerns her general thesis that cloth facemasks [*2]  are an ineffective means to control the spread of COVID-19, her claim for discrimination centers around a single incident on January 4, 2021. Reinoehl, who has asthma and tachycardia, alleged that the YMCA denied her entry to its Niles branch to watch her daughter swim because she did not wear a facemask. She claimed that YMCA staff refused to accept her word that she suffered from breathing problems despite showing them her inhaler and that they said they would rather follow Michigan's facemask guidance than the Americans with Disabilities Act (ADA). Reinoehl therefore claimed that she was discriminated against based on her disability under Title III of the ADA; that her First Amendment rights to free speech and to the free exercise of religion were violated because facemasks make her words difficult to understand and force her to participate in a pagan cult; that her right against unlawful searches and seizures under the Fourth Amendment was violated; and that her Fifth and Fourteenth Amendment rights to substantive and procedural due process and to equal protection were violated by Michigan's mask mandate. She sought declaratory, injunctive, and monetary relief. The district court denied Reinoehl's motions for a temporary restraining order and preliminary injunction.</w:t>
      </w:r>
    </w:p>
    <w:p w:rsidR="00022B47" w:rsidRDefault="00000000">
      <w:pPr>
        <w:pStyle w:val="Normal7"/>
        <w:widowControl w:val="0"/>
        <w:spacing w:before="200" w:line="260" w:lineRule="atLeast"/>
        <w:jc w:val="both"/>
      </w:pPr>
      <w:bookmarkStart w:id="1133" w:name="Bookmark_para_5_6"/>
      <w:bookmarkStart w:id="1134" w:name="Bookmark_I682MR5V2N1RHP0020000400"/>
      <w:bookmarkEnd w:id="1133"/>
      <w:bookmarkEnd w:id="1134"/>
      <w:r>
        <w:rPr>
          <w:rFonts w:ascii="Arial" w:eastAsia="Arial" w:hAnsi="Arial" w:cs="Arial"/>
          <w:color w:val="000000"/>
          <w:sz w:val="20"/>
        </w:rPr>
        <w:t xml:space="preserve">The defendants moved to [*3]  dismiss the complaint, and a magistrate judge recommended granting the motion. </w:t>
      </w:r>
      <w:bookmarkStart w:id="1135" w:name="Bookmark_I682MR5V2N1RHP0040000400"/>
      <w:bookmarkStart w:id="1136" w:name="Bookmark_I682MR5V2N1RHP0010000400"/>
      <w:bookmarkEnd w:id="1135"/>
      <w:bookmarkEnd w:id="1136"/>
      <w:r>
        <w:rPr>
          <w:rFonts w:ascii="Arial" w:eastAsia="Arial" w:hAnsi="Arial" w:cs="Arial"/>
          <w:i/>
          <w:color w:val="000000"/>
          <w:sz w:val="20"/>
        </w:rPr>
        <w:t>Reinoehl v. Whitmer</w:t>
      </w:r>
      <w:r>
        <w:rPr>
          <w:rFonts w:ascii="Arial" w:eastAsia="Arial" w:hAnsi="Arial" w:cs="Arial"/>
          <w:color w:val="000000"/>
          <w:sz w:val="20"/>
        </w:rPr>
        <w:t xml:space="preserve">, No. 1:21-cv-61, 2022 WL 1110273 (W.D. Mich. Feb. 3, 2022). Reinoehl then moved for leave to file a second amended complaint. </w:t>
      </w:r>
      <w:bookmarkStart w:id="1137" w:name="Bookmark_I682MR5V2N1RHP0040000400_2"/>
      <w:bookmarkEnd w:id="1137"/>
      <w:r>
        <w:rPr>
          <w:rFonts w:ascii="Arial" w:eastAsia="Arial" w:hAnsi="Arial" w:cs="Arial"/>
          <w:color w:val="000000"/>
          <w:sz w:val="20"/>
        </w:rPr>
        <w:t xml:space="preserve">Over Reinoehl's objections, the district court adopted the report and recommendation, denied leave to file a second amended complaint--because the motion was untimely and amendment would be futile—and dismissed the case. </w:t>
      </w:r>
      <w:bookmarkStart w:id="1138" w:name="Bookmark_I682MR5V2N1RHP0030000400"/>
      <w:bookmarkEnd w:id="1138"/>
      <w:r>
        <w:rPr>
          <w:rFonts w:ascii="Arial" w:eastAsia="Arial" w:hAnsi="Arial" w:cs="Arial"/>
          <w:i/>
          <w:color w:val="000000"/>
          <w:sz w:val="20"/>
        </w:rPr>
        <w:t>Reinoehl v. Whitmer</w:t>
      </w:r>
      <w:r>
        <w:rPr>
          <w:rFonts w:ascii="Arial" w:eastAsia="Arial" w:hAnsi="Arial" w:cs="Arial"/>
          <w:color w:val="000000"/>
          <w:sz w:val="20"/>
        </w:rPr>
        <w:t>, No. 1:21-cv-61, 2022 U.S. Dist. LEXIS 52326, 2022 WL 855266 (W.D. Mich. Mar. 23, 2022).</w:t>
      </w:r>
    </w:p>
    <w:p w:rsidR="00022B47" w:rsidRDefault="00000000">
      <w:pPr>
        <w:pStyle w:val="Normal7"/>
        <w:widowControl w:val="0"/>
        <w:spacing w:before="200" w:line="260" w:lineRule="atLeast"/>
        <w:jc w:val="both"/>
      </w:pPr>
      <w:bookmarkStart w:id="1139" w:name="Bookmark_para_6_6"/>
      <w:bookmarkEnd w:id="1139"/>
      <w:r>
        <w:rPr>
          <w:rFonts w:ascii="Arial" w:eastAsia="Arial" w:hAnsi="Arial" w:cs="Arial"/>
          <w:color w:val="000000"/>
          <w:sz w:val="20"/>
        </w:rPr>
        <w:t>On appeal, Reinoehl argues that she should have been allowed to pursue a claim under Title II of the ADA even though she explicitly invoked Title III; that Whitmer and Gordon should not be protected by qualified immunity in their individual capacities; that her claims that facemasks violate her religious beliefs and stifle her speech are not frivolous; that the YMCA's refusal to grant her entry to their property is a seizure in violation of the Fourth Amendment; that her procedural due process rights are triggered because of the risk to her life posed by requiring her to wear a facemask; that requiring people to wear ineffective facemasks is tyrannical; that she should have been allowed to file the second amended complaint because its lateness was due to a mailing error and the proposed pleading stated her claims better than the first [*4]  amended complaint; and that she should have been allowed to file a doctor's note under seal.</w:t>
      </w:r>
    </w:p>
    <w:p w:rsidR="00022B47" w:rsidRDefault="00000000">
      <w:pPr>
        <w:pStyle w:val="Normal7"/>
        <w:widowControl w:val="0"/>
        <w:spacing w:before="200" w:line="260" w:lineRule="atLeast"/>
        <w:jc w:val="both"/>
      </w:pPr>
      <w:bookmarkStart w:id="1140" w:name="Bookmark_para_7_6"/>
      <w:bookmarkStart w:id="1141" w:name="Bookmark_I682MR5W2HM6NT0010000400"/>
      <w:bookmarkStart w:id="1142" w:name="Bookmark_I682MR5W2HM6NT0030000400"/>
      <w:bookmarkStart w:id="1143" w:name="Bookmark_LNHNREFclscc1_5"/>
      <w:bookmarkEnd w:id="1140"/>
      <w:bookmarkEnd w:id="1141"/>
      <w:bookmarkEnd w:id="1142"/>
      <w:bookmarkEnd w:id="1143"/>
      <w:r>
        <w:rPr>
          <w:rFonts w:ascii="Arial" w:eastAsia="Arial" w:hAnsi="Arial" w:cs="Arial"/>
          <w:color w:val="000000"/>
          <w:sz w:val="20"/>
        </w:rPr>
        <w:t xml:space="preserve">We review de novo a district court's judgment granting a motion to dismiss under Federal Rule of Civil Procedure 12(b)(6). </w:t>
      </w:r>
      <w:r>
        <w:rPr>
          <w:rFonts w:ascii="Arial" w:eastAsia="Arial" w:hAnsi="Arial" w:cs="Arial"/>
          <w:i/>
          <w:color w:val="000000"/>
          <w:sz w:val="20"/>
        </w:rPr>
        <w:t xml:space="preserve">See </w:t>
      </w:r>
      <w:bookmarkStart w:id="1144" w:name="Bookmark_I682MR5V2N1RHP0050000400"/>
      <w:bookmarkEnd w:id="1144"/>
      <w:r>
        <w:rPr>
          <w:rFonts w:ascii="Arial" w:eastAsia="Arial" w:hAnsi="Arial" w:cs="Arial"/>
          <w:i/>
          <w:color w:val="000000"/>
          <w:sz w:val="20"/>
        </w:rPr>
        <w:t>Bickerstaff v. Lucarelli</w:t>
      </w:r>
      <w:r>
        <w:rPr>
          <w:rFonts w:ascii="Arial" w:eastAsia="Arial" w:hAnsi="Arial" w:cs="Arial"/>
          <w:color w:val="000000"/>
          <w:sz w:val="20"/>
        </w:rPr>
        <w:t xml:space="preserve">, 830 F.3d 388, 395-96 (6th Cir. 2016). To avoid dismissal, "a complaint must contain sufficient factual matter, accepted as true, to 'state a claim to relief that is plausible on its face.'" </w:t>
      </w:r>
      <w:bookmarkStart w:id="1145" w:name="Bookmark_I682MR5W2HM6NT0020000400"/>
      <w:bookmarkEnd w:id="1145"/>
      <w:r>
        <w:rPr>
          <w:rFonts w:ascii="Arial" w:eastAsia="Arial" w:hAnsi="Arial" w:cs="Arial"/>
          <w:i/>
          <w:color w:val="000000"/>
          <w:sz w:val="20"/>
        </w:rPr>
        <w:t>Ashcroft v. Iqbal</w:t>
      </w:r>
      <w:r>
        <w:rPr>
          <w:rFonts w:ascii="Arial" w:eastAsia="Arial" w:hAnsi="Arial" w:cs="Arial"/>
          <w:color w:val="000000"/>
          <w:sz w:val="20"/>
        </w:rPr>
        <w:t xml:space="preserve">, 556 U.S. 662, 678, 129 S. Ct. 1937, 173 L. Ed. 2d 868 (2009) (quoting </w:t>
      </w:r>
      <w:bookmarkStart w:id="1146" w:name="Bookmark_I682MR5W2HM6NT0040000400"/>
      <w:bookmarkEnd w:id="1146"/>
      <w:r>
        <w:rPr>
          <w:rFonts w:ascii="Arial" w:eastAsia="Arial" w:hAnsi="Arial" w:cs="Arial"/>
          <w:i/>
          <w:color w:val="000000"/>
          <w:sz w:val="20"/>
        </w:rPr>
        <w:t>Bell Atl. Corp. v. Twombly</w:t>
      </w:r>
      <w:r>
        <w:rPr>
          <w:rFonts w:ascii="Arial" w:eastAsia="Arial" w:hAnsi="Arial" w:cs="Arial"/>
          <w:color w:val="000000"/>
          <w:sz w:val="20"/>
        </w:rPr>
        <w:t>, 550 U.S. 544, 570, 127 S. Ct. 1955, 167 L. Ed. 2d 929 (2007)).</w:t>
      </w:r>
    </w:p>
    <w:p w:rsidR="00022B47" w:rsidRDefault="00000000">
      <w:pPr>
        <w:pStyle w:val="Normal7"/>
        <w:widowControl w:val="0"/>
        <w:spacing w:before="200" w:line="260" w:lineRule="atLeast"/>
        <w:jc w:val="both"/>
      </w:pPr>
      <w:bookmarkStart w:id="1147" w:name="Bookmark_para_8_6"/>
      <w:bookmarkStart w:id="1148" w:name="Bookmark_I682MR5W2D6NPM0020000400"/>
      <w:bookmarkStart w:id="1149" w:name="Bookmark_I682MR5W2D6NPM0040000400"/>
      <w:bookmarkStart w:id="1150" w:name="Bookmark_LNHNREFclscc2_5"/>
      <w:bookmarkEnd w:id="1147"/>
      <w:bookmarkEnd w:id="1148"/>
      <w:bookmarkEnd w:id="1149"/>
      <w:bookmarkEnd w:id="1150"/>
      <w:r>
        <w:rPr>
          <w:rFonts w:ascii="Arial" w:eastAsia="Arial" w:hAnsi="Arial" w:cs="Arial"/>
          <w:color w:val="000000"/>
          <w:sz w:val="20"/>
        </w:rPr>
        <w:t xml:space="preserve">Whitmer and Gordon assert that Reinoehl lacks standing to sue them because she did not allege facts connecting their actions to the YMCA's decision to exclude her from their facility for not wearing a facemask. "Article III of the Constitution gives federal courts subject matter jurisdiction over actual cases or controversies, neither of which exists unless a plaintiff establishes [her] standing to sue." </w:t>
      </w:r>
      <w:bookmarkStart w:id="1151" w:name="Bookmark_I682MR5W2D6NPM0010000400"/>
      <w:bookmarkEnd w:id="1151"/>
      <w:r>
        <w:rPr>
          <w:rFonts w:ascii="Arial" w:eastAsia="Arial" w:hAnsi="Arial" w:cs="Arial"/>
          <w:i/>
          <w:color w:val="000000"/>
          <w:sz w:val="20"/>
        </w:rPr>
        <w:t>Murray v. U.S. Dep't of Treasury</w:t>
      </w:r>
      <w:r>
        <w:rPr>
          <w:rFonts w:ascii="Arial" w:eastAsia="Arial" w:hAnsi="Arial" w:cs="Arial"/>
          <w:color w:val="000000"/>
          <w:sz w:val="20"/>
        </w:rPr>
        <w:t xml:space="preserve">, 681 F.3d 744, 748 (6th Cir. 2012). To establish standing, "[t]he plaintiff must have (1) suffered an injury in fact, (2) that is fairly traceable to the challenged conduct of the defendant, and (3) that is likely to be redressed by a favorable judicial decision." </w:t>
      </w:r>
      <w:bookmarkStart w:id="1152" w:name="Bookmark_I682MR5W2D6NPM0030000400"/>
      <w:bookmarkEnd w:id="1152"/>
      <w:r>
        <w:rPr>
          <w:rFonts w:ascii="Arial" w:eastAsia="Arial" w:hAnsi="Arial" w:cs="Arial"/>
          <w:i/>
          <w:color w:val="000000"/>
          <w:sz w:val="20"/>
        </w:rPr>
        <w:t>Spokeo, Inc. v. Robins</w:t>
      </w:r>
      <w:r>
        <w:rPr>
          <w:rFonts w:ascii="Arial" w:eastAsia="Arial" w:hAnsi="Arial" w:cs="Arial"/>
          <w:color w:val="000000"/>
          <w:sz w:val="20"/>
        </w:rPr>
        <w:t>, 578 U.S. 330, 338, 136 S. Ct. 1540, 194 L. Ed. 2d 635 (2016). Although the YMCA, rather than Whitmer or Gordon, made the decision not to admit Reinoehl, she alleged that the YMCA told her that they were doing so in order to follow the state mask regulations. The YMCA itself claimed in its motion to dismiss [*5]  that "Plaintiff was ultimately prevented entry to the YMCA based on Michigan directives then in place." Given these allegations, Reinoehl's claimed injury could be traced back to the state regulations to at least some degree, and we conclude that the district court correctly exercised jurisdiction.</w:t>
      </w:r>
    </w:p>
    <w:p w:rsidR="00022B47" w:rsidRDefault="00000000">
      <w:pPr>
        <w:pStyle w:val="Normal7"/>
        <w:widowControl w:val="0"/>
        <w:spacing w:before="200" w:line="260" w:lineRule="atLeast"/>
        <w:jc w:val="both"/>
      </w:pPr>
      <w:bookmarkStart w:id="1153" w:name="Bookmark_para_9_6"/>
      <w:bookmarkStart w:id="1154" w:name="Bookmark_LNHNREFclscc3_5"/>
      <w:bookmarkEnd w:id="1153"/>
      <w:bookmarkEnd w:id="1154"/>
      <w:r>
        <w:rPr>
          <w:rFonts w:ascii="Arial" w:eastAsia="Arial" w:hAnsi="Arial" w:cs="Arial"/>
          <w:color w:val="000000"/>
          <w:sz w:val="20"/>
        </w:rPr>
        <w:t xml:space="preserve">Turning to Reinoehl's ADA claim against Whitmer and Gordon, Title III prohibits discrimination on the basis of a disability by a person who owns, leases, or operates a place of public accommodation. </w:t>
      </w:r>
      <w:bookmarkStart w:id="1155" w:name="Bookmark_I682MR5W28T4V40010000400"/>
      <w:bookmarkEnd w:id="1155"/>
      <w:r>
        <w:rPr>
          <w:rFonts w:ascii="Arial" w:eastAsia="Arial" w:hAnsi="Arial" w:cs="Arial"/>
          <w:i/>
          <w:color w:val="000000"/>
          <w:sz w:val="20"/>
        </w:rPr>
        <w:t>See</w:t>
      </w:r>
      <w:r>
        <w:rPr>
          <w:rFonts w:ascii="Arial" w:eastAsia="Arial" w:hAnsi="Arial" w:cs="Arial"/>
          <w:color w:val="000000"/>
          <w:sz w:val="20"/>
        </w:rPr>
        <w:t xml:space="preserve"> 42 U.S.C. § 12182(a). Because Whitmer and Gordon do not personally own, lease, or operate the YMCA or a place of public accommodation, the ADA claim against them was correctly dismissed. </w:t>
      </w:r>
      <w:r>
        <w:rPr>
          <w:rFonts w:ascii="Arial" w:eastAsia="Arial" w:hAnsi="Arial" w:cs="Arial"/>
          <w:i/>
          <w:color w:val="000000"/>
          <w:sz w:val="20"/>
        </w:rPr>
        <w:t xml:space="preserve">See </w:t>
      </w:r>
      <w:bookmarkStart w:id="1156" w:name="Bookmark_I682MR5W2D6NPM0050000400"/>
      <w:bookmarkEnd w:id="1156"/>
      <w:r>
        <w:rPr>
          <w:rFonts w:ascii="Arial" w:eastAsia="Arial" w:hAnsi="Arial" w:cs="Arial"/>
          <w:i/>
          <w:color w:val="000000"/>
          <w:sz w:val="20"/>
        </w:rPr>
        <w:t>Madej v. Maiden</w:t>
      </w:r>
      <w:r>
        <w:rPr>
          <w:rFonts w:ascii="Arial" w:eastAsia="Arial" w:hAnsi="Arial" w:cs="Arial"/>
          <w:color w:val="000000"/>
          <w:sz w:val="20"/>
        </w:rPr>
        <w:t xml:space="preserve">, 951 F.3d 364, 372 (6th Cir. 2020) (noting that Title III covers private entities). </w:t>
      </w:r>
      <w:bookmarkStart w:id="1157" w:name="Bookmark_I682MR5W28T4V40030000400"/>
      <w:bookmarkEnd w:id="1157"/>
      <w:r>
        <w:rPr>
          <w:rFonts w:ascii="Arial" w:eastAsia="Arial" w:hAnsi="Arial" w:cs="Arial"/>
          <w:color w:val="000000"/>
          <w:sz w:val="20"/>
        </w:rPr>
        <w:t xml:space="preserve">In her proposed second amended complaint, Reinoehl attempted to raise this claim under Title II, which provides that "no qualified individual with a disability shall, by reason of such disability, be excluded from participation in or be denied the benefits of the services, programs, or activities of a public entity, or be subjected to discrimination by any such entity." 42 U.S.C. § 12132. </w:t>
      </w:r>
      <w:bookmarkStart w:id="1158" w:name="Bookmark_I682MR5W28T4V40050000400"/>
      <w:bookmarkEnd w:id="1158"/>
      <w:r>
        <w:rPr>
          <w:rFonts w:ascii="Arial" w:eastAsia="Arial" w:hAnsi="Arial" w:cs="Arial"/>
          <w:color w:val="000000"/>
          <w:sz w:val="20"/>
        </w:rPr>
        <w:t xml:space="preserve">If Reinoehl meant to raise that claim instead of her Title III claim, it would still fail because she [*6]  sued Whitmer and Gordon solely in their individual capacities, and </w:t>
      </w:r>
      <w:bookmarkStart w:id="1159" w:name="Bookmark_LNHNREFclscc4_5"/>
      <w:bookmarkEnd w:id="1159"/>
      <w:r>
        <w:rPr>
          <w:rFonts w:ascii="Arial" w:eastAsia="Arial" w:hAnsi="Arial" w:cs="Arial"/>
          <w:color w:val="000000"/>
          <w:sz w:val="20"/>
        </w:rPr>
        <w:t xml:space="preserve">Title II claims cannot be brought against public officials acting in their individual capacities. </w:t>
      </w:r>
      <w:r>
        <w:rPr>
          <w:rFonts w:ascii="Arial" w:eastAsia="Arial" w:hAnsi="Arial" w:cs="Arial"/>
          <w:i/>
          <w:color w:val="000000"/>
          <w:sz w:val="20"/>
        </w:rPr>
        <w:t xml:space="preserve">See </w:t>
      </w:r>
      <w:bookmarkStart w:id="1160" w:name="Bookmark_I682MR5W28T4V40020000400"/>
      <w:bookmarkEnd w:id="1160"/>
      <w:r>
        <w:rPr>
          <w:rFonts w:ascii="Arial" w:eastAsia="Arial" w:hAnsi="Arial" w:cs="Arial"/>
          <w:i/>
          <w:color w:val="000000"/>
          <w:sz w:val="20"/>
        </w:rPr>
        <w:t>Everson v. Leis</w:t>
      </w:r>
      <w:r>
        <w:rPr>
          <w:rFonts w:ascii="Arial" w:eastAsia="Arial" w:hAnsi="Arial" w:cs="Arial"/>
          <w:color w:val="000000"/>
          <w:sz w:val="20"/>
        </w:rPr>
        <w:t xml:space="preserve">, 556 F.3d 484, 501 n.7 (6th Cir. 2009). </w:t>
      </w:r>
      <w:bookmarkStart w:id="1161" w:name="Bookmark_I682MR5W28T4V40050000400_2"/>
      <w:bookmarkEnd w:id="1161"/>
      <w:r>
        <w:rPr>
          <w:rFonts w:ascii="Arial" w:eastAsia="Arial" w:hAnsi="Arial" w:cs="Arial"/>
          <w:color w:val="000000"/>
          <w:sz w:val="20"/>
        </w:rPr>
        <w:t xml:space="preserve">Reinoehl waited until her reply brief to raise related claims under Michigan law, and we therefore need not consider them here. </w:t>
      </w:r>
      <w:r>
        <w:rPr>
          <w:rFonts w:ascii="Arial" w:eastAsia="Arial" w:hAnsi="Arial" w:cs="Arial"/>
          <w:i/>
          <w:color w:val="000000"/>
          <w:sz w:val="20"/>
        </w:rPr>
        <w:t xml:space="preserve">See </w:t>
      </w:r>
      <w:bookmarkStart w:id="1162" w:name="Bookmark_I682MR5W28T4V40040000400"/>
      <w:bookmarkEnd w:id="1162"/>
      <w:r>
        <w:rPr>
          <w:rFonts w:ascii="Arial" w:eastAsia="Arial" w:hAnsi="Arial" w:cs="Arial"/>
          <w:i/>
          <w:color w:val="000000"/>
          <w:sz w:val="20"/>
        </w:rPr>
        <w:t>Sanborn v. Parker</w:t>
      </w:r>
      <w:r>
        <w:rPr>
          <w:rFonts w:ascii="Arial" w:eastAsia="Arial" w:hAnsi="Arial" w:cs="Arial"/>
          <w:color w:val="000000"/>
          <w:sz w:val="20"/>
        </w:rPr>
        <w:t xml:space="preserve">, 629 F.3d 554, 579 (6th Cir. 2010); </w:t>
      </w:r>
      <w:bookmarkStart w:id="1163" w:name="Bookmark_I682MR5X28T4V90010000400"/>
      <w:bookmarkEnd w:id="1163"/>
      <w:r>
        <w:rPr>
          <w:rFonts w:ascii="Arial" w:eastAsia="Arial" w:hAnsi="Arial" w:cs="Arial"/>
          <w:i/>
          <w:color w:val="000000"/>
          <w:sz w:val="20"/>
        </w:rPr>
        <w:t>Osborne v. Hartford Life &amp; Accident Ins</w:t>
      </w:r>
      <w:r>
        <w:rPr>
          <w:rFonts w:ascii="Arial" w:eastAsia="Arial" w:hAnsi="Arial" w:cs="Arial"/>
          <w:color w:val="000000"/>
          <w:sz w:val="20"/>
        </w:rPr>
        <w:t>, 465 F.3d 296, 301 (6th Cir. 2006).</w:t>
      </w:r>
    </w:p>
    <w:p w:rsidR="00022B47" w:rsidRDefault="00000000">
      <w:pPr>
        <w:pStyle w:val="Normal7"/>
        <w:widowControl w:val="0"/>
        <w:spacing w:before="200" w:line="260" w:lineRule="atLeast"/>
        <w:jc w:val="both"/>
      </w:pPr>
      <w:bookmarkStart w:id="1164" w:name="Bookmark_para_10_6"/>
      <w:bookmarkStart w:id="1165" w:name="Bookmark_I682MR5X28T4V90040000400"/>
      <w:bookmarkEnd w:id="1164"/>
      <w:bookmarkEnd w:id="1165"/>
      <w:r>
        <w:rPr>
          <w:rFonts w:ascii="Arial" w:eastAsia="Arial" w:hAnsi="Arial" w:cs="Arial"/>
          <w:color w:val="000000"/>
          <w:sz w:val="20"/>
        </w:rPr>
        <w:t xml:space="preserve">Reinoehl's allegations against the YMCA might support a viable ADA Title III claim. </w:t>
      </w:r>
      <w:bookmarkStart w:id="1166" w:name="Bookmark_I682MR5X28T4VD0010000400"/>
      <w:bookmarkEnd w:id="1166"/>
      <w:r>
        <w:rPr>
          <w:rFonts w:ascii="Arial" w:eastAsia="Arial" w:hAnsi="Arial" w:cs="Arial"/>
          <w:i/>
          <w:color w:val="000000"/>
          <w:sz w:val="20"/>
        </w:rPr>
        <w:t xml:space="preserve">See </w:t>
      </w:r>
      <w:bookmarkStart w:id="1167" w:name="Bookmark_I682MR5X28T4V90030000400"/>
      <w:bookmarkEnd w:id="1167"/>
      <w:r>
        <w:rPr>
          <w:rFonts w:ascii="Arial" w:eastAsia="Arial" w:hAnsi="Arial" w:cs="Arial"/>
          <w:i/>
          <w:color w:val="000000"/>
          <w:sz w:val="20"/>
        </w:rPr>
        <w:t>Camarillo v. Carrols Corp.</w:t>
      </w:r>
      <w:r>
        <w:rPr>
          <w:rFonts w:ascii="Arial" w:eastAsia="Arial" w:hAnsi="Arial" w:cs="Arial"/>
          <w:color w:val="000000"/>
          <w:sz w:val="20"/>
        </w:rPr>
        <w:t xml:space="preserve">, 518 F.3d 153, 156 (2d Cir. 2008) (outlining the elements). </w:t>
      </w:r>
      <w:bookmarkStart w:id="1168" w:name="Bookmark_I682MR5X28T4VD0050000400"/>
      <w:bookmarkStart w:id="1169" w:name="Bookmark_LNHNREFclscc5_5"/>
      <w:bookmarkEnd w:id="1168"/>
      <w:bookmarkEnd w:id="1169"/>
      <w:r>
        <w:rPr>
          <w:rFonts w:ascii="Arial" w:eastAsia="Arial" w:hAnsi="Arial" w:cs="Arial"/>
          <w:color w:val="000000"/>
          <w:sz w:val="20"/>
        </w:rPr>
        <w:t xml:space="preserve">But Title III does not provide for money damages to an aggrieved person except in a discrimination action brought by the Attorney General. </w:t>
      </w:r>
      <w:bookmarkStart w:id="1170" w:name="Bookmark_I682MR5X28T4VD0050000400_2"/>
      <w:bookmarkStart w:id="1171" w:name="Bookmark_I682MR5X28T4VD0010000400_2"/>
      <w:bookmarkEnd w:id="1170"/>
      <w:bookmarkEnd w:id="1171"/>
      <w:r>
        <w:rPr>
          <w:rFonts w:ascii="Arial" w:eastAsia="Arial" w:hAnsi="Arial" w:cs="Arial"/>
          <w:i/>
          <w:color w:val="000000"/>
          <w:sz w:val="20"/>
        </w:rPr>
        <w:t xml:space="preserve">See </w:t>
      </w:r>
      <w:bookmarkStart w:id="1172" w:name="Bookmark_I682MR5X28T4V90050000400"/>
      <w:bookmarkEnd w:id="1172"/>
      <w:r>
        <w:rPr>
          <w:rFonts w:ascii="Arial" w:eastAsia="Arial" w:hAnsi="Arial" w:cs="Arial"/>
          <w:i/>
          <w:color w:val="000000"/>
          <w:sz w:val="20"/>
        </w:rPr>
        <w:t>Southwell v. Summit View of Farragut, LLC</w:t>
      </w:r>
      <w:r>
        <w:rPr>
          <w:rFonts w:ascii="Arial" w:eastAsia="Arial" w:hAnsi="Arial" w:cs="Arial"/>
          <w:color w:val="000000"/>
          <w:sz w:val="20"/>
        </w:rPr>
        <w:t xml:space="preserve">, 494 F. App'x 508, 512 (6th Cir. 2012) (citing </w:t>
      </w:r>
      <w:bookmarkStart w:id="1173" w:name="Bookmark_I682MR5X28T4VD0020000400"/>
      <w:bookmarkEnd w:id="1173"/>
      <w:r>
        <w:rPr>
          <w:rFonts w:ascii="Arial" w:eastAsia="Arial" w:hAnsi="Arial" w:cs="Arial"/>
          <w:i/>
          <w:color w:val="000000"/>
          <w:sz w:val="20"/>
        </w:rPr>
        <w:t>Smith v. Wal-Mart Stores, Inc.</w:t>
      </w:r>
      <w:r>
        <w:rPr>
          <w:rFonts w:ascii="Arial" w:eastAsia="Arial" w:hAnsi="Arial" w:cs="Arial"/>
          <w:color w:val="000000"/>
          <w:sz w:val="20"/>
        </w:rPr>
        <w:t xml:space="preserve">, 167 F.3d 286, 293 &amp; n.5 (6th Cir. 1999)). Because Michigan's mask mandate has since been rescinded and Reinoehl does not allege an independent policy of the YMCA to exclude her, her Title III claim against the YMCA is moot. </w:t>
      </w:r>
      <w:r>
        <w:rPr>
          <w:rFonts w:ascii="Arial" w:eastAsia="Arial" w:hAnsi="Arial" w:cs="Arial"/>
          <w:i/>
          <w:color w:val="000000"/>
          <w:sz w:val="20"/>
        </w:rPr>
        <w:t xml:space="preserve">See </w:t>
      </w:r>
      <w:bookmarkStart w:id="1174" w:name="Bookmark_I682MR5X28T4VD0040000400"/>
      <w:bookmarkEnd w:id="1174"/>
      <w:r>
        <w:rPr>
          <w:rFonts w:ascii="Arial" w:eastAsia="Arial" w:hAnsi="Arial" w:cs="Arial"/>
          <w:i/>
          <w:color w:val="000000"/>
          <w:sz w:val="20"/>
        </w:rPr>
        <w:t>Resurrection School v. Hertel</w:t>
      </w:r>
      <w:r>
        <w:rPr>
          <w:rFonts w:ascii="Arial" w:eastAsia="Arial" w:hAnsi="Arial" w:cs="Arial"/>
          <w:color w:val="000000"/>
          <w:sz w:val="20"/>
        </w:rPr>
        <w:t>, 35 F.4th 524, 527 (6th Cir. 2022) (en banc).</w:t>
      </w:r>
    </w:p>
    <w:p w:rsidR="00022B47" w:rsidRDefault="00000000">
      <w:pPr>
        <w:pStyle w:val="Normal7"/>
        <w:widowControl w:val="0"/>
        <w:spacing w:before="200" w:line="260" w:lineRule="atLeast"/>
        <w:jc w:val="both"/>
      </w:pPr>
      <w:bookmarkStart w:id="1175" w:name="Bookmark_para_11_6"/>
      <w:bookmarkEnd w:id="1175"/>
      <w:r>
        <w:rPr>
          <w:rFonts w:ascii="Arial" w:eastAsia="Arial" w:hAnsi="Arial" w:cs="Arial"/>
          <w:color w:val="000000"/>
          <w:sz w:val="20"/>
        </w:rPr>
        <w:t>Reinoehl next claimed that her First Amendment rights to freedom of speech and the free exercise of her religion were violated by Michigan's masking rules. She based her free speech claim on her belief that a facemask muffles her voice and makes her difficult to understand. She based her freedom-of-religion claim on the fact that masks in some form "have been used since ancient times in pagan religious ceremonies" and that forcing her to [*7]  participate in wearing a mask thus violates her faith. These theories stretch plausibility beyond the point of breaking. She also suggested that some people might refuse to wear a mask as a form of protest in and of itself, but she does not claim that was her purpose or allege facts suggesting that she was discriminated against on that basis.</w:t>
      </w:r>
    </w:p>
    <w:p w:rsidR="00022B47" w:rsidRDefault="00000000">
      <w:pPr>
        <w:pStyle w:val="Normal7"/>
        <w:widowControl w:val="0"/>
        <w:spacing w:before="200" w:line="260" w:lineRule="atLeast"/>
        <w:jc w:val="both"/>
      </w:pPr>
      <w:bookmarkStart w:id="1176" w:name="Bookmark_para_12_6"/>
      <w:bookmarkStart w:id="1177" w:name="Bookmark_I682MR5Y2D6NR60020000400"/>
      <w:bookmarkStart w:id="1178" w:name="Bookmark_I682MR5Y2D6NR60040000400"/>
      <w:bookmarkEnd w:id="1176"/>
      <w:bookmarkEnd w:id="1177"/>
      <w:bookmarkEnd w:id="1178"/>
      <w:r>
        <w:rPr>
          <w:rFonts w:ascii="Arial" w:eastAsia="Arial" w:hAnsi="Arial" w:cs="Arial"/>
          <w:color w:val="000000"/>
          <w:sz w:val="20"/>
        </w:rPr>
        <w:t xml:space="preserve">Reinoehl also asserted that the defendants violated her Fourth Amendment right against unreasonable searches and seizures. But she did not allege any facts suggesting that she was searched, whether by a state official or a YMCA employee, or that any defendant used force with the intent to restrain her. </w:t>
      </w:r>
      <w:r>
        <w:rPr>
          <w:rFonts w:ascii="Arial" w:eastAsia="Arial" w:hAnsi="Arial" w:cs="Arial"/>
          <w:i/>
          <w:color w:val="000000"/>
          <w:sz w:val="20"/>
        </w:rPr>
        <w:t xml:space="preserve">See </w:t>
      </w:r>
      <w:bookmarkStart w:id="1179" w:name="Bookmark_I682MR5Y2D6NR60010000400"/>
      <w:bookmarkEnd w:id="1179"/>
      <w:r>
        <w:rPr>
          <w:rFonts w:ascii="Arial" w:eastAsia="Arial" w:hAnsi="Arial" w:cs="Arial"/>
          <w:i/>
          <w:color w:val="000000"/>
          <w:sz w:val="20"/>
        </w:rPr>
        <w:t>Torres v. Madrid</w:t>
      </w:r>
      <w:r>
        <w:rPr>
          <w:rFonts w:ascii="Arial" w:eastAsia="Arial" w:hAnsi="Arial" w:cs="Arial"/>
          <w:color w:val="000000"/>
          <w:sz w:val="20"/>
        </w:rPr>
        <w:t xml:space="preserve">, 141 S. Ct. 989, 998, 209 L. Ed. 2d 190 (2021). Neither do her allegations suggest that a reasonable person in her position would have believed she was not free to leave after being denied entry to the YMCA. </w:t>
      </w:r>
      <w:r>
        <w:rPr>
          <w:rFonts w:ascii="Arial" w:eastAsia="Arial" w:hAnsi="Arial" w:cs="Arial"/>
          <w:i/>
          <w:color w:val="000000"/>
          <w:sz w:val="20"/>
        </w:rPr>
        <w:t xml:space="preserve">See </w:t>
      </w:r>
      <w:bookmarkStart w:id="1180" w:name="Bookmark_I682MR5Y2D6NR60030000400"/>
      <w:bookmarkEnd w:id="1180"/>
      <w:r>
        <w:rPr>
          <w:rFonts w:ascii="Arial" w:eastAsia="Arial" w:hAnsi="Arial" w:cs="Arial"/>
          <w:i/>
          <w:color w:val="000000"/>
          <w:sz w:val="20"/>
        </w:rPr>
        <w:t>United States v. Gross</w:t>
      </w:r>
      <w:r>
        <w:rPr>
          <w:rFonts w:ascii="Arial" w:eastAsia="Arial" w:hAnsi="Arial" w:cs="Arial"/>
          <w:color w:val="000000"/>
          <w:sz w:val="20"/>
        </w:rPr>
        <w:t>, 662 F.3d 393, 398-99 (6th Cir. 2011). This claim was correctly dismissed.</w:t>
      </w:r>
    </w:p>
    <w:p w:rsidR="00022B47" w:rsidRDefault="00000000">
      <w:pPr>
        <w:pStyle w:val="Normal7"/>
        <w:widowControl w:val="0"/>
        <w:spacing w:before="200" w:line="260" w:lineRule="atLeast"/>
        <w:jc w:val="both"/>
      </w:pPr>
      <w:bookmarkStart w:id="1181" w:name="Bookmark_para_13_6"/>
      <w:bookmarkStart w:id="1182" w:name="Bookmark_I682MR5Y2D6NRB0010000400"/>
      <w:bookmarkEnd w:id="1181"/>
      <w:bookmarkEnd w:id="1182"/>
      <w:r>
        <w:rPr>
          <w:rFonts w:ascii="Arial" w:eastAsia="Arial" w:hAnsi="Arial" w:cs="Arial"/>
          <w:color w:val="000000"/>
          <w:sz w:val="20"/>
        </w:rPr>
        <w:t xml:space="preserve">Reinoehl next raised both procedural and substantive due process claims. </w:t>
      </w:r>
      <w:bookmarkStart w:id="1183" w:name="Bookmark_LNHNREFclscc6_5"/>
      <w:bookmarkEnd w:id="1183"/>
      <w:r>
        <w:rPr>
          <w:rFonts w:ascii="Arial" w:eastAsia="Arial" w:hAnsi="Arial" w:cs="Arial"/>
          <w:color w:val="000000"/>
          <w:sz w:val="20"/>
        </w:rPr>
        <w:t xml:space="preserve">There are "two steps for analyzing procedural due process claims: (1) 'whether there exists a liberty or property interest which has been interfered with by the State' and (2) 'whether the procedures attendant upon that deprivation were constitutionally sufficient.'" </w:t>
      </w:r>
      <w:bookmarkStart w:id="1184" w:name="Bookmark_I682MR5Y2D6NR60050000400"/>
      <w:bookmarkEnd w:id="1184"/>
      <w:r>
        <w:rPr>
          <w:rFonts w:ascii="Arial" w:eastAsia="Arial" w:hAnsi="Arial" w:cs="Arial"/>
          <w:i/>
          <w:color w:val="000000"/>
          <w:sz w:val="20"/>
        </w:rPr>
        <w:t>Bethel v. Jenkins</w:t>
      </w:r>
      <w:r>
        <w:rPr>
          <w:rFonts w:ascii="Arial" w:eastAsia="Arial" w:hAnsi="Arial" w:cs="Arial"/>
          <w:color w:val="000000"/>
          <w:sz w:val="20"/>
        </w:rPr>
        <w:t xml:space="preserve">, 988 F.3d 931, 942 (6th Cir. 2021) (quoting </w:t>
      </w:r>
      <w:bookmarkStart w:id="1185" w:name="Bookmark_I682MR5Y2D6NRB0020000400"/>
      <w:bookmarkEnd w:id="1185"/>
      <w:r>
        <w:rPr>
          <w:rFonts w:ascii="Arial" w:eastAsia="Arial" w:hAnsi="Arial" w:cs="Arial"/>
          <w:i/>
          <w:color w:val="000000"/>
          <w:sz w:val="20"/>
        </w:rPr>
        <w:t>Ky. Dep't of Corr. v. Thompson</w:t>
      </w:r>
      <w:r>
        <w:rPr>
          <w:rFonts w:ascii="Arial" w:eastAsia="Arial" w:hAnsi="Arial" w:cs="Arial"/>
          <w:color w:val="000000"/>
          <w:sz w:val="20"/>
        </w:rPr>
        <w:t xml:space="preserve">, 490 U.S. 454, 460, 109 S. Ct. 1904, 104 L. Ed. 2d 506 (1989)). </w:t>
      </w:r>
      <w:bookmarkStart w:id="1186" w:name="Bookmark_I682MR5Y2D6NRB0050000400"/>
      <w:bookmarkEnd w:id="1186"/>
      <w:r>
        <w:rPr>
          <w:rFonts w:ascii="Arial" w:eastAsia="Arial" w:hAnsi="Arial" w:cs="Arial"/>
          <w:color w:val="000000"/>
          <w:sz w:val="20"/>
        </w:rPr>
        <w:t xml:space="preserve">She does [*8]  not identify any caselaw establishing that she had a right to enter a privately owned and run recreational facility, however. </w:t>
      </w:r>
      <w:bookmarkStart w:id="1187" w:name="Bookmark_I682MR5Y2D6NRB0050000400_2"/>
      <w:bookmarkStart w:id="1188" w:name="Bookmark_LNHNREFclscc7_4"/>
      <w:bookmarkEnd w:id="1187"/>
      <w:bookmarkEnd w:id="1188"/>
      <w:r>
        <w:rPr>
          <w:rFonts w:ascii="Arial" w:eastAsia="Arial" w:hAnsi="Arial" w:cs="Arial"/>
          <w:color w:val="000000"/>
          <w:sz w:val="20"/>
        </w:rPr>
        <w:t xml:space="preserve">And individualized process is not required when the state issues a generally applicable law or order. </w:t>
      </w:r>
      <w:r>
        <w:rPr>
          <w:rFonts w:ascii="Arial" w:eastAsia="Arial" w:hAnsi="Arial" w:cs="Arial"/>
          <w:i/>
          <w:color w:val="000000"/>
          <w:sz w:val="20"/>
        </w:rPr>
        <w:t xml:space="preserve">See </w:t>
      </w:r>
      <w:bookmarkStart w:id="1189" w:name="Bookmark_I682MR5Y2D6NRB0040000400"/>
      <w:bookmarkEnd w:id="1189"/>
      <w:r>
        <w:rPr>
          <w:rFonts w:ascii="Arial" w:eastAsia="Arial" w:hAnsi="Arial" w:cs="Arial"/>
          <w:i/>
          <w:color w:val="000000"/>
          <w:sz w:val="20"/>
        </w:rPr>
        <w:t>Neinast v. Bd. of Trs. of Columbus Metro. Library</w:t>
      </w:r>
      <w:r>
        <w:rPr>
          <w:rFonts w:ascii="Arial" w:eastAsia="Arial" w:hAnsi="Arial" w:cs="Arial"/>
          <w:color w:val="000000"/>
          <w:sz w:val="20"/>
        </w:rPr>
        <w:t>, 346 F.3d 585, 596-97 (6th Cir. 2003).</w:t>
      </w:r>
    </w:p>
    <w:p w:rsidR="00022B47" w:rsidRDefault="00000000">
      <w:pPr>
        <w:pStyle w:val="Normal7"/>
        <w:widowControl w:val="0"/>
        <w:spacing w:before="200" w:line="260" w:lineRule="atLeast"/>
        <w:jc w:val="both"/>
      </w:pPr>
      <w:bookmarkStart w:id="1190" w:name="Bookmark_para_14_6"/>
      <w:bookmarkStart w:id="1191" w:name="Bookmark_I682MR602SF8DR0020000400"/>
      <w:bookmarkStart w:id="1192" w:name="Bookmark_I682MR602SF8DR0040000400"/>
      <w:bookmarkStart w:id="1193" w:name="Bookmark_I682MR602D6NRK0030000400"/>
      <w:bookmarkStart w:id="1194" w:name="Bookmark_LNHNREFclscc8_4"/>
      <w:bookmarkEnd w:id="1190"/>
      <w:bookmarkEnd w:id="1191"/>
      <w:bookmarkEnd w:id="1192"/>
      <w:bookmarkEnd w:id="1193"/>
      <w:bookmarkEnd w:id="1194"/>
      <w:r>
        <w:rPr>
          <w:rFonts w:ascii="Arial" w:eastAsia="Arial" w:hAnsi="Arial" w:cs="Arial"/>
          <w:color w:val="000000"/>
          <w:sz w:val="20"/>
        </w:rPr>
        <w:t xml:space="preserve">Substantive due process protects only "those fundamental rights and liberties which are, objectively, deeply rooted in this Nation's history and tradition, and implicit in the concept of ordered liberty, such that neither liberty nor justice would exist if they were sacrificed." </w:t>
      </w:r>
      <w:bookmarkStart w:id="1195" w:name="Bookmark_I682MR602SF8DR0010000400"/>
      <w:bookmarkEnd w:id="1195"/>
      <w:r>
        <w:rPr>
          <w:rFonts w:ascii="Arial" w:eastAsia="Arial" w:hAnsi="Arial" w:cs="Arial"/>
          <w:i/>
          <w:color w:val="000000"/>
          <w:sz w:val="20"/>
        </w:rPr>
        <w:t>Washington v. Glucksberg</w:t>
      </w:r>
      <w:r>
        <w:rPr>
          <w:rFonts w:ascii="Arial" w:eastAsia="Arial" w:hAnsi="Arial" w:cs="Arial"/>
          <w:color w:val="000000"/>
          <w:sz w:val="20"/>
        </w:rPr>
        <w:t xml:space="preserve">, 521 U.S. 702, 720-21, 117 S. Ct. 2258, 117 S. Ct. 2302, 138 L. Ed. 2d 772 (1997) (cleaned up). To establish a substantive due process claim, a plaintiff generally must show the deprivation of a constitutionally protected liberty or property interest without any reasonable justification in a legitimate governmental objective, </w:t>
      </w:r>
      <w:r>
        <w:rPr>
          <w:rFonts w:ascii="Arial" w:eastAsia="Arial" w:hAnsi="Arial" w:cs="Arial"/>
          <w:i/>
          <w:color w:val="000000"/>
          <w:sz w:val="20"/>
        </w:rPr>
        <w:t xml:space="preserve">see </w:t>
      </w:r>
      <w:bookmarkStart w:id="1196" w:name="Bookmark_I682MR602SF8DR0030000400"/>
      <w:bookmarkEnd w:id="1196"/>
      <w:r>
        <w:rPr>
          <w:rFonts w:ascii="Arial" w:eastAsia="Arial" w:hAnsi="Arial" w:cs="Arial"/>
          <w:i/>
          <w:color w:val="000000"/>
          <w:sz w:val="20"/>
        </w:rPr>
        <w:t>Parrino v. Price</w:t>
      </w:r>
      <w:r>
        <w:rPr>
          <w:rFonts w:ascii="Arial" w:eastAsia="Arial" w:hAnsi="Arial" w:cs="Arial"/>
          <w:color w:val="000000"/>
          <w:sz w:val="20"/>
        </w:rPr>
        <w:t xml:space="preserve">, 869 F.3d 392, 397 (6th Cir. 2017), or establish that the government engaged in conduct that shocks the conscience, </w:t>
      </w:r>
      <w:r>
        <w:rPr>
          <w:rFonts w:ascii="Arial" w:eastAsia="Arial" w:hAnsi="Arial" w:cs="Arial"/>
          <w:i/>
          <w:color w:val="000000"/>
          <w:sz w:val="20"/>
        </w:rPr>
        <w:t xml:space="preserve">see </w:t>
      </w:r>
      <w:bookmarkStart w:id="1197" w:name="Bookmark_I682MR602SF8DR0050000400"/>
      <w:bookmarkEnd w:id="1197"/>
      <w:r>
        <w:rPr>
          <w:rFonts w:ascii="Arial" w:eastAsia="Arial" w:hAnsi="Arial" w:cs="Arial"/>
          <w:i/>
          <w:color w:val="000000"/>
          <w:sz w:val="20"/>
        </w:rPr>
        <w:t>Pittman v. Cuyahoga Cnty. Dep't of Child &amp; Fam. Servs.</w:t>
      </w:r>
      <w:r>
        <w:rPr>
          <w:rFonts w:ascii="Arial" w:eastAsia="Arial" w:hAnsi="Arial" w:cs="Arial"/>
          <w:color w:val="000000"/>
          <w:sz w:val="20"/>
        </w:rPr>
        <w:t xml:space="preserve">, 640 F.3d 716, 728 (6th Cir. 2011). Reinoehl cites no authority that she has a fundamental right to enter a privately owned recreational facility, and thus the public health regulation is subject to rational basis review, "requiring only that the regulation bear some rational relation to a legitimate state interest." </w:t>
      </w:r>
      <w:bookmarkStart w:id="1198" w:name="Bookmark_I682MR602D6NRK0020000400"/>
      <w:bookmarkEnd w:id="1198"/>
      <w:r>
        <w:rPr>
          <w:rFonts w:ascii="Arial" w:eastAsia="Arial" w:hAnsi="Arial" w:cs="Arial"/>
          <w:i/>
          <w:color w:val="000000"/>
          <w:sz w:val="20"/>
        </w:rPr>
        <w:t>Craigmiles v. Giles</w:t>
      </w:r>
      <w:r>
        <w:rPr>
          <w:rFonts w:ascii="Arial" w:eastAsia="Arial" w:hAnsi="Arial" w:cs="Arial"/>
          <w:color w:val="000000"/>
          <w:sz w:val="20"/>
        </w:rPr>
        <w:t xml:space="preserve">, 312 F.3d 220, 223 (6th Cir. 2002); </w:t>
      </w:r>
      <w:r>
        <w:rPr>
          <w:rFonts w:ascii="Arial" w:eastAsia="Arial" w:hAnsi="Arial" w:cs="Arial"/>
          <w:i/>
          <w:color w:val="000000"/>
          <w:sz w:val="20"/>
        </w:rPr>
        <w:t xml:space="preserve">see </w:t>
      </w:r>
      <w:bookmarkStart w:id="1199" w:name="Bookmark_I682MR602D6NRK0040000400"/>
      <w:bookmarkEnd w:id="1199"/>
      <w:r>
        <w:rPr>
          <w:rFonts w:ascii="Arial" w:eastAsia="Arial" w:hAnsi="Arial" w:cs="Arial"/>
          <w:i/>
          <w:color w:val="000000"/>
          <w:sz w:val="20"/>
        </w:rPr>
        <w:t>Liberty Coins, LLC v. Goodman</w:t>
      </w:r>
      <w:r>
        <w:rPr>
          <w:rFonts w:ascii="Arial" w:eastAsia="Arial" w:hAnsi="Arial" w:cs="Arial"/>
          <w:color w:val="000000"/>
          <w:sz w:val="20"/>
        </w:rPr>
        <w:t>, 748 F.3d 682, 692-93 (6th Cir. 2014).</w:t>
      </w:r>
    </w:p>
    <w:p w:rsidR="00022B47" w:rsidRDefault="00000000">
      <w:pPr>
        <w:pStyle w:val="Normal7"/>
        <w:widowControl w:val="0"/>
        <w:spacing w:before="200" w:line="260" w:lineRule="atLeast"/>
        <w:jc w:val="both"/>
      </w:pPr>
      <w:bookmarkStart w:id="1200" w:name="Bookmark_para_15_6"/>
      <w:bookmarkStart w:id="1201" w:name="Bookmark_I682MR6128T4W40020000400"/>
      <w:bookmarkEnd w:id="1200"/>
      <w:bookmarkEnd w:id="1201"/>
      <w:r>
        <w:rPr>
          <w:rFonts w:ascii="Arial" w:eastAsia="Arial" w:hAnsi="Arial" w:cs="Arial"/>
          <w:color w:val="000000"/>
          <w:sz w:val="20"/>
        </w:rPr>
        <w:t xml:space="preserve">Whitmer and Gordon had a legitimate interest in controlling [*9]  the spread of COVID-19 in Michigan, and their mask mandate is rationally related to that interest. Reinoehl claims that cloth masks are not an effective means to curtail the spread of COVID-19, but </w:t>
      </w:r>
      <w:bookmarkStart w:id="1202" w:name="Bookmark_LNHNREFclscc9_4"/>
      <w:bookmarkEnd w:id="1202"/>
      <w:r>
        <w:rPr>
          <w:rFonts w:ascii="Arial" w:eastAsia="Arial" w:hAnsi="Arial" w:cs="Arial"/>
          <w:color w:val="000000"/>
          <w:sz w:val="20"/>
        </w:rPr>
        <w:t xml:space="preserve">under rational basis review a regulation "may be based on rational speculation unsupported by evidence or empirical data." </w:t>
      </w:r>
      <w:bookmarkStart w:id="1203" w:name="Bookmark_I682MR6128T4W40010000400"/>
      <w:bookmarkEnd w:id="1203"/>
      <w:r>
        <w:rPr>
          <w:rFonts w:ascii="Arial" w:eastAsia="Arial" w:hAnsi="Arial" w:cs="Arial"/>
          <w:i/>
          <w:color w:val="000000"/>
          <w:sz w:val="20"/>
        </w:rPr>
        <w:t>FCC v. Beach Commc'ns, Inc.</w:t>
      </w:r>
      <w:r>
        <w:rPr>
          <w:rFonts w:ascii="Arial" w:eastAsia="Arial" w:hAnsi="Arial" w:cs="Arial"/>
          <w:color w:val="000000"/>
          <w:sz w:val="20"/>
        </w:rPr>
        <w:t>, 508 U.S. 307, 314-15 (1993).</w:t>
      </w:r>
    </w:p>
    <w:p w:rsidR="00022B47" w:rsidRDefault="00000000">
      <w:pPr>
        <w:pStyle w:val="Normal7"/>
        <w:widowControl w:val="0"/>
        <w:spacing w:before="200" w:line="260" w:lineRule="atLeast"/>
        <w:jc w:val="both"/>
      </w:pPr>
      <w:bookmarkStart w:id="1204" w:name="Bookmark_para_16_6"/>
      <w:bookmarkStart w:id="1205" w:name="Bookmark_I682MR6128T4W40040000400"/>
      <w:bookmarkEnd w:id="1204"/>
      <w:bookmarkEnd w:id="1205"/>
      <w:r>
        <w:rPr>
          <w:rFonts w:ascii="Arial" w:eastAsia="Arial" w:hAnsi="Arial" w:cs="Arial"/>
          <w:color w:val="000000"/>
          <w:sz w:val="20"/>
        </w:rPr>
        <w:t xml:space="preserve">Reinoehl also raised an equal protection claim asserting that the mask mandate prevented her from enjoying the same access to public spaces as non-disabled persons. </w:t>
      </w:r>
      <w:bookmarkStart w:id="1206" w:name="Bookmark_LNHNREFclscc10_4"/>
      <w:bookmarkEnd w:id="1206"/>
      <w:r>
        <w:rPr>
          <w:rFonts w:ascii="Arial" w:eastAsia="Arial" w:hAnsi="Arial" w:cs="Arial"/>
          <w:color w:val="000000"/>
          <w:sz w:val="20"/>
        </w:rPr>
        <w:t xml:space="preserve">Medically disabled persons are not a suspect class for purposes of an equal protection challenge, however. </w:t>
      </w:r>
      <w:r>
        <w:rPr>
          <w:rFonts w:ascii="Arial" w:eastAsia="Arial" w:hAnsi="Arial" w:cs="Arial"/>
          <w:i/>
          <w:color w:val="000000"/>
          <w:sz w:val="20"/>
        </w:rPr>
        <w:t xml:space="preserve">See </w:t>
      </w:r>
      <w:bookmarkStart w:id="1207" w:name="Bookmark_I682MR6128T4W40030000400"/>
      <w:bookmarkEnd w:id="1207"/>
      <w:r>
        <w:rPr>
          <w:rFonts w:ascii="Arial" w:eastAsia="Arial" w:hAnsi="Arial" w:cs="Arial"/>
          <w:i/>
          <w:color w:val="000000"/>
          <w:sz w:val="20"/>
        </w:rPr>
        <w:t>S.S. v. E. Ky. Univ.</w:t>
      </w:r>
      <w:r>
        <w:rPr>
          <w:rFonts w:ascii="Arial" w:eastAsia="Arial" w:hAnsi="Arial" w:cs="Arial"/>
          <w:color w:val="000000"/>
          <w:sz w:val="20"/>
        </w:rPr>
        <w:t>, 532 F.3d 445, 457 (6th Cir. 2008). Because she does not allege that she was treated differently than other similarly situated individuals, and given that the masking regulation passes the rational basis test, this claim was also properly dismissed.</w:t>
      </w:r>
    </w:p>
    <w:p w:rsidR="00022B47" w:rsidRDefault="00000000">
      <w:pPr>
        <w:pStyle w:val="Normal7"/>
        <w:widowControl w:val="0"/>
        <w:spacing w:before="200" w:line="260" w:lineRule="atLeast"/>
        <w:jc w:val="both"/>
      </w:pPr>
      <w:bookmarkStart w:id="1208" w:name="Bookmark_para_17_6"/>
      <w:bookmarkStart w:id="1209" w:name="Bookmark_I682MR6128T4W60010000400"/>
      <w:bookmarkEnd w:id="1208"/>
      <w:bookmarkEnd w:id="1209"/>
      <w:r>
        <w:rPr>
          <w:rFonts w:ascii="Arial" w:eastAsia="Arial" w:hAnsi="Arial" w:cs="Arial"/>
          <w:color w:val="000000"/>
          <w:sz w:val="20"/>
        </w:rPr>
        <w:t xml:space="preserve">Insofar as Reinoehl still requests injunctive relief concerning the mask mandates, they have been rescinded and the claims are thus moot. </w:t>
      </w:r>
      <w:r>
        <w:rPr>
          <w:rFonts w:ascii="Arial" w:eastAsia="Arial" w:hAnsi="Arial" w:cs="Arial"/>
          <w:i/>
          <w:color w:val="000000"/>
          <w:sz w:val="20"/>
        </w:rPr>
        <w:t xml:space="preserve">See </w:t>
      </w:r>
      <w:bookmarkStart w:id="1210" w:name="Bookmark_I682MR6128T4W40050000400"/>
      <w:bookmarkEnd w:id="1210"/>
      <w:r>
        <w:rPr>
          <w:rFonts w:ascii="Arial" w:eastAsia="Arial" w:hAnsi="Arial" w:cs="Arial"/>
          <w:i/>
          <w:color w:val="000000"/>
          <w:sz w:val="20"/>
        </w:rPr>
        <w:t>Resurrection School</w:t>
      </w:r>
      <w:r>
        <w:rPr>
          <w:rFonts w:ascii="Arial" w:eastAsia="Arial" w:hAnsi="Arial" w:cs="Arial"/>
          <w:color w:val="000000"/>
          <w:sz w:val="20"/>
        </w:rPr>
        <w:t>, 35 F.4th at 527. And whether she should have been allowed to seal her doctor's note from public view is irrelevant to the dismissal of her claims.</w:t>
      </w:r>
    </w:p>
    <w:p w:rsidR="00022B47" w:rsidRDefault="00000000">
      <w:pPr>
        <w:pStyle w:val="Normal7"/>
        <w:widowControl w:val="0"/>
        <w:spacing w:before="200" w:line="260" w:lineRule="atLeast"/>
        <w:jc w:val="both"/>
      </w:pPr>
      <w:bookmarkStart w:id="1211" w:name="Bookmark_para_18_6"/>
      <w:bookmarkStart w:id="1212" w:name="Bookmark_I682MR6128T4W60030000400"/>
      <w:bookmarkEnd w:id="1211"/>
      <w:bookmarkEnd w:id="1212"/>
      <w:r>
        <w:rPr>
          <w:rFonts w:ascii="Arial" w:eastAsia="Arial" w:hAnsi="Arial" w:cs="Arial"/>
          <w:color w:val="000000"/>
          <w:sz w:val="20"/>
        </w:rPr>
        <w:t xml:space="preserve">Reinoehl also challenges the denial of her motion for leave to file a second amended complaint. </w:t>
      </w:r>
      <w:bookmarkStart w:id="1213" w:name="Bookmark_LNHNREFclscc11_4"/>
      <w:bookmarkEnd w:id="1213"/>
      <w:r>
        <w:rPr>
          <w:rFonts w:ascii="Arial" w:eastAsia="Arial" w:hAnsi="Arial" w:cs="Arial"/>
          <w:color w:val="000000"/>
          <w:sz w:val="20"/>
        </w:rPr>
        <w:t xml:space="preserve">A district court should [*10]  "freely" grant a party leave to amend her complaint "when justice so requires." Fed. R. Civ. P. 15(a). But a court may deny leave "if there is 'undue delay, bad faith or dilatory motive on the part of the movant, repeated failure to cure deficiencies by amendments previously allowed, undue prejudice to the opposing party by virtue of allowance of the amendment, futility of amendment, etc.'" </w:t>
      </w:r>
      <w:bookmarkStart w:id="1214" w:name="Bookmark_I682MR6128T4W60020000400"/>
      <w:bookmarkEnd w:id="1214"/>
      <w:r>
        <w:rPr>
          <w:rFonts w:ascii="Arial" w:eastAsia="Arial" w:hAnsi="Arial" w:cs="Arial"/>
          <w:i/>
          <w:color w:val="000000"/>
          <w:sz w:val="20"/>
        </w:rPr>
        <w:t>Riverview Health Inst. V. Med. Mut. Of Ohio</w:t>
      </w:r>
      <w:r>
        <w:rPr>
          <w:rFonts w:ascii="Arial" w:eastAsia="Arial" w:hAnsi="Arial" w:cs="Arial"/>
          <w:color w:val="000000"/>
          <w:sz w:val="20"/>
        </w:rPr>
        <w:t xml:space="preserve">, 601 F.3d 505, 520 (6th Cir. 2010) (quoting </w:t>
      </w:r>
      <w:bookmarkStart w:id="1215" w:name="Bookmark_I682MR6128T4W60040000400"/>
      <w:bookmarkEnd w:id="1215"/>
      <w:r>
        <w:rPr>
          <w:rFonts w:ascii="Arial" w:eastAsia="Arial" w:hAnsi="Arial" w:cs="Arial"/>
          <w:i/>
          <w:color w:val="000000"/>
          <w:sz w:val="20"/>
        </w:rPr>
        <w:t>Foman v. Davis</w:t>
      </w:r>
      <w:r>
        <w:rPr>
          <w:rFonts w:ascii="Arial" w:eastAsia="Arial" w:hAnsi="Arial" w:cs="Arial"/>
          <w:color w:val="000000"/>
          <w:sz w:val="20"/>
        </w:rPr>
        <w:t>, 371 U.S. 178, 182, 83 S. Ct. 227, 9 L. Ed. 2d 222 (1962)).</w:t>
      </w:r>
    </w:p>
    <w:p w:rsidR="00022B47" w:rsidRDefault="00000000">
      <w:pPr>
        <w:pStyle w:val="Normal7"/>
        <w:widowControl w:val="0"/>
        <w:spacing w:before="200" w:line="260" w:lineRule="atLeast"/>
        <w:jc w:val="both"/>
      </w:pPr>
      <w:bookmarkStart w:id="1216" w:name="Bookmark_para_19_6"/>
      <w:bookmarkStart w:id="1217" w:name="Bookmark_I682MR612SF8F40020000400"/>
      <w:bookmarkStart w:id="1218" w:name="Bookmark_LNHNREFclscc12_3"/>
      <w:bookmarkEnd w:id="1216"/>
      <w:bookmarkEnd w:id="1217"/>
      <w:bookmarkEnd w:id="1218"/>
      <w:r>
        <w:rPr>
          <w:rFonts w:ascii="Arial" w:eastAsia="Arial" w:hAnsi="Arial" w:cs="Arial"/>
          <w:color w:val="000000"/>
          <w:sz w:val="20"/>
        </w:rPr>
        <w:t xml:space="preserve">We ordinarily review the denial of a motion to amend a complaint for an abuse of discretion, </w:t>
      </w:r>
      <w:r>
        <w:rPr>
          <w:rFonts w:ascii="Arial" w:eastAsia="Arial" w:hAnsi="Arial" w:cs="Arial"/>
          <w:i/>
          <w:color w:val="000000"/>
          <w:sz w:val="20"/>
        </w:rPr>
        <w:t xml:space="preserve">see </w:t>
      </w:r>
      <w:bookmarkStart w:id="1219" w:name="Bookmark_I682MR612SF8F40010000400"/>
      <w:bookmarkEnd w:id="1219"/>
      <w:r>
        <w:rPr>
          <w:rFonts w:ascii="Arial" w:eastAsia="Arial" w:hAnsi="Arial" w:cs="Arial"/>
          <w:i/>
          <w:color w:val="000000"/>
          <w:sz w:val="20"/>
        </w:rPr>
        <w:t>Williams v. City of Cleveland</w:t>
      </w:r>
      <w:r>
        <w:rPr>
          <w:rFonts w:ascii="Arial" w:eastAsia="Arial" w:hAnsi="Arial" w:cs="Arial"/>
          <w:color w:val="000000"/>
          <w:sz w:val="20"/>
        </w:rPr>
        <w:t xml:space="preserve">, 771 F.3d 945, 949 (6th Cir. 2014), but when the district court has denied leave based on its legal conclusion that amendment would be futile, we review whether the proposed amended complaint "contains 'sufficient factual matter, accepted as true, to state a claim to relief that is plausible on its face.'" </w:t>
      </w:r>
      <w:r>
        <w:rPr>
          <w:rFonts w:ascii="Arial" w:eastAsia="Arial" w:hAnsi="Arial" w:cs="Arial"/>
          <w:i/>
          <w:color w:val="000000"/>
          <w:sz w:val="20"/>
        </w:rPr>
        <w:t>Id.</w:t>
      </w:r>
      <w:r>
        <w:rPr>
          <w:rFonts w:ascii="Arial" w:eastAsia="Arial" w:hAnsi="Arial" w:cs="Arial"/>
          <w:color w:val="000000"/>
          <w:sz w:val="20"/>
        </w:rPr>
        <w:t xml:space="preserve"> (quoting </w:t>
      </w:r>
      <w:bookmarkStart w:id="1220" w:name="Bookmark_I682MR612SF8F40030000400"/>
      <w:bookmarkEnd w:id="1220"/>
      <w:r>
        <w:rPr>
          <w:rFonts w:ascii="Arial" w:eastAsia="Arial" w:hAnsi="Arial" w:cs="Arial"/>
          <w:i/>
          <w:color w:val="000000"/>
          <w:sz w:val="20"/>
        </w:rPr>
        <w:t>D'Ambrosio v. Marino</w:t>
      </w:r>
      <w:r>
        <w:rPr>
          <w:rFonts w:ascii="Arial" w:eastAsia="Arial" w:hAnsi="Arial" w:cs="Arial"/>
          <w:color w:val="000000"/>
          <w:sz w:val="20"/>
        </w:rPr>
        <w:t>, 747 F.3d 378, 383 (6th Cir. 2014)).</w:t>
      </w:r>
    </w:p>
    <w:p w:rsidR="00022B47" w:rsidRDefault="00000000">
      <w:pPr>
        <w:pStyle w:val="Normal7"/>
        <w:widowControl w:val="0"/>
        <w:spacing w:before="200" w:line="260" w:lineRule="atLeast"/>
        <w:jc w:val="both"/>
      </w:pPr>
      <w:bookmarkStart w:id="1221" w:name="Bookmark_para_20_6"/>
      <w:bookmarkEnd w:id="1221"/>
      <w:r>
        <w:rPr>
          <w:rFonts w:ascii="Arial" w:eastAsia="Arial" w:hAnsi="Arial" w:cs="Arial"/>
          <w:color w:val="000000"/>
          <w:sz w:val="20"/>
        </w:rPr>
        <w:t>The district court correctly determined that amendment would be futile because the proposed second amended complaint largely raised the same claims. Reinoehl's minor alterations—such as adding a claim under Title II of the ADA or referencing 21 U.S.C. § 360bbb-3(e)(1)(A)—do not save the complaint or raise new, viable claims for relief. Moreover, the district court determined that the eleventh-hour timing of Reinoehl's motion demonstrated undue delay because she waited until [*11]  long after the defendants had filed their motions to dismiss, as well as after the report and recommendation and objections to it had been filed. These claims were available to her from the time she filed her lawsuit, and mailing issues and a snowstorm do not explain this extended delay. The district court's denial of leave on this basis was not an abuse of discretion.</w:t>
      </w:r>
    </w:p>
    <w:p w:rsidR="00022B47" w:rsidRDefault="00000000">
      <w:pPr>
        <w:pStyle w:val="Normal7"/>
        <w:widowControl w:val="0"/>
        <w:spacing w:before="200" w:line="260" w:lineRule="atLeast"/>
        <w:jc w:val="both"/>
      </w:pPr>
      <w:bookmarkStart w:id="1222" w:name="Bookmark_para_21_6"/>
      <w:bookmarkEnd w:id="1222"/>
      <w:r>
        <w:rPr>
          <w:rFonts w:ascii="Arial" w:eastAsia="Arial" w:hAnsi="Arial" w:cs="Arial"/>
          <w:color w:val="000000"/>
          <w:sz w:val="20"/>
        </w:rPr>
        <w:t xml:space="preserve">For the foregoing reasons, we </w:t>
      </w:r>
      <w:r>
        <w:rPr>
          <w:rFonts w:ascii="Arial" w:eastAsia="Arial" w:hAnsi="Arial" w:cs="Arial"/>
          <w:b/>
          <w:color w:val="000000"/>
          <w:sz w:val="20"/>
        </w:rPr>
        <w:t>AFFIRM</w:t>
      </w:r>
      <w:r>
        <w:rPr>
          <w:rFonts w:ascii="Arial" w:eastAsia="Arial" w:hAnsi="Arial" w:cs="Arial"/>
          <w:color w:val="000000"/>
          <w:sz w:val="20"/>
        </w:rPr>
        <w:t xml:space="preserve"> the district court's judgment.</w:t>
      </w:r>
    </w:p>
    <w:p w:rsidR="00022B47" w:rsidRDefault="00022B47">
      <w:pPr>
        <w:pStyle w:val="Normal7"/>
      </w:pPr>
    </w:p>
    <w:p w:rsidR="00022B47" w:rsidRDefault="00000000">
      <w:pPr>
        <w:pStyle w:val="Normal7"/>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673600"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59580027"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8AB9D7" id="Line 17"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8"/>
        <w:sectPr w:rsidR="00022B47">
          <w:headerReference w:type="even" r:id="rId55"/>
          <w:headerReference w:type="default" r:id="rId56"/>
          <w:footerReference w:type="even" r:id="rId57"/>
          <w:footerReference w:type="default" r:id="rId58"/>
          <w:headerReference w:type="first" r:id="rId59"/>
          <w:footerReference w:type="first" r:id="rId60"/>
          <w:pgSz w:w="12240" w:h="15840"/>
          <w:pgMar w:top="840" w:right="1000" w:bottom="840" w:left="1000" w:header="400" w:footer="400" w:gutter="0"/>
          <w:cols w:space="720"/>
          <w:titlePg/>
        </w:sectPr>
      </w:pPr>
    </w:p>
    <w:p w:rsidR="00022B47" w:rsidRDefault="00022B47">
      <w:pPr>
        <w:pStyle w:val="Normal8"/>
      </w:pPr>
    </w:p>
    <w:p w:rsidR="00022B47" w:rsidRDefault="00000000">
      <w:pPr>
        <w:pStyle w:val="Heading17"/>
        <w:keepNext w:val="0"/>
        <w:widowControl w:val="0"/>
        <w:spacing w:after="200" w:line="340" w:lineRule="atLeast"/>
        <w:jc w:val="center"/>
      </w:pPr>
      <w:r>
        <w:rPr>
          <w:rFonts w:eastAsia="Arial"/>
          <w:color w:val="000000"/>
          <w:sz w:val="28"/>
        </w:rPr>
        <w:t>Clark v. La., Dep't of Pub. Safety</w:t>
      </w:r>
    </w:p>
    <w:p w:rsidR="00022B47" w:rsidRDefault="00000000">
      <w:pPr>
        <w:pStyle w:val="Normal8"/>
        <w:widowControl w:val="0"/>
        <w:spacing w:before="120" w:line="260" w:lineRule="atLeast"/>
        <w:jc w:val="center"/>
      </w:pPr>
      <w:r>
        <w:rPr>
          <w:rFonts w:ascii="Arial" w:eastAsia="Arial" w:hAnsi="Arial" w:cs="Arial"/>
          <w:color w:val="000000"/>
          <w:sz w:val="20"/>
        </w:rPr>
        <w:t>United States Court of Appeals for the Fifth Circuit</w:t>
      </w:r>
    </w:p>
    <w:p w:rsidR="00022B47" w:rsidRDefault="00000000">
      <w:pPr>
        <w:pStyle w:val="Normal8"/>
        <w:widowControl w:val="0"/>
        <w:spacing w:before="120" w:line="260" w:lineRule="atLeast"/>
        <w:jc w:val="center"/>
      </w:pPr>
      <w:r>
        <w:rPr>
          <w:rFonts w:ascii="Arial" w:eastAsia="Arial" w:hAnsi="Arial" w:cs="Arial"/>
          <w:color w:val="000000"/>
          <w:sz w:val="20"/>
        </w:rPr>
        <w:t>March 28, 2023, Filed</w:t>
      </w:r>
    </w:p>
    <w:p w:rsidR="00022B47" w:rsidRDefault="00000000">
      <w:pPr>
        <w:pStyle w:val="Normal8"/>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21-30709</w:t>
      </w:r>
    </w:p>
    <w:p w:rsidR="00022B47" w:rsidRDefault="00022B47">
      <w:pPr>
        <w:pStyle w:val="Normal8"/>
        <w:widowControl w:val="0"/>
        <w:spacing w:line="240" w:lineRule="atLeast"/>
        <w:jc w:val="both"/>
      </w:pPr>
      <w:bookmarkStart w:id="1223" w:name="Bookmark_9"/>
      <w:bookmarkEnd w:id="1223"/>
    </w:p>
    <w:p w:rsidR="00022B47" w:rsidRDefault="00000000">
      <w:pPr>
        <w:pStyle w:val="Normal8"/>
        <w:widowControl w:val="0"/>
        <w:spacing w:before="200" w:line="240" w:lineRule="atLeast"/>
      </w:pPr>
      <w:bookmarkStart w:id="1224" w:name="Reporter_7"/>
      <w:bookmarkEnd w:id="1224"/>
      <w:r>
        <w:rPr>
          <w:rFonts w:ascii="Arial" w:eastAsia="Arial" w:hAnsi="Arial" w:cs="Arial"/>
          <w:b/>
          <w:color w:val="000000"/>
          <w:sz w:val="18"/>
        </w:rPr>
        <w:t>Reporter</w:t>
      </w:r>
    </w:p>
    <w:p w:rsidR="00022B47" w:rsidRDefault="00000000">
      <w:pPr>
        <w:pStyle w:val="Normal8"/>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63 F.4th 466 *; 2023 U.S. App. LEXIS 7355 **</w:t>
      </w:r>
    </w:p>
    <w:p w:rsidR="00022B47" w:rsidRDefault="00000000">
      <w:pPr>
        <w:pStyle w:val="Normal8"/>
        <w:widowControl w:val="0"/>
        <w:spacing w:before="120" w:line="260" w:lineRule="atLeast"/>
      </w:pPr>
      <w:r>
        <w:rPr>
          <w:rFonts w:ascii="Arial" w:eastAsia="Arial" w:hAnsi="Arial" w:cs="Arial"/>
          <w:color w:val="000000"/>
          <w:sz w:val="20"/>
        </w:rPr>
        <w:t>CAROLYN CLARK, Plaintiff—Appellant, versus STATE OF LOUISIANA, DEPARTMENT OF PUBLIC SAFETY; CORRECTIONS, PUBLIC SAFETY SERVICES OFFICE OF MOTOR VEHICLES; JAMES M. LEBLANC, SECRETARY, DEPARTMENT OF PUBLIC SAFETY AND CORRECTIONS, IN HIS OFFICIAL CAPACITY AS SECRETARY, Defendants—Appellees.</w:t>
      </w:r>
    </w:p>
    <w:p w:rsidR="00022B47" w:rsidRDefault="00000000">
      <w:pPr>
        <w:pStyle w:val="Normal8"/>
        <w:widowControl w:val="0"/>
        <w:spacing w:before="240" w:line="260" w:lineRule="atLeast"/>
        <w:jc w:val="both"/>
      </w:pPr>
      <w:bookmarkStart w:id="1225" w:name="Prior_History_7"/>
      <w:bookmarkEnd w:id="1225"/>
      <w:r>
        <w:rPr>
          <w:rFonts w:ascii="Arial" w:eastAsia="Arial" w:hAnsi="Arial" w:cs="Arial"/>
          <w:b/>
          <w:color w:val="000000"/>
          <w:sz w:val="20"/>
        </w:rPr>
        <w:t>Prior History:</w:t>
      </w:r>
      <w:r>
        <w:rPr>
          <w:rFonts w:ascii="Arial" w:eastAsia="Arial" w:hAnsi="Arial" w:cs="Arial"/>
          <w:color w:val="000000"/>
          <w:sz w:val="20"/>
        </w:rPr>
        <w:t> </w:t>
      </w:r>
      <w:bookmarkStart w:id="1226" w:name="Bookmark_para_1_7"/>
      <w:bookmarkEnd w:id="1226"/>
      <w:r>
        <w:rPr>
          <w:rFonts w:ascii="Arial" w:eastAsia="Arial" w:hAnsi="Arial" w:cs="Arial"/>
          <w:color w:val="000000"/>
          <w:sz w:val="20"/>
        </w:rPr>
        <w:t> [**1] Appeal from the United States District Court For the Middle District of Louisiana. USDC No. 3:20-CV-11.</w:t>
      </w:r>
    </w:p>
    <w:p w:rsidR="00022B47" w:rsidRDefault="00000000">
      <w:pPr>
        <w:pStyle w:val="Normal8"/>
        <w:widowControl w:val="0"/>
        <w:spacing w:before="120" w:line="260" w:lineRule="atLeast"/>
      </w:pPr>
      <w:r>
        <w:rPr>
          <w:rFonts w:ascii="Arial" w:eastAsia="Arial" w:hAnsi="Arial" w:cs="Arial"/>
          <w:color w:val="000000"/>
          <w:sz w:val="20"/>
        </w:rPr>
        <w:t>Clark v. La. Dep't of Pub. Safety &amp; Corr., 2021 U.S. Dist. LEXIS 212330, 2021 WL 5097588 (M.D. La., Nov. 2, 2021)</w:t>
      </w:r>
    </w:p>
    <w:p w:rsidR="00022B47" w:rsidRDefault="00000000">
      <w:pPr>
        <w:pStyle w:val="Normal8"/>
        <w:widowControl w:val="0"/>
        <w:spacing w:before="240" w:line="260" w:lineRule="atLeast"/>
      </w:pPr>
      <w:bookmarkStart w:id="1227" w:name="Counsel_7"/>
      <w:bookmarkEnd w:id="1227"/>
      <w:r>
        <w:rPr>
          <w:rFonts w:ascii="Arial" w:eastAsia="Arial" w:hAnsi="Arial" w:cs="Arial"/>
          <w:b/>
          <w:color w:val="000000"/>
          <w:sz w:val="20"/>
        </w:rPr>
        <w:t>Counsel:</w:t>
      </w:r>
      <w:r>
        <w:rPr>
          <w:rFonts w:ascii="Arial" w:eastAsia="Arial" w:hAnsi="Arial" w:cs="Arial"/>
          <w:color w:val="000000"/>
          <w:sz w:val="20"/>
        </w:rPr>
        <w:t> For Carolyn Clark, Plaintiff - Appellant: Christopher F. Edmunds, Metairie, LA; Andrew D. Bizer, Garret Scott DeReus, Bizer &amp; DeReus, L.L.C., New Orleans, LA.</w:t>
      </w:r>
    </w:p>
    <w:p w:rsidR="00022B47" w:rsidRDefault="00000000">
      <w:pPr>
        <w:pStyle w:val="Normal8"/>
        <w:widowControl w:val="0"/>
        <w:spacing w:before="120" w:line="260" w:lineRule="atLeast"/>
      </w:pPr>
      <w:r>
        <w:rPr>
          <w:rFonts w:ascii="Arial" w:eastAsia="Arial" w:hAnsi="Arial" w:cs="Arial"/>
          <w:color w:val="000000"/>
          <w:sz w:val="20"/>
        </w:rPr>
        <w:t>For State of Louisiana, Department of Public Safety &amp; Corrections, Public Safety Services Office of Motor Vehicles, James M. LeBlanc, Secretary, Department of Public Safety and Corrections, in his official capacity as Secretary, Defendants - Appellees: Phyllis Esther Glazer, Louisiana Department of Justice, Office of the Attorney General, Baton Rouge, LA.</w:t>
      </w:r>
    </w:p>
    <w:p w:rsidR="00022B47" w:rsidRDefault="00000000">
      <w:pPr>
        <w:pStyle w:val="Normal8"/>
        <w:widowControl w:val="0"/>
        <w:spacing w:before="240" w:line="260" w:lineRule="atLeast"/>
      </w:pPr>
      <w:bookmarkStart w:id="1228" w:name="Judges_7"/>
      <w:bookmarkEnd w:id="1228"/>
      <w:r>
        <w:rPr>
          <w:rFonts w:ascii="Arial" w:eastAsia="Arial" w:hAnsi="Arial" w:cs="Arial"/>
          <w:b/>
          <w:color w:val="000000"/>
          <w:sz w:val="20"/>
        </w:rPr>
        <w:t>Judges:</w:t>
      </w:r>
      <w:r>
        <w:rPr>
          <w:rFonts w:ascii="Arial" w:eastAsia="Arial" w:hAnsi="Arial" w:cs="Arial"/>
          <w:color w:val="000000"/>
          <w:sz w:val="20"/>
        </w:rPr>
        <w:t> Before RICHMAN, Chief Judge, and HO and ENGELHARDT, Circuit Judges.</w:t>
      </w:r>
    </w:p>
    <w:p w:rsidR="00022B47" w:rsidRDefault="00000000">
      <w:pPr>
        <w:pStyle w:val="Normal8"/>
        <w:keepNext/>
        <w:widowControl w:val="0"/>
        <w:spacing w:before="240" w:line="340" w:lineRule="atLeast"/>
      </w:pPr>
      <w:bookmarkStart w:id="1229" w:name="Opinion_7"/>
      <w:bookmarkEnd w:id="1229"/>
      <w:r>
        <w:rPr>
          <w:rFonts w:ascii="Arial" w:eastAsia="Arial" w:hAnsi="Arial" w:cs="Arial"/>
          <w:b/>
          <w:color w:val="000000"/>
          <w:sz w:val="28"/>
        </w:rPr>
        <w:t>Opinion</w:t>
      </w:r>
    </w:p>
    <w:p w:rsidR="00022B47" w:rsidRDefault="0025213E">
      <w:pPr>
        <w:pStyle w:val="Normal8"/>
        <w:spacing w:line="60" w:lineRule="exact"/>
      </w:pPr>
      <w:r>
        <w:rPr>
          <w:noProof/>
        </w:rPr>
        <mc:AlternateContent>
          <mc:Choice Requires="wps">
            <w:drawing>
              <wp:anchor distT="0" distB="0" distL="114300" distR="114300" simplePos="0" relativeHeight="251674624"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10890747"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2888C6" id="Line 18"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8"/>
      </w:pPr>
    </w:p>
    <w:p w:rsidR="00022B47" w:rsidRDefault="00000000">
      <w:pPr>
        <w:pStyle w:val="Normal8"/>
        <w:widowControl w:val="0"/>
        <w:spacing w:before="200" w:line="260" w:lineRule="atLeast"/>
        <w:jc w:val="both"/>
      </w:pPr>
      <w:bookmarkStart w:id="1230" w:name="Bookmark_para_2_7"/>
      <w:bookmarkEnd w:id="1230"/>
      <w:r>
        <w:rPr>
          <w:rFonts w:ascii="Arial" w:eastAsia="Arial" w:hAnsi="Arial" w:cs="Arial"/>
          <w:color w:val="000000"/>
          <w:sz w:val="20"/>
        </w:rPr>
        <w:t xml:space="preserve"> [*467]  </w:t>
      </w:r>
      <w:r>
        <w:rPr>
          <w:rFonts w:ascii="Arial" w:eastAsia="Arial" w:hAnsi="Arial" w:cs="Arial"/>
          <w:smallCaps/>
          <w:color w:val="000000"/>
          <w:sz w:val="20"/>
        </w:rPr>
        <w:t>Per Curiam</w:t>
      </w:r>
      <w:r>
        <w:rPr>
          <w:rFonts w:ascii="Arial" w:eastAsia="Arial" w:hAnsi="Arial" w:cs="Arial"/>
          <w:color w:val="000000"/>
          <w:sz w:val="20"/>
        </w:rPr>
        <w:t>:</w:t>
      </w:r>
    </w:p>
    <w:p w:rsidR="00022B47" w:rsidRDefault="00000000">
      <w:pPr>
        <w:pStyle w:val="Normal8"/>
        <w:widowControl w:val="0"/>
        <w:spacing w:before="200" w:line="260" w:lineRule="atLeast"/>
        <w:jc w:val="both"/>
      </w:pPr>
      <w:bookmarkStart w:id="1231" w:name="Bookmark_para_3_7"/>
      <w:bookmarkEnd w:id="1231"/>
      <w:r>
        <w:rPr>
          <w:rFonts w:ascii="Arial" w:eastAsia="Arial" w:hAnsi="Arial" w:cs="Arial"/>
          <w:color w:val="000000"/>
          <w:sz w:val="20"/>
        </w:rPr>
        <w:t>Appellant Carolyn Clark suffers from a condition which causes her to faint from positional changes, particularly in hot  [*468]  weather. Because of her condition, Clark sometimes utilizes a wheelchair. She was doing so in September 2019 when she went to her local Office of Motor Vehicles (OMV) to have her address changed on her driver's license. Because Clark was in a wheelchair, OMV employees asked that Clark have her doctor fill out the entirety of a short medical form regarding possible conditions related [**2]  to her ability to drive. Clark took offense at being asked to fill out the form, and sued. The district court dismissed Clark's claim at the summary judgment stage. Finding no error, we affirm.</w:t>
      </w:r>
    </w:p>
    <w:p w:rsidR="00022B47" w:rsidRDefault="00000000">
      <w:pPr>
        <w:pStyle w:val="Normal8"/>
        <w:widowControl w:val="0"/>
        <w:spacing w:before="240" w:line="260" w:lineRule="atLeast"/>
      </w:pPr>
      <w:r>
        <w:br/>
      </w:r>
      <w:r>
        <w:rPr>
          <w:rFonts w:ascii="Arial" w:eastAsia="Arial" w:hAnsi="Arial" w:cs="Arial"/>
          <w:b/>
          <w:color w:val="000000"/>
          <w:sz w:val="20"/>
        </w:rPr>
        <w:t>I</w:t>
      </w:r>
    </w:p>
    <w:p w:rsidR="00022B47" w:rsidRDefault="00000000">
      <w:pPr>
        <w:pStyle w:val="Normal8"/>
        <w:widowControl w:val="0"/>
        <w:spacing w:before="200" w:line="260" w:lineRule="atLeast"/>
        <w:jc w:val="both"/>
      </w:pPr>
      <w:bookmarkStart w:id="1232" w:name="Bookmark_para_4_7"/>
      <w:bookmarkEnd w:id="1232"/>
      <w:r>
        <w:rPr>
          <w:rFonts w:ascii="Arial" w:eastAsia="Arial" w:hAnsi="Arial" w:cs="Arial"/>
          <w:color w:val="000000"/>
          <w:sz w:val="20"/>
        </w:rPr>
        <w:t>Appellant Carolyn Clark is a Louisiana citizen who suffers from a disability called postural orthostatic tachycardia syndrome, or "POTS." As Clark describes it, POTS is "a disorder of the autonomic nervous system," which affects blood flow and "leads to fainting" when Clark has a "positional change" such as "laying down, sitting up, sitting, and standing." Clark's symptoms are exacerbated in hot weather. Clark was initially diagnosed with POTS in 2016 when she moved to Louisiana. Because of her condition, Clark frequently uses a wheelchair.</w:t>
      </w:r>
    </w:p>
    <w:p w:rsidR="00022B47" w:rsidRDefault="00000000">
      <w:pPr>
        <w:pStyle w:val="Normal8"/>
        <w:widowControl w:val="0"/>
        <w:spacing w:before="200" w:line="260" w:lineRule="atLeast"/>
        <w:jc w:val="both"/>
      </w:pPr>
      <w:bookmarkStart w:id="1233" w:name="Bookmark_para_5_7"/>
      <w:bookmarkEnd w:id="1233"/>
      <w:r>
        <w:rPr>
          <w:rFonts w:ascii="Arial" w:eastAsia="Arial" w:hAnsi="Arial" w:cs="Arial"/>
          <w:color w:val="000000"/>
          <w:sz w:val="20"/>
        </w:rPr>
        <w:t>Clark obtained a Louisiana driver's license in 2016 when she moved to the state. In September 2019, Clark went to the OMV to obtain a new license after an address change. Clark was using her wheelchair. An OMV employee inquired about Clark's wheelchair, and specifically asked Clark if she had "hand controls." Clark, interpreting the employee to be asking whether she had dexterity in her hands, responded that she did have hand controls.</w:t>
      </w:r>
      <w:r>
        <w:rPr>
          <w:rFonts w:ascii="Arial" w:eastAsia="Arial" w:hAnsi="Arial" w:cs="Arial"/>
          <w:vertAlign w:val="superscript"/>
        </w:rPr>
        <w:footnoteReference w:customMarkFollows="1" w:id="26"/>
        <w:t>1</w:t>
      </w:r>
      <w:r>
        <w:rPr>
          <w:rFonts w:ascii="Arial" w:eastAsia="Arial" w:hAnsi="Arial" w:cs="Arial"/>
          <w:color w:val="000000"/>
          <w:sz w:val="20"/>
        </w:rPr>
        <w:t xml:space="preserve"> The employee then provided [**3]  Clark with a medical condition form. The employee told Clark to have her doctor fill out the form. In a section labeled "REMARKS (must indicate which sections are required to be filled out by the physician and the reason the form is being issued)" the OMV employee wrote "Customer is in a wheel chair."</w:t>
      </w:r>
    </w:p>
    <w:p w:rsidR="00022B47" w:rsidRDefault="00000000">
      <w:pPr>
        <w:pStyle w:val="Normal8"/>
        <w:widowControl w:val="0"/>
        <w:spacing w:before="200" w:line="260" w:lineRule="atLeast"/>
        <w:jc w:val="both"/>
      </w:pPr>
      <w:bookmarkStart w:id="1235" w:name="Bookmark_para_6_7"/>
      <w:bookmarkEnd w:id="1235"/>
      <w:r>
        <w:rPr>
          <w:rFonts w:ascii="Arial" w:eastAsia="Arial" w:hAnsi="Arial" w:cs="Arial"/>
          <w:color w:val="000000"/>
          <w:sz w:val="20"/>
        </w:rPr>
        <w:t>The form asks medical questions on multiple topics. Some of these questions directly related to Clark's POTS, such as "Does patient have any medical or physical disorders?" or "Does patient have dizziness?" Other questions were not directly relevant to POTS, including "Does patient have a history of diabetes?" The form states "NOTE TO APPLICANT: This medical examination form must be completed by your physician and returned to this office within 30 days from the 'DATE ISSUED' indicated below. Failure to comply will result in the suspension of your driving privileges." The form also advises the physician, among other things, "NOTE TO PHYSICIAN: . . . This form must be completed in its entirety by the physician and must reference any illness in the History section as well as why this form was issued. Incomplete forms may be rejected and could result in the denial of this applicant's driving [**4]  privileges."</w:t>
      </w:r>
    </w:p>
    <w:p w:rsidR="00022B47" w:rsidRDefault="00000000">
      <w:pPr>
        <w:pStyle w:val="Normal8"/>
        <w:widowControl w:val="0"/>
        <w:spacing w:before="200" w:line="260" w:lineRule="atLeast"/>
        <w:jc w:val="both"/>
      </w:pPr>
      <w:bookmarkStart w:id="1236" w:name="Bookmark_para_7_7"/>
      <w:bookmarkEnd w:id="1236"/>
      <w:r>
        <w:rPr>
          <w:rFonts w:ascii="Arial" w:eastAsia="Arial" w:hAnsi="Arial" w:cs="Arial"/>
          <w:color w:val="000000"/>
          <w:sz w:val="20"/>
        </w:rPr>
        <w:t>Clark was issued the form pursuant to OMV Policy 1.23.00. That policy states that "[w]hen the Department suspects a physical or mental infirmity or disability that would constitute grounds for refusal of a driver's license, the Department may conduct an investigation to determine whether the driving privileges should be suspended or denied." In the "procedure" section, the policy continues, "[a]t the discretion of the [OMV employee], a Medical/Vision Form  [*469]  (DPSMV2015) may be requested before issuance of a license." The policy requires that "[t]he medical examination form must have all sections that apply to the driver's condition completed in its entirety and address the medical concern(s) for which it was required." The policy also suggests, in contrast to the language on the form, that "the only portion that must be completed is the section regarding the applicant's condition in question. If it's mental then the other sections do not need to be completed, etc."</w:t>
      </w:r>
    </w:p>
    <w:p w:rsidR="00022B47" w:rsidRDefault="00000000">
      <w:pPr>
        <w:pStyle w:val="Normal8"/>
        <w:widowControl w:val="0"/>
        <w:spacing w:before="200" w:line="260" w:lineRule="atLeast"/>
        <w:jc w:val="both"/>
      </w:pPr>
      <w:bookmarkStart w:id="1237" w:name="Bookmark_para_8_7"/>
      <w:bookmarkEnd w:id="1237"/>
      <w:r>
        <w:rPr>
          <w:rFonts w:ascii="Arial" w:eastAsia="Arial" w:hAnsi="Arial" w:cs="Arial"/>
          <w:color w:val="000000"/>
          <w:sz w:val="20"/>
        </w:rPr>
        <w:t>Clark expressed outrage at being asked to fill out the form. She testified that she "was absolutely in shock at what the questions were" and that the request she fill out the form was "the most blatant discrimination [**5]  I've ever seen in my life." Clark later returned to the OMV with her boyfriend. At this point, Clark spoke with an employee who told Clark that "it's our policy to give [the form] to everybody with a wheelchair, crutches, or a cane." Clark asked the employee to "specify what part of the form [she] actually had to fill out" and the employee responded, "all of it." At this point, Clark objected, saying that "this doesn't make any sense" and "why would you even ask these questions" because "a lot of those questions are things that you couldn't even visibly see about somebody." Clark admits that "it was just kind of an argument and then it ended." She then, by her own characterization, "stormed out."</w:t>
      </w:r>
    </w:p>
    <w:p w:rsidR="00022B47" w:rsidRDefault="00000000">
      <w:pPr>
        <w:pStyle w:val="Normal8"/>
        <w:widowControl w:val="0"/>
        <w:spacing w:before="200" w:line="260" w:lineRule="atLeast"/>
        <w:jc w:val="both"/>
      </w:pPr>
      <w:bookmarkStart w:id="1238" w:name="Bookmark_para_9_7"/>
      <w:bookmarkEnd w:id="1238"/>
      <w:r>
        <w:rPr>
          <w:rFonts w:ascii="Arial" w:eastAsia="Arial" w:hAnsi="Arial" w:cs="Arial"/>
          <w:color w:val="000000"/>
          <w:sz w:val="20"/>
        </w:rPr>
        <w:t>Clark filed a complaint with the State Inspector General's Office, which responded that it had received the complaint and would look into it. Clark also attempted to get into contact with the OMV medical unit, but only got in touch the day she returned to the OMV with a completed form, and did not receive help from the medical unit.</w:t>
      </w:r>
    </w:p>
    <w:p w:rsidR="00022B47" w:rsidRDefault="00000000">
      <w:pPr>
        <w:pStyle w:val="Normal8"/>
        <w:widowControl w:val="0"/>
        <w:spacing w:before="200" w:line="260" w:lineRule="atLeast"/>
        <w:jc w:val="both"/>
      </w:pPr>
      <w:bookmarkStart w:id="1239" w:name="Bookmark_para_10_7"/>
      <w:bookmarkEnd w:id="1239"/>
      <w:r>
        <w:rPr>
          <w:rFonts w:ascii="Arial" w:eastAsia="Arial" w:hAnsi="Arial" w:cs="Arial"/>
          <w:color w:val="000000"/>
          <w:sz w:val="20"/>
        </w:rPr>
        <w:t>Despite her misgivings, Clark had her doctor fill out the medical examination form. The completed form was filled out in its entirety, noted Clark's POTS diagnosis, [**6]  wheelchair use, and dizziness, and stated the physician's opinion that it was safe for Clark to drive. After turning in the form, Clark was issued a renewed license.</w:t>
      </w:r>
    </w:p>
    <w:p w:rsidR="00022B47" w:rsidRDefault="00000000">
      <w:pPr>
        <w:pStyle w:val="Normal8"/>
        <w:widowControl w:val="0"/>
        <w:spacing w:before="200" w:line="260" w:lineRule="atLeast"/>
        <w:jc w:val="both"/>
      </w:pPr>
      <w:bookmarkStart w:id="1240" w:name="Bookmark_para_11_7"/>
      <w:bookmarkEnd w:id="1240"/>
      <w:r>
        <w:rPr>
          <w:rFonts w:ascii="Arial" w:eastAsia="Arial" w:hAnsi="Arial" w:cs="Arial"/>
          <w:color w:val="000000"/>
          <w:sz w:val="20"/>
        </w:rPr>
        <w:t>Clark later sued the State of Louisiana, the Department of Public Safety and Corrections, the Office of Motor Vehicles, and Secretary James LeBlanc, in his official capacity as Secretary of the Department of Public Safety and Corrections.</w:t>
      </w:r>
      <w:r>
        <w:rPr>
          <w:rFonts w:ascii="Arial" w:eastAsia="Arial" w:hAnsi="Arial" w:cs="Arial"/>
          <w:vertAlign w:val="superscript"/>
        </w:rPr>
        <w:footnoteReference w:customMarkFollows="1" w:id="27"/>
        <w:t>2</w:t>
      </w:r>
      <w:r>
        <w:rPr>
          <w:rFonts w:ascii="Arial" w:eastAsia="Arial" w:hAnsi="Arial" w:cs="Arial"/>
          <w:color w:val="000000"/>
          <w:sz w:val="20"/>
        </w:rPr>
        <w:t xml:space="preserve"> In her amended complaint, Clark claimed that OMV violated the ADA and the Rehabilitation Act by (1) determining that she required additional screening before renewing her license solely because she was in a wheelchair and (2) failing to offer her a reasonable accommodation. The State moved for summary judgment on Clark's claims, and the district court granted the motion. Clark appeals.</w:t>
      </w:r>
    </w:p>
    <w:p w:rsidR="00022B47" w:rsidRDefault="00000000">
      <w:pPr>
        <w:pStyle w:val="Normal8"/>
        <w:widowControl w:val="0"/>
        <w:spacing w:before="240" w:line="260" w:lineRule="atLeast"/>
      </w:pPr>
      <w:r>
        <w:br/>
      </w:r>
      <w:r>
        <w:rPr>
          <w:rFonts w:ascii="Arial" w:eastAsia="Arial" w:hAnsi="Arial" w:cs="Arial"/>
          <w:b/>
          <w:color w:val="000000"/>
          <w:sz w:val="20"/>
        </w:rPr>
        <w:t>II</w:t>
      </w:r>
    </w:p>
    <w:p w:rsidR="00022B47" w:rsidRDefault="00000000">
      <w:pPr>
        <w:pStyle w:val="Normal8"/>
        <w:widowControl w:val="0"/>
        <w:spacing w:before="200" w:line="260" w:lineRule="atLeast"/>
        <w:jc w:val="both"/>
      </w:pPr>
      <w:bookmarkStart w:id="1242" w:name="Bookmark_para_12_7"/>
      <w:bookmarkStart w:id="1243" w:name="Bookmark_I67X5B012HM6CF0020000400"/>
      <w:bookmarkStart w:id="1244" w:name="Bookmark_LNHNREFclscc1_6"/>
      <w:bookmarkEnd w:id="1242"/>
      <w:bookmarkEnd w:id="1243"/>
      <w:bookmarkEnd w:id="1244"/>
      <w:r>
        <w:rPr>
          <w:rFonts w:ascii="Arial" w:eastAsia="Arial" w:hAnsi="Arial" w:cs="Arial"/>
          <w:color w:val="000000"/>
          <w:sz w:val="20"/>
        </w:rPr>
        <w:t xml:space="preserve">This court reviews a grant of a motion for summary judgment de novo, and applies the same standard as the district court, viewing the evidence in the light most favorable to the nonmovant. </w:t>
      </w:r>
      <w:bookmarkStart w:id="1245" w:name="Bookmark_I67X5B012HM6CF0040000400"/>
      <w:bookmarkStart w:id="1246" w:name="Bookmark_I67X5B012HM6CF0010000400"/>
      <w:bookmarkEnd w:id="1245"/>
      <w:bookmarkEnd w:id="1246"/>
      <w:r>
        <w:rPr>
          <w:rFonts w:ascii="Arial" w:eastAsia="Arial" w:hAnsi="Arial" w:cs="Arial"/>
          <w:i/>
          <w:color w:val="000000"/>
          <w:sz w:val="20"/>
        </w:rPr>
        <w:t>First Am. Title Ins. Co. v. Cont'l Cas. Co.</w:t>
      </w:r>
      <w:r>
        <w:rPr>
          <w:rFonts w:ascii="Arial" w:eastAsia="Arial" w:hAnsi="Arial" w:cs="Arial"/>
          <w:color w:val="000000"/>
          <w:sz w:val="20"/>
        </w:rPr>
        <w:t xml:space="preserve">, 709 F.3d 1170, 1173 (5th Cir. 2013). Summary judgment is appropriate where "there is no genuine dispute as to any material fact and the movant is entitled to judgment as a matter of law." </w:t>
      </w:r>
      <w:r>
        <w:rPr>
          <w:rFonts w:ascii="Arial" w:eastAsia="Arial" w:hAnsi="Arial" w:cs="Arial"/>
          <w:smallCaps/>
          <w:color w:val="000000"/>
          <w:sz w:val="20"/>
        </w:rPr>
        <w:t>Fed. R. Civ. P.</w:t>
      </w:r>
      <w:r>
        <w:rPr>
          <w:rFonts w:ascii="Arial" w:eastAsia="Arial" w:hAnsi="Arial" w:cs="Arial"/>
          <w:color w:val="000000"/>
          <w:sz w:val="20"/>
        </w:rPr>
        <w:t xml:space="preserve"> 56(a). </w:t>
      </w:r>
      <w:bookmarkStart w:id="1247" w:name="Bookmark_I67X5B012HM6CF0040000400_2"/>
      <w:bookmarkEnd w:id="1247"/>
      <w:r>
        <w:rPr>
          <w:rFonts w:ascii="Arial" w:eastAsia="Arial" w:hAnsi="Arial" w:cs="Arial"/>
          <w:color w:val="000000"/>
          <w:sz w:val="20"/>
        </w:rPr>
        <w:t xml:space="preserve">"Courts do not disfavor summary judgment, but, rather, look upon [**7]  it as an important process through which parties  [*470]  can obtain a 'just, speedy and inexpensive determination of every action.'" </w:t>
      </w:r>
      <w:bookmarkStart w:id="1248" w:name="Bookmark_I67X5B012HM6CF0030000400"/>
      <w:bookmarkEnd w:id="1248"/>
      <w:r>
        <w:rPr>
          <w:rFonts w:ascii="Arial" w:eastAsia="Arial" w:hAnsi="Arial" w:cs="Arial"/>
          <w:i/>
          <w:color w:val="000000"/>
          <w:sz w:val="20"/>
        </w:rPr>
        <w:t>Goldring v. United States</w:t>
      </w:r>
      <w:r>
        <w:rPr>
          <w:rFonts w:ascii="Arial" w:eastAsia="Arial" w:hAnsi="Arial" w:cs="Arial"/>
          <w:color w:val="000000"/>
          <w:sz w:val="20"/>
        </w:rPr>
        <w:t xml:space="preserve">, 15 F.4th 639, 644 (5th Cir. 2021) (quoting </w:t>
      </w:r>
      <w:bookmarkStart w:id="1249" w:name="Bookmark_I67X5B012HM6CF0050000400"/>
      <w:bookmarkEnd w:id="1249"/>
      <w:r>
        <w:rPr>
          <w:rFonts w:ascii="Arial" w:eastAsia="Arial" w:hAnsi="Arial" w:cs="Arial"/>
          <w:i/>
          <w:color w:val="000000"/>
          <w:sz w:val="20"/>
        </w:rPr>
        <w:t>Celotex Corp. v. Catrett</w:t>
      </w:r>
      <w:r>
        <w:rPr>
          <w:rFonts w:ascii="Arial" w:eastAsia="Arial" w:hAnsi="Arial" w:cs="Arial"/>
          <w:color w:val="000000"/>
          <w:sz w:val="20"/>
        </w:rPr>
        <w:t xml:space="preserve">, 477 U.S. 317, 327, 106 S. Ct. 2548, 91 L. Ed. 2d 265 (1986)). A party that asserts that there is a genuine dispute as to any material fact must support its assertion by citing to particular parts of materials in the record. </w:t>
      </w:r>
      <w:r>
        <w:rPr>
          <w:rFonts w:ascii="Arial" w:eastAsia="Arial" w:hAnsi="Arial" w:cs="Arial"/>
          <w:smallCaps/>
          <w:color w:val="000000"/>
          <w:sz w:val="20"/>
        </w:rPr>
        <w:t>Fed. R. Civ. P.</w:t>
      </w:r>
      <w:r>
        <w:rPr>
          <w:rFonts w:ascii="Arial" w:eastAsia="Arial" w:hAnsi="Arial" w:cs="Arial"/>
          <w:color w:val="000000"/>
          <w:sz w:val="20"/>
        </w:rPr>
        <w:t xml:space="preserve"> 56(c)(1)(A).</w:t>
      </w:r>
    </w:p>
    <w:p w:rsidR="00022B47" w:rsidRDefault="00000000">
      <w:pPr>
        <w:pStyle w:val="Normal8"/>
        <w:widowControl w:val="0"/>
        <w:spacing w:before="240" w:line="260" w:lineRule="atLeast"/>
      </w:pPr>
      <w:r>
        <w:br/>
      </w:r>
      <w:r>
        <w:rPr>
          <w:rFonts w:ascii="Arial" w:eastAsia="Arial" w:hAnsi="Arial" w:cs="Arial"/>
          <w:b/>
          <w:color w:val="000000"/>
          <w:sz w:val="20"/>
        </w:rPr>
        <w:t>III</w:t>
      </w:r>
    </w:p>
    <w:p w:rsidR="00022B47" w:rsidRDefault="00000000">
      <w:pPr>
        <w:pStyle w:val="Normal8"/>
        <w:widowControl w:val="0"/>
        <w:spacing w:before="200" w:line="260" w:lineRule="atLeast"/>
        <w:jc w:val="both"/>
      </w:pPr>
      <w:bookmarkStart w:id="1250" w:name="Bookmark_para_13_7"/>
      <w:bookmarkStart w:id="1251" w:name="Bookmark_I67X5B022HM6CR0030000400"/>
      <w:bookmarkStart w:id="1252" w:name="Bookmark_LNHNREFclscc2_6"/>
      <w:bookmarkEnd w:id="1250"/>
      <w:bookmarkEnd w:id="1251"/>
      <w:bookmarkEnd w:id="1252"/>
      <w:r>
        <w:rPr>
          <w:rFonts w:ascii="Arial" w:eastAsia="Arial" w:hAnsi="Arial" w:cs="Arial"/>
          <w:color w:val="000000"/>
          <w:sz w:val="20"/>
        </w:rPr>
        <w:t xml:space="preserve">Clark's claims arise under Title II of the ADA and Section 504 of the Rehabilitation Act. "The ADA is a broad mandate of comprehensive character and sweeping purpose intended to eliminate discrimination against disabled individuals and to integrate them into the economic and social mainstream of American life." </w:t>
      </w:r>
      <w:bookmarkStart w:id="1253" w:name="Bookmark_I67X5B022HM6CR0020000400"/>
      <w:bookmarkEnd w:id="1253"/>
      <w:r>
        <w:rPr>
          <w:rFonts w:ascii="Arial" w:eastAsia="Arial" w:hAnsi="Arial" w:cs="Arial"/>
          <w:i/>
          <w:color w:val="000000"/>
          <w:sz w:val="20"/>
        </w:rPr>
        <w:t>Frame v. City of Arlington</w:t>
      </w:r>
      <w:r>
        <w:rPr>
          <w:rFonts w:ascii="Arial" w:eastAsia="Arial" w:hAnsi="Arial" w:cs="Arial"/>
          <w:color w:val="000000"/>
          <w:sz w:val="20"/>
        </w:rPr>
        <w:t xml:space="preserve">, 657 F.3d 215, 223 (5th Cir. 2011) (citation and quotation marks omitted). The focus of Title II of the ADA is the provision of public services. Title II provides that "no qualified individual with a disability shall, by reason of such disability, be excluded from participation in or be denied the benefits of the services, programs, or activities of a public entity, or be subjected to discrimination by any such entity." 42 U.S.C. § 12132. </w:t>
      </w:r>
      <w:bookmarkStart w:id="1254" w:name="Bookmark_I67X5B022HM6CR0050000400"/>
      <w:bookmarkEnd w:id="1254"/>
      <w:r>
        <w:rPr>
          <w:rFonts w:ascii="Arial" w:eastAsia="Arial" w:hAnsi="Arial" w:cs="Arial"/>
          <w:color w:val="000000"/>
          <w:sz w:val="20"/>
        </w:rPr>
        <w:t xml:space="preserve">Likewise, Section 504 of the Rehabilitation Act prohibits disability discrimination by recipients of federal funding. </w:t>
      </w:r>
      <w:bookmarkStart w:id="1255" w:name="Bookmark_I67X5B0228T4HY0020000400"/>
      <w:bookmarkStart w:id="1256" w:name="Bookmark_I67X5B0228T4HY0040000400"/>
      <w:bookmarkEnd w:id="1255"/>
      <w:bookmarkEnd w:id="1256"/>
      <w:r>
        <w:rPr>
          <w:rFonts w:ascii="Arial" w:eastAsia="Arial" w:hAnsi="Arial" w:cs="Arial"/>
          <w:color w:val="000000"/>
          <w:sz w:val="20"/>
        </w:rPr>
        <w:t xml:space="preserve">Section 504 provides that no qualified individual with a disability "shall, solely by reason of her or his disability, be excluded from the participation in, be denied the benefits [**8]  of, or be subjected to discrimination under any program or activity receiving Federal financial assistance." 29 U.S.C. § 794(a). "The ADA and Rehabilitation Act generally are interpreted </w:t>
      </w:r>
      <w:r>
        <w:rPr>
          <w:rFonts w:ascii="Arial" w:eastAsia="Arial" w:hAnsi="Arial" w:cs="Arial"/>
          <w:i/>
          <w:color w:val="000000"/>
          <w:sz w:val="20"/>
        </w:rPr>
        <w:t>in pari materia</w:t>
      </w:r>
      <w:r>
        <w:rPr>
          <w:rFonts w:ascii="Arial" w:eastAsia="Arial" w:hAnsi="Arial" w:cs="Arial"/>
          <w:color w:val="000000"/>
          <w:sz w:val="20"/>
        </w:rPr>
        <w:t xml:space="preserve">." </w:t>
      </w:r>
      <w:bookmarkStart w:id="1257" w:name="Bookmark_I67X5B022HM6CR0040000400"/>
      <w:bookmarkEnd w:id="1257"/>
      <w:r>
        <w:rPr>
          <w:rFonts w:ascii="Arial" w:eastAsia="Arial" w:hAnsi="Arial" w:cs="Arial"/>
          <w:i/>
          <w:color w:val="000000"/>
          <w:sz w:val="20"/>
        </w:rPr>
        <w:t>Frame</w:t>
      </w:r>
      <w:r>
        <w:rPr>
          <w:rFonts w:ascii="Arial" w:eastAsia="Arial" w:hAnsi="Arial" w:cs="Arial"/>
          <w:color w:val="000000"/>
          <w:sz w:val="20"/>
        </w:rPr>
        <w:t xml:space="preserve">, 657 F.3d at 223. </w:t>
      </w:r>
      <w:bookmarkStart w:id="1258" w:name="Bookmark_I67X5B0228T4HY0040000400_2"/>
      <w:bookmarkStart w:id="1259" w:name="Bookmark_I67X5B0228T4HY0020000400_2"/>
      <w:bookmarkEnd w:id="1258"/>
      <w:bookmarkEnd w:id="1259"/>
      <w:r>
        <w:rPr>
          <w:rFonts w:ascii="Arial" w:eastAsia="Arial" w:hAnsi="Arial" w:cs="Arial"/>
          <w:color w:val="000000"/>
          <w:sz w:val="20"/>
        </w:rPr>
        <w:t>Accordingly, although we focus on Title II of the ADA, the analysis applies to both statutes.</w:t>
      </w:r>
      <w:r>
        <w:rPr>
          <w:rFonts w:ascii="Arial" w:eastAsia="Arial" w:hAnsi="Arial" w:cs="Arial"/>
          <w:vertAlign w:val="superscript"/>
        </w:rPr>
        <w:footnoteReference w:customMarkFollows="1" w:id="28"/>
        <w:t>3</w:t>
      </w:r>
      <w:bookmarkStart w:id="1262" w:name="Bookmark_I67X5B0228T4HY0010000400"/>
      <w:bookmarkEnd w:id="1262"/>
      <w:r>
        <w:rPr>
          <w:rFonts w:ascii="Arial" w:eastAsia="Arial" w:hAnsi="Arial" w:cs="Arial"/>
          <w:i/>
          <w:color w:val="000000"/>
          <w:sz w:val="20"/>
        </w:rPr>
        <w:t>Id.</w:t>
      </w:r>
      <w:r>
        <w:rPr>
          <w:rFonts w:ascii="Arial" w:eastAsia="Arial" w:hAnsi="Arial" w:cs="Arial"/>
          <w:color w:val="000000"/>
          <w:sz w:val="20"/>
        </w:rPr>
        <w:t xml:space="preserve"> at 223-24.</w:t>
      </w:r>
    </w:p>
    <w:p w:rsidR="00022B47" w:rsidRDefault="00000000">
      <w:pPr>
        <w:pStyle w:val="Normal8"/>
        <w:widowControl w:val="0"/>
        <w:spacing w:before="200" w:line="260" w:lineRule="atLeast"/>
        <w:jc w:val="both"/>
      </w:pPr>
      <w:bookmarkStart w:id="1263" w:name="Bookmark_para_14_7"/>
      <w:bookmarkStart w:id="1264" w:name="Bookmark_I67X5B0328T4J10010000400"/>
      <w:bookmarkEnd w:id="1263"/>
      <w:bookmarkEnd w:id="1264"/>
      <w:r>
        <w:rPr>
          <w:rFonts w:ascii="Arial" w:eastAsia="Arial" w:hAnsi="Arial" w:cs="Arial"/>
          <w:color w:val="000000"/>
          <w:sz w:val="20"/>
        </w:rPr>
        <w:t xml:space="preserve">Clark first claims that the OMV violated the ADA and Rehabilitation Act by "commit[ing] disparate-treatment discrimination because it treats wheelchair users less favorably on the basis of their disability." </w:t>
      </w:r>
      <w:bookmarkStart w:id="1265" w:name="Bookmark_LNHNREFclscc3_6"/>
      <w:bookmarkEnd w:id="1265"/>
      <w:r>
        <w:rPr>
          <w:rFonts w:ascii="Arial" w:eastAsia="Arial" w:hAnsi="Arial" w:cs="Arial"/>
          <w:color w:val="000000"/>
          <w:sz w:val="20"/>
        </w:rPr>
        <w:t xml:space="preserve">Generally, "[t]o establish a prima facie case of discrimination under the ADA, a plaintiff must demonstrate: (1) that he is a qualified individual within the meaning of the ADA; (2) that he is being excluded from participation in, or being denied benefits of, services, programs, or activities for which the public entity is responsible, or is otherwise being discriminated against by the public entity; and (3) that such exclusion, denial of benefits, or discrimination is by reason of his disability." </w:t>
      </w:r>
      <w:bookmarkStart w:id="1266" w:name="Bookmark_I67X5B0228T4HY0050000400"/>
      <w:bookmarkEnd w:id="1266"/>
      <w:r>
        <w:rPr>
          <w:rFonts w:ascii="Arial" w:eastAsia="Arial" w:hAnsi="Arial" w:cs="Arial"/>
          <w:i/>
          <w:color w:val="000000"/>
          <w:sz w:val="20"/>
        </w:rPr>
        <w:t>Melton v. Dallas Area Rapid Transit</w:t>
      </w:r>
      <w:r>
        <w:rPr>
          <w:rFonts w:ascii="Arial" w:eastAsia="Arial" w:hAnsi="Arial" w:cs="Arial"/>
          <w:color w:val="000000"/>
          <w:sz w:val="20"/>
        </w:rPr>
        <w:t>, 391 F.3d 669, 671-72 (5th Cir. 2004).</w:t>
      </w:r>
    </w:p>
    <w:p w:rsidR="00022B47" w:rsidRDefault="00000000">
      <w:pPr>
        <w:pStyle w:val="Normal8"/>
        <w:widowControl w:val="0"/>
        <w:spacing w:before="200" w:line="260" w:lineRule="atLeast"/>
        <w:jc w:val="both"/>
      </w:pPr>
      <w:bookmarkStart w:id="1267" w:name="Bookmark_para_15_7"/>
      <w:bookmarkEnd w:id="1267"/>
      <w:r>
        <w:rPr>
          <w:rFonts w:ascii="Arial" w:eastAsia="Arial" w:hAnsi="Arial" w:cs="Arial"/>
          <w:color w:val="000000"/>
          <w:sz w:val="20"/>
        </w:rPr>
        <w:t>The parties cite various regulations which they agree govern Clark's claims. The most pertinent of these regulations provides, "A public entity may impose legitimate safety requirements necessary for the [**9]  safe operation of its services, programs, or activities. However, the public entity must ensure that its safety requirements are based on actual risks, not on mere speculation, stereotypes, or generalizations about individuals with disabilities." 28 C.F.R. § 35.130(h). On these facts, this regulation is dispositive.</w:t>
      </w:r>
      <w:r>
        <w:rPr>
          <w:rFonts w:ascii="Arial" w:eastAsia="Arial" w:hAnsi="Arial" w:cs="Arial"/>
          <w:vertAlign w:val="superscript"/>
        </w:rPr>
        <w:footnoteReference w:customMarkFollows="1" w:id="29"/>
        <w:t>4</w:t>
      </w:r>
    </w:p>
    <w:p w:rsidR="00022B47" w:rsidRDefault="00000000">
      <w:pPr>
        <w:pStyle w:val="Normal8"/>
        <w:widowControl w:val="0"/>
        <w:spacing w:before="200" w:line="260" w:lineRule="atLeast"/>
        <w:jc w:val="both"/>
      </w:pPr>
      <w:bookmarkStart w:id="1271" w:name="Bookmark_para_16_7"/>
      <w:bookmarkStart w:id="1272" w:name="Bookmark_I67X5B0328T4J10050000400"/>
      <w:bookmarkEnd w:id="1271"/>
      <w:bookmarkEnd w:id="1272"/>
      <w:r>
        <w:rPr>
          <w:rFonts w:ascii="Arial" w:eastAsia="Arial" w:hAnsi="Arial" w:cs="Arial"/>
          <w:color w:val="000000"/>
          <w:sz w:val="20"/>
        </w:rPr>
        <w:t xml:space="preserve"> [*471]  To the extent that Clark argues that she was subjected to disparate treatment because she experienced individualized questioning due to her wheelchair use, that claim plainly fails. </w:t>
      </w:r>
      <w:bookmarkStart w:id="1273" w:name="Bookmark_LNHNREFclscc4_6"/>
      <w:bookmarkEnd w:id="1273"/>
      <w:r>
        <w:rPr>
          <w:rFonts w:ascii="Arial" w:eastAsia="Arial" w:hAnsi="Arial" w:cs="Arial"/>
          <w:color w:val="000000"/>
          <w:sz w:val="20"/>
        </w:rPr>
        <w:t xml:space="preserve">Ascertaining that an individual with an apparent disability is capable of driving before issuing a license is a legitimate safety requirement. Indeed, in an analogous case where a plaintiff challenged nearly identical requirements, we held that Louisiana's additional screening for those with a disability was "not motivated, even in part, by its desire to discriminate" but rather "by a desire to protect the public on the state's highways." </w:t>
      </w:r>
      <w:bookmarkStart w:id="1274" w:name="Bookmark_I67X5B0328T4J10040000400"/>
      <w:bookmarkEnd w:id="1274"/>
      <w:r>
        <w:rPr>
          <w:rFonts w:ascii="Arial" w:eastAsia="Arial" w:hAnsi="Arial" w:cs="Arial"/>
          <w:i/>
          <w:color w:val="000000"/>
          <w:sz w:val="20"/>
        </w:rPr>
        <w:t>Coolbaugh v. Louisiana ex rel. La. Dep't of Pub. Safety &amp; Corr. ex rel. La. Dep't of Motor Vehicles</w:t>
      </w:r>
      <w:r>
        <w:rPr>
          <w:rFonts w:ascii="Arial" w:eastAsia="Arial" w:hAnsi="Arial" w:cs="Arial"/>
          <w:color w:val="000000"/>
          <w:sz w:val="20"/>
        </w:rPr>
        <w:t>, 136 F.3d 430, 439 (5th Cir. 1998). At oral argument, counsel for Clark recognized it was legal for OMV employees to inquire into her ability to drive.</w:t>
      </w:r>
    </w:p>
    <w:p w:rsidR="00022B47" w:rsidRDefault="00000000">
      <w:pPr>
        <w:pStyle w:val="Normal8"/>
        <w:widowControl w:val="0"/>
        <w:spacing w:before="200" w:line="260" w:lineRule="atLeast"/>
        <w:jc w:val="both"/>
      </w:pPr>
      <w:bookmarkStart w:id="1275" w:name="Bookmark_para_17_7"/>
      <w:bookmarkEnd w:id="1275"/>
      <w:r>
        <w:rPr>
          <w:rFonts w:ascii="Arial" w:eastAsia="Arial" w:hAnsi="Arial" w:cs="Arial"/>
          <w:color w:val="000000"/>
          <w:sz w:val="20"/>
        </w:rPr>
        <w:t>Moreover, Clark admitted at oral argument that further inquiry into Clark's ability to drive based on wheelchair use was not based on "mere speculation, stereotypes, [**10]  or generalizations" about people in wheelchairs. Counsel for Clark conceded that "of course, people who have wheelchairs, are in the run of cases, going to have certain conditions that may affect their ability to drive." And Clark's opening brief acknowledged that "[m]any wheelchair users will, of course, have conditions that affect their ability to drive." These concessions doom her disparate-treatment claim.</w:t>
      </w:r>
    </w:p>
    <w:p w:rsidR="00022B47" w:rsidRDefault="00000000">
      <w:pPr>
        <w:pStyle w:val="Normal8"/>
        <w:widowControl w:val="0"/>
        <w:spacing w:before="200" w:line="260" w:lineRule="atLeast"/>
        <w:jc w:val="both"/>
      </w:pPr>
      <w:bookmarkStart w:id="1276" w:name="Bookmark_para_18_7"/>
      <w:bookmarkEnd w:id="1276"/>
      <w:r>
        <w:rPr>
          <w:rFonts w:ascii="Arial" w:eastAsia="Arial" w:hAnsi="Arial" w:cs="Arial"/>
          <w:color w:val="000000"/>
          <w:sz w:val="20"/>
        </w:rPr>
        <w:t>To the extent that Clark's gripe is not that she was singled out for additional screening based on her wheelchair use, but rather the extent of the questioning she was subject to, that claim is opaquely briefed.</w:t>
      </w:r>
      <w:r>
        <w:rPr>
          <w:rFonts w:ascii="Arial" w:eastAsia="Arial" w:hAnsi="Arial" w:cs="Arial"/>
          <w:vertAlign w:val="superscript"/>
        </w:rPr>
        <w:footnoteReference w:customMarkFollows="1" w:id="30"/>
        <w:t>5</w:t>
      </w:r>
      <w:r>
        <w:rPr>
          <w:rFonts w:ascii="Arial" w:eastAsia="Arial" w:hAnsi="Arial" w:cs="Arial"/>
          <w:color w:val="000000"/>
          <w:sz w:val="20"/>
        </w:rPr>
        <w:t xml:space="preserve"> But at any rate, it also fails. </w:t>
      </w:r>
      <w:bookmarkStart w:id="1278" w:name="Bookmark_I67X5B032D6NDW0020000400"/>
      <w:bookmarkEnd w:id="1278"/>
      <w:r>
        <w:rPr>
          <w:rFonts w:ascii="Arial" w:eastAsia="Arial" w:hAnsi="Arial" w:cs="Arial"/>
          <w:color w:val="000000"/>
          <w:sz w:val="20"/>
        </w:rPr>
        <w:t xml:space="preserve">It is not incumbent on OMV employees—who have no medical training—to specify which portions of a short medical form that a person displaying a disability must fill out. Further, the fact that some of the questions on the brief medical form did not directly relate to Clark's personal disability does not delegitimize what we have already recognized as a legitimate safety requirement. The policy the State has put in place here is sufficiently narrowly-tailored to ensure safety on the roads without putting an undue burden on the State or the [**11]  applicant. </w:t>
      </w:r>
      <w:r>
        <w:rPr>
          <w:rFonts w:ascii="Arial" w:eastAsia="Arial" w:hAnsi="Arial" w:cs="Arial"/>
          <w:i/>
          <w:color w:val="000000"/>
          <w:sz w:val="20"/>
        </w:rPr>
        <w:t xml:space="preserve">Cf. </w:t>
      </w:r>
      <w:bookmarkStart w:id="1279" w:name="Bookmark_I67X5B032D6NDW0010000400"/>
      <w:bookmarkEnd w:id="1279"/>
      <w:r>
        <w:rPr>
          <w:rFonts w:ascii="Arial" w:eastAsia="Arial" w:hAnsi="Arial" w:cs="Arial"/>
          <w:i/>
          <w:color w:val="000000"/>
          <w:sz w:val="20"/>
        </w:rPr>
        <w:t>Theriault v. Flynn</w:t>
      </w:r>
      <w:r>
        <w:rPr>
          <w:rFonts w:ascii="Arial" w:eastAsia="Arial" w:hAnsi="Arial" w:cs="Arial"/>
          <w:color w:val="000000"/>
          <w:sz w:val="20"/>
        </w:rPr>
        <w:t>, 162 F.3d 46, 50 (1st Cir. 1998) (emphasizing that the use of a "relatively non-burdensome procedure, properly based on criteria tailored to the ability to drive safely, was a lawful method" for determining whether to issue a license).</w:t>
      </w:r>
    </w:p>
    <w:p w:rsidR="00022B47" w:rsidRDefault="00000000">
      <w:pPr>
        <w:pStyle w:val="Normal8"/>
        <w:widowControl w:val="0"/>
        <w:spacing w:before="200" w:line="260" w:lineRule="atLeast"/>
        <w:jc w:val="both"/>
      </w:pPr>
      <w:bookmarkStart w:id="1280" w:name="Bookmark_para_19_7"/>
      <w:bookmarkEnd w:id="1280"/>
      <w:r>
        <w:rPr>
          <w:rFonts w:ascii="Arial" w:eastAsia="Arial" w:hAnsi="Arial" w:cs="Arial"/>
          <w:color w:val="000000"/>
          <w:sz w:val="20"/>
        </w:rPr>
        <w:t>Clark also evokes a parade of horribles, arguing that were the Court to rule in the State's favor, "there would be no limit on the amount of information the OMV could demand of wheelchair users," and the wheelchair-bound may soon find themselves subject to a "blood-oxygen test" or a "neurological evaluation." Not so. Our holding today—that asking Clark to have her physician fill out a less-than-three-page form related to conditions that may affect driving is a "legitimate safety requirement necessary for the safe operation" of a government service—addresses only the narrow facts before us in this appeal, and stands for nothing broader.</w:t>
      </w:r>
    </w:p>
    <w:p w:rsidR="00022B47" w:rsidRDefault="00000000">
      <w:pPr>
        <w:pStyle w:val="Normal8"/>
        <w:widowControl w:val="0"/>
        <w:spacing w:before="200" w:line="260" w:lineRule="atLeast"/>
        <w:jc w:val="both"/>
      </w:pPr>
      <w:bookmarkStart w:id="1281" w:name="Bookmark_para_20_7"/>
      <w:bookmarkStart w:id="1282" w:name="Bookmark_I67X5B032D6NDW0040000400"/>
      <w:bookmarkStart w:id="1283" w:name="Bookmark_I67X5B032N1R8G0010000400"/>
      <w:bookmarkEnd w:id="1281"/>
      <w:bookmarkEnd w:id="1282"/>
      <w:bookmarkEnd w:id="1283"/>
      <w:r>
        <w:rPr>
          <w:rFonts w:ascii="Arial" w:eastAsia="Arial" w:hAnsi="Arial" w:cs="Arial"/>
          <w:color w:val="000000"/>
          <w:sz w:val="20"/>
        </w:rPr>
        <w:t>Clark also brings a claim which she characterizes as a reasonable accommodation  [*472]  claim.</w:t>
      </w:r>
      <w:r>
        <w:rPr>
          <w:rFonts w:ascii="Arial" w:eastAsia="Arial" w:hAnsi="Arial" w:cs="Arial"/>
          <w:vertAlign w:val="superscript"/>
        </w:rPr>
        <w:footnoteReference w:customMarkFollows="1" w:id="31"/>
        <w:t>6</w:t>
      </w:r>
      <w:r>
        <w:rPr>
          <w:rFonts w:ascii="Arial" w:eastAsia="Arial" w:hAnsi="Arial" w:cs="Arial"/>
          <w:color w:val="000000"/>
          <w:sz w:val="20"/>
        </w:rPr>
        <w:t xml:space="preserve"> In her briefing, Clark asserts that the State failed to provide her a reasonable accommodation by not allowing her to complete only the portions of the form she reviewed as pertinent to her disability and ability to drive. </w:t>
      </w:r>
      <w:bookmarkStart w:id="1287" w:name="Bookmark_LNHNREFclscc5_6"/>
      <w:bookmarkEnd w:id="1287"/>
      <w:r>
        <w:rPr>
          <w:rFonts w:ascii="Arial" w:eastAsia="Arial" w:hAnsi="Arial" w:cs="Arial"/>
          <w:color w:val="000000"/>
          <w:sz w:val="20"/>
        </w:rPr>
        <w:t xml:space="preserve">"[O]ur cases recognize that a [**12]  public entity's failure reasonably to accommodate the known limitations of persons with disabilities can also constitute disability discrimination under Title II." </w:t>
      </w:r>
      <w:bookmarkStart w:id="1288" w:name="Bookmark_I67X5B032D6NDW0030000400"/>
      <w:bookmarkEnd w:id="1288"/>
      <w:r>
        <w:rPr>
          <w:rFonts w:ascii="Arial" w:eastAsia="Arial" w:hAnsi="Arial" w:cs="Arial"/>
          <w:i/>
          <w:color w:val="000000"/>
          <w:sz w:val="20"/>
        </w:rPr>
        <w:t>Windham v. Harris Cnty.</w:t>
      </w:r>
      <w:r>
        <w:rPr>
          <w:rFonts w:ascii="Arial" w:eastAsia="Arial" w:hAnsi="Arial" w:cs="Arial"/>
          <w:color w:val="000000"/>
          <w:sz w:val="20"/>
        </w:rPr>
        <w:t xml:space="preserve">, 875 F.3d 229, 235 (5th Cir. 2017). "Title II 'does not require States to compromise their essential eligibility criteria for public programs'—'it requires only reasonable modifications,' and 'only when the individual seeking modification is otherwise eligible for the service.'" </w:t>
      </w:r>
      <w:bookmarkStart w:id="1289" w:name="Bookmark_I67X5B032D6NDW0050000400"/>
      <w:bookmarkEnd w:id="1289"/>
      <w:r>
        <w:rPr>
          <w:rFonts w:ascii="Arial" w:eastAsia="Arial" w:hAnsi="Arial" w:cs="Arial"/>
          <w:i/>
          <w:color w:val="000000"/>
          <w:sz w:val="20"/>
        </w:rPr>
        <w:t>Block v. Tex. Bd. of Law Exam'rs</w:t>
      </w:r>
      <w:r>
        <w:rPr>
          <w:rFonts w:ascii="Arial" w:eastAsia="Arial" w:hAnsi="Arial" w:cs="Arial"/>
          <w:color w:val="000000"/>
          <w:sz w:val="20"/>
        </w:rPr>
        <w:t xml:space="preserve">, 952 F.3d 613, 618 (5th Cir. 2020) (quoting </w:t>
      </w:r>
      <w:bookmarkStart w:id="1290" w:name="Bookmark_I67X5B032N1R8G0020000400"/>
      <w:bookmarkEnd w:id="1290"/>
      <w:r>
        <w:rPr>
          <w:rFonts w:ascii="Arial" w:eastAsia="Arial" w:hAnsi="Arial" w:cs="Arial"/>
          <w:i/>
          <w:color w:val="000000"/>
          <w:sz w:val="20"/>
        </w:rPr>
        <w:t>Tennessee v. Lane</w:t>
      </w:r>
      <w:r>
        <w:rPr>
          <w:rFonts w:ascii="Arial" w:eastAsia="Arial" w:hAnsi="Arial" w:cs="Arial"/>
          <w:color w:val="000000"/>
          <w:sz w:val="20"/>
        </w:rPr>
        <w:t>, 541 U.S. 509, 532, 124 S. Ct. 1978, 158 L. Ed. 2d 820 (2004) (alteration omitted)). Again, regulations inform the analysis here. They provide, "A public entity shall make reasonable modifications in policies, practices, or procedures when the modifications are necessary to avoid discrimination on the basis of disability." 28 C.F.R. § 35.130(b)(7)(i).</w:t>
      </w:r>
    </w:p>
    <w:p w:rsidR="00022B47" w:rsidRDefault="00000000">
      <w:pPr>
        <w:pStyle w:val="Normal8"/>
        <w:widowControl w:val="0"/>
        <w:spacing w:before="200" w:line="260" w:lineRule="atLeast"/>
        <w:jc w:val="both"/>
      </w:pPr>
      <w:bookmarkStart w:id="1291" w:name="Bookmark_para_21_7"/>
      <w:bookmarkStart w:id="1292" w:name="Bookmark_I67X5B042N1R8R0020000400"/>
      <w:bookmarkEnd w:id="1291"/>
      <w:bookmarkEnd w:id="1292"/>
      <w:r>
        <w:rPr>
          <w:rFonts w:ascii="Arial" w:eastAsia="Arial" w:hAnsi="Arial" w:cs="Arial"/>
          <w:color w:val="000000"/>
          <w:sz w:val="20"/>
        </w:rPr>
        <w:t xml:space="preserve">As an initial matter, Clark's claim does not fit well within our ADA case law. </w:t>
      </w:r>
      <w:bookmarkStart w:id="1293" w:name="Bookmark_LNHNREFclscc6_6"/>
      <w:bookmarkEnd w:id="1293"/>
      <w:r>
        <w:rPr>
          <w:rFonts w:ascii="Arial" w:eastAsia="Arial" w:hAnsi="Arial" w:cs="Arial"/>
          <w:color w:val="000000"/>
          <w:sz w:val="20"/>
        </w:rPr>
        <w:t xml:space="preserve">Reasonable accommodations are generally designed to avoid effects that stem directly from one's disability. Put another way, the OMV was not failing to accommodate the "known limitations" of Clark, because her disability did not prevent her from filling out the form. </w:t>
      </w:r>
      <w:bookmarkStart w:id="1294" w:name="Bookmark_I67X5B042N1R8R0010000400"/>
      <w:bookmarkEnd w:id="1294"/>
      <w:r>
        <w:rPr>
          <w:rFonts w:ascii="Arial" w:eastAsia="Arial" w:hAnsi="Arial" w:cs="Arial"/>
          <w:i/>
          <w:color w:val="000000"/>
          <w:sz w:val="20"/>
        </w:rPr>
        <w:t>Windham</w:t>
      </w:r>
      <w:r>
        <w:rPr>
          <w:rFonts w:ascii="Arial" w:eastAsia="Arial" w:hAnsi="Arial" w:cs="Arial"/>
          <w:color w:val="000000"/>
          <w:sz w:val="20"/>
        </w:rPr>
        <w:t xml:space="preserve">, 875 F.3d at 235. </w:t>
      </w:r>
      <w:bookmarkStart w:id="1295" w:name="Bookmark_LNHNREFclscc7_5"/>
      <w:bookmarkEnd w:id="1295"/>
      <w:r>
        <w:rPr>
          <w:rFonts w:ascii="Arial" w:eastAsia="Arial" w:hAnsi="Arial" w:cs="Arial"/>
          <w:color w:val="000000"/>
          <w:sz w:val="20"/>
        </w:rPr>
        <w:t>As such, it is outside of Title II's requirement that a public entity "make reasonable modifications . . . to avoid discrimination on the basis of disability." 28 C.F.R. § 35.130(b)(7)(i). [**13]  Rather, Clark's "reasonable accommodation" request is really a request that the State lessen the purported disparate treatment Clark faced from the requirement she fill out the entire form. Accordingly, it is a mirror image of the disparate treatment we rejected above and can be rejected on the same grounds.</w:t>
      </w:r>
      <w:r>
        <w:rPr>
          <w:rFonts w:ascii="Arial" w:eastAsia="Arial" w:hAnsi="Arial" w:cs="Arial"/>
          <w:vertAlign w:val="superscript"/>
        </w:rPr>
        <w:footnoteReference w:customMarkFollows="1" w:id="32"/>
        <w:t>7</w:t>
      </w:r>
    </w:p>
    <w:p w:rsidR="00022B47" w:rsidRDefault="00000000">
      <w:pPr>
        <w:pStyle w:val="Normal8"/>
        <w:widowControl w:val="0"/>
        <w:spacing w:before="200" w:line="260" w:lineRule="atLeast"/>
        <w:jc w:val="both"/>
      </w:pPr>
      <w:bookmarkStart w:id="1297" w:name="Bookmark_para_22_6"/>
      <w:bookmarkStart w:id="1298" w:name="Bookmark_I67X5B042N1R8R0040000400"/>
      <w:bookmarkEnd w:id="1297"/>
      <w:bookmarkEnd w:id="1298"/>
      <w:r>
        <w:rPr>
          <w:rFonts w:ascii="Arial" w:eastAsia="Arial" w:hAnsi="Arial" w:cs="Arial"/>
          <w:color w:val="000000"/>
          <w:sz w:val="20"/>
        </w:rPr>
        <w:t xml:space="preserve">Further, the record doesn't make clear that Clark requested a "reasonable" accommodation at all. </w:t>
      </w:r>
      <w:bookmarkStart w:id="1299" w:name="Bookmark_LNHNREFclscc8_5"/>
      <w:bookmarkEnd w:id="1299"/>
      <w:r>
        <w:rPr>
          <w:rFonts w:ascii="Arial" w:eastAsia="Arial" w:hAnsi="Arial" w:cs="Arial"/>
          <w:color w:val="000000"/>
          <w:sz w:val="20"/>
        </w:rPr>
        <w:t xml:space="preserve">Generally, the burden is on the disabled individual to request an accommodation. </w:t>
      </w:r>
      <w:r>
        <w:rPr>
          <w:rFonts w:ascii="Arial" w:eastAsia="Arial" w:hAnsi="Arial" w:cs="Arial"/>
          <w:i/>
          <w:color w:val="000000"/>
          <w:sz w:val="20"/>
        </w:rPr>
        <w:t xml:space="preserve">See </w:t>
      </w:r>
      <w:bookmarkStart w:id="1300" w:name="Bookmark_I67X5B042N1R8R0030000400"/>
      <w:bookmarkEnd w:id="1300"/>
      <w:r>
        <w:rPr>
          <w:rFonts w:ascii="Arial" w:eastAsia="Arial" w:hAnsi="Arial" w:cs="Arial"/>
          <w:i/>
          <w:color w:val="000000"/>
          <w:sz w:val="20"/>
        </w:rPr>
        <w:t>Jenkins v. Cleco Power, LLC</w:t>
      </w:r>
      <w:r>
        <w:rPr>
          <w:rFonts w:ascii="Arial" w:eastAsia="Arial" w:hAnsi="Arial" w:cs="Arial"/>
          <w:color w:val="000000"/>
          <w:sz w:val="20"/>
        </w:rPr>
        <w:t>, 487 F.3d 309, 315 (5th Cir. 2007). The only record evidence describing Clark's request is her deposition and her one-page affidavit. In her deposition, Clark testified that she asked an OMV employee to "specify what part of the form [she] needed to fill out," and in her affidavit, Clark testified only that she "asked not to complete the entirety of the form or have the form redacted." Contrary to Clark's representations on appeal, the record does not demonstrate that Clark actually requested to only fill out the portions of the form related to the condition that caused her wheelchair use, or that she explained her condition to the OMV employee and asked to fill out the form limited only to a certain section related to her condition. [**14]   [*473]  Rather, the record only shows that Clark requested that the OMV employee unilaterally narrow what portions of the form Clark's physician must fill out, which is an unreasonable request given that there is no evidence that the OMV employee (who lacked medical training) had any knowledge of Clark's POTS.</w:t>
      </w:r>
      <w:r>
        <w:rPr>
          <w:rFonts w:ascii="Arial" w:eastAsia="Arial" w:hAnsi="Arial" w:cs="Arial"/>
          <w:vertAlign w:val="superscript"/>
        </w:rPr>
        <w:footnoteReference w:customMarkFollows="1" w:id="33"/>
        <w:t>8</w:t>
      </w:r>
    </w:p>
    <w:p w:rsidR="00022B47" w:rsidRDefault="00000000">
      <w:pPr>
        <w:pStyle w:val="Normal8"/>
        <w:widowControl w:val="0"/>
        <w:spacing w:before="200" w:line="260" w:lineRule="atLeast"/>
        <w:jc w:val="both"/>
      </w:pPr>
      <w:bookmarkStart w:id="1305" w:name="Bookmark_para_23_6"/>
      <w:bookmarkStart w:id="1306" w:name="Bookmark_I67X5B042SF84T0030000400"/>
      <w:bookmarkEnd w:id="1305"/>
      <w:bookmarkEnd w:id="1306"/>
      <w:r>
        <w:rPr>
          <w:rFonts w:ascii="Arial" w:eastAsia="Arial" w:hAnsi="Arial" w:cs="Arial"/>
          <w:color w:val="000000"/>
          <w:sz w:val="20"/>
        </w:rPr>
        <w:t xml:space="preserve">Finally, Clark's intentional discrimination claim rises or falls with her other claims. Having found that the State's request that Clark have her physician fill out the medical form did not violate the ADA via disparate treatment or failure to accommodate, we similarly find as a matter of law that the State did not act with "something more than deliberate indifference" toward Clark's disability. </w:t>
      </w:r>
      <w:r>
        <w:rPr>
          <w:rFonts w:ascii="Arial" w:eastAsia="Arial" w:hAnsi="Arial" w:cs="Arial"/>
          <w:i/>
          <w:color w:val="000000"/>
          <w:sz w:val="20"/>
        </w:rPr>
        <w:t xml:space="preserve">See </w:t>
      </w:r>
      <w:bookmarkStart w:id="1307" w:name="Bookmark_I67X5B042SF84T0020000400"/>
      <w:bookmarkEnd w:id="1307"/>
      <w:r>
        <w:rPr>
          <w:rFonts w:ascii="Arial" w:eastAsia="Arial" w:hAnsi="Arial" w:cs="Arial"/>
          <w:i/>
          <w:color w:val="000000"/>
          <w:sz w:val="20"/>
        </w:rPr>
        <w:t>Miraglia v. Bd. of Supervisors of La. State Museum</w:t>
      </w:r>
      <w:r>
        <w:rPr>
          <w:rFonts w:ascii="Arial" w:eastAsia="Arial" w:hAnsi="Arial" w:cs="Arial"/>
          <w:color w:val="000000"/>
          <w:sz w:val="20"/>
        </w:rPr>
        <w:t>, 901 F.3d 565, 575 (5th Cir. 2018).</w:t>
      </w:r>
    </w:p>
    <w:p w:rsidR="00022B47" w:rsidRDefault="00000000">
      <w:pPr>
        <w:pStyle w:val="Normal8"/>
        <w:widowControl w:val="0"/>
        <w:spacing w:before="200" w:line="260" w:lineRule="atLeast"/>
        <w:jc w:val="both"/>
      </w:pPr>
      <w:bookmarkStart w:id="1308" w:name="Bookmark_para_24_6"/>
      <w:bookmarkStart w:id="1309" w:name="Bookmark_I02WNBDPB1M00005BRP0002J"/>
      <w:bookmarkStart w:id="1310" w:name="Bookmark_I67X5B042SF84T0050000400"/>
      <w:bookmarkStart w:id="1311" w:name="Bookmark_LNHNREFclscc10_5"/>
      <w:bookmarkEnd w:id="1308"/>
      <w:bookmarkEnd w:id="1309"/>
      <w:bookmarkEnd w:id="1310"/>
      <w:bookmarkEnd w:id="1311"/>
      <w:r>
        <w:rPr>
          <w:rFonts w:ascii="Arial" w:eastAsia="Arial" w:hAnsi="Arial" w:cs="Arial"/>
          <w:color w:val="000000"/>
          <w:sz w:val="20"/>
        </w:rPr>
        <w:t xml:space="preserve">As one of our sister circuits has noted, "[t]he ADA . . . does not protect disabled individuals from all differences in treatment stemming from their disabilities, and it certainly does not require licensing officials to refrain from evaluating safety risks </w:t>
      </w:r>
      <w:r>
        <w:rPr>
          <w:rFonts w:ascii="Arial" w:eastAsia="Arial" w:hAnsi="Arial" w:cs="Arial"/>
          <w:i/>
          <w:color w:val="000000"/>
          <w:sz w:val="20"/>
        </w:rPr>
        <w:t>because</w:t>
      </w:r>
      <w:r>
        <w:rPr>
          <w:rFonts w:ascii="Arial" w:eastAsia="Arial" w:hAnsi="Arial" w:cs="Arial"/>
          <w:color w:val="000000"/>
          <w:sz w:val="20"/>
        </w:rPr>
        <w:t xml:space="preserve"> an applicant appears to be disabled. To the contrary, when the safety of the public at large is implicated, public entities must be permitted some latitude in their judgments that individualized assessments of qualifications [**15]  are necessary." </w:t>
      </w:r>
      <w:bookmarkStart w:id="1312" w:name="Bookmark_I67X5B042SF84T0040000400"/>
      <w:bookmarkEnd w:id="1312"/>
      <w:r>
        <w:rPr>
          <w:rFonts w:ascii="Arial" w:eastAsia="Arial" w:hAnsi="Arial" w:cs="Arial"/>
          <w:i/>
          <w:color w:val="000000"/>
          <w:sz w:val="20"/>
        </w:rPr>
        <w:t>Theriault</w:t>
      </w:r>
      <w:r>
        <w:rPr>
          <w:rFonts w:ascii="Arial" w:eastAsia="Arial" w:hAnsi="Arial" w:cs="Arial"/>
          <w:color w:val="000000"/>
          <w:sz w:val="20"/>
        </w:rPr>
        <w:t>, 162 F.3d at 50. We agree. The scope of the ADA is broad, but it is not so broad as to encompass Clark's claims here, where she was asked to endure a minimal—at most—burden to ensure safety on the public roadways.</w:t>
      </w:r>
    </w:p>
    <w:p w:rsidR="00022B47" w:rsidRDefault="00000000">
      <w:pPr>
        <w:pStyle w:val="Normal8"/>
        <w:widowControl w:val="0"/>
        <w:spacing w:before="240" w:line="260" w:lineRule="atLeast"/>
      </w:pPr>
      <w:r>
        <w:br/>
      </w:r>
      <w:r>
        <w:rPr>
          <w:rFonts w:ascii="Arial" w:eastAsia="Arial" w:hAnsi="Arial" w:cs="Arial"/>
          <w:b/>
          <w:color w:val="000000"/>
          <w:sz w:val="20"/>
        </w:rPr>
        <w:t>IV</w:t>
      </w:r>
    </w:p>
    <w:p w:rsidR="00022B47" w:rsidRDefault="00000000">
      <w:pPr>
        <w:pStyle w:val="Normal8"/>
        <w:widowControl w:val="0"/>
        <w:spacing w:before="200" w:line="260" w:lineRule="atLeast"/>
        <w:jc w:val="both"/>
      </w:pPr>
      <w:bookmarkStart w:id="1313" w:name="Bookmark_para_25_6"/>
      <w:bookmarkEnd w:id="1313"/>
      <w:r>
        <w:rPr>
          <w:rFonts w:ascii="Arial" w:eastAsia="Arial" w:hAnsi="Arial" w:cs="Arial"/>
          <w:color w:val="000000"/>
          <w:sz w:val="20"/>
        </w:rPr>
        <w:t>For the foregoing reasons, we AFFIRM the judgment of the district court.</w:t>
      </w:r>
    </w:p>
    <w:p w:rsidR="00022B47" w:rsidRDefault="00022B47">
      <w:pPr>
        <w:pStyle w:val="Normal8"/>
      </w:pPr>
    </w:p>
    <w:p w:rsidR="00022B47" w:rsidRDefault="00000000">
      <w:pPr>
        <w:pStyle w:val="Normal8"/>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675648"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62247677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F6565E" id="Line 19"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9"/>
        <w:sectPr w:rsidR="00022B47">
          <w:headerReference w:type="even" r:id="rId61"/>
          <w:headerReference w:type="default" r:id="rId62"/>
          <w:footerReference w:type="even" r:id="rId63"/>
          <w:footerReference w:type="default" r:id="rId64"/>
          <w:headerReference w:type="first" r:id="rId65"/>
          <w:footerReference w:type="first" r:id="rId66"/>
          <w:pgSz w:w="12240" w:h="15840"/>
          <w:pgMar w:top="840" w:right="1000" w:bottom="840" w:left="1000" w:header="400" w:footer="400" w:gutter="0"/>
          <w:cols w:space="720"/>
          <w:titlePg/>
        </w:sectPr>
      </w:pPr>
    </w:p>
    <w:p w:rsidR="00022B47" w:rsidRDefault="00022B47">
      <w:pPr>
        <w:pStyle w:val="Normal9"/>
      </w:pPr>
    </w:p>
    <w:p w:rsidR="00022B47" w:rsidRDefault="00000000">
      <w:pPr>
        <w:pStyle w:val="Heading18"/>
        <w:keepNext w:val="0"/>
        <w:widowControl w:val="0"/>
        <w:spacing w:after="200" w:line="340" w:lineRule="atLeast"/>
        <w:jc w:val="center"/>
      </w:pPr>
      <w:r>
        <w:rPr>
          <w:rFonts w:eastAsia="Arial"/>
          <w:color w:val="000000"/>
          <w:sz w:val="28"/>
        </w:rPr>
        <w:t>Laufer v. Naranda Hotels, LLC</w:t>
      </w:r>
    </w:p>
    <w:p w:rsidR="00022B47" w:rsidRDefault="00000000">
      <w:pPr>
        <w:pStyle w:val="Normal9"/>
        <w:widowControl w:val="0"/>
        <w:spacing w:before="120" w:line="260" w:lineRule="atLeast"/>
        <w:jc w:val="center"/>
      </w:pPr>
      <w:r>
        <w:rPr>
          <w:rFonts w:ascii="Arial" w:eastAsia="Arial" w:hAnsi="Arial" w:cs="Arial"/>
          <w:color w:val="000000"/>
          <w:sz w:val="20"/>
        </w:rPr>
        <w:t>United States Court of Appeals for the Fourth Circuit</w:t>
      </w:r>
    </w:p>
    <w:p w:rsidR="00022B47" w:rsidRDefault="00000000">
      <w:pPr>
        <w:pStyle w:val="Normal9"/>
        <w:widowControl w:val="0"/>
        <w:spacing w:before="120" w:line="260" w:lineRule="atLeast"/>
        <w:jc w:val="center"/>
      </w:pPr>
      <w:r>
        <w:rPr>
          <w:rFonts w:ascii="Arial" w:eastAsia="Arial" w:hAnsi="Arial" w:cs="Arial"/>
          <w:color w:val="000000"/>
          <w:sz w:val="20"/>
        </w:rPr>
        <w:t>January 27, 2022, Argued; February 15, 2023, Decided</w:t>
      </w:r>
    </w:p>
    <w:p w:rsidR="00022B47" w:rsidRDefault="00000000">
      <w:pPr>
        <w:pStyle w:val="Normal9"/>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20-2348</w:t>
      </w:r>
    </w:p>
    <w:p w:rsidR="00022B47" w:rsidRDefault="00022B47">
      <w:pPr>
        <w:pStyle w:val="Normal9"/>
        <w:widowControl w:val="0"/>
        <w:spacing w:line="240" w:lineRule="atLeast"/>
        <w:jc w:val="both"/>
      </w:pPr>
      <w:bookmarkStart w:id="1314" w:name="Bookmark_10"/>
      <w:bookmarkEnd w:id="1314"/>
    </w:p>
    <w:p w:rsidR="00022B47" w:rsidRDefault="00000000">
      <w:pPr>
        <w:pStyle w:val="Normal9"/>
        <w:widowControl w:val="0"/>
        <w:spacing w:before="200" w:line="240" w:lineRule="atLeast"/>
      </w:pPr>
      <w:bookmarkStart w:id="1315" w:name="Reporter_8"/>
      <w:bookmarkEnd w:id="1315"/>
      <w:r>
        <w:rPr>
          <w:rFonts w:ascii="Arial" w:eastAsia="Arial" w:hAnsi="Arial" w:cs="Arial"/>
          <w:b/>
          <w:color w:val="000000"/>
          <w:sz w:val="18"/>
        </w:rPr>
        <w:t>Reporter</w:t>
      </w:r>
    </w:p>
    <w:p w:rsidR="00022B47" w:rsidRDefault="00000000">
      <w:pPr>
        <w:pStyle w:val="Normal9"/>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60 F.4th 156 *; 2023 U.S. App. LEXIS 3602 **</w:t>
      </w:r>
    </w:p>
    <w:p w:rsidR="00022B47" w:rsidRDefault="00000000">
      <w:pPr>
        <w:pStyle w:val="Normal9"/>
        <w:widowControl w:val="0"/>
        <w:spacing w:before="120" w:line="260" w:lineRule="atLeast"/>
      </w:pPr>
      <w:r>
        <w:rPr>
          <w:rFonts w:ascii="Arial" w:eastAsia="Arial" w:hAnsi="Arial" w:cs="Arial"/>
          <w:color w:val="000000"/>
          <w:sz w:val="20"/>
        </w:rPr>
        <w:t>DEBORAH LAUFER, Plaintiff - Appellant, v. NARANDA HOTELS, LLC, A Maryland Corporation, Defendant - Appellee.</w:t>
      </w:r>
    </w:p>
    <w:p w:rsidR="00022B47" w:rsidRDefault="00000000">
      <w:pPr>
        <w:pStyle w:val="Normal9"/>
        <w:widowControl w:val="0"/>
        <w:spacing w:before="240" w:line="260" w:lineRule="atLeast"/>
        <w:jc w:val="both"/>
      </w:pPr>
      <w:bookmarkStart w:id="1316" w:name="Prior_History_8"/>
      <w:bookmarkEnd w:id="1316"/>
      <w:r>
        <w:rPr>
          <w:rFonts w:ascii="Arial" w:eastAsia="Arial" w:hAnsi="Arial" w:cs="Arial"/>
          <w:b/>
          <w:color w:val="000000"/>
          <w:sz w:val="20"/>
        </w:rPr>
        <w:t>Prior History:</w:t>
      </w:r>
      <w:r>
        <w:rPr>
          <w:rFonts w:ascii="Arial" w:eastAsia="Arial" w:hAnsi="Arial" w:cs="Arial"/>
          <w:color w:val="000000"/>
          <w:sz w:val="20"/>
        </w:rPr>
        <w:t> </w:t>
      </w:r>
      <w:bookmarkStart w:id="1317" w:name="Bookmark_para_1_8"/>
      <w:bookmarkEnd w:id="1317"/>
      <w:r>
        <w:rPr>
          <w:rFonts w:ascii="Arial" w:eastAsia="Arial" w:hAnsi="Arial" w:cs="Arial"/>
          <w:color w:val="000000"/>
          <w:sz w:val="20"/>
        </w:rPr>
        <w:t> [**1] Appeal from the United States District Court for the District of Maryland, at Baltimore. Stephanie A. Gallagher, District Judge. (1:20-cv-02136-SAG).</w:t>
      </w:r>
    </w:p>
    <w:p w:rsidR="00022B47" w:rsidRDefault="00000000">
      <w:pPr>
        <w:pStyle w:val="Normal9"/>
        <w:widowControl w:val="0"/>
        <w:spacing w:before="120" w:line="260" w:lineRule="atLeast"/>
      </w:pPr>
      <w:r>
        <w:rPr>
          <w:rFonts w:ascii="Arial" w:eastAsia="Arial" w:hAnsi="Arial" w:cs="Arial"/>
          <w:color w:val="000000"/>
          <w:sz w:val="20"/>
        </w:rPr>
        <w:t>Laufer v. Naranda Hotels, LLC, 2020 U.S. Dist. LEXIS 235894, 2020 WL 7384726 (D. Md., Dec. 16, 2020)</w:t>
      </w:r>
    </w:p>
    <w:p w:rsidR="00022B47" w:rsidRDefault="00000000">
      <w:pPr>
        <w:pStyle w:val="Normal9"/>
        <w:widowControl w:val="0"/>
        <w:spacing w:before="240" w:line="260" w:lineRule="atLeast"/>
        <w:jc w:val="both"/>
      </w:pPr>
      <w:bookmarkStart w:id="1318" w:name="Disposition_2"/>
      <w:bookmarkEnd w:id="1318"/>
      <w:r>
        <w:rPr>
          <w:rFonts w:ascii="Arial" w:eastAsia="Arial" w:hAnsi="Arial" w:cs="Arial"/>
          <w:b/>
          <w:color w:val="000000"/>
          <w:sz w:val="20"/>
        </w:rPr>
        <w:t>Disposition:</w:t>
      </w:r>
      <w:r>
        <w:rPr>
          <w:rFonts w:ascii="Arial" w:eastAsia="Arial" w:hAnsi="Arial" w:cs="Arial"/>
          <w:color w:val="000000"/>
          <w:sz w:val="20"/>
        </w:rPr>
        <w:t> </w:t>
      </w:r>
      <w:bookmarkStart w:id="1319" w:name="Bookmark_clspara_4_1"/>
      <w:bookmarkEnd w:id="1319"/>
      <w:r>
        <w:rPr>
          <w:rFonts w:ascii="Arial" w:eastAsia="Arial" w:hAnsi="Arial" w:cs="Arial"/>
          <w:color w:val="000000"/>
          <w:sz w:val="20"/>
        </w:rPr>
        <w:t>VACATED AND REMANDED.</w:t>
      </w:r>
    </w:p>
    <w:p w:rsidR="00022B47" w:rsidRDefault="00000000">
      <w:pPr>
        <w:pStyle w:val="Normal9"/>
        <w:widowControl w:val="0"/>
        <w:spacing w:before="240" w:line="260" w:lineRule="atLeast"/>
      </w:pPr>
      <w:bookmarkStart w:id="1320" w:name="Counsel_8"/>
      <w:bookmarkEnd w:id="1320"/>
      <w:r>
        <w:rPr>
          <w:rFonts w:ascii="Arial" w:eastAsia="Arial" w:hAnsi="Arial" w:cs="Arial"/>
          <w:b/>
          <w:color w:val="000000"/>
          <w:sz w:val="20"/>
        </w:rPr>
        <w:t>Counsel:</w:t>
      </w:r>
      <w:r>
        <w:rPr>
          <w:rFonts w:ascii="Arial" w:eastAsia="Arial" w:hAnsi="Arial" w:cs="Arial"/>
          <w:color w:val="000000"/>
          <w:sz w:val="20"/>
        </w:rPr>
        <w:t> ARGUED: Thomas B. Bacon, THOMAS B. BACON, PA, Orlando, Florida, for Appellant.</w:t>
      </w:r>
    </w:p>
    <w:p w:rsidR="00022B47" w:rsidRDefault="00000000">
      <w:pPr>
        <w:pStyle w:val="Normal9"/>
        <w:widowControl w:val="0"/>
        <w:spacing w:before="120" w:line="260" w:lineRule="atLeast"/>
      </w:pPr>
      <w:r>
        <w:rPr>
          <w:rFonts w:ascii="Arial" w:eastAsia="Arial" w:hAnsi="Arial" w:cs="Arial"/>
          <w:color w:val="000000"/>
          <w:sz w:val="20"/>
        </w:rPr>
        <w:t>Steven Joseph Parrott, DECARO, DORAN, SICILIANO, GALLAGHER &amp; DEBLASIS, LLP, Bowie, Maryland, for Appellee.</w:t>
      </w:r>
    </w:p>
    <w:p w:rsidR="00022B47" w:rsidRDefault="00000000">
      <w:pPr>
        <w:pStyle w:val="Normal9"/>
        <w:widowControl w:val="0"/>
        <w:spacing w:before="120" w:line="260" w:lineRule="atLeast"/>
      </w:pPr>
      <w:r>
        <w:rPr>
          <w:rFonts w:ascii="Arial" w:eastAsia="Arial" w:hAnsi="Arial" w:cs="Arial"/>
          <w:color w:val="000000"/>
          <w:sz w:val="20"/>
        </w:rPr>
        <w:t>ON BRIEF: Tristan W. Gillespie, LAW OFFICE OF TRISTAN W. GILLESPIE, Johns Creek, Georgia, for Appellant.</w:t>
      </w:r>
    </w:p>
    <w:p w:rsidR="00022B47" w:rsidRDefault="00000000">
      <w:pPr>
        <w:pStyle w:val="Normal9"/>
        <w:widowControl w:val="0"/>
        <w:spacing w:before="240" w:line="260" w:lineRule="atLeast"/>
      </w:pPr>
      <w:bookmarkStart w:id="1321" w:name="Judges_8"/>
      <w:bookmarkEnd w:id="1321"/>
      <w:r>
        <w:rPr>
          <w:rFonts w:ascii="Arial" w:eastAsia="Arial" w:hAnsi="Arial" w:cs="Arial"/>
          <w:b/>
          <w:color w:val="000000"/>
          <w:sz w:val="20"/>
        </w:rPr>
        <w:t>Judges:</w:t>
      </w:r>
      <w:r>
        <w:rPr>
          <w:rFonts w:ascii="Arial" w:eastAsia="Arial" w:hAnsi="Arial" w:cs="Arial"/>
          <w:color w:val="000000"/>
          <w:sz w:val="20"/>
        </w:rPr>
        <w:t> Before KING, THACKER, and HARRIS, Circuit Judges. Judge King wrote the opinion, in which Judge Thacker and Judge Harris joined.</w:t>
      </w:r>
    </w:p>
    <w:p w:rsidR="00022B47" w:rsidRDefault="00000000">
      <w:pPr>
        <w:pStyle w:val="Normal9"/>
        <w:widowControl w:val="0"/>
        <w:spacing w:before="240" w:line="260" w:lineRule="atLeast"/>
      </w:pPr>
      <w:bookmarkStart w:id="1322" w:name="Opinion_by_4"/>
      <w:bookmarkEnd w:id="1322"/>
      <w:r>
        <w:rPr>
          <w:rFonts w:ascii="Arial" w:eastAsia="Arial" w:hAnsi="Arial" w:cs="Arial"/>
          <w:b/>
          <w:color w:val="000000"/>
          <w:sz w:val="20"/>
        </w:rPr>
        <w:t>Opinion by:</w:t>
      </w:r>
      <w:r>
        <w:rPr>
          <w:rFonts w:ascii="Arial" w:eastAsia="Arial" w:hAnsi="Arial" w:cs="Arial"/>
          <w:color w:val="000000"/>
          <w:sz w:val="20"/>
        </w:rPr>
        <w:t> KING</w:t>
      </w:r>
    </w:p>
    <w:p w:rsidR="00022B47" w:rsidRDefault="00000000">
      <w:pPr>
        <w:pStyle w:val="Normal9"/>
        <w:keepNext/>
        <w:widowControl w:val="0"/>
        <w:spacing w:before="240" w:line="340" w:lineRule="atLeast"/>
      </w:pPr>
      <w:bookmarkStart w:id="1323" w:name="Opinion_8"/>
      <w:bookmarkEnd w:id="1323"/>
      <w:r>
        <w:rPr>
          <w:rFonts w:ascii="Arial" w:eastAsia="Arial" w:hAnsi="Arial" w:cs="Arial"/>
          <w:b/>
          <w:color w:val="000000"/>
          <w:sz w:val="28"/>
        </w:rPr>
        <w:t>Opinion</w:t>
      </w:r>
    </w:p>
    <w:p w:rsidR="00022B47" w:rsidRDefault="0025213E">
      <w:pPr>
        <w:pStyle w:val="Normal9"/>
        <w:spacing w:line="60" w:lineRule="exact"/>
      </w:pPr>
      <w:r>
        <w:rPr>
          <w:noProof/>
        </w:rPr>
        <mc:AlternateContent>
          <mc:Choice Requires="wps">
            <w:drawing>
              <wp:anchor distT="0" distB="0" distL="114300" distR="114300" simplePos="0" relativeHeight="251676672"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204796925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3321BF" id="Line 20"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9"/>
      </w:pPr>
    </w:p>
    <w:p w:rsidR="00022B47" w:rsidRDefault="00000000">
      <w:pPr>
        <w:pStyle w:val="Normal9"/>
        <w:widowControl w:val="0"/>
        <w:spacing w:before="200" w:line="260" w:lineRule="atLeast"/>
        <w:jc w:val="both"/>
      </w:pPr>
      <w:bookmarkStart w:id="1324" w:name="Bookmark_para_2_8"/>
      <w:bookmarkEnd w:id="1324"/>
      <w:r>
        <w:rPr>
          <w:rFonts w:ascii="Arial" w:eastAsia="Arial" w:hAnsi="Arial" w:cs="Arial"/>
          <w:color w:val="000000"/>
          <w:sz w:val="20"/>
        </w:rPr>
        <w:t> [*158]  KING, Circuit Judge:</w:t>
      </w:r>
    </w:p>
    <w:p w:rsidR="00022B47" w:rsidRDefault="00000000">
      <w:pPr>
        <w:pStyle w:val="Normal9"/>
        <w:widowControl w:val="0"/>
        <w:spacing w:before="200" w:line="260" w:lineRule="atLeast"/>
        <w:jc w:val="both"/>
      </w:pPr>
      <w:bookmarkStart w:id="1325" w:name="Bookmark_para_3_8"/>
      <w:bookmarkEnd w:id="1325"/>
      <w:r>
        <w:rPr>
          <w:rFonts w:ascii="Arial" w:eastAsia="Arial" w:hAnsi="Arial" w:cs="Arial"/>
          <w:color w:val="000000"/>
          <w:sz w:val="20"/>
        </w:rPr>
        <w:t xml:space="preserve">Deborah Laufer, the plaintiff in this civil action on appeal from the District of Maryland, is a self-professed "tester" who has filed hundreds of similar lawsuits throughout the country under Title III of the Americans with Disabilities Act (the "ADA"), </w:t>
      </w:r>
      <w:r>
        <w:rPr>
          <w:rFonts w:ascii="Arial" w:eastAsia="Arial" w:hAnsi="Arial" w:cs="Arial"/>
          <w:i/>
          <w:color w:val="000000"/>
          <w:sz w:val="20"/>
        </w:rPr>
        <w:t>see</w:t>
      </w:r>
      <w:r>
        <w:rPr>
          <w:rFonts w:ascii="Arial" w:eastAsia="Arial" w:hAnsi="Arial" w:cs="Arial"/>
          <w:color w:val="000000"/>
          <w:sz w:val="20"/>
        </w:rPr>
        <w:t xml:space="preserve"> 42 U.S.C. §§ 12181-12189. Laufer complains of hotel reservation websites that do not allow for reservation of accessible guest rooms or provide sufficient accessibility information. Here, the defendant is Naranda Hotels, LLC, as the owner of the Sleep Inn &amp; Suites Downtown Inner Harbor in Baltimore.</w:t>
      </w:r>
    </w:p>
    <w:p w:rsidR="00022B47" w:rsidRDefault="00000000">
      <w:pPr>
        <w:pStyle w:val="Normal9"/>
        <w:widowControl w:val="0"/>
        <w:spacing w:before="200" w:line="260" w:lineRule="atLeast"/>
        <w:jc w:val="both"/>
      </w:pPr>
      <w:bookmarkStart w:id="1326" w:name="Bookmark_para_4_8"/>
      <w:bookmarkStart w:id="1327" w:name="Bookmark_I67K33W528T4FJ0020000400"/>
      <w:bookmarkEnd w:id="1326"/>
      <w:bookmarkEnd w:id="1327"/>
      <w:r>
        <w:rPr>
          <w:rFonts w:ascii="Arial" w:eastAsia="Arial" w:hAnsi="Arial" w:cs="Arial"/>
          <w:color w:val="000000"/>
          <w:sz w:val="20"/>
        </w:rPr>
        <w:t xml:space="preserve">For reasons explained in its Memorandum Opinion of December [**2]  2020, the district court dismissed Laufer's ADA claim against Naranda for lack of Article III standing to sue. </w:t>
      </w:r>
      <w:r>
        <w:rPr>
          <w:rFonts w:ascii="Arial" w:eastAsia="Arial" w:hAnsi="Arial" w:cs="Arial"/>
          <w:i/>
          <w:color w:val="000000"/>
          <w:sz w:val="20"/>
        </w:rPr>
        <w:t xml:space="preserve">See </w:t>
      </w:r>
      <w:bookmarkStart w:id="1328" w:name="Bookmark_I67K33W528T4FJ0010000400"/>
      <w:bookmarkEnd w:id="1328"/>
      <w:r>
        <w:rPr>
          <w:rFonts w:ascii="Arial" w:eastAsia="Arial" w:hAnsi="Arial" w:cs="Arial"/>
          <w:i/>
          <w:color w:val="000000"/>
          <w:sz w:val="20"/>
        </w:rPr>
        <w:t>Laufer v. Naranda Hotels, LLC</w:t>
      </w:r>
      <w:r>
        <w:rPr>
          <w:rFonts w:ascii="Arial" w:eastAsia="Arial" w:hAnsi="Arial" w:cs="Arial"/>
          <w:color w:val="000000"/>
          <w:sz w:val="20"/>
        </w:rPr>
        <w:t>, No. 1:20-cv-02136, 2020 U.S. Dist. LEXIS 235894. In so doing, the court followed local precedents that had been established in separate District of Maryland actions initiated by Laufer. Meanwhile, other district courts and courts of appeals have confronted Laufer's lawsuits and likewise concluded she could not proceed. Additional federal courts, however, have seen things differently and recognized Laufer's Article III standing to pursue her ADA claims. Upon careful consideration of the competing views, we are satisfied to join the latter group and thus vacate the district court's judgment and remand for further proceedings.</w:t>
      </w:r>
    </w:p>
    <w:p w:rsidR="00022B47" w:rsidRDefault="00000000">
      <w:pPr>
        <w:pStyle w:val="Normal9"/>
        <w:widowControl w:val="0"/>
        <w:spacing w:before="120" w:line="260" w:lineRule="atLeast"/>
      </w:pPr>
      <w:r>
        <w:rPr>
          <w:rFonts w:ascii="Arial" w:eastAsia="Arial" w:hAnsi="Arial" w:cs="Arial"/>
          <w:color w:val="000000"/>
          <w:sz w:val="20"/>
        </w:rPr>
        <w:t>I.</w:t>
      </w:r>
    </w:p>
    <w:p w:rsidR="00022B47" w:rsidRDefault="00000000">
      <w:pPr>
        <w:pStyle w:val="Normal9"/>
        <w:widowControl w:val="0"/>
        <w:spacing w:before="120" w:line="260" w:lineRule="atLeast"/>
      </w:pPr>
      <w:r>
        <w:rPr>
          <w:rFonts w:ascii="Arial" w:eastAsia="Arial" w:hAnsi="Arial" w:cs="Arial"/>
          <w:color w:val="000000"/>
          <w:sz w:val="20"/>
        </w:rPr>
        <w:t>A.</w:t>
      </w:r>
    </w:p>
    <w:p w:rsidR="00022B47" w:rsidRDefault="00000000">
      <w:pPr>
        <w:pStyle w:val="Normal9"/>
        <w:widowControl w:val="0"/>
        <w:spacing w:before="200" w:line="260" w:lineRule="atLeast"/>
        <w:jc w:val="both"/>
      </w:pPr>
      <w:bookmarkStart w:id="1329" w:name="Bookmark_para_5_8"/>
      <w:bookmarkStart w:id="1330" w:name="Bookmark_I67K33W528T4FJ0040000400"/>
      <w:bookmarkEnd w:id="1329"/>
      <w:bookmarkEnd w:id="1330"/>
      <w:r>
        <w:rPr>
          <w:rFonts w:ascii="Arial" w:eastAsia="Arial" w:hAnsi="Arial" w:cs="Arial"/>
          <w:color w:val="000000"/>
          <w:sz w:val="20"/>
        </w:rPr>
        <w:t xml:space="preserve">Laufer filed her operative Amended Complaint against Naranda in August 2020, asserting a single ADA claim and seeking declaratory and injunctive relief, plus attorney's fees and costs. </w:t>
      </w:r>
      <w:r>
        <w:rPr>
          <w:rFonts w:ascii="Arial" w:eastAsia="Arial" w:hAnsi="Arial" w:cs="Arial"/>
          <w:i/>
          <w:color w:val="000000"/>
          <w:sz w:val="20"/>
        </w:rPr>
        <w:t xml:space="preserve">See </w:t>
      </w:r>
      <w:bookmarkStart w:id="1331" w:name="Bookmark_I67K33W528T4FJ0030000400"/>
      <w:bookmarkEnd w:id="1331"/>
      <w:r>
        <w:rPr>
          <w:rFonts w:ascii="Arial" w:eastAsia="Arial" w:hAnsi="Arial" w:cs="Arial"/>
          <w:i/>
          <w:color w:val="000000"/>
          <w:sz w:val="20"/>
        </w:rPr>
        <w:t>Laufer v. Naranda Hotels, LLC</w:t>
      </w:r>
      <w:r>
        <w:rPr>
          <w:rFonts w:ascii="Arial" w:eastAsia="Arial" w:hAnsi="Arial" w:cs="Arial"/>
          <w:color w:val="000000"/>
          <w:sz w:val="20"/>
        </w:rPr>
        <w:t xml:space="preserve">, No. 1:20-cv-02136, 2020 U.S. Dist. LEXIS 235894, ECF No. 4 (the "Complaint"). </w:t>
      </w:r>
      <w:bookmarkStart w:id="1332" w:name="Bookmark_LNHNREFclscc1_7"/>
      <w:bookmarkEnd w:id="1332"/>
      <w:r>
        <w:rPr>
          <w:rFonts w:ascii="Arial" w:eastAsia="Arial" w:hAnsi="Arial" w:cs="Arial"/>
          <w:color w:val="000000"/>
          <w:sz w:val="20"/>
        </w:rPr>
        <w:t xml:space="preserve">The Complaint invokes Title III of the ADA, which prohibits discrimination on the basis of disability in places of public accommodation. </w:t>
      </w:r>
      <w:r>
        <w:rPr>
          <w:rFonts w:ascii="Arial" w:eastAsia="Arial" w:hAnsi="Arial" w:cs="Arial"/>
          <w:i/>
          <w:color w:val="000000"/>
          <w:sz w:val="20"/>
        </w:rPr>
        <w:t>See</w:t>
      </w:r>
      <w:r>
        <w:rPr>
          <w:rFonts w:ascii="Arial" w:eastAsia="Arial" w:hAnsi="Arial" w:cs="Arial"/>
          <w:color w:val="000000"/>
          <w:sz w:val="20"/>
        </w:rPr>
        <w:t xml:space="preserve"> 42 U.S.C. § 12182(a) (providing that "[n]o individual shall be discriminated against on the basis of disability in the full and equal enjoyment of the goods, services, facilities, privileges, [**3]  advantages, or accommodations of any place of public accommodation by any person who owns . . . a place of public accommodation"); </w:t>
      </w:r>
      <w:r>
        <w:rPr>
          <w:rFonts w:ascii="Arial" w:eastAsia="Arial" w:hAnsi="Arial" w:cs="Arial"/>
          <w:i/>
          <w:color w:val="000000"/>
          <w:sz w:val="20"/>
        </w:rPr>
        <w:t>id.</w:t>
      </w:r>
      <w:r>
        <w:rPr>
          <w:rFonts w:ascii="Arial" w:eastAsia="Arial" w:hAnsi="Arial" w:cs="Arial"/>
          <w:color w:val="000000"/>
          <w:sz w:val="20"/>
        </w:rPr>
        <w:t xml:space="preserve"> § 12188(a) (permitting individuals with disabilities to bring enforcement actions under Title III for injunctive relief).</w:t>
      </w:r>
    </w:p>
    <w:p w:rsidR="00022B47" w:rsidRDefault="00000000">
      <w:pPr>
        <w:pStyle w:val="Normal9"/>
        <w:widowControl w:val="0"/>
        <w:spacing w:before="200" w:line="260" w:lineRule="atLeast"/>
        <w:jc w:val="both"/>
      </w:pPr>
      <w:bookmarkStart w:id="1333" w:name="Bookmark_para_6_8"/>
      <w:bookmarkEnd w:id="1333"/>
      <w:r>
        <w:rPr>
          <w:rFonts w:ascii="Arial" w:eastAsia="Arial" w:hAnsi="Arial" w:cs="Arial"/>
          <w:color w:val="000000"/>
          <w:sz w:val="20"/>
        </w:rPr>
        <w:t xml:space="preserve">According to the Complaint, Laufer is a resident of Pasco County, Florida, who qualifies as an individual with a disability under the ADA in that she "is unable to engage in the major life activity of walking more than a few steps without assistive devices." </w:t>
      </w:r>
      <w:r>
        <w:rPr>
          <w:rFonts w:ascii="Arial" w:eastAsia="Arial" w:hAnsi="Arial" w:cs="Arial"/>
          <w:i/>
          <w:color w:val="000000"/>
          <w:sz w:val="20"/>
        </w:rPr>
        <w:t>See</w:t>
      </w:r>
      <w:r>
        <w:rPr>
          <w:rFonts w:ascii="Arial" w:eastAsia="Arial" w:hAnsi="Arial" w:cs="Arial"/>
          <w:color w:val="000000"/>
          <w:sz w:val="20"/>
        </w:rPr>
        <w:t xml:space="preserve"> Complaint ¶ 1; </w:t>
      </w:r>
      <w:r>
        <w:rPr>
          <w:rFonts w:ascii="Arial" w:eastAsia="Arial" w:hAnsi="Arial" w:cs="Arial"/>
          <w:i/>
          <w:color w:val="000000"/>
          <w:sz w:val="20"/>
        </w:rPr>
        <w:t>see also</w:t>
      </w:r>
      <w:r>
        <w:rPr>
          <w:rFonts w:ascii="Arial" w:eastAsia="Arial" w:hAnsi="Arial" w:cs="Arial"/>
          <w:color w:val="000000"/>
          <w:sz w:val="20"/>
        </w:rPr>
        <w:t xml:space="preserve"> 42 U.S.C. § 12102(1)(A) (defining "disability" for purposes of the ADA to include "a physical or mental impairment that substantially limits one or more major life activities"). Laufer sometimes uses a cane but more often relies on a wheelchair because she "has limited use of her hands." </w:t>
      </w:r>
      <w:r>
        <w:rPr>
          <w:rFonts w:ascii="Arial" w:eastAsia="Arial" w:hAnsi="Arial" w:cs="Arial"/>
          <w:i/>
          <w:color w:val="000000"/>
          <w:sz w:val="20"/>
        </w:rPr>
        <w:t>See</w:t>
      </w:r>
      <w:r>
        <w:rPr>
          <w:rFonts w:ascii="Arial" w:eastAsia="Arial" w:hAnsi="Arial" w:cs="Arial"/>
          <w:color w:val="000000"/>
          <w:sz w:val="20"/>
        </w:rPr>
        <w:t xml:space="preserve"> Complaint ¶ 1. The Complaint outlines Laufer's accessibility needs with regard to hotels, including "handicap parking spaces" of sufficient width and location; passageways that are "free of obstructions"; "door knobs, sink faucets, [and] other operating mechanisms" that are "lowered so that [she] can reach them" and  [*159]  that do not require "tight grasping, twisting of the wrist or pinching"; bathroom [**4]  "grab bars"; and doorways with "proper clearance." </w:t>
      </w:r>
      <w:r>
        <w:rPr>
          <w:rFonts w:ascii="Arial" w:eastAsia="Arial" w:hAnsi="Arial" w:cs="Arial"/>
          <w:i/>
          <w:color w:val="000000"/>
          <w:sz w:val="20"/>
        </w:rPr>
        <w:t>Id.</w:t>
      </w:r>
    </w:p>
    <w:p w:rsidR="00022B47" w:rsidRDefault="00000000">
      <w:pPr>
        <w:pStyle w:val="Normal9"/>
        <w:widowControl w:val="0"/>
        <w:spacing w:before="200" w:line="260" w:lineRule="atLeast"/>
        <w:jc w:val="both"/>
      </w:pPr>
      <w:bookmarkStart w:id="1334" w:name="Bookmark_para_7_8"/>
      <w:bookmarkEnd w:id="1334"/>
      <w:r>
        <w:rPr>
          <w:rFonts w:ascii="Arial" w:eastAsia="Arial" w:hAnsi="Arial" w:cs="Arial"/>
          <w:color w:val="000000"/>
          <w:sz w:val="20"/>
        </w:rPr>
        <w:t xml:space="preserve">The Complaint discloses that Laufer "is an advocate of the rights of similarly situated disabled persons and is a 'tester' for the purpose of asserting her civil rights and monitoring, ensuring, and determining whether places of public accommodation and their websites are in compliance with the ADA." </w:t>
      </w:r>
      <w:r>
        <w:rPr>
          <w:rFonts w:ascii="Arial" w:eastAsia="Arial" w:hAnsi="Arial" w:cs="Arial"/>
          <w:i/>
          <w:color w:val="000000"/>
          <w:sz w:val="20"/>
        </w:rPr>
        <w:t>See</w:t>
      </w:r>
      <w:r>
        <w:rPr>
          <w:rFonts w:ascii="Arial" w:eastAsia="Arial" w:hAnsi="Arial" w:cs="Arial"/>
          <w:color w:val="000000"/>
          <w:sz w:val="20"/>
        </w:rPr>
        <w:t xml:space="preserve"> Complaint ¶ 2. Additionally, the Complaint asserts that the Sleep Inn &amp; Suites Downtown Inner Harbor constitutes a place of public accommodation for purposes of the ADA — specifically, a place of lodging — and that Naranda, as its owner, is required to comply with the ADA and its implementing regulations. </w:t>
      </w:r>
      <w:r>
        <w:rPr>
          <w:rFonts w:ascii="Arial" w:eastAsia="Arial" w:hAnsi="Arial" w:cs="Arial"/>
          <w:i/>
          <w:color w:val="000000"/>
          <w:sz w:val="20"/>
        </w:rPr>
        <w:t>Id.</w:t>
      </w:r>
      <w:r>
        <w:rPr>
          <w:rFonts w:ascii="Arial" w:eastAsia="Arial" w:hAnsi="Arial" w:cs="Arial"/>
          <w:color w:val="000000"/>
          <w:sz w:val="20"/>
        </w:rPr>
        <w:t xml:space="preserve"> ¶¶ 3, 6.</w:t>
      </w:r>
    </w:p>
    <w:p w:rsidR="00022B47" w:rsidRDefault="00000000">
      <w:pPr>
        <w:pStyle w:val="Normal9"/>
        <w:widowControl w:val="0"/>
        <w:spacing w:before="200" w:line="260" w:lineRule="atLeast"/>
        <w:jc w:val="both"/>
      </w:pPr>
      <w:bookmarkStart w:id="1335" w:name="Bookmark_para_8_8"/>
      <w:bookmarkStart w:id="1336" w:name="Bookmark_LNHNREFclscc2_7"/>
      <w:bookmarkEnd w:id="1335"/>
      <w:bookmarkEnd w:id="1336"/>
      <w:r>
        <w:rPr>
          <w:rFonts w:ascii="Arial" w:eastAsia="Arial" w:hAnsi="Arial" w:cs="Arial"/>
          <w:color w:val="000000"/>
          <w:sz w:val="20"/>
        </w:rPr>
        <w:t xml:space="preserve">The federal regulation at the heart of Laufer's ADA claim is 28 C.F.R. § 36.302(e), which concerns the responsibilities of the owner of a place of lodging "with respect to reservations made by any means, including . . . through a third party." </w:t>
      </w:r>
      <w:r>
        <w:rPr>
          <w:rFonts w:ascii="Arial" w:eastAsia="Arial" w:hAnsi="Arial" w:cs="Arial"/>
          <w:i/>
          <w:color w:val="000000"/>
          <w:sz w:val="20"/>
        </w:rPr>
        <w:t>See</w:t>
      </w:r>
      <w:r>
        <w:rPr>
          <w:rFonts w:ascii="Arial" w:eastAsia="Arial" w:hAnsi="Arial" w:cs="Arial"/>
          <w:color w:val="000000"/>
          <w:sz w:val="20"/>
        </w:rPr>
        <w:t xml:space="preserve"> 28 C.F.R. § 36.302(e)(1). We refer herein to § 36.302(e) as the "Hotel Reservation Regulation." Two paragraphs of subsection (1) of the Hotel Reservation Regulation — paragraphs (i) and (ii) — are particularly relevant to Laufer's claim. Paragraph (i) provides that a hotel owner must "ensure that individuals with disabilities can make reservations for accessible guest rooms during the same hours and in the [**5]  same manner as individuals who do not need accessible rooms." </w:t>
      </w:r>
      <w:r>
        <w:rPr>
          <w:rFonts w:ascii="Arial" w:eastAsia="Arial" w:hAnsi="Arial" w:cs="Arial"/>
          <w:i/>
          <w:color w:val="000000"/>
          <w:sz w:val="20"/>
        </w:rPr>
        <w:t>Id.</w:t>
      </w:r>
      <w:r>
        <w:rPr>
          <w:rFonts w:ascii="Arial" w:eastAsia="Arial" w:hAnsi="Arial" w:cs="Arial"/>
          <w:color w:val="000000"/>
          <w:sz w:val="20"/>
        </w:rPr>
        <w:t xml:space="preserve"> § 36.302(e)(1)(i). And paragraph (ii) provides that a hotel owner must "[i]dentify and describe accessible features in the hotels and guest rooms offered through its reservations service in enough detail to reasonably permit individuals with disabilities to assess independently whether a given hotel or guest room meets his or her accessibility needs." </w:t>
      </w:r>
      <w:r>
        <w:rPr>
          <w:rFonts w:ascii="Arial" w:eastAsia="Arial" w:hAnsi="Arial" w:cs="Arial"/>
          <w:i/>
          <w:color w:val="000000"/>
          <w:sz w:val="20"/>
        </w:rPr>
        <w:t>Id.</w:t>
      </w:r>
      <w:r>
        <w:rPr>
          <w:rFonts w:ascii="Arial" w:eastAsia="Arial" w:hAnsi="Arial" w:cs="Arial"/>
          <w:color w:val="000000"/>
          <w:sz w:val="20"/>
        </w:rPr>
        <w:t xml:space="preserve"> § 36.302(e)(1)(ii).</w:t>
      </w:r>
      <w:r>
        <w:rPr>
          <w:rFonts w:ascii="Arial" w:eastAsia="Arial" w:hAnsi="Arial" w:cs="Arial"/>
          <w:vertAlign w:val="superscript"/>
        </w:rPr>
        <w:footnoteReference w:customMarkFollows="1" w:id="34"/>
        <w:t>1</w:t>
      </w:r>
    </w:p>
    <w:p w:rsidR="00022B47" w:rsidRDefault="00000000">
      <w:pPr>
        <w:pStyle w:val="Normal9"/>
        <w:widowControl w:val="0"/>
        <w:spacing w:before="200" w:line="260" w:lineRule="atLeast"/>
        <w:jc w:val="both"/>
      </w:pPr>
      <w:bookmarkStart w:id="1345" w:name="Bookmark_para_15_8"/>
      <w:bookmarkEnd w:id="1345"/>
      <w:r>
        <w:rPr>
          <w:rFonts w:ascii="Arial" w:eastAsia="Arial" w:hAnsi="Arial" w:cs="Arial"/>
          <w:color w:val="000000"/>
          <w:sz w:val="20"/>
        </w:rPr>
        <w:t xml:space="preserve">Laufer maintains that the Hotel Reservation Regulation extends to hotel reservation websites, whether operated by the  [*160]  hotel owner or a third party. </w:t>
      </w:r>
      <w:r>
        <w:rPr>
          <w:rFonts w:ascii="Arial" w:eastAsia="Arial" w:hAnsi="Arial" w:cs="Arial"/>
          <w:i/>
          <w:color w:val="000000"/>
          <w:sz w:val="20"/>
        </w:rPr>
        <w:t>See</w:t>
      </w:r>
      <w:r>
        <w:rPr>
          <w:rFonts w:ascii="Arial" w:eastAsia="Arial" w:hAnsi="Arial" w:cs="Arial"/>
          <w:color w:val="000000"/>
          <w:sz w:val="20"/>
        </w:rPr>
        <w:t xml:space="preserve"> Complaint ¶ 9. That is, Laufer insists that hotel reservation websites must allow "individuals with disabilities [to] make reservations for accessible guest rooms" just as they allow other individuals to reserve guest rooms. </w:t>
      </w:r>
      <w:r>
        <w:rPr>
          <w:rFonts w:ascii="Arial" w:eastAsia="Arial" w:hAnsi="Arial" w:cs="Arial"/>
          <w:i/>
          <w:color w:val="000000"/>
          <w:sz w:val="20"/>
        </w:rPr>
        <w:t>See</w:t>
      </w:r>
      <w:r>
        <w:rPr>
          <w:rFonts w:ascii="Arial" w:eastAsia="Arial" w:hAnsi="Arial" w:cs="Arial"/>
          <w:color w:val="000000"/>
          <w:sz w:val="20"/>
        </w:rPr>
        <w:t xml:space="preserve"> 28 C.F.R. § 36.302(e)(1)(i). Moreover, such websites must sufficiently "[i]dentify and describe accessible features in the hotels and guest rooms." </w:t>
      </w:r>
      <w:r>
        <w:rPr>
          <w:rFonts w:ascii="Arial" w:eastAsia="Arial" w:hAnsi="Arial" w:cs="Arial"/>
          <w:i/>
          <w:color w:val="000000"/>
          <w:sz w:val="20"/>
        </w:rPr>
        <w:t>Id.</w:t>
      </w:r>
      <w:r>
        <w:rPr>
          <w:rFonts w:ascii="Arial" w:eastAsia="Arial" w:hAnsi="Arial" w:cs="Arial"/>
          <w:color w:val="000000"/>
          <w:sz w:val="20"/>
        </w:rPr>
        <w:t xml:space="preserve"> § 36.302(e)(1)(ii).</w:t>
      </w:r>
    </w:p>
    <w:p w:rsidR="00022B47" w:rsidRDefault="00000000">
      <w:pPr>
        <w:pStyle w:val="Normal9"/>
        <w:widowControl w:val="0"/>
        <w:spacing w:before="200" w:line="260" w:lineRule="atLeast"/>
        <w:jc w:val="both"/>
      </w:pPr>
      <w:bookmarkStart w:id="1346" w:name="Bookmark_para_16_8"/>
      <w:bookmarkEnd w:id="1346"/>
      <w:r>
        <w:rPr>
          <w:rFonts w:ascii="Arial" w:eastAsia="Arial" w:hAnsi="Arial" w:cs="Arial"/>
          <w:color w:val="000000"/>
          <w:sz w:val="20"/>
        </w:rPr>
        <w:t xml:space="preserve">The Complaint reflects that, prior to its filing, Laufer had visited third-party hotel reservation [**7]  websites for Naranda's Sleep Inn &amp; Suites Downtown Inner Harbor on five separate days in July 2020, including websites located at booking.com, trip.com, priceline.com, agoda.com, expedia.com, and orbitz.com. </w:t>
      </w:r>
      <w:r>
        <w:rPr>
          <w:rFonts w:ascii="Arial" w:eastAsia="Arial" w:hAnsi="Arial" w:cs="Arial"/>
          <w:i/>
          <w:color w:val="000000"/>
          <w:sz w:val="20"/>
        </w:rPr>
        <w:t>See</w:t>
      </w:r>
      <w:r>
        <w:rPr>
          <w:rFonts w:ascii="Arial" w:eastAsia="Arial" w:hAnsi="Arial" w:cs="Arial"/>
          <w:color w:val="000000"/>
          <w:sz w:val="20"/>
        </w:rPr>
        <w:t xml:space="preserve"> Complaint ¶¶ 9-10. Those visits were expressly "for the purpose of reviewing and assessing the accessible features at the [hotel] and ascertain[ing] whether they meet the requirements of [the Hotel Reservation Regulation] and [Laufer's] accessibility needs." </w:t>
      </w:r>
      <w:r>
        <w:rPr>
          <w:rFonts w:ascii="Arial" w:eastAsia="Arial" w:hAnsi="Arial" w:cs="Arial"/>
          <w:i/>
          <w:color w:val="000000"/>
          <w:sz w:val="20"/>
        </w:rPr>
        <w:t>Id.</w:t>
      </w:r>
      <w:r>
        <w:rPr>
          <w:rFonts w:ascii="Arial" w:eastAsia="Arial" w:hAnsi="Arial" w:cs="Arial"/>
          <w:color w:val="000000"/>
          <w:sz w:val="20"/>
        </w:rPr>
        <w:t xml:space="preserve"> ¶ 10. The Complaint alleges that none of the six websites allowed for reservation of accessible guest rooms or provided sufficient accessibility information, thereby establishing multiple violations of the Hotel Reservation Regulation by Naranda. </w:t>
      </w:r>
      <w:r>
        <w:rPr>
          <w:rFonts w:ascii="Arial" w:eastAsia="Arial" w:hAnsi="Arial" w:cs="Arial"/>
          <w:i/>
          <w:color w:val="000000"/>
          <w:sz w:val="20"/>
        </w:rPr>
        <w:t>Id.</w:t>
      </w:r>
    </w:p>
    <w:p w:rsidR="00022B47" w:rsidRDefault="00000000">
      <w:pPr>
        <w:pStyle w:val="Normal9"/>
        <w:widowControl w:val="0"/>
        <w:spacing w:before="200" w:line="260" w:lineRule="atLeast"/>
        <w:jc w:val="both"/>
      </w:pPr>
      <w:bookmarkStart w:id="1347" w:name="Bookmark_para_17_8"/>
      <w:bookmarkEnd w:id="1347"/>
      <w:r>
        <w:rPr>
          <w:rFonts w:ascii="Arial" w:eastAsia="Arial" w:hAnsi="Arial" w:cs="Arial"/>
          <w:color w:val="000000"/>
          <w:sz w:val="20"/>
        </w:rPr>
        <w:t xml:space="preserve">As of the time of filing the Complaint, Laufer intended to revisit Naranda's hotel reservation websites consistent with the so-called "system" described in the Complaint for testing compliance with the Hotel Reservation Regulation. </w:t>
      </w:r>
      <w:r>
        <w:rPr>
          <w:rFonts w:ascii="Arial" w:eastAsia="Arial" w:hAnsi="Arial" w:cs="Arial"/>
          <w:i/>
          <w:color w:val="000000"/>
          <w:sz w:val="20"/>
        </w:rPr>
        <w:t>See</w:t>
      </w:r>
      <w:r>
        <w:rPr>
          <w:rFonts w:ascii="Arial" w:eastAsia="Arial" w:hAnsi="Arial" w:cs="Arial"/>
          <w:color w:val="000000"/>
          <w:sz w:val="20"/>
        </w:rPr>
        <w:t xml:space="preserve"> Complaint ¶ 11. Under that system, Laufer typically "visits [a hotel reservation website] multiple times prior to the complaint being filed, then visits again shortly after the complaint is filed." </w:t>
      </w:r>
      <w:r>
        <w:rPr>
          <w:rFonts w:ascii="Arial" w:eastAsia="Arial" w:hAnsi="Arial" w:cs="Arial"/>
          <w:i/>
          <w:color w:val="000000"/>
          <w:sz w:val="20"/>
        </w:rPr>
        <w:t>Id.</w:t>
      </w:r>
      <w:r>
        <w:rPr>
          <w:rFonts w:ascii="Arial" w:eastAsia="Arial" w:hAnsi="Arial" w:cs="Arial"/>
          <w:color w:val="000000"/>
          <w:sz w:val="20"/>
        </w:rPr>
        <w:t xml:space="preserve"> If she subsequently obtains a judgment [**8]  or reaches a settlement agreement in the case, "she records the date by which the [hotel reservation website] must be compliant and revisits when that date arrives." </w:t>
      </w:r>
      <w:r>
        <w:rPr>
          <w:rFonts w:ascii="Arial" w:eastAsia="Arial" w:hAnsi="Arial" w:cs="Arial"/>
          <w:i/>
          <w:color w:val="000000"/>
          <w:sz w:val="20"/>
        </w:rPr>
        <w:t>Id.</w:t>
      </w:r>
    </w:p>
    <w:p w:rsidR="00022B47" w:rsidRDefault="00000000">
      <w:pPr>
        <w:pStyle w:val="Normal9"/>
        <w:widowControl w:val="0"/>
        <w:spacing w:before="200" w:line="260" w:lineRule="atLeast"/>
        <w:jc w:val="both"/>
      </w:pPr>
      <w:bookmarkStart w:id="1348" w:name="Bookmark_para_18_8"/>
      <w:bookmarkEnd w:id="1348"/>
      <w:r>
        <w:rPr>
          <w:rFonts w:ascii="Arial" w:eastAsia="Arial" w:hAnsi="Arial" w:cs="Arial"/>
          <w:color w:val="000000"/>
          <w:sz w:val="20"/>
        </w:rPr>
        <w:t xml:space="preserve">To be sure, the Complaint is not a model of clarity in explaining the legal theories of Laufer's ADA claim, including how she may possess Article III standing to sue Naranda. Nevertheless, the Complaint alleges that Laufer has suffered an informational injury, i.e., that Naranda's violations of the Hotel Reservation Regulation have "deprive[d] her of the information required to make meaningful choices for travel." </w:t>
      </w:r>
      <w:r>
        <w:rPr>
          <w:rFonts w:ascii="Arial" w:eastAsia="Arial" w:hAnsi="Arial" w:cs="Arial"/>
          <w:i/>
          <w:color w:val="000000"/>
          <w:sz w:val="20"/>
        </w:rPr>
        <w:t>See</w:t>
      </w:r>
      <w:r>
        <w:rPr>
          <w:rFonts w:ascii="Arial" w:eastAsia="Arial" w:hAnsi="Arial" w:cs="Arial"/>
          <w:color w:val="000000"/>
          <w:sz w:val="20"/>
        </w:rPr>
        <w:t xml:space="preserve"> Complaint ¶ 13. The Complaint also alleges that Laufer has sustained a stigmatic injury, i.e., that she "has suffered . . . frustration and humiliation as the result of the discriminatory conditions present at [Naranda's hotel reservation websites]." </w:t>
      </w:r>
      <w:r>
        <w:rPr>
          <w:rFonts w:ascii="Arial" w:eastAsia="Arial" w:hAnsi="Arial" w:cs="Arial"/>
          <w:i/>
          <w:color w:val="000000"/>
          <w:sz w:val="20"/>
        </w:rPr>
        <w:t>Id.</w:t>
      </w:r>
      <w:r>
        <w:rPr>
          <w:rFonts w:ascii="Arial" w:eastAsia="Arial" w:hAnsi="Arial" w:cs="Arial"/>
          <w:color w:val="000000"/>
          <w:sz w:val="20"/>
        </w:rPr>
        <w:t xml:space="preserve"> Notably, the Complaint does not mention any travel plans, including whether Laufer had a plan to travel to or through the Baltimore area such that she actually needed to book a hotel room there.</w:t>
      </w:r>
    </w:p>
    <w:p w:rsidR="00022B47" w:rsidRDefault="00000000">
      <w:pPr>
        <w:pStyle w:val="Normal9"/>
        <w:widowControl w:val="0"/>
        <w:spacing w:before="120" w:line="260" w:lineRule="atLeast"/>
      </w:pPr>
      <w:r>
        <w:rPr>
          <w:rFonts w:ascii="Arial" w:eastAsia="Arial" w:hAnsi="Arial" w:cs="Arial"/>
          <w:color w:val="000000"/>
          <w:sz w:val="20"/>
        </w:rPr>
        <w:t>B.</w:t>
      </w:r>
    </w:p>
    <w:p w:rsidR="00022B47" w:rsidRDefault="00000000">
      <w:pPr>
        <w:pStyle w:val="Normal9"/>
        <w:widowControl w:val="0"/>
        <w:spacing w:before="200" w:line="260" w:lineRule="atLeast"/>
        <w:jc w:val="both"/>
      </w:pPr>
      <w:bookmarkStart w:id="1349" w:name="Bookmark_para_19_8"/>
      <w:bookmarkEnd w:id="1349"/>
      <w:r>
        <w:rPr>
          <w:rFonts w:ascii="Arial" w:eastAsia="Arial" w:hAnsi="Arial" w:cs="Arial"/>
          <w:color w:val="000000"/>
          <w:sz w:val="20"/>
        </w:rPr>
        <w:t>In September 2020, Naranda filed a motion to dismiss the Complaint under Federal Rule of Civil Procedure 12(b)(1) for lack of Article III standing to sue and under Rule 12(b)(6) for failure to state a claim upon which relief [**9]  can be granted. On the standing issue, Naranda argued that Laufer cannot pursue her ADA claim because the Complaint merely identifies her as a "tester" and does not allege any travel plans reflecting a need to book a hotel room in the Baltimore area. That argument prompted Laufer to attach a declaration to her response in opposition to Naranda's motion, attesting that she planned to travel throughout Maryland, including the Baltimore area, once the COVID-19 crisis was over and it was thus safe to do so. The district court conducted an evidentiary hearing in early December 2020 that focused on the definiteness and veracity of  [*161]  Laufer's alleged travel plans, which — consistent with then-recent District of Maryland precedents — the court deemed to be key to the standing issue.</w:t>
      </w:r>
    </w:p>
    <w:p w:rsidR="00022B47" w:rsidRDefault="00000000">
      <w:pPr>
        <w:pStyle w:val="Normal9"/>
        <w:widowControl w:val="0"/>
        <w:spacing w:before="200" w:line="260" w:lineRule="atLeast"/>
        <w:jc w:val="both"/>
      </w:pPr>
      <w:bookmarkStart w:id="1350" w:name="Bookmark_para_20_8"/>
      <w:bookmarkEnd w:id="1350"/>
      <w:r>
        <w:rPr>
          <w:rFonts w:ascii="Arial" w:eastAsia="Arial" w:hAnsi="Arial" w:cs="Arial"/>
          <w:color w:val="000000"/>
          <w:sz w:val="20"/>
        </w:rPr>
        <w:t xml:space="preserve">Later in December 2020, the district court rendered its decision dismissing Laufer's ADA claim for lack of Article III standing to sue, without reaching and ruling on the colorability of that claim. </w:t>
      </w:r>
      <w:r>
        <w:rPr>
          <w:rFonts w:ascii="Arial" w:eastAsia="Arial" w:hAnsi="Arial" w:cs="Arial"/>
          <w:i/>
          <w:color w:val="000000"/>
          <w:sz w:val="20"/>
        </w:rPr>
        <w:t>See</w:t>
      </w:r>
      <w:r>
        <w:rPr>
          <w:rFonts w:ascii="Arial" w:eastAsia="Arial" w:hAnsi="Arial" w:cs="Arial"/>
          <w:color w:val="000000"/>
          <w:sz w:val="20"/>
        </w:rPr>
        <w:t xml:space="preserve"> Dismissal Opinion 20 (specifying that dismissal was for "jurisdictional defect" of "lack of standing"). The court's decision was largely based on findings not only that Laufer's alleged travel plans were too indefinite [**10]  to establish standing, but also that Laufer lacked credibility. </w:t>
      </w:r>
      <w:r>
        <w:rPr>
          <w:rFonts w:ascii="Arial" w:eastAsia="Arial" w:hAnsi="Arial" w:cs="Arial"/>
          <w:i/>
          <w:color w:val="000000"/>
          <w:sz w:val="20"/>
        </w:rPr>
        <w:t>See id.</w:t>
      </w:r>
      <w:r>
        <w:rPr>
          <w:rFonts w:ascii="Arial" w:eastAsia="Arial" w:hAnsi="Arial" w:cs="Arial"/>
          <w:color w:val="000000"/>
          <w:sz w:val="20"/>
        </w:rPr>
        <w:t xml:space="preserve"> at 13 (explaining that inconsistencies in Laufer's hearing testimony and other evidence "significantly undermine her credibility, such that the Court does not believe her alleged plans to visit Maryland post-COVID are genuine"). Laufer timely noted this appeal, and we possess jurisdiction pursuant to 28 U.S.C. § 1291.</w:t>
      </w:r>
    </w:p>
    <w:p w:rsidR="00022B47" w:rsidRDefault="00000000">
      <w:pPr>
        <w:pStyle w:val="Normal9"/>
        <w:widowControl w:val="0"/>
        <w:spacing w:before="120" w:line="260" w:lineRule="atLeast"/>
      </w:pPr>
      <w:r>
        <w:rPr>
          <w:rFonts w:ascii="Arial" w:eastAsia="Arial" w:hAnsi="Arial" w:cs="Arial"/>
          <w:color w:val="000000"/>
          <w:sz w:val="20"/>
        </w:rPr>
        <w:t>II.</w:t>
      </w:r>
    </w:p>
    <w:p w:rsidR="00022B47" w:rsidRDefault="00000000">
      <w:pPr>
        <w:pStyle w:val="Normal9"/>
        <w:widowControl w:val="0"/>
        <w:spacing w:before="200" w:line="260" w:lineRule="atLeast"/>
        <w:jc w:val="both"/>
      </w:pPr>
      <w:bookmarkStart w:id="1351" w:name="Bookmark_para_21_8"/>
      <w:bookmarkStart w:id="1352" w:name="Bookmark_I67K33W62SF8T90010000400"/>
      <w:bookmarkStart w:id="1353" w:name="Bookmark_LNHNREFclscc4_7"/>
      <w:bookmarkEnd w:id="1351"/>
      <w:bookmarkEnd w:id="1352"/>
      <w:bookmarkEnd w:id="1353"/>
      <w:r>
        <w:rPr>
          <w:rFonts w:ascii="Arial" w:eastAsia="Arial" w:hAnsi="Arial" w:cs="Arial"/>
          <w:color w:val="000000"/>
          <w:sz w:val="20"/>
        </w:rPr>
        <w:t xml:space="preserve">Pursuant to Article III of the Constitution, the jurisdiction of the federal courts is limited to "Cases" and "Controversies." </w:t>
      </w:r>
      <w:r>
        <w:rPr>
          <w:rFonts w:ascii="Arial" w:eastAsia="Arial" w:hAnsi="Arial" w:cs="Arial"/>
          <w:i/>
          <w:color w:val="000000"/>
          <w:sz w:val="20"/>
        </w:rPr>
        <w:t>See</w:t>
      </w:r>
      <w:r>
        <w:rPr>
          <w:rFonts w:ascii="Arial" w:eastAsia="Arial" w:hAnsi="Arial" w:cs="Arial"/>
          <w:color w:val="000000"/>
          <w:sz w:val="20"/>
        </w:rPr>
        <w:t xml:space="preserve"> U.S. Const. art. III, § 2. The Supreme Court has long understood Article III "to require that a case embody a genuine, live dispute between adverse parties, thereby preventing the federal courts from issuing advisory opinions." </w:t>
      </w:r>
      <w:r>
        <w:rPr>
          <w:rFonts w:ascii="Arial" w:eastAsia="Arial" w:hAnsi="Arial" w:cs="Arial"/>
          <w:i/>
          <w:color w:val="000000"/>
          <w:sz w:val="20"/>
        </w:rPr>
        <w:t xml:space="preserve">See </w:t>
      </w:r>
      <w:bookmarkStart w:id="1354" w:name="Bookmark_I67K33W528T4FJ0050000400"/>
      <w:bookmarkEnd w:id="1354"/>
      <w:r>
        <w:rPr>
          <w:rFonts w:ascii="Arial" w:eastAsia="Arial" w:hAnsi="Arial" w:cs="Arial"/>
          <w:i/>
          <w:color w:val="000000"/>
          <w:sz w:val="20"/>
        </w:rPr>
        <w:t>Carney v. Adams</w:t>
      </w:r>
      <w:r>
        <w:rPr>
          <w:rFonts w:ascii="Arial" w:eastAsia="Arial" w:hAnsi="Arial" w:cs="Arial"/>
          <w:color w:val="000000"/>
          <w:sz w:val="20"/>
        </w:rPr>
        <w:t xml:space="preserve">, 141 S. Ct. 493, 498, 208 L. Ed. 2d 305 (2020). And the Court has identified the doctrine of standing as a means to implement that requirement. </w:t>
      </w:r>
      <w:r>
        <w:rPr>
          <w:rFonts w:ascii="Arial" w:eastAsia="Arial" w:hAnsi="Arial" w:cs="Arial"/>
          <w:i/>
          <w:color w:val="000000"/>
          <w:sz w:val="20"/>
        </w:rPr>
        <w:t>Id.</w:t>
      </w:r>
    </w:p>
    <w:p w:rsidR="00022B47" w:rsidRDefault="00000000">
      <w:pPr>
        <w:pStyle w:val="Normal9"/>
        <w:widowControl w:val="0"/>
        <w:spacing w:before="200" w:line="260" w:lineRule="atLeast"/>
        <w:jc w:val="both"/>
      </w:pPr>
      <w:bookmarkStart w:id="1355" w:name="Bookmark_para_22_7"/>
      <w:bookmarkStart w:id="1356" w:name="Bookmark_I67K33W62SF8T90030000400"/>
      <w:bookmarkStart w:id="1357" w:name="Bookmark_I67K33W62SF8T90050000400"/>
      <w:bookmarkStart w:id="1358" w:name="Bookmark_LNHNREFclscc5_7"/>
      <w:bookmarkEnd w:id="1355"/>
      <w:bookmarkEnd w:id="1356"/>
      <w:bookmarkEnd w:id="1357"/>
      <w:bookmarkEnd w:id="1358"/>
      <w:r>
        <w:rPr>
          <w:rFonts w:ascii="Arial" w:eastAsia="Arial" w:hAnsi="Arial" w:cs="Arial"/>
          <w:color w:val="000000"/>
          <w:sz w:val="20"/>
        </w:rPr>
        <w:t xml:space="preserve">In order to possess Article III standing to sue, a plaintiff must satisfy the three elements enunciated by the Court in </w:t>
      </w:r>
      <w:bookmarkStart w:id="1359" w:name="Bookmark_I67K33W62SF8T90020000400"/>
      <w:bookmarkEnd w:id="1359"/>
      <w:r>
        <w:rPr>
          <w:rFonts w:ascii="Arial" w:eastAsia="Arial" w:hAnsi="Arial" w:cs="Arial"/>
          <w:i/>
          <w:color w:val="000000"/>
          <w:sz w:val="20"/>
        </w:rPr>
        <w:t>Lujan v. Defenders of Wildlife</w:t>
      </w:r>
      <w:r>
        <w:rPr>
          <w:rFonts w:ascii="Arial" w:eastAsia="Arial" w:hAnsi="Arial" w:cs="Arial"/>
          <w:color w:val="000000"/>
          <w:sz w:val="20"/>
        </w:rPr>
        <w:t xml:space="preserve">, 504 U.S. 555, 560-61, 112 S. Ct. 2130, 119 L. Ed. 2d 351 (1992) (culling elements from prior decisions). </w:t>
      </w:r>
      <w:bookmarkStart w:id="1360" w:name="Bookmark_I67K33W62N1PTD0040000400"/>
      <w:bookmarkEnd w:id="1360"/>
      <w:r>
        <w:rPr>
          <w:rFonts w:ascii="Arial" w:eastAsia="Arial" w:hAnsi="Arial" w:cs="Arial"/>
          <w:color w:val="000000"/>
          <w:sz w:val="20"/>
        </w:rPr>
        <w:t xml:space="preserve">Under the first </w:t>
      </w:r>
      <w:bookmarkStart w:id="1361" w:name="Bookmark_I67K33W62SF8T90040000400"/>
      <w:bookmarkEnd w:id="1361"/>
      <w:r>
        <w:rPr>
          <w:rFonts w:ascii="Arial" w:eastAsia="Arial" w:hAnsi="Arial" w:cs="Arial"/>
          <w:i/>
          <w:color w:val="000000"/>
          <w:sz w:val="20"/>
        </w:rPr>
        <w:t>Lujan</w:t>
      </w:r>
      <w:bookmarkStart w:id="1362" w:name="Bookmark_I67K33W628T4FS0010000400"/>
      <w:bookmarkEnd w:id="1362"/>
      <w:r>
        <w:rPr>
          <w:rFonts w:ascii="Arial" w:eastAsia="Arial" w:hAnsi="Arial" w:cs="Arial"/>
          <w:color w:val="000000"/>
          <w:sz w:val="20"/>
        </w:rPr>
        <w:t xml:space="preserve"> element, "the plaintiff must have suffered an 'injury in fact' — an invasion of a legally protected interest which is (a) concrete and particularized, and (b) actual or imminent, not conjectural or hypothetical." </w:t>
      </w:r>
      <w:r>
        <w:rPr>
          <w:rFonts w:ascii="Arial" w:eastAsia="Arial" w:hAnsi="Arial" w:cs="Arial"/>
          <w:i/>
          <w:color w:val="000000"/>
          <w:sz w:val="20"/>
        </w:rPr>
        <w:t>See</w:t>
      </w:r>
      <w:r>
        <w:rPr>
          <w:rFonts w:ascii="Arial" w:eastAsia="Arial" w:hAnsi="Arial" w:cs="Arial"/>
          <w:color w:val="000000"/>
          <w:sz w:val="20"/>
        </w:rPr>
        <w:t xml:space="preserve"> </w:t>
      </w:r>
      <w:bookmarkStart w:id="1363" w:name="Bookmark_I67K33W62N1PTD0010000400"/>
      <w:bookmarkEnd w:id="1363"/>
      <w:r>
        <w:rPr>
          <w:rFonts w:ascii="Arial" w:eastAsia="Arial" w:hAnsi="Arial" w:cs="Arial"/>
          <w:color w:val="000000"/>
          <w:sz w:val="20"/>
        </w:rPr>
        <w:t xml:space="preserve">504 U.S. at 560 (citations and internal quotation marks [**11]  omitted). </w:t>
      </w:r>
      <w:bookmarkStart w:id="1364" w:name="Bookmark_I67K33W628T4FS0010000400_2"/>
      <w:bookmarkStart w:id="1365" w:name="Bookmark_I67K33W62N1PTD0040000400_2"/>
      <w:bookmarkEnd w:id="1364"/>
      <w:bookmarkEnd w:id="1365"/>
      <w:r>
        <w:rPr>
          <w:rFonts w:ascii="Arial" w:eastAsia="Arial" w:hAnsi="Arial" w:cs="Arial"/>
          <w:color w:val="000000"/>
          <w:sz w:val="20"/>
        </w:rPr>
        <w:t xml:space="preserve">The second element requires "a causal connection between the injury and the conduct complained of." </w:t>
      </w:r>
      <w:r>
        <w:rPr>
          <w:rFonts w:ascii="Arial" w:eastAsia="Arial" w:hAnsi="Arial" w:cs="Arial"/>
          <w:i/>
          <w:color w:val="000000"/>
          <w:sz w:val="20"/>
        </w:rPr>
        <w:t>Id.</w:t>
      </w:r>
      <w:r>
        <w:rPr>
          <w:rFonts w:ascii="Arial" w:eastAsia="Arial" w:hAnsi="Arial" w:cs="Arial"/>
          <w:color w:val="000000"/>
          <w:sz w:val="20"/>
        </w:rPr>
        <w:t xml:space="preserve"> As for the third element, "it must be likely, as opposed to merely speculative, that the injury will be redressed by a favorable decision." </w:t>
      </w:r>
      <w:bookmarkStart w:id="1366" w:name="Bookmark_I67K33W62N1PTD0030000400"/>
      <w:bookmarkEnd w:id="1366"/>
      <w:r>
        <w:rPr>
          <w:rFonts w:ascii="Arial" w:eastAsia="Arial" w:hAnsi="Arial" w:cs="Arial"/>
          <w:i/>
          <w:color w:val="000000"/>
          <w:sz w:val="20"/>
        </w:rPr>
        <w:t>Id.</w:t>
      </w:r>
      <w:r>
        <w:rPr>
          <w:rFonts w:ascii="Arial" w:eastAsia="Arial" w:hAnsi="Arial" w:cs="Arial"/>
          <w:color w:val="000000"/>
          <w:sz w:val="20"/>
        </w:rPr>
        <w:t xml:space="preserve"> at 561 (internal quotation marks omitted). Additionally, where injunctive relief is sought, the plaintiff must show a "real or immediate threat that [she] will be wronged again." </w:t>
      </w:r>
      <w:r>
        <w:rPr>
          <w:rFonts w:ascii="Arial" w:eastAsia="Arial" w:hAnsi="Arial" w:cs="Arial"/>
          <w:i/>
          <w:color w:val="000000"/>
          <w:sz w:val="20"/>
        </w:rPr>
        <w:t xml:space="preserve">See </w:t>
      </w:r>
      <w:bookmarkStart w:id="1367" w:name="Bookmark_I67K33W62N1PTD0050000400"/>
      <w:bookmarkEnd w:id="1367"/>
      <w:r>
        <w:rPr>
          <w:rFonts w:ascii="Arial" w:eastAsia="Arial" w:hAnsi="Arial" w:cs="Arial"/>
          <w:i/>
          <w:color w:val="000000"/>
          <w:sz w:val="20"/>
        </w:rPr>
        <w:t>City of L.A. v. Lyons</w:t>
      </w:r>
      <w:r>
        <w:rPr>
          <w:rFonts w:ascii="Arial" w:eastAsia="Arial" w:hAnsi="Arial" w:cs="Arial"/>
          <w:color w:val="000000"/>
          <w:sz w:val="20"/>
        </w:rPr>
        <w:t>, 461 U.S. 95, 111, 103 S. Ct. 1660, 75 L. Ed. 2d 675 (1983).</w:t>
      </w:r>
    </w:p>
    <w:p w:rsidR="00022B47" w:rsidRDefault="00000000">
      <w:pPr>
        <w:pStyle w:val="Normal9"/>
        <w:widowControl w:val="0"/>
        <w:spacing w:before="200" w:line="260" w:lineRule="atLeast"/>
        <w:jc w:val="both"/>
      </w:pPr>
      <w:bookmarkStart w:id="1368" w:name="Bookmark_para_23_7"/>
      <w:bookmarkStart w:id="1369" w:name="Bookmark_I67K33W628T4FS0030000400"/>
      <w:bookmarkStart w:id="1370" w:name="Bookmark_I67K33W72HM6KX0020000400"/>
      <w:bookmarkStart w:id="1371" w:name="Bookmark_LNHNREFclscc6_7"/>
      <w:bookmarkEnd w:id="1368"/>
      <w:bookmarkEnd w:id="1369"/>
      <w:bookmarkEnd w:id="1370"/>
      <w:bookmarkEnd w:id="1371"/>
      <w:r>
        <w:rPr>
          <w:rFonts w:ascii="Arial" w:eastAsia="Arial" w:hAnsi="Arial" w:cs="Arial"/>
          <w:color w:val="000000"/>
          <w:sz w:val="20"/>
        </w:rPr>
        <w:t xml:space="preserve">When assessing whether a plaintiff possesses Article III standing to sue, a court "accept[s] as valid the merits of [the plaintiff's] legal claims." </w:t>
      </w:r>
      <w:r>
        <w:rPr>
          <w:rFonts w:ascii="Arial" w:eastAsia="Arial" w:hAnsi="Arial" w:cs="Arial"/>
          <w:i/>
          <w:color w:val="000000"/>
          <w:sz w:val="20"/>
        </w:rPr>
        <w:t xml:space="preserve">See </w:t>
      </w:r>
      <w:bookmarkStart w:id="1372" w:name="Bookmark_I67K33W628T4FS0020000400"/>
      <w:bookmarkEnd w:id="1372"/>
      <w:r>
        <w:rPr>
          <w:rFonts w:ascii="Arial" w:eastAsia="Arial" w:hAnsi="Arial" w:cs="Arial"/>
          <w:i/>
          <w:color w:val="000000"/>
          <w:sz w:val="20"/>
        </w:rPr>
        <w:t>Fed. Election Comm'n v. Cruz</w:t>
      </w:r>
      <w:r>
        <w:rPr>
          <w:rFonts w:ascii="Arial" w:eastAsia="Arial" w:hAnsi="Arial" w:cs="Arial"/>
          <w:color w:val="000000"/>
          <w:sz w:val="20"/>
        </w:rPr>
        <w:t xml:space="preserve">, 142 S. Ct. 1638, 1647, 212 L. Ed. 2d 654 (2022); </w:t>
      </w:r>
      <w:r>
        <w:rPr>
          <w:rFonts w:ascii="Arial" w:eastAsia="Arial" w:hAnsi="Arial" w:cs="Arial"/>
          <w:i/>
          <w:color w:val="000000"/>
          <w:sz w:val="20"/>
        </w:rPr>
        <w:t xml:space="preserve">see also </w:t>
      </w:r>
      <w:bookmarkStart w:id="1373" w:name="Bookmark_I67K33W628T4FS0040000400"/>
      <w:bookmarkEnd w:id="1373"/>
      <w:r>
        <w:rPr>
          <w:rFonts w:ascii="Arial" w:eastAsia="Arial" w:hAnsi="Arial" w:cs="Arial"/>
          <w:i/>
          <w:color w:val="000000"/>
          <w:sz w:val="20"/>
        </w:rPr>
        <w:t>Warth v. Seldin</w:t>
      </w:r>
      <w:r>
        <w:rPr>
          <w:rFonts w:ascii="Arial" w:eastAsia="Arial" w:hAnsi="Arial" w:cs="Arial"/>
          <w:color w:val="000000"/>
          <w:sz w:val="20"/>
        </w:rPr>
        <w:t xml:space="preserve">, 422 U.S. 490, 500, 95 S. Ct. 2197, 45 L. Ed. 2d 343 (1975) (recognizing that "standing in no way depends on the merits of the plaintiff's contention that particular conduct is illegal"). </w:t>
      </w:r>
      <w:bookmarkStart w:id="1374" w:name="Bookmark_I67K33W72HM6KX0040000400"/>
      <w:bookmarkEnd w:id="1374"/>
      <w:r>
        <w:rPr>
          <w:rFonts w:ascii="Arial" w:eastAsia="Arial" w:hAnsi="Arial" w:cs="Arial"/>
          <w:color w:val="000000"/>
          <w:sz w:val="20"/>
        </w:rPr>
        <w:t xml:space="preserve">Further, a court "must look to the facts at the time the complaint was filed." </w:t>
      </w:r>
      <w:r>
        <w:rPr>
          <w:rFonts w:ascii="Arial" w:eastAsia="Arial" w:hAnsi="Arial" w:cs="Arial"/>
          <w:i/>
          <w:color w:val="000000"/>
          <w:sz w:val="20"/>
        </w:rPr>
        <w:t xml:space="preserve">See </w:t>
      </w:r>
      <w:bookmarkStart w:id="1375" w:name="Bookmark_I67K33W72HM6KX0010000400"/>
      <w:bookmarkEnd w:id="1375"/>
      <w:r>
        <w:rPr>
          <w:rFonts w:ascii="Arial" w:eastAsia="Arial" w:hAnsi="Arial" w:cs="Arial"/>
          <w:i/>
          <w:color w:val="000000"/>
          <w:sz w:val="20"/>
        </w:rPr>
        <w:t>Wild Va. v. Council on Env't Quality</w:t>
      </w:r>
      <w:r>
        <w:rPr>
          <w:rFonts w:ascii="Arial" w:eastAsia="Arial" w:hAnsi="Arial" w:cs="Arial"/>
          <w:color w:val="000000"/>
          <w:sz w:val="20"/>
        </w:rPr>
        <w:t xml:space="preserve">, 56 F.4th 281, 293 (4th Cir. 2022). A district court may limit its standing inquiry to the allegations of the complaint or, if there are any material factual disputes, it may conduct an evidentiary hearing. </w:t>
      </w:r>
      <w:bookmarkStart w:id="1376" w:name="Bookmark_I67K33W72HM6KX0040000400_2"/>
      <w:bookmarkStart w:id="1377" w:name="Bookmark_I67K33W82N1PTJ0010000400"/>
      <w:bookmarkEnd w:id="1376"/>
      <w:bookmarkEnd w:id="1377"/>
      <w:r>
        <w:rPr>
          <w:rFonts w:ascii="Arial" w:eastAsia="Arial" w:hAnsi="Arial" w:cs="Arial"/>
          <w:i/>
          <w:color w:val="000000"/>
          <w:sz w:val="20"/>
        </w:rPr>
        <w:t xml:space="preserve">See </w:t>
      </w:r>
      <w:bookmarkStart w:id="1378" w:name="Bookmark_I67K33W72HM6KX0030000400"/>
      <w:bookmarkEnd w:id="1378"/>
      <w:r>
        <w:rPr>
          <w:rFonts w:ascii="Arial" w:eastAsia="Arial" w:hAnsi="Arial" w:cs="Arial"/>
          <w:i/>
          <w:color w:val="000000"/>
          <w:sz w:val="20"/>
        </w:rPr>
        <w:t>Wikimedia Found. v. Nat'l Sec. Agency</w:t>
      </w:r>
      <w:r>
        <w:rPr>
          <w:rFonts w:ascii="Arial" w:eastAsia="Arial" w:hAnsi="Arial" w:cs="Arial"/>
          <w:color w:val="000000"/>
          <w:sz w:val="20"/>
        </w:rPr>
        <w:t xml:space="preserve">, 857 F.3d 193, 208 (4th Cir. 2017). </w:t>
      </w:r>
      <w:bookmarkStart w:id="1379" w:name="Bookmark_I67K33W82N1PTJ0010000400_2"/>
      <w:bookmarkEnd w:id="1379"/>
      <w:r>
        <w:rPr>
          <w:rFonts w:ascii="Arial" w:eastAsia="Arial" w:hAnsi="Arial" w:cs="Arial"/>
          <w:color w:val="000000"/>
          <w:sz w:val="20"/>
        </w:rPr>
        <w:t xml:space="preserve">On appeal, where a district court has conducted such a hearing, we review relevant findings of fact for clear error. </w:t>
      </w:r>
      <w:r>
        <w:rPr>
          <w:rFonts w:ascii="Arial" w:eastAsia="Arial" w:hAnsi="Arial" w:cs="Arial"/>
          <w:i/>
          <w:color w:val="000000"/>
          <w:sz w:val="20"/>
        </w:rPr>
        <w:t xml:space="preserve">See </w:t>
      </w:r>
      <w:bookmarkStart w:id="1380" w:name="Bookmark_I67K33W72HM6KX0050000400"/>
      <w:bookmarkEnd w:id="1380"/>
      <w:r>
        <w:rPr>
          <w:rFonts w:ascii="Arial" w:eastAsia="Arial" w:hAnsi="Arial" w:cs="Arial"/>
          <w:i/>
          <w:color w:val="000000"/>
          <w:sz w:val="20"/>
        </w:rPr>
        <w:t>Piney Run Pres. Ass'n v. Cnty. Comm'rs</w:t>
      </w:r>
      <w:r>
        <w:rPr>
          <w:rFonts w:ascii="Arial" w:eastAsia="Arial" w:hAnsi="Arial" w:cs="Arial"/>
          <w:color w:val="000000"/>
          <w:sz w:val="20"/>
        </w:rPr>
        <w:t xml:space="preserve">, 268 F.3d 255, 262 (4th Cir.  [*162]  2001). We otherwise "consider the legal question of whether [a plaintiff] possesses standing to sue as a de [**12]  novo matter." </w:t>
      </w:r>
      <w:r>
        <w:rPr>
          <w:rFonts w:ascii="Arial" w:eastAsia="Arial" w:hAnsi="Arial" w:cs="Arial"/>
          <w:i/>
          <w:color w:val="000000"/>
          <w:sz w:val="20"/>
        </w:rPr>
        <w:t>Id.</w:t>
      </w:r>
    </w:p>
    <w:p w:rsidR="00022B47" w:rsidRDefault="00000000">
      <w:pPr>
        <w:pStyle w:val="Normal9"/>
        <w:widowControl w:val="0"/>
        <w:spacing w:before="200" w:line="260" w:lineRule="atLeast"/>
        <w:jc w:val="both"/>
      </w:pPr>
      <w:bookmarkStart w:id="1381" w:name="Bookmark_para_24_7"/>
      <w:bookmarkStart w:id="1382" w:name="Bookmark_I1XXT3G32VM0000814900043"/>
      <w:bookmarkStart w:id="1383" w:name="Bookmark_I67K33W82N1PTJ0030000400"/>
      <w:bookmarkEnd w:id="1381"/>
      <w:bookmarkEnd w:id="1382"/>
      <w:bookmarkEnd w:id="1383"/>
      <w:r>
        <w:rPr>
          <w:rFonts w:ascii="Arial" w:eastAsia="Arial" w:hAnsi="Arial" w:cs="Arial"/>
          <w:color w:val="000000"/>
          <w:sz w:val="20"/>
        </w:rPr>
        <w:t xml:space="preserve">Here, the issue is whether Laufer possesses Article III standing to sue Naranda based on an injury — specifically, an informational injury or a stigmatic injury — that meets the requirements of the three </w:t>
      </w:r>
      <w:bookmarkStart w:id="1384" w:name="Bookmark_I67K33W82N1PTJ0020000400"/>
      <w:bookmarkEnd w:id="1384"/>
      <w:r>
        <w:rPr>
          <w:rFonts w:ascii="Arial" w:eastAsia="Arial" w:hAnsi="Arial" w:cs="Arial"/>
          <w:i/>
          <w:color w:val="000000"/>
          <w:sz w:val="20"/>
        </w:rPr>
        <w:t>Lujan</w:t>
      </w:r>
      <w:bookmarkStart w:id="1385" w:name="Bookmark_I67K33W82N1PTJ0050000400"/>
      <w:bookmarkEnd w:id="1385"/>
      <w:r>
        <w:rPr>
          <w:rFonts w:ascii="Arial" w:eastAsia="Arial" w:hAnsi="Arial" w:cs="Arial"/>
          <w:color w:val="000000"/>
          <w:sz w:val="20"/>
        </w:rPr>
        <w:t xml:space="preserve"> elements. In dismissing Laufer's ADA claim against Naranda for lack of standing, the district court relied on local precedents concluding in analogous District of Maryland actions that Laufer asserted no qualifying informational or stigmatic injury. </w:t>
      </w:r>
      <w:bookmarkStart w:id="1386" w:name="Bookmark_I67K33W82N1PTJ0050000400_2"/>
      <w:bookmarkEnd w:id="1386"/>
      <w:r>
        <w:rPr>
          <w:rFonts w:ascii="Arial" w:eastAsia="Arial" w:hAnsi="Arial" w:cs="Arial"/>
          <w:i/>
          <w:color w:val="000000"/>
          <w:sz w:val="20"/>
        </w:rPr>
        <w:t>See</w:t>
      </w:r>
      <w:r>
        <w:rPr>
          <w:rFonts w:ascii="Arial" w:eastAsia="Arial" w:hAnsi="Arial" w:cs="Arial"/>
          <w:color w:val="000000"/>
          <w:sz w:val="20"/>
        </w:rPr>
        <w:t xml:space="preserve"> Dismissal Opinion 7 (citing </w:t>
      </w:r>
      <w:bookmarkStart w:id="1387" w:name="Bookmark_I67K33W82N1PTJ0040000400"/>
      <w:bookmarkEnd w:id="1387"/>
      <w:r>
        <w:rPr>
          <w:rFonts w:ascii="Arial" w:eastAsia="Arial" w:hAnsi="Arial" w:cs="Arial"/>
          <w:i/>
          <w:color w:val="000000"/>
          <w:sz w:val="20"/>
        </w:rPr>
        <w:t>Laufer v. Ft. Meade Hosp., LLC</w:t>
      </w:r>
      <w:r>
        <w:rPr>
          <w:rFonts w:ascii="Arial" w:eastAsia="Arial" w:hAnsi="Arial" w:cs="Arial"/>
          <w:color w:val="000000"/>
          <w:sz w:val="20"/>
        </w:rPr>
        <w:t xml:space="preserve">, No. 8:20-cv-01974, 2020 U.S. Dist. LEXIS 210299, ECF No. 8; </w:t>
      </w:r>
      <w:bookmarkStart w:id="1388" w:name="Bookmark_I67K33W82SF8TK0010000400"/>
      <w:bookmarkEnd w:id="1388"/>
      <w:r>
        <w:rPr>
          <w:rFonts w:ascii="Arial" w:eastAsia="Arial" w:hAnsi="Arial" w:cs="Arial"/>
          <w:i/>
          <w:color w:val="000000"/>
          <w:sz w:val="20"/>
        </w:rPr>
        <w:t>Laufer v. Bre/Esa P Portfolio, LLC</w:t>
      </w:r>
      <w:r>
        <w:rPr>
          <w:rFonts w:ascii="Arial" w:eastAsia="Arial" w:hAnsi="Arial" w:cs="Arial"/>
          <w:color w:val="000000"/>
          <w:sz w:val="20"/>
        </w:rPr>
        <w:t xml:space="preserve">, No. 1:20-cv-01973, 2020 U.S. Dist. LEXIS 216377, ECF No. 17). </w:t>
      </w:r>
      <w:bookmarkStart w:id="1389" w:name="Bookmark_I67K33W82SF8TK0040000400"/>
      <w:bookmarkEnd w:id="1389"/>
      <w:r>
        <w:rPr>
          <w:rFonts w:ascii="Arial" w:eastAsia="Arial" w:hAnsi="Arial" w:cs="Arial"/>
          <w:color w:val="000000"/>
          <w:sz w:val="20"/>
        </w:rPr>
        <w:t xml:space="preserve">As the court saw it, Laufer must demonstrate something more than simply being a "tester" — with that something more being a definite and credible plan to travel to the Baltimore area and book a hotel room there. </w:t>
      </w:r>
      <w:r>
        <w:rPr>
          <w:rFonts w:ascii="Arial" w:eastAsia="Arial" w:hAnsi="Arial" w:cs="Arial"/>
          <w:i/>
          <w:color w:val="000000"/>
          <w:sz w:val="20"/>
        </w:rPr>
        <w:t>Id.</w:t>
      </w:r>
      <w:r>
        <w:rPr>
          <w:rFonts w:ascii="Arial" w:eastAsia="Arial" w:hAnsi="Arial" w:cs="Arial"/>
          <w:color w:val="000000"/>
          <w:sz w:val="20"/>
        </w:rPr>
        <w:t xml:space="preserve"> at 7-10. Because Laufer did not prove such travel plans, the court ruled that her alleged injuries are not concrete, particularized, and actual or imminent in satisfaction of the first </w:t>
      </w:r>
      <w:bookmarkStart w:id="1390" w:name="Bookmark_I67K33W82SF8TK0040000400_2"/>
      <w:bookmarkStart w:id="1391" w:name="Bookmark_I67K33W82SF8TK0030000400"/>
      <w:bookmarkEnd w:id="1390"/>
      <w:bookmarkEnd w:id="1391"/>
      <w:r>
        <w:rPr>
          <w:rFonts w:ascii="Arial" w:eastAsia="Arial" w:hAnsi="Arial" w:cs="Arial"/>
          <w:i/>
          <w:color w:val="000000"/>
          <w:sz w:val="20"/>
        </w:rPr>
        <w:t>Lujan</w:t>
      </w:r>
      <w:r>
        <w:rPr>
          <w:rFonts w:ascii="Arial" w:eastAsia="Arial" w:hAnsi="Arial" w:cs="Arial"/>
          <w:color w:val="000000"/>
          <w:sz w:val="20"/>
        </w:rPr>
        <w:t xml:space="preserve"> element of an injury in fact. </w:t>
      </w:r>
      <w:r>
        <w:rPr>
          <w:rFonts w:ascii="Arial" w:eastAsia="Arial" w:hAnsi="Arial" w:cs="Arial"/>
          <w:i/>
          <w:color w:val="000000"/>
          <w:sz w:val="20"/>
        </w:rPr>
        <w:t>Id.</w:t>
      </w:r>
      <w:r>
        <w:rPr>
          <w:rFonts w:ascii="Arial" w:eastAsia="Arial" w:hAnsi="Arial" w:cs="Arial"/>
          <w:color w:val="000000"/>
          <w:sz w:val="20"/>
        </w:rPr>
        <w:t xml:space="preserve"> at 10-20.</w:t>
      </w:r>
    </w:p>
    <w:p w:rsidR="00022B47" w:rsidRDefault="00000000">
      <w:pPr>
        <w:pStyle w:val="Normal9"/>
        <w:widowControl w:val="0"/>
        <w:spacing w:before="200" w:line="260" w:lineRule="atLeast"/>
        <w:jc w:val="both"/>
      </w:pPr>
      <w:bookmarkStart w:id="1392" w:name="Bookmark_para_25_7"/>
      <w:bookmarkStart w:id="1393" w:name="Bookmark_I1XXT3G29GT000081490003W"/>
      <w:bookmarkStart w:id="1394" w:name="Bookmark_I1XXT3G2JT3000081490003Y"/>
      <w:bookmarkStart w:id="1395" w:name="Bookmark_I1XXT3G2TXC0000814900041"/>
      <w:bookmarkStart w:id="1396" w:name="Bookmark_I67K33W82SF8TM0010000400"/>
      <w:bookmarkStart w:id="1397" w:name="Bookmark_I67K33W92N1PTP0020000400"/>
      <w:bookmarkEnd w:id="1392"/>
      <w:bookmarkEnd w:id="1393"/>
      <w:bookmarkEnd w:id="1394"/>
      <w:bookmarkEnd w:id="1395"/>
      <w:bookmarkEnd w:id="1396"/>
      <w:bookmarkEnd w:id="1397"/>
      <w:r>
        <w:rPr>
          <w:rFonts w:ascii="Arial" w:eastAsia="Arial" w:hAnsi="Arial" w:cs="Arial"/>
          <w:color w:val="000000"/>
          <w:sz w:val="20"/>
        </w:rPr>
        <w:t xml:space="preserve">At that point in time, many other district courts had wrestled with the issue of Laufer's standing — with varying results — but no court of appeals had done so. Thereafter, the Fifth and Tenth Circuits ruled against Laufer, and then the [**13]  Second Circuit ruled against a similarly situated plaintiff named Owen Harty. </w:t>
      </w:r>
      <w:r>
        <w:rPr>
          <w:rFonts w:ascii="Arial" w:eastAsia="Arial" w:hAnsi="Arial" w:cs="Arial"/>
          <w:i/>
          <w:color w:val="000000"/>
          <w:sz w:val="20"/>
        </w:rPr>
        <w:t xml:space="preserve">See </w:t>
      </w:r>
      <w:bookmarkStart w:id="1398" w:name="Bookmark_I67K33W82SF8TK0050000400"/>
      <w:bookmarkEnd w:id="1398"/>
      <w:r>
        <w:rPr>
          <w:rFonts w:ascii="Arial" w:eastAsia="Arial" w:hAnsi="Arial" w:cs="Arial"/>
          <w:i/>
          <w:color w:val="000000"/>
          <w:sz w:val="20"/>
        </w:rPr>
        <w:t>Laufer v. Mann Hosp., L.L.C.</w:t>
      </w:r>
      <w:r>
        <w:rPr>
          <w:rFonts w:ascii="Arial" w:eastAsia="Arial" w:hAnsi="Arial" w:cs="Arial"/>
          <w:color w:val="000000"/>
          <w:sz w:val="20"/>
        </w:rPr>
        <w:t xml:space="preserve">, 996 F.3d 269 (5th Cir. 2021); </w:t>
      </w:r>
      <w:bookmarkStart w:id="1399" w:name="Bookmark_I67K33W82SF8TM0020000400"/>
      <w:bookmarkEnd w:id="1399"/>
      <w:r>
        <w:rPr>
          <w:rFonts w:ascii="Arial" w:eastAsia="Arial" w:hAnsi="Arial" w:cs="Arial"/>
          <w:i/>
          <w:color w:val="000000"/>
          <w:sz w:val="20"/>
        </w:rPr>
        <w:t>Laufer v. Looper</w:t>
      </w:r>
      <w:r>
        <w:rPr>
          <w:rFonts w:ascii="Arial" w:eastAsia="Arial" w:hAnsi="Arial" w:cs="Arial"/>
          <w:color w:val="000000"/>
          <w:sz w:val="20"/>
        </w:rPr>
        <w:t xml:space="preserve">, 22 F.4th 871 (10th Cir. 2022); </w:t>
      </w:r>
      <w:bookmarkStart w:id="1400" w:name="Bookmark_I67K33W82SF8TM0040000400"/>
      <w:bookmarkEnd w:id="1400"/>
      <w:r>
        <w:rPr>
          <w:rFonts w:ascii="Arial" w:eastAsia="Arial" w:hAnsi="Arial" w:cs="Arial"/>
          <w:i/>
          <w:color w:val="000000"/>
          <w:sz w:val="20"/>
        </w:rPr>
        <w:t>Harty v. W. Point Realty, Inc.</w:t>
      </w:r>
      <w:r>
        <w:rPr>
          <w:rFonts w:ascii="Arial" w:eastAsia="Arial" w:hAnsi="Arial" w:cs="Arial"/>
          <w:color w:val="000000"/>
          <w:sz w:val="20"/>
        </w:rPr>
        <w:t xml:space="preserve">, 28 F.4th 435 (2d Cir. 2022). Like the Maryland district court, the Second, Fifth, and Tenth Circuits reasoned that the plaintiffs failed to satisfy the first </w:t>
      </w:r>
      <w:bookmarkStart w:id="1401" w:name="Bookmark_I67K33W92N1PTP0020000400_2"/>
      <w:bookmarkStart w:id="1402" w:name="Bookmark_I67K33W82SF8TM0010000400_2"/>
      <w:bookmarkStart w:id="1403" w:name="Bookmark_I67K33W92N1PTP0010000400"/>
      <w:bookmarkEnd w:id="1401"/>
      <w:bookmarkEnd w:id="1402"/>
      <w:bookmarkEnd w:id="1403"/>
      <w:r>
        <w:rPr>
          <w:rFonts w:ascii="Arial" w:eastAsia="Arial" w:hAnsi="Arial" w:cs="Arial"/>
          <w:i/>
          <w:color w:val="000000"/>
          <w:sz w:val="20"/>
        </w:rPr>
        <w:t>Lujan</w:t>
      </w:r>
      <w:r>
        <w:rPr>
          <w:rFonts w:ascii="Arial" w:eastAsia="Arial" w:hAnsi="Arial" w:cs="Arial"/>
          <w:color w:val="000000"/>
          <w:sz w:val="20"/>
        </w:rPr>
        <w:t xml:space="preserve"> element because they did not sufficiently allege or prove an intention or need to actually book rooms at the defendants' hotels.</w:t>
      </w:r>
      <w:r>
        <w:rPr>
          <w:rFonts w:ascii="Arial" w:eastAsia="Arial" w:hAnsi="Arial" w:cs="Arial"/>
          <w:vertAlign w:val="superscript"/>
        </w:rPr>
        <w:footnoteReference w:customMarkFollows="1" w:id="35"/>
        <w:t>2</w:t>
      </w:r>
    </w:p>
    <w:p w:rsidR="00022B47" w:rsidRDefault="00000000">
      <w:pPr>
        <w:pStyle w:val="Normal9"/>
        <w:widowControl w:val="0"/>
        <w:spacing w:before="200" w:line="260" w:lineRule="atLeast"/>
        <w:jc w:val="both"/>
      </w:pPr>
      <w:bookmarkStart w:id="1414" w:name="Bookmark_para_26_6"/>
      <w:bookmarkStart w:id="1415" w:name="Bookmark_I1XXT3G22C5000081490003T"/>
      <w:bookmarkStart w:id="1416" w:name="Bookmark_I67K33W92HM6M50050000400"/>
      <w:bookmarkEnd w:id="1414"/>
      <w:bookmarkEnd w:id="1415"/>
      <w:bookmarkEnd w:id="1416"/>
      <w:r>
        <w:rPr>
          <w:rFonts w:ascii="Arial" w:eastAsia="Arial" w:hAnsi="Arial" w:cs="Arial"/>
          <w:color w:val="000000"/>
          <w:sz w:val="20"/>
        </w:rPr>
        <w:t xml:space="preserve">Next, however, a three-judge panel of the Eleventh Circuit unanimously concluded that Laufer possessed Article III standing to sue based on her allegation of a stigmatic injury. </w:t>
      </w:r>
      <w:bookmarkStart w:id="1417" w:name="Bookmark_I67K33WB2HM6M80020000400"/>
      <w:bookmarkEnd w:id="1417"/>
      <w:r>
        <w:rPr>
          <w:rFonts w:ascii="Arial" w:eastAsia="Arial" w:hAnsi="Arial" w:cs="Arial"/>
          <w:i/>
          <w:color w:val="000000"/>
          <w:sz w:val="20"/>
        </w:rPr>
        <w:t xml:space="preserve">See </w:t>
      </w:r>
      <w:bookmarkStart w:id="1418" w:name="Bookmark_I67K33W92HM6M50040000400"/>
      <w:bookmarkEnd w:id="1418"/>
      <w:r>
        <w:rPr>
          <w:rFonts w:ascii="Arial" w:eastAsia="Arial" w:hAnsi="Arial" w:cs="Arial"/>
          <w:i/>
          <w:color w:val="000000"/>
          <w:sz w:val="20"/>
        </w:rPr>
        <w:t>Laufer v. Arpan LLC</w:t>
      </w:r>
      <w:r>
        <w:rPr>
          <w:rFonts w:ascii="Arial" w:eastAsia="Arial" w:hAnsi="Arial" w:cs="Arial"/>
          <w:color w:val="000000"/>
          <w:sz w:val="20"/>
        </w:rPr>
        <w:t xml:space="preserve">, 29 F.4th 1268 (11th Cir. 2022). That decision spawned three concurring opinions, one from each of the panel members, including an opinion stating that Laufer also had standing premised on an alleged informational injury. </w:t>
      </w:r>
      <w:bookmarkStart w:id="1419" w:name="Bookmark_I67K33WB2HM6M80020000400_2"/>
      <w:bookmarkStart w:id="1420" w:name="Bookmark_I1XXT3G1TCC000081490003R"/>
      <w:bookmarkStart w:id="1421" w:name="Bookmark_I67K33WB2HM6M80040000400"/>
      <w:bookmarkEnd w:id="1419"/>
      <w:bookmarkEnd w:id="1420"/>
      <w:bookmarkEnd w:id="1421"/>
      <w:r>
        <w:rPr>
          <w:rFonts w:ascii="Arial" w:eastAsia="Arial" w:hAnsi="Arial" w:cs="Arial"/>
          <w:i/>
          <w:color w:val="000000"/>
          <w:sz w:val="20"/>
        </w:rPr>
        <w:t xml:space="preserve">See </w:t>
      </w:r>
      <w:bookmarkStart w:id="1422" w:name="Bookmark_I67K33WB2HM6M80010000400"/>
      <w:bookmarkEnd w:id="1422"/>
      <w:r>
        <w:rPr>
          <w:rFonts w:ascii="Arial" w:eastAsia="Arial" w:hAnsi="Arial" w:cs="Arial"/>
          <w:i/>
          <w:color w:val="000000"/>
          <w:sz w:val="20"/>
        </w:rPr>
        <w:t>id.</w:t>
      </w:r>
      <w:r>
        <w:rPr>
          <w:rFonts w:ascii="Arial" w:eastAsia="Arial" w:hAnsi="Arial" w:cs="Arial"/>
          <w:color w:val="000000"/>
          <w:sz w:val="20"/>
        </w:rPr>
        <w:t xml:space="preserve"> at 1275 (Jordan, J., concurring). </w:t>
      </w:r>
      <w:bookmarkStart w:id="1423" w:name="Bookmark_I67K33WB2HM6M80040000400_2"/>
      <w:bookmarkEnd w:id="1423"/>
      <w:r>
        <w:rPr>
          <w:rFonts w:ascii="Arial" w:eastAsia="Arial" w:hAnsi="Arial" w:cs="Arial"/>
          <w:color w:val="000000"/>
          <w:sz w:val="20"/>
        </w:rPr>
        <w:t xml:space="preserve">Finally, the First Circuit recently ruled for Laufer based on her allegation of an informational injury alone. </w:t>
      </w:r>
      <w:r>
        <w:rPr>
          <w:rFonts w:ascii="Arial" w:eastAsia="Arial" w:hAnsi="Arial" w:cs="Arial"/>
          <w:i/>
          <w:color w:val="000000"/>
          <w:sz w:val="20"/>
        </w:rPr>
        <w:t xml:space="preserve">See </w:t>
      </w:r>
      <w:bookmarkStart w:id="1424" w:name="Bookmark_I67K33WB2HM6M80030000400"/>
      <w:bookmarkEnd w:id="1424"/>
      <w:r>
        <w:rPr>
          <w:rFonts w:ascii="Arial" w:eastAsia="Arial" w:hAnsi="Arial" w:cs="Arial"/>
          <w:i/>
          <w:color w:val="000000"/>
          <w:sz w:val="20"/>
        </w:rPr>
        <w:t>Laufer v. Acheson Hotels, LLC</w:t>
      </w:r>
      <w:r>
        <w:rPr>
          <w:rFonts w:ascii="Arial" w:eastAsia="Arial" w:hAnsi="Arial" w:cs="Arial"/>
          <w:color w:val="000000"/>
          <w:sz w:val="20"/>
        </w:rPr>
        <w:t>, 50 F.4th 259 (1st Cir. 2022). In both the First and Eleventh Circuit cases, Laufer admitted that she had no intention or need to book rooms at the defendants' hotels, but the courts did not deem that admission to be an impediment to standing.</w:t>
      </w:r>
    </w:p>
    <w:p w:rsidR="00022B47" w:rsidRDefault="00000000">
      <w:pPr>
        <w:pStyle w:val="Normal9"/>
        <w:widowControl w:val="0"/>
        <w:spacing w:before="200" w:line="260" w:lineRule="atLeast"/>
        <w:jc w:val="both"/>
      </w:pPr>
      <w:bookmarkStart w:id="1425" w:name="Bookmark_para_27_6"/>
      <w:bookmarkEnd w:id="1425"/>
      <w:r>
        <w:rPr>
          <w:rFonts w:ascii="Arial" w:eastAsia="Arial" w:hAnsi="Arial" w:cs="Arial"/>
          <w:color w:val="000000"/>
          <w:sz w:val="20"/>
        </w:rPr>
        <w:t>As explained below, similar to the First Circuit decision and the pertinent Eleventh Circuit concurring opinion, [**14]  we conclude that Laufer's allegation of an informational injury accords her Article III standing to sue Naranda — whether or not she ever had a definite and credible plan to travel to the Baltimore area. In light of our conclusion, we do not unnecessarily  [*163]  reach and decide if Laufer's allegation of a stigmatic injury serves as an additional basis for standing. We also do not unnecessarily review the district court's factual findings with respect to Laufer's travel plans, as those findings are not relevant to our resolution of the standing question.</w:t>
      </w:r>
      <w:r>
        <w:rPr>
          <w:rFonts w:ascii="Arial" w:eastAsia="Arial" w:hAnsi="Arial" w:cs="Arial"/>
          <w:vertAlign w:val="superscript"/>
        </w:rPr>
        <w:footnoteReference w:customMarkFollows="1" w:id="36"/>
        <w:t>3</w:t>
      </w:r>
    </w:p>
    <w:p w:rsidR="00022B47" w:rsidRDefault="00000000">
      <w:pPr>
        <w:pStyle w:val="Normal9"/>
        <w:widowControl w:val="0"/>
        <w:spacing w:before="120" w:line="260" w:lineRule="atLeast"/>
      </w:pPr>
      <w:r>
        <w:rPr>
          <w:rFonts w:ascii="Arial" w:eastAsia="Arial" w:hAnsi="Arial" w:cs="Arial"/>
          <w:color w:val="000000"/>
          <w:sz w:val="20"/>
        </w:rPr>
        <w:t>A.</w:t>
      </w:r>
    </w:p>
    <w:p w:rsidR="00022B47" w:rsidRDefault="00000000">
      <w:pPr>
        <w:pStyle w:val="Normal9"/>
        <w:widowControl w:val="0"/>
        <w:spacing w:before="200" w:line="260" w:lineRule="atLeast"/>
        <w:jc w:val="both"/>
      </w:pPr>
      <w:bookmarkStart w:id="1427" w:name="Bookmark_para_28_6"/>
      <w:bookmarkStart w:id="1428" w:name="Bookmark_I1XXT3G02KT0000814900037"/>
      <w:bookmarkStart w:id="1429" w:name="Bookmark_I67K33WB2N1PTV0010000400"/>
      <w:bookmarkStart w:id="1430" w:name="Bookmark_I1XXT3FYTTC0000814900035"/>
      <w:bookmarkStart w:id="1431" w:name="Bookmark_I1XXT3FYY6Y0000814900036"/>
      <w:bookmarkStart w:id="1432" w:name="Bookmark_I67K33WB2N1PTV0030000400"/>
      <w:bookmarkEnd w:id="1427"/>
      <w:bookmarkEnd w:id="1428"/>
      <w:bookmarkEnd w:id="1429"/>
      <w:bookmarkEnd w:id="1430"/>
      <w:bookmarkEnd w:id="1431"/>
      <w:bookmarkEnd w:id="1432"/>
      <w:r>
        <w:rPr>
          <w:rFonts w:ascii="Arial" w:eastAsia="Arial" w:hAnsi="Arial" w:cs="Arial"/>
          <w:color w:val="000000"/>
          <w:sz w:val="20"/>
        </w:rPr>
        <w:t xml:space="preserve">The conclusion that Laufer's allegation of an informational injury accords her Article III standing to sue Naranda is compelled by a line of Supreme Court decisions that begins with </w:t>
      </w:r>
      <w:bookmarkStart w:id="1433" w:name="Bookmark_I67K33WB2HM6M80050000400"/>
      <w:bookmarkEnd w:id="1433"/>
      <w:r>
        <w:rPr>
          <w:rFonts w:ascii="Arial" w:eastAsia="Arial" w:hAnsi="Arial" w:cs="Arial"/>
          <w:i/>
          <w:color w:val="000000"/>
          <w:sz w:val="20"/>
        </w:rPr>
        <w:t>Havens Realty Corp. v. Coleman</w:t>
      </w:r>
      <w:r>
        <w:rPr>
          <w:rFonts w:ascii="Arial" w:eastAsia="Arial" w:hAnsi="Arial" w:cs="Arial"/>
          <w:color w:val="000000"/>
          <w:sz w:val="20"/>
        </w:rPr>
        <w:t xml:space="preserve">, 455 U.S. 363, 102 S. Ct. 1114, 71 L. Ed. 2d 214 (1982). That line of decisions also includes </w:t>
      </w:r>
      <w:bookmarkStart w:id="1434" w:name="Bookmark_I67K33WB2N1PTV0020000400"/>
      <w:bookmarkEnd w:id="1434"/>
      <w:r>
        <w:rPr>
          <w:rFonts w:ascii="Arial" w:eastAsia="Arial" w:hAnsi="Arial" w:cs="Arial"/>
          <w:i/>
          <w:color w:val="000000"/>
          <w:sz w:val="20"/>
        </w:rPr>
        <w:t>Public Citizen v. United States Department of Justice</w:t>
      </w:r>
      <w:r>
        <w:rPr>
          <w:rFonts w:ascii="Arial" w:eastAsia="Arial" w:hAnsi="Arial" w:cs="Arial"/>
          <w:color w:val="000000"/>
          <w:sz w:val="20"/>
        </w:rPr>
        <w:t xml:space="preserve">, 491 U.S. 440, 109 S. Ct. 2558, 105 L. Ed. 2d 377 (1989), and </w:t>
      </w:r>
      <w:bookmarkStart w:id="1435" w:name="Bookmark_I67K33WB2N1PTV0040000400"/>
      <w:bookmarkEnd w:id="1435"/>
      <w:r>
        <w:rPr>
          <w:rFonts w:ascii="Arial" w:eastAsia="Arial" w:hAnsi="Arial" w:cs="Arial"/>
          <w:i/>
          <w:color w:val="000000"/>
          <w:sz w:val="20"/>
        </w:rPr>
        <w:t>Federal Election Commission v. Akins</w:t>
      </w:r>
      <w:r>
        <w:rPr>
          <w:rFonts w:ascii="Arial" w:eastAsia="Arial" w:hAnsi="Arial" w:cs="Arial"/>
          <w:color w:val="000000"/>
          <w:sz w:val="20"/>
        </w:rPr>
        <w:t>, 524 U.S. 11, 118 S. Ct. 1777, 141 L. Ed. 2d 10 (1998).</w:t>
      </w:r>
    </w:p>
    <w:p w:rsidR="00022B47" w:rsidRDefault="00000000">
      <w:pPr>
        <w:pStyle w:val="Normal9"/>
        <w:widowControl w:val="0"/>
        <w:spacing w:before="120" w:line="260" w:lineRule="atLeast"/>
      </w:pPr>
      <w:r>
        <w:rPr>
          <w:rFonts w:ascii="Arial" w:eastAsia="Arial" w:hAnsi="Arial" w:cs="Arial"/>
          <w:color w:val="000000"/>
          <w:sz w:val="20"/>
        </w:rPr>
        <w:t>1.</w:t>
      </w:r>
    </w:p>
    <w:p w:rsidR="00022B47" w:rsidRDefault="00000000">
      <w:pPr>
        <w:pStyle w:val="Normal9"/>
        <w:widowControl w:val="0"/>
        <w:spacing w:before="200" w:line="260" w:lineRule="atLeast"/>
        <w:jc w:val="both"/>
      </w:pPr>
      <w:bookmarkStart w:id="1436" w:name="Bookmark_para_29_6"/>
      <w:bookmarkStart w:id="1437" w:name="Bookmark_I67K33WC2N1PTY0020000400"/>
      <w:bookmarkStart w:id="1438" w:name="Bookmark_I67K33WC2HM6MD0010000400"/>
      <w:bookmarkEnd w:id="1436"/>
      <w:bookmarkEnd w:id="1437"/>
      <w:bookmarkEnd w:id="1438"/>
      <w:r>
        <w:rPr>
          <w:rFonts w:ascii="Arial" w:eastAsia="Arial" w:hAnsi="Arial" w:cs="Arial"/>
          <w:color w:val="000000"/>
          <w:sz w:val="20"/>
        </w:rPr>
        <w:t xml:space="preserve">In pertinent part, the 1982 decision in </w:t>
      </w:r>
      <w:bookmarkStart w:id="1439" w:name="Bookmark_I67K33WC2N1PTY0010000400"/>
      <w:bookmarkEnd w:id="1439"/>
      <w:r>
        <w:rPr>
          <w:rFonts w:ascii="Arial" w:eastAsia="Arial" w:hAnsi="Arial" w:cs="Arial"/>
          <w:i/>
          <w:color w:val="000000"/>
          <w:sz w:val="20"/>
        </w:rPr>
        <w:t>Havens Realty</w:t>
      </w:r>
      <w:r>
        <w:rPr>
          <w:rFonts w:ascii="Arial" w:eastAsia="Arial" w:hAnsi="Arial" w:cs="Arial"/>
          <w:color w:val="000000"/>
          <w:sz w:val="20"/>
        </w:rPr>
        <w:t xml:space="preserve"> addressed the question of whether one of the plaintiffs, who was Black and had been acting as a "tester," possessed Article III standing to pursue a claim for damages under the Fair Housing Act of 1968 after defendant Havens Realty falsely told her it had no apartments to rent. </w:t>
      </w:r>
      <w:r>
        <w:rPr>
          <w:rFonts w:ascii="Arial" w:eastAsia="Arial" w:hAnsi="Arial" w:cs="Arial"/>
          <w:i/>
          <w:color w:val="000000"/>
          <w:sz w:val="20"/>
        </w:rPr>
        <w:t>See</w:t>
      </w:r>
      <w:r>
        <w:rPr>
          <w:rFonts w:ascii="Arial" w:eastAsia="Arial" w:hAnsi="Arial" w:cs="Arial"/>
          <w:color w:val="000000"/>
          <w:sz w:val="20"/>
        </w:rPr>
        <w:t xml:space="preserve"> </w:t>
      </w:r>
      <w:bookmarkStart w:id="1440" w:name="Bookmark_I67K33WC2N1PTY0030000400"/>
      <w:bookmarkEnd w:id="1440"/>
      <w:r>
        <w:rPr>
          <w:rFonts w:ascii="Arial" w:eastAsia="Arial" w:hAnsi="Arial" w:cs="Arial"/>
          <w:color w:val="000000"/>
          <w:sz w:val="20"/>
        </w:rPr>
        <w:t xml:space="preserve">455 U.S. at 366-70. The Court described "testers" as "individuals who, without an intent to rent or purchase a home or apartment, pose as renters or purchasers [**15]  for the purpose of collecting evidence of unlawful steering practices [meant to maintain racial segregation in housing]." </w:t>
      </w:r>
      <w:bookmarkStart w:id="1441" w:name="Bookmark_I67K33WC2N1PTY0050000400"/>
      <w:bookmarkEnd w:id="1441"/>
      <w:r>
        <w:rPr>
          <w:rFonts w:ascii="Arial" w:eastAsia="Arial" w:hAnsi="Arial" w:cs="Arial"/>
          <w:i/>
          <w:color w:val="000000"/>
          <w:sz w:val="20"/>
        </w:rPr>
        <w:t>Id.</w:t>
      </w:r>
      <w:r>
        <w:rPr>
          <w:rFonts w:ascii="Arial" w:eastAsia="Arial" w:hAnsi="Arial" w:cs="Arial"/>
          <w:color w:val="000000"/>
          <w:sz w:val="20"/>
        </w:rPr>
        <w:t xml:space="preserve"> at 373. </w:t>
      </w:r>
      <w:bookmarkStart w:id="1442" w:name="Bookmark_LNHNREFclscc7_6"/>
      <w:bookmarkEnd w:id="1442"/>
      <w:r>
        <w:rPr>
          <w:rFonts w:ascii="Arial" w:eastAsia="Arial" w:hAnsi="Arial" w:cs="Arial"/>
          <w:color w:val="000000"/>
          <w:sz w:val="20"/>
        </w:rPr>
        <w:t xml:space="preserve">Additionally, the Court specified that the Fair Housing Act's discriminatory representation provision made it "unlawful for an individual or firm covered by the Act '[t]o represent to </w:t>
      </w:r>
      <w:r>
        <w:rPr>
          <w:rFonts w:ascii="Arial" w:eastAsia="Arial" w:hAnsi="Arial" w:cs="Arial"/>
          <w:i/>
          <w:color w:val="000000"/>
          <w:sz w:val="20"/>
        </w:rPr>
        <w:t>any person</w:t>
      </w:r>
      <w:r>
        <w:rPr>
          <w:rFonts w:ascii="Arial" w:eastAsia="Arial" w:hAnsi="Arial" w:cs="Arial"/>
          <w:color w:val="000000"/>
          <w:sz w:val="20"/>
        </w:rPr>
        <w:t xml:space="preserve"> because of race, color, religion, sex, or national origin that any dwelling is not available for inspection, sale, or rental when such dwelling is in fact so available.'" </w:t>
      </w:r>
      <w:r>
        <w:rPr>
          <w:rFonts w:ascii="Arial" w:eastAsia="Arial" w:hAnsi="Arial" w:cs="Arial"/>
          <w:i/>
          <w:color w:val="000000"/>
          <w:sz w:val="20"/>
        </w:rPr>
        <w:t>Id.</w:t>
      </w:r>
      <w:r>
        <w:rPr>
          <w:rFonts w:ascii="Arial" w:eastAsia="Arial" w:hAnsi="Arial" w:cs="Arial"/>
          <w:color w:val="000000"/>
          <w:sz w:val="20"/>
        </w:rPr>
        <w:t xml:space="preserve"> (alteration in original) (quoting 42 U.S.C. § 3604(d)). As the Court explained, Congress had thereby "conferred on all 'persons' a legal right to truthful information about available housing." </w:t>
      </w:r>
      <w:r>
        <w:rPr>
          <w:rFonts w:ascii="Arial" w:eastAsia="Arial" w:hAnsi="Arial" w:cs="Arial"/>
          <w:i/>
          <w:color w:val="000000"/>
          <w:sz w:val="20"/>
        </w:rPr>
        <w:t>Id.</w:t>
      </w:r>
    </w:p>
    <w:p w:rsidR="00022B47" w:rsidRDefault="00000000">
      <w:pPr>
        <w:pStyle w:val="Normal9"/>
        <w:widowControl w:val="0"/>
        <w:spacing w:before="200" w:line="260" w:lineRule="atLeast"/>
        <w:jc w:val="both"/>
      </w:pPr>
      <w:bookmarkStart w:id="1443" w:name="Bookmark_para_30_6"/>
      <w:bookmarkStart w:id="1444" w:name="Bookmark_I67K33WC2HM6MD0030000400"/>
      <w:bookmarkEnd w:id="1443"/>
      <w:bookmarkEnd w:id="1444"/>
      <w:r>
        <w:rPr>
          <w:rFonts w:ascii="Arial" w:eastAsia="Arial" w:hAnsi="Arial" w:cs="Arial"/>
          <w:color w:val="000000"/>
          <w:sz w:val="20"/>
        </w:rPr>
        <w:t xml:space="preserve">Heeding that purpose of the Fair Housing Act, the </w:t>
      </w:r>
      <w:bookmarkStart w:id="1445" w:name="Bookmark_I67K33WC2HM6MD0020000400"/>
      <w:bookmarkEnd w:id="1445"/>
      <w:r>
        <w:rPr>
          <w:rFonts w:ascii="Arial" w:eastAsia="Arial" w:hAnsi="Arial" w:cs="Arial"/>
          <w:i/>
          <w:color w:val="000000"/>
          <w:sz w:val="20"/>
        </w:rPr>
        <w:t>Havens Realty</w:t>
      </w:r>
      <w:bookmarkStart w:id="1446" w:name="Bookmark_I67K33WC2D6NMN0040000400"/>
      <w:bookmarkEnd w:id="1446"/>
      <w:r>
        <w:rPr>
          <w:rFonts w:ascii="Arial" w:eastAsia="Arial" w:hAnsi="Arial" w:cs="Arial"/>
          <w:color w:val="000000"/>
          <w:sz w:val="20"/>
        </w:rPr>
        <w:t xml:space="preserve"> Court deemed the discriminatory representation provision to be the type of enactment under which "[t]he actual or threatened injury required by Art. III may exist solely by virtue of statutes creating legal rights, the invasion of which creates standing." </w:t>
      </w:r>
      <w:r>
        <w:rPr>
          <w:rFonts w:ascii="Arial" w:eastAsia="Arial" w:hAnsi="Arial" w:cs="Arial"/>
          <w:i/>
          <w:color w:val="000000"/>
          <w:sz w:val="20"/>
        </w:rPr>
        <w:t>See</w:t>
      </w:r>
      <w:r>
        <w:rPr>
          <w:rFonts w:ascii="Arial" w:eastAsia="Arial" w:hAnsi="Arial" w:cs="Arial"/>
          <w:color w:val="000000"/>
          <w:sz w:val="20"/>
        </w:rPr>
        <w:t xml:space="preserve"> </w:t>
      </w:r>
      <w:bookmarkStart w:id="1447" w:name="Bookmark_I67K33WC2HM6MD0040000400"/>
      <w:bookmarkEnd w:id="1447"/>
      <w:r>
        <w:rPr>
          <w:rFonts w:ascii="Arial" w:eastAsia="Arial" w:hAnsi="Arial" w:cs="Arial"/>
          <w:color w:val="000000"/>
          <w:sz w:val="20"/>
        </w:rPr>
        <w:t xml:space="preserve">455 U.S. at 373 (alteration in original) (quoting </w:t>
      </w:r>
      <w:bookmarkStart w:id="1448" w:name="Bookmark_I67K33WC2D6NMN0010000400"/>
      <w:bookmarkEnd w:id="1448"/>
      <w:r>
        <w:rPr>
          <w:rFonts w:ascii="Arial" w:eastAsia="Arial" w:hAnsi="Arial" w:cs="Arial"/>
          <w:i/>
          <w:color w:val="000000"/>
          <w:sz w:val="20"/>
        </w:rPr>
        <w:t>Warth</w:t>
      </w:r>
      <w:r>
        <w:rPr>
          <w:rFonts w:ascii="Arial" w:eastAsia="Arial" w:hAnsi="Arial" w:cs="Arial"/>
          <w:color w:val="000000"/>
          <w:sz w:val="20"/>
        </w:rPr>
        <w:t xml:space="preserve">, 422 U.S. at 500). That is, the Court recognized that the Black plaintiff possessed Article III standing to sue based on her allegation of an informational injury, stemming from Havens Realty's violation of her right under the discriminatory representation [**16]  provision to truthful information. </w:t>
      </w:r>
      <w:bookmarkStart w:id="1449" w:name="Bookmark_I67K33WC2D6NMN0040000400_2"/>
      <w:bookmarkEnd w:id="1449"/>
      <w:r>
        <w:rPr>
          <w:rFonts w:ascii="Arial" w:eastAsia="Arial" w:hAnsi="Arial" w:cs="Arial"/>
          <w:color w:val="000000"/>
          <w:sz w:val="20"/>
        </w:rPr>
        <w:t xml:space="preserve">Addressing the first </w:t>
      </w:r>
      <w:bookmarkStart w:id="1450" w:name="Bookmark_I67K33WC2D6NMN0040000400_3"/>
      <w:bookmarkStart w:id="1451" w:name="Bookmark_I67K33WC2D6NMN0030000400"/>
      <w:bookmarkEnd w:id="1450"/>
      <w:bookmarkEnd w:id="1451"/>
      <w:r>
        <w:rPr>
          <w:rFonts w:ascii="Arial" w:eastAsia="Arial" w:hAnsi="Arial" w:cs="Arial"/>
          <w:i/>
          <w:color w:val="000000"/>
          <w:sz w:val="20"/>
        </w:rPr>
        <w:t>Lujan</w:t>
      </w:r>
      <w:r>
        <w:rPr>
          <w:rFonts w:ascii="Arial" w:eastAsia="Arial" w:hAnsi="Arial" w:cs="Arial"/>
          <w:color w:val="000000"/>
          <w:sz w:val="20"/>
        </w:rPr>
        <w:t xml:space="preserve"> element of an injury in fact, the Court observed that if the facts were as alleged by the Black plaintiff — that Havens Realty had "told her on four different occasions that apartments were not available in [its] complexes while informing white testers that apartments were available" — then the Black  [*164]  plaintiff "suffered specific injury from the challenged acts of [Havens Realty] and the Art. III requirement of injury in fact is satisfied." </w:t>
      </w:r>
      <w:bookmarkStart w:id="1452" w:name="Bookmark_I67K33WC2D6NMN0050000400"/>
      <w:bookmarkEnd w:id="1452"/>
      <w:r>
        <w:rPr>
          <w:rFonts w:ascii="Arial" w:eastAsia="Arial" w:hAnsi="Arial" w:cs="Arial"/>
          <w:i/>
          <w:color w:val="000000"/>
          <w:sz w:val="20"/>
        </w:rPr>
        <w:t>Id.</w:t>
      </w:r>
      <w:r>
        <w:rPr>
          <w:rFonts w:ascii="Arial" w:eastAsia="Arial" w:hAnsi="Arial" w:cs="Arial"/>
          <w:color w:val="000000"/>
          <w:sz w:val="20"/>
        </w:rPr>
        <w:t xml:space="preserve"> at 374 (internal quotation marks omitted).</w:t>
      </w:r>
      <w:r>
        <w:rPr>
          <w:rFonts w:ascii="Arial" w:eastAsia="Arial" w:hAnsi="Arial" w:cs="Arial"/>
          <w:vertAlign w:val="superscript"/>
        </w:rPr>
        <w:footnoteReference w:customMarkFollows="1" w:id="37"/>
        <w:t>4</w:t>
      </w:r>
    </w:p>
    <w:p w:rsidR="00022B47" w:rsidRDefault="00000000">
      <w:pPr>
        <w:pStyle w:val="Normal9"/>
        <w:widowControl w:val="0"/>
        <w:spacing w:before="200" w:line="260" w:lineRule="atLeast"/>
        <w:jc w:val="both"/>
      </w:pPr>
      <w:bookmarkStart w:id="1461" w:name="Bookmark_para_31_6"/>
      <w:bookmarkStart w:id="1462" w:name="Bookmark_I67K33WC2SF8V00040000400"/>
      <w:bookmarkEnd w:id="1461"/>
      <w:bookmarkEnd w:id="1462"/>
      <w:r>
        <w:rPr>
          <w:rFonts w:ascii="Arial" w:eastAsia="Arial" w:hAnsi="Arial" w:cs="Arial"/>
          <w:color w:val="000000"/>
          <w:sz w:val="20"/>
        </w:rPr>
        <w:t xml:space="preserve">Significantly, the </w:t>
      </w:r>
      <w:bookmarkStart w:id="1463" w:name="Bookmark_I67K33WC2SF8V00030000400"/>
      <w:bookmarkEnd w:id="1463"/>
      <w:r>
        <w:rPr>
          <w:rFonts w:ascii="Arial" w:eastAsia="Arial" w:hAnsi="Arial" w:cs="Arial"/>
          <w:i/>
          <w:color w:val="000000"/>
          <w:sz w:val="20"/>
        </w:rPr>
        <w:t>Havens Realty</w:t>
      </w:r>
      <w:r>
        <w:rPr>
          <w:rFonts w:ascii="Arial" w:eastAsia="Arial" w:hAnsi="Arial" w:cs="Arial"/>
          <w:color w:val="000000"/>
          <w:sz w:val="20"/>
        </w:rPr>
        <w:t xml:space="preserve"> Court's standing analysis was not affected by the Black plaintiff's status as a tester with no intention to actually rent an apartment. In the Court's words:</w:t>
      </w:r>
    </w:p>
    <w:p w:rsidR="00022B47" w:rsidRDefault="00000000">
      <w:pPr>
        <w:pStyle w:val="Normal9"/>
        <w:widowControl w:val="0"/>
        <w:spacing w:before="200" w:line="260" w:lineRule="atLeast"/>
        <w:ind w:left="400"/>
        <w:jc w:val="both"/>
      </w:pPr>
      <w:bookmarkStart w:id="1464" w:name="Bookmark_para_32_6"/>
      <w:bookmarkStart w:id="1465" w:name="Bookmark_I67K33WC2N1PV00010000400"/>
      <w:bookmarkEnd w:id="1464"/>
      <w:bookmarkEnd w:id="1465"/>
      <w:r>
        <w:rPr>
          <w:rFonts w:ascii="Arial" w:eastAsia="Arial" w:hAnsi="Arial" w:cs="Arial"/>
          <w:color w:val="000000"/>
          <w:sz w:val="20"/>
        </w:rPr>
        <w:t>A tester who has been the object of a misrepresentation made unlawful under [the discriminatory representation provision] has suffered injury in precisely the form the statute was intended to guard against, and therefore has standing to maintain a claim for damages under the [Fair Housing Act]. That the tester may have approached the real estate agent fully expecting that he would receive false information, and without any intention of buying or renting a home, does not negate the simple fact of injury [**17]  within the meaning of [the discriminatory representation provision].</w:t>
      </w:r>
    </w:p>
    <w:p w:rsidR="00022B47" w:rsidRDefault="00000000">
      <w:pPr>
        <w:pStyle w:val="Normal9"/>
        <w:widowControl w:val="0"/>
        <w:spacing w:before="200" w:line="260" w:lineRule="atLeast"/>
        <w:jc w:val="both"/>
      </w:pPr>
      <w:bookmarkStart w:id="1466" w:name="Bookmark_I67K33WC2N1PV00010000400_2"/>
      <w:bookmarkStart w:id="1467" w:name="Bookmark_I67K33WC2N1PV00030000400"/>
      <w:bookmarkEnd w:id="1466"/>
      <w:bookmarkEnd w:id="1467"/>
      <w:r>
        <w:rPr>
          <w:rFonts w:ascii="Arial" w:eastAsia="Arial" w:hAnsi="Arial" w:cs="Arial"/>
          <w:i/>
          <w:color w:val="000000"/>
          <w:sz w:val="20"/>
        </w:rPr>
        <w:t xml:space="preserve">See </w:t>
      </w:r>
      <w:bookmarkStart w:id="1468" w:name="Bookmark_I67K33WC2SF8V00050000400"/>
      <w:bookmarkEnd w:id="1468"/>
      <w:r>
        <w:rPr>
          <w:rFonts w:ascii="Arial" w:eastAsia="Arial" w:hAnsi="Arial" w:cs="Arial"/>
          <w:i/>
          <w:color w:val="000000"/>
          <w:sz w:val="20"/>
        </w:rPr>
        <w:t>Havens Realty</w:t>
      </w:r>
      <w:r>
        <w:rPr>
          <w:rFonts w:ascii="Arial" w:eastAsia="Arial" w:hAnsi="Arial" w:cs="Arial"/>
          <w:color w:val="000000"/>
          <w:sz w:val="20"/>
        </w:rPr>
        <w:t xml:space="preserve">, 455 U.S. at 373-74. </w:t>
      </w:r>
      <w:bookmarkStart w:id="1469" w:name="Bookmark_I67K33WC2N1PV00030000400_2"/>
      <w:bookmarkEnd w:id="1469"/>
      <w:r>
        <w:rPr>
          <w:rFonts w:ascii="Arial" w:eastAsia="Arial" w:hAnsi="Arial" w:cs="Arial"/>
          <w:color w:val="000000"/>
          <w:sz w:val="20"/>
        </w:rPr>
        <w:t xml:space="preserve">It was critical to the Court that, whereas Congress required a bona fide offer to prove a discriminatory refusal to sell or rent under another provision of the Fair Housing Act, "Congress plainly omitted any such requirement" to prove a violation of the discriminatory representation provision. </w:t>
      </w:r>
      <w:bookmarkStart w:id="1470" w:name="Bookmark_I67K33WC2N1PV00020000400"/>
      <w:bookmarkEnd w:id="1470"/>
      <w:r>
        <w:rPr>
          <w:rFonts w:ascii="Arial" w:eastAsia="Arial" w:hAnsi="Arial" w:cs="Arial"/>
          <w:i/>
          <w:color w:val="000000"/>
          <w:sz w:val="20"/>
        </w:rPr>
        <w:t>Id.</w:t>
      </w:r>
      <w:r>
        <w:rPr>
          <w:rFonts w:ascii="Arial" w:eastAsia="Arial" w:hAnsi="Arial" w:cs="Arial"/>
          <w:color w:val="000000"/>
          <w:sz w:val="20"/>
        </w:rPr>
        <w:t xml:space="preserve"> at 374.</w:t>
      </w:r>
    </w:p>
    <w:p w:rsidR="00022B47" w:rsidRDefault="00000000">
      <w:pPr>
        <w:pStyle w:val="Normal9"/>
        <w:widowControl w:val="0"/>
        <w:spacing w:before="200" w:line="260" w:lineRule="atLeast"/>
        <w:jc w:val="both"/>
      </w:pPr>
      <w:bookmarkStart w:id="1471" w:name="Bookmark_para_33_5"/>
      <w:bookmarkStart w:id="1472" w:name="Bookmark_I67K33WC2N1PV00050000400"/>
      <w:bookmarkEnd w:id="1471"/>
      <w:bookmarkEnd w:id="1472"/>
      <w:r>
        <w:rPr>
          <w:rFonts w:ascii="Arial" w:eastAsia="Arial" w:hAnsi="Arial" w:cs="Arial"/>
          <w:color w:val="000000"/>
          <w:sz w:val="20"/>
        </w:rPr>
        <w:t xml:space="preserve">Following </w:t>
      </w:r>
      <w:bookmarkStart w:id="1473" w:name="Bookmark_I67K33WC2N1PV00040000400"/>
      <w:bookmarkEnd w:id="1473"/>
      <w:r>
        <w:rPr>
          <w:rFonts w:ascii="Arial" w:eastAsia="Arial" w:hAnsi="Arial" w:cs="Arial"/>
          <w:i/>
          <w:color w:val="000000"/>
          <w:sz w:val="20"/>
        </w:rPr>
        <w:t>Havens Realty</w:t>
      </w:r>
      <w:bookmarkStart w:id="1474" w:name="Bookmark_I67K33WC2HM6MF0040000400"/>
      <w:bookmarkEnd w:id="1474"/>
      <w:r>
        <w:rPr>
          <w:rFonts w:ascii="Arial" w:eastAsia="Arial" w:hAnsi="Arial" w:cs="Arial"/>
          <w:color w:val="000000"/>
          <w:sz w:val="20"/>
        </w:rPr>
        <w:t xml:space="preserve">, the Supreme Court again recognized Article III standing to sue premised on an informational injury in its 1989 decision in </w:t>
      </w:r>
      <w:bookmarkStart w:id="1475" w:name="Bookmark_I67K33WC2HM6MF0010000400"/>
      <w:bookmarkEnd w:id="1475"/>
      <w:r>
        <w:rPr>
          <w:rFonts w:ascii="Arial" w:eastAsia="Arial" w:hAnsi="Arial" w:cs="Arial"/>
          <w:i/>
          <w:color w:val="000000"/>
          <w:sz w:val="20"/>
        </w:rPr>
        <w:t>Public Citizen</w:t>
      </w:r>
      <w:r>
        <w:rPr>
          <w:rFonts w:ascii="Arial" w:eastAsia="Arial" w:hAnsi="Arial" w:cs="Arial"/>
          <w:color w:val="000000"/>
          <w:sz w:val="20"/>
        </w:rPr>
        <w:t xml:space="preserve">. </w:t>
      </w:r>
      <w:bookmarkStart w:id="1476" w:name="Bookmark_I67K33WC2HM6MF0040000400_2"/>
      <w:bookmarkStart w:id="1477" w:name="Bookmark_I67K33WC2D6NMP0010000400"/>
      <w:bookmarkEnd w:id="1476"/>
      <w:bookmarkEnd w:id="1477"/>
      <w:r>
        <w:rPr>
          <w:rFonts w:ascii="Arial" w:eastAsia="Arial" w:hAnsi="Arial" w:cs="Arial"/>
          <w:color w:val="000000"/>
          <w:sz w:val="20"/>
        </w:rPr>
        <w:t xml:space="preserve">Specifically, the </w:t>
      </w:r>
      <w:bookmarkStart w:id="1478" w:name="Bookmark_I67K33WC2D6NMP0010000400_2"/>
      <w:bookmarkStart w:id="1479" w:name="Bookmark_I67K33WC2HM6MF0040000400_3"/>
      <w:bookmarkStart w:id="1480" w:name="Bookmark_I67K33WC2HM6MF0030000400"/>
      <w:bookmarkEnd w:id="1478"/>
      <w:bookmarkEnd w:id="1479"/>
      <w:bookmarkEnd w:id="1480"/>
      <w:r>
        <w:rPr>
          <w:rFonts w:ascii="Arial" w:eastAsia="Arial" w:hAnsi="Arial" w:cs="Arial"/>
          <w:i/>
          <w:color w:val="000000"/>
          <w:sz w:val="20"/>
        </w:rPr>
        <w:t>Public Citizen</w:t>
      </w:r>
      <w:bookmarkStart w:id="1481" w:name="Bookmark_I67K33WC2D6NMP0030000400"/>
      <w:bookmarkEnd w:id="1481"/>
      <w:r>
        <w:rPr>
          <w:rFonts w:ascii="Arial" w:eastAsia="Arial" w:hAnsi="Arial" w:cs="Arial"/>
          <w:color w:val="000000"/>
          <w:sz w:val="20"/>
        </w:rPr>
        <w:t xml:space="preserve"> Court confirmed the standing of public interest groups seeking access under the Federal Advisory Committee Act ("FACA") to meetings and records of the American Bar Association's Standing Committee on Federal Judiciary (the "ABA Committee") concerning potential nominees for federal judgeships. </w:t>
      </w:r>
      <w:r>
        <w:rPr>
          <w:rFonts w:ascii="Arial" w:eastAsia="Arial" w:hAnsi="Arial" w:cs="Arial"/>
          <w:i/>
          <w:color w:val="000000"/>
          <w:sz w:val="20"/>
        </w:rPr>
        <w:t>See</w:t>
      </w:r>
      <w:r>
        <w:rPr>
          <w:rFonts w:ascii="Arial" w:eastAsia="Arial" w:hAnsi="Arial" w:cs="Arial"/>
          <w:color w:val="000000"/>
          <w:sz w:val="20"/>
        </w:rPr>
        <w:t xml:space="preserve"> </w:t>
      </w:r>
      <w:bookmarkStart w:id="1482" w:name="Bookmark_I67K33WC2HM6MF0050000400"/>
      <w:bookmarkEnd w:id="1482"/>
      <w:r>
        <w:rPr>
          <w:rFonts w:ascii="Arial" w:eastAsia="Arial" w:hAnsi="Arial" w:cs="Arial"/>
          <w:color w:val="000000"/>
          <w:sz w:val="20"/>
        </w:rPr>
        <w:t xml:space="preserve">491 U.S. at 448-51. </w:t>
      </w:r>
      <w:bookmarkStart w:id="1483" w:name="Bookmark_I67K33WC2D6NMP0030000400_2"/>
      <w:bookmarkStart w:id="1484" w:name="Bookmark_I67K33WC28T4GC0020000400"/>
      <w:bookmarkEnd w:id="1483"/>
      <w:bookmarkEnd w:id="1484"/>
      <w:r>
        <w:rPr>
          <w:rFonts w:ascii="Arial" w:eastAsia="Arial" w:hAnsi="Arial" w:cs="Arial"/>
          <w:color w:val="000000"/>
          <w:sz w:val="20"/>
        </w:rPr>
        <w:t xml:space="preserve">Relevant to the first </w:t>
      </w:r>
      <w:bookmarkStart w:id="1485" w:name="Bookmark_I67K33WC28T4GC0020000400_2"/>
      <w:bookmarkStart w:id="1486" w:name="Bookmark_I67K33WC2D6NMP0030000400_3"/>
      <w:bookmarkStart w:id="1487" w:name="Bookmark_I67K33WC2D6NMP0020000400"/>
      <w:bookmarkEnd w:id="1485"/>
      <w:bookmarkEnd w:id="1486"/>
      <w:bookmarkEnd w:id="1487"/>
      <w:r>
        <w:rPr>
          <w:rFonts w:ascii="Arial" w:eastAsia="Arial" w:hAnsi="Arial" w:cs="Arial"/>
          <w:i/>
          <w:color w:val="000000"/>
          <w:sz w:val="20"/>
        </w:rPr>
        <w:t>Lujan</w:t>
      </w:r>
      <w:r>
        <w:rPr>
          <w:rFonts w:ascii="Arial" w:eastAsia="Arial" w:hAnsi="Arial" w:cs="Arial"/>
          <w:color w:val="000000"/>
          <w:sz w:val="20"/>
        </w:rPr>
        <w:t xml:space="preserve"> element of an injury in fact, the Court determined that the plaintiffs had asserted a "sufficiently concrete and specific" injury by alleging that they had "specifically requested, and been refused, the names of candidates under consideration by the ABA Committee, reports and minutes of the Committee's meetings, and advance notice of future meetings." </w:t>
      </w:r>
      <w:bookmarkStart w:id="1488" w:name="Bookmark_I67K33WC2D6NMP0040000400"/>
      <w:bookmarkEnd w:id="1488"/>
      <w:r>
        <w:rPr>
          <w:rFonts w:ascii="Arial" w:eastAsia="Arial" w:hAnsi="Arial" w:cs="Arial"/>
          <w:i/>
          <w:color w:val="000000"/>
          <w:sz w:val="20"/>
        </w:rPr>
        <w:t>Id.</w:t>
      </w:r>
      <w:r>
        <w:rPr>
          <w:rFonts w:ascii="Arial" w:eastAsia="Arial" w:hAnsi="Arial" w:cs="Arial"/>
          <w:color w:val="000000"/>
          <w:sz w:val="20"/>
        </w:rPr>
        <w:t xml:space="preserve"> at 448-49. In other words, the Court [**18]  concluded that "refusal to permit [the plaintiffs] to scrutinize the ABA Committee's activities to the extent FACA allows constitutes a sufficiently distinct injury to provide standing to sue." </w:t>
      </w:r>
      <w:bookmarkStart w:id="1489" w:name="Bookmark_I67K33WC28T4GC0010000400"/>
      <w:bookmarkEnd w:id="1489"/>
      <w:r>
        <w:rPr>
          <w:rFonts w:ascii="Arial" w:eastAsia="Arial" w:hAnsi="Arial" w:cs="Arial"/>
          <w:i/>
          <w:color w:val="000000"/>
          <w:sz w:val="20"/>
        </w:rPr>
        <w:t>Id.</w:t>
      </w:r>
      <w:r>
        <w:rPr>
          <w:rFonts w:ascii="Arial" w:eastAsia="Arial" w:hAnsi="Arial" w:cs="Arial"/>
          <w:color w:val="000000"/>
          <w:sz w:val="20"/>
        </w:rPr>
        <w:t xml:space="preserve"> at 449. In so ruling, the Court analogized the FACA action to a lawsuit under the Freedom of Information Act, wherein plaintiffs "need [not] show more than that they sought and were denied specific agency records." </w:t>
      </w:r>
      <w:r>
        <w:rPr>
          <w:rFonts w:ascii="Arial" w:eastAsia="Arial" w:hAnsi="Arial" w:cs="Arial"/>
          <w:i/>
          <w:color w:val="000000"/>
          <w:sz w:val="20"/>
        </w:rPr>
        <w:t>Id.</w:t>
      </w:r>
      <w:r>
        <w:rPr>
          <w:rFonts w:ascii="Arial" w:eastAsia="Arial" w:hAnsi="Arial" w:cs="Arial"/>
          <w:color w:val="000000"/>
          <w:sz w:val="20"/>
        </w:rPr>
        <w:t xml:space="preserve"> (citing Freedom of Information Act precedents).</w:t>
      </w:r>
    </w:p>
    <w:p w:rsidR="00022B47" w:rsidRDefault="00000000">
      <w:pPr>
        <w:pStyle w:val="Normal9"/>
        <w:widowControl w:val="0"/>
        <w:spacing w:before="200" w:line="260" w:lineRule="atLeast"/>
        <w:jc w:val="both"/>
      </w:pPr>
      <w:bookmarkStart w:id="1490" w:name="Bookmark_para_34_5"/>
      <w:bookmarkStart w:id="1491" w:name="Bookmark_I67K33WC28T4GC0040000400"/>
      <w:bookmarkStart w:id="1492" w:name="Bookmark_I67K33WC2SF8V10030000400"/>
      <w:bookmarkEnd w:id="1490"/>
      <w:bookmarkEnd w:id="1491"/>
      <w:bookmarkEnd w:id="1492"/>
      <w:r>
        <w:rPr>
          <w:rFonts w:ascii="Arial" w:eastAsia="Arial" w:hAnsi="Arial" w:cs="Arial"/>
          <w:color w:val="000000"/>
          <w:sz w:val="20"/>
        </w:rPr>
        <w:t xml:space="preserve">The </w:t>
      </w:r>
      <w:bookmarkStart w:id="1493" w:name="Bookmark_I67K33WC28T4GC0030000400"/>
      <w:bookmarkEnd w:id="1493"/>
      <w:r>
        <w:rPr>
          <w:rFonts w:ascii="Arial" w:eastAsia="Arial" w:hAnsi="Arial" w:cs="Arial"/>
          <w:i/>
          <w:color w:val="000000"/>
          <w:sz w:val="20"/>
        </w:rPr>
        <w:t>Public Citizen</w:t>
      </w:r>
      <w:r>
        <w:rPr>
          <w:rFonts w:ascii="Arial" w:eastAsia="Arial" w:hAnsi="Arial" w:cs="Arial"/>
          <w:color w:val="000000"/>
          <w:sz w:val="20"/>
        </w:rPr>
        <w:t xml:space="preserve"> Court rejected the defendants' argument that the plaintiffs lacked standing because they "advanced a general grievance shared in substantially equal measure by all or a large class of citizens." </w:t>
      </w:r>
      <w:r>
        <w:rPr>
          <w:rFonts w:ascii="Arial" w:eastAsia="Arial" w:hAnsi="Arial" w:cs="Arial"/>
          <w:i/>
          <w:color w:val="000000"/>
          <w:sz w:val="20"/>
        </w:rPr>
        <w:t>See</w:t>
      </w:r>
      <w:r>
        <w:rPr>
          <w:rFonts w:ascii="Arial" w:eastAsia="Arial" w:hAnsi="Arial" w:cs="Arial"/>
          <w:color w:val="000000"/>
          <w:sz w:val="20"/>
        </w:rPr>
        <w:t xml:space="preserve"> </w:t>
      </w:r>
      <w:bookmarkStart w:id="1494" w:name="Bookmark_I67K33WC28T4GC0050000400"/>
      <w:bookmarkEnd w:id="1494"/>
      <w:r>
        <w:rPr>
          <w:rFonts w:ascii="Arial" w:eastAsia="Arial" w:hAnsi="Arial" w:cs="Arial"/>
          <w:color w:val="000000"/>
          <w:sz w:val="20"/>
        </w:rPr>
        <w:t xml:space="preserve">491 U.S. at 448-49.  [*165]  The Court explained that "[t]he fact that other citizens or groups of citizens might make the same complaint after unsuccessfully demanding disclosure under FACA does not lessen [the plaintiffs'] asserted injury," just as "the fact that numerous citizens might request the same information under the Freedom of Information Act [does not deprive] those who have been denied access [of] a sufficient basis to sue." </w:t>
      </w:r>
      <w:bookmarkStart w:id="1495" w:name="Bookmark_I67K33WC2SF8V10020000400"/>
      <w:bookmarkEnd w:id="1495"/>
      <w:r>
        <w:rPr>
          <w:rFonts w:ascii="Arial" w:eastAsia="Arial" w:hAnsi="Arial" w:cs="Arial"/>
          <w:i/>
          <w:color w:val="000000"/>
          <w:sz w:val="20"/>
        </w:rPr>
        <w:t>Id.</w:t>
      </w:r>
      <w:r>
        <w:rPr>
          <w:rFonts w:ascii="Arial" w:eastAsia="Arial" w:hAnsi="Arial" w:cs="Arial"/>
          <w:color w:val="000000"/>
          <w:sz w:val="20"/>
        </w:rPr>
        <w:t xml:space="preserve"> at 449-50.</w:t>
      </w:r>
    </w:p>
    <w:p w:rsidR="00022B47" w:rsidRDefault="00000000">
      <w:pPr>
        <w:pStyle w:val="Normal9"/>
        <w:widowControl w:val="0"/>
        <w:spacing w:before="200" w:line="260" w:lineRule="atLeast"/>
        <w:jc w:val="both"/>
      </w:pPr>
      <w:bookmarkStart w:id="1496" w:name="Bookmark_para_35_5"/>
      <w:bookmarkStart w:id="1497" w:name="Bookmark_I67K33WC2SF8V10050000400"/>
      <w:bookmarkEnd w:id="1496"/>
      <w:bookmarkEnd w:id="1497"/>
      <w:r>
        <w:rPr>
          <w:rFonts w:ascii="Arial" w:eastAsia="Arial" w:hAnsi="Arial" w:cs="Arial"/>
          <w:color w:val="000000"/>
          <w:sz w:val="20"/>
        </w:rPr>
        <w:t xml:space="preserve">The Supreme Court subsequently relied on </w:t>
      </w:r>
      <w:bookmarkStart w:id="1498" w:name="Bookmark_I67K33WC2SF8V10040000400"/>
      <w:bookmarkEnd w:id="1498"/>
      <w:r>
        <w:rPr>
          <w:rFonts w:ascii="Arial" w:eastAsia="Arial" w:hAnsi="Arial" w:cs="Arial"/>
          <w:i/>
          <w:color w:val="000000"/>
          <w:sz w:val="20"/>
        </w:rPr>
        <w:t>Public Citizen</w:t>
      </w:r>
      <w:r>
        <w:rPr>
          <w:rFonts w:ascii="Arial" w:eastAsia="Arial" w:hAnsi="Arial" w:cs="Arial"/>
          <w:color w:val="000000"/>
          <w:sz w:val="20"/>
        </w:rPr>
        <w:t xml:space="preserve"> and </w:t>
      </w:r>
      <w:bookmarkStart w:id="1499" w:name="Bookmark_I67K33WC2N1PV10010000400"/>
      <w:bookmarkEnd w:id="1499"/>
      <w:r>
        <w:rPr>
          <w:rFonts w:ascii="Arial" w:eastAsia="Arial" w:hAnsi="Arial" w:cs="Arial"/>
          <w:i/>
          <w:color w:val="000000"/>
          <w:sz w:val="20"/>
        </w:rPr>
        <w:t>Havens Realty</w:t>
      </w:r>
      <w:r>
        <w:rPr>
          <w:rFonts w:ascii="Arial" w:eastAsia="Arial" w:hAnsi="Arial" w:cs="Arial"/>
          <w:color w:val="000000"/>
          <w:sz w:val="20"/>
        </w:rPr>
        <w:t xml:space="preserve"> when it recognized informational injury-based Article III standing to sue in its 1998 decision in </w:t>
      </w:r>
      <w:bookmarkStart w:id="1500" w:name="Bookmark_I67K33WC2SF8V10050000400_2"/>
      <w:bookmarkStart w:id="1501" w:name="Bookmark_I67K33WC2N1PV10030000400"/>
      <w:bookmarkEnd w:id="1500"/>
      <w:bookmarkEnd w:id="1501"/>
      <w:r>
        <w:rPr>
          <w:rFonts w:ascii="Arial" w:eastAsia="Arial" w:hAnsi="Arial" w:cs="Arial"/>
          <w:i/>
          <w:color w:val="000000"/>
          <w:sz w:val="20"/>
        </w:rPr>
        <w:t>Akins</w:t>
      </w:r>
      <w:bookmarkStart w:id="1502" w:name="Bookmark_I67K33WC2HM6MG0010000400"/>
      <w:bookmarkEnd w:id="1502"/>
      <w:r>
        <w:rPr>
          <w:rFonts w:ascii="Arial" w:eastAsia="Arial" w:hAnsi="Arial" w:cs="Arial"/>
          <w:color w:val="000000"/>
          <w:sz w:val="20"/>
        </w:rPr>
        <w:t xml:space="preserve">. </w:t>
      </w:r>
      <w:bookmarkStart w:id="1503" w:name="Bookmark_I67K33WC2HM6MG0030000400"/>
      <w:bookmarkEnd w:id="1503"/>
      <w:r>
        <w:rPr>
          <w:rFonts w:ascii="Arial" w:eastAsia="Arial" w:hAnsi="Arial" w:cs="Arial"/>
          <w:color w:val="000000"/>
          <w:sz w:val="20"/>
        </w:rPr>
        <w:t xml:space="preserve">There, a group of voters challenged the decision of the Federal Election [**19]  Commission (the "FEC") that the American Israel Public Affairs Committee ("AIPAC") was not a "political committee" as defined by the Federal Election Campaign Act of 1971 ("FECA") and thus was not obligated to make disclosures regarding its membership, contributions, and expenditures that FECA would otherwise require. </w:t>
      </w:r>
      <w:r>
        <w:rPr>
          <w:rFonts w:ascii="Arial" w:eastAsia="Arial" w:hAnsi="Arial" w:cs="Arial"/>
          <w:i/>
          <w:color w:val="000000"/>
          <w:sz w:val="20"/>
        </w:rPr>
        <w:t xml:space="preserve">See </w:t>
      </w:r>
      <w:bookmarkStart w:id="1504" w:name="Bookmark_I67K33WC2N1PV10050000400"/>
      <w:bookmarkEnd w:id="1504"/>
      <w:r>
        <w:rPr>
          <w:rFonts w:ascii="Arial" w:eastAsia="Arial" w:hAnsi="Arial" w:cs="Arial"/>
          <w:i/>
          <w:color w:val="000000"/>
          <w:sz w:val="20"/>
        </w:rPr>
        <w:t>Akins</w:t>
      </w:r>
      <w:r>
        <w:rPr>
          <w:rFonts w:ascii="Arial" w:eastAsia="Arial" w:hAnsi="Arial" w:cs="Arial"/>
          <w:color w:val="000000"/>
          <w:sz w:val="20"/>
        </w:rPr>
        <w:t xml:space="preserve">, 524 U.S. at 13. </w:t>
      </w:r>
      <w:bookmarkStart w:id="1505" w:name="Bookmark_I67K33WC2HM6MG0030000400_2"/>
      <w:bookmarkStart w:id="1506" w:name="Bookmark_I67K33WC28T4GD0020000400"/>
      <w:bookmarkEnd w:id="1505"/>
      <w:bookmarkEnd w:id="1506"/>
      <w:r>
        <w:rPr>
          <w:rFonts w:ascii="Arial" w:eastAsia="Arial" w:hAnsi="Arial" w:cs="Arial"/>
          <w:color w:val="000000"/>
          <w:sz w:val="20"/>
        </w:rPr>
        <w:t xml:space="preserve">The Court concluded that the injury alleged by the plaintiffs — "their inability to obtain information . . . that, on [their] view of the law, the statute requires that AIPAC make public" — satisfied the first </w:t>
      </w:r>
      <w:bookmarkStart w:id="1507" w:name="Bookmark_I67K33WC28T4GD0020000400_2"/>
      <w:bookmarkStart w:id="1508" w:name="Bookmark_I67K33WC2HM6MG0030000400_3"/>
      <w:bookmarkStart w:id="1509" w:name="Bookmark_I67K33WC2HM6MG0020000400"/>
      <w:bookmarkEnd w:id="1507"/>
      <w:bookmarkEnd w:id="1508"/>
      <w:bookmarkEnd w:id="1509"/>
      <w:r>
        <w:rPr>
          <w:rFonts w:ascii="Arial" w:eastAsia="Arial" w:hAnsi="Arial" w:cs="Arial"/>
          <w:i/>
          <w:color w:val="000000"/>
          <w:sz w:val="20"/>
        </w:rPr>
        <w:t>Lujan</w:t>
      </w:r>
      <w:r>
        <w:rPr>
          <w:rFonts w:ascii="Arial" w:eastAsia="Arial" w:hAnsi="Arial" w:cs="Arial"/>
          <w:color w:val="000000"/>
          <w:sz w:val="20"/>
        </w:rPr>
        <w:t xml:space="preserve"> element of an injury in fact. </w:t>
      </w:r>
      <w:bookmarkStart w:id="1510" w:name="Bookmark_I67K33WC2HM6MG0040000400"/>
      <w:bookmarkEnd w:id="1510"/>
      <w:r>
        <w:rPr>
          <w:rFonts w:ascii="Arial" w:eastAsia="Arial" w:hAnsi="Arial" w:cs="Arial"/>
          <w:i/>
          <w:color w:val="000000"/>
          <w:sz w:val="20"/>
        </w:rPr>
        <w:t>Id.</w:t>
      </w:r>
      <w:r>
        <w:rPr>
          <w:rFonts w:ascii="Arial" w:eastAsia="Arial" w:hAnsi="Arial" w:cs="Arial"/>
          <w:color w:val="000000"/>
          <w:sz w:val="20"/>
        </w:rPr>
        <w:t xml:space="preserve"> at 21. "Indeed," the </w:t>
      </w:r>
      <w:bookmarkStart w:id="1511" w:name="Bookmark_I67K33WC28T4GD0020000400_3"/>
      <w:bookmarkStart w:id="1512" w:name="Bookmark_I67K33WC28T4GD0010000400"/>
      <w:bookmarkEnd w:id="1511"/>
      <w:bookmarkEnd w:id="1512"/>
      <w:r>
        <w:rPr>
          <w:rFonts w:ascii="Arial" w:eastAsia="Arial" w:hAnsi="Arial" w:cs="Arial"/>
          <w:i/>
          <w:color w:val="000000"/>
          <w:sz w:val="20"/>
        </w:rPr>
        <w:t>Akins</w:t>
      </w:r>
      <w:r>
        <w:rPr>
          <w:rFonts w:ascii="Arial" w:eastAsia="Arial" w:hAnsi="Arial" w:cs="Arial"/>
          <w:color w:val="000000"/>
          <w:sz w:val="20"/>
        </w:rPr>
        <w:t xml:space="preserve"> decision emphasized, the Court had already held in </w:t>
      </w:r>
      <w:bookmarkStart w:id="1513" w:name="Bookmark_I67K33WC28T4GD0030000400"/>
      <w:bookmarkEnd w:id="1513"/>
      <w:r>
        <w:rPr>
          <w:rFonts w:ascii="Arial" w:eastAsia="Arial" w:hAnsi="Arial" w:cs="Arial"/>
          <w:i/>
          <w:color w:val="000000"/>
          <w:sz w:val="20"/>
        </w:rPr>
        <w:t>Public Citizen</w:t>
      </w:r>
      <w:r>
        <w:rPr>
          <w:rFonts w:ascii="Arial" w:eastAsia="Arial" w:hAnsi="Arial" w:cs="Arial"/>
          <w:color w:val="000000"/>
          <w:sz w:val="20"/>
        </w:rPr>
        <w:t xml:space="preserve"> and </w:t>
      </w:r>
      <w:bookmarkStart w:id="1514" w:name="Bookmark_I67K33WC28T4GD0050000400"/>
      <w:bookmarkEnd w:id="1514"/>
      <w:r>
        <w:rPr>
          <w:rFonts w:ascii="Arial" w:eastAsia="Arial" w:hAnsi="Arial" w:cs="Arial"/>
          <w:i/>
          <w:color w:val="000000"/>
          <w:sz w:val="20"/>
        </w:rPr>
        <w:t>Havens Realty</w:t>
      </w:r>
      <w:r>
        <w:rPr>
          <w:rFonts w:ascii="Arial" w:eastAsia="Arial" w:hAnsi="Arial" w:cs="Arial"/>
          <w:color w:val="000000"/>
          <w:sz w:val="20"/>
        </w:rPr>
        <w:t xml:space="preserve"> "that </w:t>
      </w:r>
      <w:bookmarkStart w:id="1515" w:name="Bookmark_LNHNREFclscc8_6"/>
      <w:bookmarkEnd w:id="1515"/>
      <w:r>
        <w:rPr>
          <w:rFonts w:ascii="Arial" w:eastAsia="Arial" w:hAnsi="Arial" w:cs="Arial"/>
          <w:color w:val="000000"/>
          <w:sz w:val="20"/>
        </w:rPr>
        <w:t xml:space="preserve">a plaintiff suffers an 'injury in fact' when the plaintiff fails to obtain information which must be publicly disclosed pursuant to a statute." </w:t>
      </w:r>
      <w:r>
        <w:rPr>
          <w:rFonts w:ascii="Arial" w:eastAsia="Arial" w:hAnsi="Arial" w:cs="Arial"/>
          <w:i/>
          <w:color w:val="000000"/>
          <w:sz w:val="20"/>
        </w:rPr>
        <w:t>Id.</w:t>
      </w:r>
      <w:r>
        <w:rPr>
          <w:rFonts w:ascii="Arial" w:eastAsia="Arial" w:hAnsi="Arial" w:cs="Arial"/>
          <w:color w:val="000000"/>
          <w:sz w:val="20"/>
        </w:rPr>
        <w:t xml:space="preserve"> (citing </w:t>
      </w:r>
      <w:bookmarkStart w:id="1516" w:name="Bookmark_I67K33WC2SF8V20020000400"/>
      <w:bookmarkEnd w:id="1516"/>
      <w:r>
        <w:rPr>
          <w:rFonts w:ascii="Arial" w:eastAsia="Arial" w:hAnsi="Arial" w:cs="Arial"/>
          <w:i/>
          <w:color w:val="000000"/>
          <w:sz w:val="20"/>
        </w:rPr>
        <w:t>Pub. Citizen</w:t>
      </w:r>
      <w:r>
        <w:rPr>
          <w:rFonts w:ascii="Arial" w:eastAsia="Arial" w:hAnsi="Arial" w:cs="Arial"/>
          <w:color w:val="000000"/>
          <w:sz w:val="20"/>
        </w:rPr>
        <w:t xml:space="preserve">, 491 U.S. at 449; </w:t>
      </w:r>
      <w:bookmarkStart w:id="1517" w:name="Bookmark_I67K33WC2SF8V20040000400"/>
      <w:bookmarkEnd w:id="1517"/>
      <w:r>
        <w:rPr>
          <w:rFonts w:ascii="Arial" w:eastAsia="Arial" w:hAnsi="Arial" w:cs="Arial"/>
          <w:i/>
          <w:color w:val="000000"/>
          <w:sz w:val="20"/>
        </w:rPr>
        <w:t>Havens Realty</w:t>
      </w:r>
      <w:r>
        <w:rPr>
          <w:rFonts w:ascii="Arial" w:eastAsia="Arial" w:hAnsi="Arial" w:cs="Arial"/>
          <w:color w:val="000000"/>
          <w:sz w:val="20"/>
        </w:rPr>
        <w:t>, 455 U.S. at 373-74).</w:t>
      </w:r>
    </w:p>
    <w:p w:rsidR="00022B47" w:rsidRDefault="00000000">
      <w:pPr>
        <w:pStyle w:val="Normal9"/>
        <w:widowControl w:val="0"/>
        <w:spacing w:before="200" w:line="260" w:lineRule="atLeast"/>
        <w:jc w:val="both"/>
      </w:pPr>
      <w:bookmarkStart w:id="1518" w:name="Bookmark_para_36_5"/>
      <w:bookmarkStart w:id="1519" w:name="Bookmark_I67K33WC2N1PV20020000400"/>
      <w:bookmarkEnd w:id="1518"/>
      <w:bookmarkEnd w:id="1519"/>
      <w:r>
        <w:rPr>
          <w:rFonts w:ascii="Arial" w:eastAsia="Arial" w:hAnsi="Arial" w:cs="Arial"/>
          <w:color w:val="000000"/>
          <w:sz w:val="20"/>
        </w:rPr>
        <w:t xml:space="preserve">Similar to the </w:t>
      </w:r>
      <w:bookmarkStart w:id="1520" w:name="Bookmark_I67K33WC2N1PV20010000400"/>
      <w:bookmarkEnd w:id="1520"/>
      <w:r>
        <w:rPr>
          <w:rFonts w:ascii="Arial" w:eastAsia="Arial" w:hAnsi="Arial" w:cs="Arial"/>
          <w:i/>
          <w:color w:val="000000"/>
          <w:sz w:val="20"/>
        </w:rPr>
        <w:t>Public Citizen</w:t>
      </w:r>
      <w:bookmarkStart w:id="1521" w:name="Bookmark_I67K33WC2HM6MH0030000400"/>
      <w:bookmarkEnd w:id="1521"/>
      <w:r>
        <w:rPr>
          <w:rFonts w:ascii="Arial" w:eastAsia="Arial" w:hAnsi="Arial" w:cs="Arial"/>
          <w:color w:val="000000"/>
          <w:sz w:val="20"/>
        </w:rPr>
        <w:t xml:space="preserve"> Court, the </w:t>
      </w:r>
      <w:bookmarkStart w:id="1522" w:name="Bookmark_I67K33WC2N1PV20030000400"/>
      <w:bookmarkEnd w:id="1522"/>
      <w:r>
        <w:rPr>
          <w:rFonts w:ascii="Arial" w:eastAsia="Arial" w:hAnsi="Arial" w:cs="Arial"/>
          <w:i/>
          <w:color w:val="000000"/>
          <w:sz w:val="20"/>
        </w:rPr>
        <w:t>Akins</w:t>
      </w:r>
      <w:bookmarkStart w:id="1523" w:name="Bookmark_I67K33WC2HM6MH0050000400"/>
      <w:bookmarkEnd w:id="1523"/>
      <w:r>
        <w:rPr>
          <w:rFonts w:ascii="Arial" w:eastAsia="Arial" w:hAnsi="Arial" w:cs="Arial"/>
          <w:color w:val="000000"/>
          <w:sz w:val="20"/>
        </w:rPr>
        <w:t xml:space="preserve"> Court rejected the contention (now made by the defendant FEC) that the plaintiffs lacked constitutional or prudential standing to sue because their "lawsuit involves only a 'generalized grievance.'" </w:t>
      </w:r>
      <w:r>
        <w:rPr>
          <w:rFonts w:ascii="Arial" w:eastAsia="Arial" w:hAnsi="Arial" w:cs="Arial"/>
          <w:i/>
          <w:color w:val="000000"/>
          <w:sz w:val="20"/>
        </w:rPr>
        <w:t>See</w:t>
      </w:r>
      <w:r>
        <w:rPr>
          <w:rFonts w:ascii="Arial" w:eastAsia="Arial" w:hAnsi="Arial" w:cs="Arial"/>
          <w:color w:val="000000"/>
          <w:sz w:val="20"/>
        </w:rPr>
        <w:t xml:space="preserve"> </w:t>
      </w:r>
      <w:bookmarkStart w:id="1524" w:name="Bookmark_I67K33WC2N1PV20050000400"/>
      <w:bookmarkEnd w:id="1524"/>
      <w:r>
        <w:rPr>
          <w:rFonts w:ascii="Arial" w:eastAsia="Arial" w:hAnsi="Arial" w:cs="Arial"/>
          <w:color w:val="000000"/>
          <w:sz w:val="20"/>
        </w:rPr>
        <w:t xml:space="preserve">524 U.S. at 23. </w:t>
      </w:r>
      <w:bookmarkStart w:id="1525" w:name="Bookmark_I67K33WC2HM6MH0050000400_2"/>
      <w:bookmarkStart w:id="1526" w:name="Bookmark_I67K33WC2HM6MH0030000400_2"/>
      <w:bookmarkEnd w:id="1525"/>
      <w:bookmarkEnd w:id="1526"/>
      <w:r>
        <w:rPr>
          <w:rFonts w:ascii="Arial" w:eastAsia="Arial" w:hAnsi="Arial" w:cs="Arial"/>
          <w:color w:val="000000"/>
          <w:sz w:val="20"/>
        </w:rPr>
        <w:t xml:space="preserve">Although the Court characterized it as "[t]he FEC's strongest argument," the Court went on to find it lacking because it rested on "cases where the harm at issue [**20]  is not only widely shared, but is also of an abstract and indefinite nature — for example, harm to the 'common concern for obedience to law.'" </w:t>
      </w:r>
      <w:r>
        <w:rPr>
          <w:rFonts w:ascii="Arial" w:eastAsia="Arial" w:hAnsi="Arial" w:cs="Arial"/>
          <w:i/>
          <w:color w:val="000000"/>
          <w:sz w:val="20"/>
        </w:rPr>
        <w:t>Id.</w:t>
      </w:r>
      <w:r>
        <w:rPr>
          <w:rFonts w:ascii="Arial" w:eastAsia="Arial" w:hAnsi="Arial" w:cs="Arial"/>
          <w:color w:val="000000"/>
          <w:sz w:val="20"/>
        </w:rPr>
        <w:t xml:space="preserve"> (quoting </w:t>
      </w:r>
      <w:bookmarkStart w:id="1527" w:name="Bookmark_I67K33WC2HM6MH0020000400"/>
      <w:bookmarkEnd w:id="1527"/>
      <w:r>
        <w:rPr>
          <w:rFonts w:ascii="Arial" w:eastAsia="Arial" w:hAnsi="Arial" w:cs="Arial"/>
          <w:i/>
          <w:color w:val="000000"/>
          <w:sz w:val="20"/>
        </w:rPr>
        <w:t>L. Singer &amp; Sons v. Union Pac. R.R. Co.</w:t>
      </w:r>
      <w:r>
        <w:rPr>
          <w:rFonts w:ascii="Arial" w:eastAsia="Arial" w:hAnsi="Arial" w:cs="Arial"/>
          <w:color w:val="000000"/>
          <w:sz w:val="20"/>
        </w:rPr>
        <w:t xml:space="preserve">, 311 U.S. 295, 303, 61 S. Ct. 254, 85 L. Ed. 198 (1940)). </w:t>
      </w:r>
      <w:bookmarkStart w:id="1528" w:name="Bookmark_LNHNREFclscc9_6"/>
      <w:bookmarkEnd w:id="1528"/>
      <w:r>
        <w:rPr>
          <w:rFonts w:ascii="Arial" w:eastAsia="Arial" w:hAnsi="Arial" w:cs="Arial"/>
          <w:color w:val="000000"/>
          <w:sz w:val="20"/>
        </w:rPr>
        <w:t xml:space="preserve">The Court explained that a harm may be "concrete, though widely shared," and that such a harm can qualify under the first </w:t>
      </w:r>
      <w:bookmarkStart w:id="1529" w:name="Bookmark_I67K33WC2HM6MH0050000400_3"/>
      <w:bookmarkStart w:id="1530" w:name="Bookmark_I67K33WC2HM6MH0040000400"/>
      <w:bookmarkEnd w:id="1529"/>
      <w:bookmarkEnd w:id="1530"/>
      <w:r>
        <w:rPr>
          <w:rFonts w:ascii="Arial" w:eastAsia="Arial" w:hAnsi="Arial" w:cs="Arial"/>
          <w:i/>
          <w:color w:val="000000"/>
          <w:sz w:val="20"/>
        </w:rPr>
        <w:t>Lujan</w:t>
      </w:r>
      <w:r>
        <w:rPr>
          <w:rFonts w:ascii="Arial" w:eastAsia="Arial" w:hAnsi="Arial" w:cs="Arial"/>
          <w:color w:val="000000"/>
          <w:sz w:val="20"/>
        </w:rPr>
        <w:t xml:space="preserve"> element as an injury in fact. </w:t>
      </w:r>
      <w:bookmarkStart w:id="1531" w:name="Bookmark_I67K33WC2SF8V40010000400"/>
      <w:bookmarkEnd w:id="1531"/>
      <w:r>
        <w:rPr>
          <w:rFonts w:ascii="Arial" w:eastAsia="Arial" w:hAnsi="Arial" w:cs="Arial"/>
          <w:i/>
          <w:color w:val="000000"/>
          <w:sz w:val="20"/>
        </w:rPr>
        <w:t>Id.</w:t>
      </w:r>
      <w:r>
        <w:rPr>
          <w:rFonts w:ascii="Arial" w:eastAsia="Arial" w:hAnsi="Arial" w:cs="Arial"/>
          <w:color w:val="000000"/>
          <w:sz w:val="20"/>
        </w:rPr>
        <w:t xml:space="preserve"> at 24 (citing </w:t>
      </w:r>
      <w:bookmarkStart w:id="1532" w:name="Bookmark_I67K33WC2SF8V40030000400"/>
      <w:bookmarkEnd w:id="1532"/>
      <w:r>
        <w:rPr>
          <w:rFonts w:ascii="Arial" w:eastAsia="Arial" w:hAnsi="Arial" w:cs="Arial"/>
          <w:i/>
          <w:color w:val="000000"/>
          <w:sz w:val="20"/>
        </w:rPr>
        <w:t>Pub. Citizen</w:t>
      </w:r>
      <w:r>
        <w:rPr>
          <w:rFonts w:ascii="Arial" w:eastAsia="Arial" w:hAnsi="Arial" w:cs="Arial"/>
          <w:color w:val="000000"/>
          <w:sz w:val="20"/>
        </w:rPr>
        <w:t>, 491 U.S. at 449-50).</w:t>
      </w:r>
    </w:p>
    <w:p w:rsidR="00022B47" w:rsidRDefault="00000000">
      <w:pPr>
        <w:pStyle w:val="Normal9"/>
        <w:widowControl w:val="0"/>
        <w:spacing w:before="200" w:line="260" w:lineRule="atLeast"/>
        <w:jc w:val="both"/>
      </w:pPr>
      <w:bookmarkStart w:id="1533" w:name="Bookmark_para_37_3"/>
      <w:bookmarkStart w:id="1534" w:name="Bookmark_I67K33WC2N1PV40010000400"/>
      <w:bookmarkEnd w:id="1533"/>
      <w:bookmarkEnd w:id="1534"/>
      <w:r>
        <w:rPr>
          <w:rFonts w:ascii="Arial" w:eastAsia="Arial" w:hAnsi="Arial" w:cs="Arial"/>
          <w:color w:val="000000"/>
          <w:sz w:val="20"/>
        </w:rPr>
        <w:t xml:space="preserve">Notably, both the </w:t>
      </w:r>
      <w:bookmarkStart w:id="1535" w:name="Bookmark_I67K33WC2SF8V40050000400"/>
      <w:bookmarkEnd w:id="1535"/>
      <w:r>
        <w:rPr>
          <w:rFonts w:ascii="Arial" w:eastAsia="Arial" w:hAnsi="Arial" w:cs="Arial"/>
          <w:i/>
          <w:color w:val="000000"/>
          <w:sz w:val="20"/>
        </w:rPr>
        <w:t>Public Citizen</w:t>
      </w:r>
      <w:bookmarkStart w:id="1536" w:name="Bookmark_I67K33WC2N1PV40050000400"/>
      <w:bookmarkEnd w:id="1536"/>
      <w:r>
        <w:rPr>
          <w:rFonts w:ascii="Arial" w:eastAsia="Arial" w:hAnsi="Arial" w:cs="Arial"/>
          <w:color w:val="000000"/>
          <w:sz w:val="20"/>
        </w:rPr>
        <w:t xml:space="preserve"> and </w:t>
      </w:r>
      <w:bookmarkStart w:id="1537" w:name="Bookmark_I67K33WC2N1PV40020000400"/>
      <w:bookmarkEnd w:id="1537"/>
      <w:r>
        <w:rPr>
          <w:rFonts w:ascii="Arial" w:eastAsia="Arial" w:hAnsi="Arial" w:cs="Arial"/>
          <w:i/>
          <w:color w:val="000000"/>
          <w:sz w:val="20"/>
        </w:rPr>
        <w:t>Akins</w:t>
      </w:r>
      <w:r>
        <w:rPr>
          <w:rFonts w:ascii="Arial" w:eastAsia="Arial" w:hAnsi="Arial" w:cs="Arial"/>
          <w:color w:val="000000"/>
          <w:sz w:val="20"/>
        </w:rPr>
        <w:t xml:space="preserve"> decisions observed that the plaintiffs had identified uses for the information they sought. </w:t>
      </w:r>
      <w:bookmarkStart w:id="1538" w:name="Bookmark_I67K33WC2N1PV40050000400_2"/>
      <w:bookmarkStart w:id="1539" w:name="Bookmark_I67K33WC2D6NMV0040000400"/>
      <w:bookmarkEnd w:id="1538"/>
      <w:bookmarkEnd w:id="1539"/>
      <w:r>
        <w:rPr>
          <w:rFonts w:ascii="Arial" w:eastAsia="Arial" w:hAnsi="Arial" w:cs="Arial"/>
          <w:color w:val="000000"/>
          <w:sz w:val="20"/>
        </w:rPr>
        <w:t xml:space="preserve">In </w:t>
      </w:r>
      <w:bookmarkStart w:id="1540" w:name="Bookmark_I67K33WC2D6NMV0040000400_2"/>
      <w:bookmarkStart w:id="1541" w:name="Bookmark_I67K33WC2N1PV40050000400_3"/>
      <w:bookmarkStart w:id="1542" w:name="Bookmark_I67K33WC2N1PV40040000400"/>
      <w:bookmarkEnd w:id="1540"/>
      <w:bookmarkEnd w:id="1541"/>
      <w:bookmarkEnd w:id="1542"/>
      <w:r>
        <w:rPr>
          <w:rFonts w:ascii="Arial" w:eastAsia="Arial" w:hAnsi="Arial" w:cs="Arial"/>
          <w:i/>
          <w:color w:val="000000"/>
          <w:sz w:val="20"/>
        </w:rPr>
        <w:t>Public Citizen</w:t>
      </w:r>
      <w:r>
        <w:rPr>
          <w:rFonts w:ascii="Arial" w:eastAsia="Arial" w:hAnsi="Arial" w:cs="Arial"/>
          <w:color w:val="000000"/>
          <w:sz w:val="20"/>
        </w:rPr>
        <w:t xml:space="preserve">, the plaintiffs wanted "access to the ABA Committee's meetings and records in order to monitor its workings and participate more effectively in the judicial selection process." </w:t>
      </w:r>
      <w:r>
        <w:rPr>
          <w:rFonts w:ascii="Arial" w:eastAsia="Arial" w:hAnsi="Arial" w:cs="Arial"/>
          <w:i/>
          <w:color w:val="000000"/>
          <w:sz w:val="20"/>
        </w:rPr>
        <w:t>See</w:t>
      </w:r>
      <w:r>
        <w:rPr>
          <w:rFonts w:ascii="Arial" w:eastAsia="Arial" w:hAnsi="Arial" w:cs="Arial"/>
          <w:color w:val="000000"/>
          <w:sz w:val="20"/>
        </w:rPr>
        <w:t xml:space="preserve"> </w:t>
      </w:r>
      <w:bookmarkStart w:id="1543" w:name="Bookmark_I67K33WC2D6NMV0010000400"/>
      <w:bookmarkEnd w:id="1543"/>
      <w:r>
        <w:rPr>
          <w:rFonts w:ascii="Arial" w:eastAsia="Arial" w:hAnsi="Arial" w:cs="Arial"/>
          <w:color w:val="000000"/>
          <w:sz w:val="20"/>
        </w:rPr>
        <w:t xml:space="preserve">491 U.S. at 449. </w:t>
      </w:r>
      <w:bookmarkStart w:id="1544" w:name="Bookmark_I67K33WC28T4GH0030000400"/>
      <w:bookmarkEnd w:id="1544"/>
      <w:r>
        <w:rPr>
          <w:rFonts w:ascii="Arial" w:eastAsia="Arial" w:hAnsi="Arial" w:cs="Arial"/>
          <w:color w:val="000000"/>
          <w:sz w:val="20"/>
        </w:rPr>
        <w:t xml:space="preserve">And in </w:t>
      </w:r>
      <w:bookmarkStart w:id="1545" w:name="Bookmark_I67K33WC28T4GH0030000400_2"/>
      <w:bookmarkStart w:id="1546" w:name="Bookmark_I67K33WC2D6NMV0040000400_3"/>
      <w:bookmarkStart w:id="1547" w:name="Bookmark_I67K33WC2D6NMV0030000400"/>
      <w:bookmarkEnd w:id="1545"/>
      <w:bookmarkEnd w:id="1546"/>
      <w:bookmarkEnd w:id="1547"/>
      <w:r>
        <w:rPr>
          <w:rFonts w:ascii="Arial" w:eastAsia="Arial" w:hAnsi="Arial" w:cs="Arial"/>
          <w:i/>
          <w:color w:val="000000"/>
          <w:sz w:val="20"/>
        </w:rPr>
        <w:t>Akins</w:t>
      </w:r>
      <w:r>
        <w:rPr>
          <w:rFonts w:ascii="Arial" w:eastAsia="Arial" w:hAnsi="Arial" w:cs="Arial"/>
          <w:color w:val="000000"/>
          <w:sz w:val="20"/>
        </w:rPr>
        <w:t xml:space="preserve">, the plaintiffs sought the information "to evaluate candidates for public office, especially candidates who received assistance from AIPAC, and to evaluate the role that AIPAC's financial assistance might play in a specific election." </w:t>
      </w:r>
      <w:r>
        <w:rPr>
          <w:rFonts w:ascii="Arial" w:eastAsia="Arial" w:hAnsi="Arial" w:cs="Arial"/>
          <w:i/>
          <w:color w:val="000000"/>
          <w:sz w:val="20"/>
        </w:rPr>
        <w:t>See</w:t>
      </w:r>
      <w:r>
        <w:rPr>
          <w:rFonts w:ascii="Arial" w:eastAsia="Arial" w:hAnsi="Arial" w:cs="Arial"/>
          <w:color w:val="000000"/>
          <w:sz w:val="20"/>
        </w:rPr>
        <w:t xml:space="preserve"> </w:t>
      </w:r>
      <w:bookmarkStart w:id="1548" w:name="Bookmark_I67K33WC2D6NMV0050000400"/>
      <w:bookmarkEnd w:id="1548"/>
      <w:r>
        <w:rPr>
          <w:rFonts w:ascii="Arial" w:eastAsia="Arial" w:hAnsi="Arial" w:cs="Arial"/>
          <w:color w:val="000000"/>
          <w:sz w:val="20"/>
        </w:rPr>
        <w:t xml:space="preserve">524 U.S. at 21. The </w:t>
      </w:r>
      <w:bookmarkStart w:id="1549" w:name="Bookmark_I67K33WC28T4GH0030000400_3"/>
      <w:bookmarkStart w:id="1550" w:name="Bookmark_I67K33WC28T4GH0020000400"/>
      <w:bookmarkEnd w:id="1549"/>
      <w:bookmarkEnd w:id="1550"/>
      <w:r>
        <w:rPr>
          <w:rFonts w:ascii="Arial" w:eastAsia="Arial" w:hAnsi="Arial" w:cs="Arial"/>
          <w:i/>
          <w:color w:val="000000"/>
          <w:sz w:val="20"/>
        </w:rPr>
        <w:t>Akins</w:t>
      </w:r>
      <w:r>
        <w:rPr>
          <w:rFonts w:ascii="Arial" w:eastAsia="Arial" w:hAnsi="Arial" w:cs="Arial"/>
          <w:color w:val="000000"/>
          <w:sz w:val="20"/>
        </w:rPr>
        <w:t xml:space="preserve"> Court commented that it had "no reason to doubt [the plaintiffs'] claim that the information would help them (and others to whom they would communicate it)." </w:t>
      </w:r>
      <w:r>
        <w:rPr>
          <w:rFonts w:ascii="Arial" w:eastAsia="Arial" w:hAnsi="Arial" w:cs="Arial"/>
          <w:i/>
          <w:color w:val="000000"/>
          <w:sz w:val="20"/>
        </w:rPr>
        <w:t>Id.</w:t>
      </w:r>
      <w:r>
        <w:rPr>
          <w:rFonts w:ascii="Arial" w:eastAsia="Arial" w:hAnsi="Arial" w:cs="Arial"/>
          <w:color w:val="000000"/>
          <w:sz w:val="20"/>
        </w:rPr>
        <w:t xml:space="preserve"> Ultimately, however, all that mattered to the </w:t>
      </w:r>
      <w:bookmarkStart w:id="1551" w:name="Bookmark_I67K33WC28T4GH0040000400"/>
      <w:bookmarkEnd w:id="1551"/>
      <w:r>
        <w:rPr>
          <w:rFonts w:ascii="Arial" w:eastAsia="Arial" w:hAnsi="Arial" w:cs="Arial"/>
          <w:i/>
          <w:color w:val="000000"/>
          <w:sz w:val="20"/>
        </w:rPr>
        <w:t>Akins</w:t>
      </w:r>
      <w:bookmarkStart w:id="1552" w:name="Bookmark_I67K33WC2SF8V50040000400"/>
      <w:bookmarkEnd w:id="1552"/>
      <w:r>
        <w:rPr>
          <w:rFonts w:ascii="Arial" w:eastAsia="Arial" w:hAnsi="Arial" w:cs="Arial"/>
          <w:color w:val="000000"/>
          <w:sz w:val="20"/>
        </w:rPr>
        <w:t xml:space="preserve"> Court — and to the </w:t>
      </w:r>
      <w:bookmarkStart w:id="1553" w:name="Bookmark_I67K33WC2SF8V50010000400"/>
      <w:bookmarkEnd w:id="1553"/>
      <w:r>
        <w:rPr>
          <w:rFonts w:ascii="Arial" w:eastAsia="Arial" w:hAnsi="Arial" w:cs="Arial"/>
          <w:i/>
          <w:color w:val="000000"/>
          <w:sz w:val="20"/>
        </w:rPr>
        <w:t>Public Citizen</w:t>
      </w:r>
      <w:r>
        <w:rPr>
          <w:rFonts w:ascii="Arial" w:eastAsia="Arial" w:hAnsi="Arial" w:cs="Arial"/>
          <w:color w:val="000000"/>
          <w:sz w:val="20"/>
        </w:rPr>
        <w:t xml:space="preserve"> Court before it — was that the plaintiffs sought and were denied information to which they [**21]  claimed entitlement. That the plaintiffs had a use for the information was not a factor in either the  [*166]  </w:t>
      </w:r>
      <w:bookmarkStart w:id="1554" w:name="Bookmark_I67K33WC2SF8V50040000400_2"/>
      <w:bookmarkStart w:id="1555" w:name="Bookmark_I67K33WC2SF8V50030000400"/>
      <w:bookmarkEnd w:id="1554"/>
      <w:bookmarkEnd w:id="1555"/>
      <w:r>
        <w:rPr>
          <w:rFonts w:ascii="Arial" w:eastAsia="Arial" w:hAnsi="Arial" w:cs="Arial"/>
          <w:i/>
          <w:color w:val="000000"/>
          <w:sz w:val="20"/>
        </w:rPr>
        <w:t>Public Citizen</w:t>
      </w:r>
      <w:r>
        <w:rPr>
          <w:rFonts w:ascii="Arial" w:eastAsia="Arial" w:hAnsi="Arial" w:cs="Arial"/>
          <w:color w:val="000000"/>
          <w:sz w:val="20"/>
        </w:rPr>
        <w:t xml:space="preserve"> or </w:t>
      </w:r>
      <w:bookmarkStart w:id="1556" w:name="Bookmark_I67K33WC2SF8V50050000400"/>
      <w:bookmarkEnd w:id="1556"/>
      <w:r>
        <w:rPr>
          <w:rFonts w:ascii="Arial" w:eastAsia="Arial" w:hAnsi="Arial" w:cs="Arial"/>
          <w:i/>
          <w:color w:val="000000"/>
          <w:sz w:val="20"/>
        </w:rPr>
        <w:t>Akins</w:t>
      </w:r>
      <w:r>
        <w:rPr>
          <w:rFonts w:ascii="Arial" w:eastAsia="Arial" w:hAnsi="Arial" w:cs="Arial"/>
          <w:color w:val="000000"/>
          <w:sz w:val="20"/>
        </w:rPr>
        <w:t xml:space="preserve"> Article III standing analysis.</w:t>
      </w:r>
    </w:p>
    <w:p w:rsidR="00022B47" w:rsidRDefault="00000000">
      <w:pPr>
        <w:pStyle w:val="Normal9"/>
        <w:widowControl w:val="0"/>
        <w:spacing w:before="120" w:line="260" w:lineRule="atLeast"/>
      </w:pPr>
      <w:r>
        <w:rPr>
          <w:rFonts w:ascii="Arial" w:eastAsia="Arial" w:hAnsi="Arial" w:cs="Arial"/>
          <w:color w:val="000000"/>
          <w:sz w:val="20"/>
        </w:rPr>
        <w:t>2.</w:t>
      </w:r>
    </w:p>
    <w:p w:rsidR="00022B47" w:rsidRDefault="00000000">
      <w:pPr>
        <w:pStyle w:val="Normal9"/>
        <w:widowControl w:val="0"/>
        <w:spacing w:before="200" w:line="260" w:lineRule="atLeast"/>
        <w:jc w:val="both"/>
      </w:pPr>
      <w:bookmarkStart w:id="1557" w:name="Bookmark_para_38_3"/>
      <w:bookmarkStart w:id="1558" w:name="Bookmark_I67K33WC2N1PV50030000400"/>
      <w:bookmarkEnd w:id="1557"/>
      <w:bookmarkEnd w:id="1558"/>
      <w:r>
        <w:rPr>
          <w:rFonts w:ascii="Arial" w:eastAsia="Arial" w:hAnsi="Arial" w:cs="Arial"/>
          <w:color w:val="000000"/>
          <w:sz w:val="20"/>
        </w:rPr>
        <w:t xml:space="preserve">In the case before us, Laufer asserts in part that Naranda, as the owner of a place of lodging (the Sleep Inn &amp; Suites Downtown Inner Harbor), is required by the Hotel Reservation Regulation to provide information to individuals with disabilities on its hotel reservation websites about accessible features in the hotel and its guest rooms. That theory of her ADA claim relies on 28 C.F.R. § 36.302(e)(1)(ii), which provides that a hotel owner must "[i]dentify and describe accessible features in the hotels and guest rooms offered through its reservations service in enough detail to reasonably permit individuals with disabilities to assess independently whether a given hotel or guest room meets his or her accessibility needs." According to Laufer, she is entitled to the accessibility information as an individual with a disability, and Naranda's failure to provide it constitutes discrimination under Title III of the ADA. Accepting that theory of Laufer's ADA claim for purposes of the standing analysis, she has alleged an informational injury that gives her Article III standing to sue under [**22]  </w:t>
      </w:r>
      <w:bookmarkStart w:id="1559" w:name="Bookmark_I67K33WC2N1PV50020000400"/>
      <w:bookmarkEnd w:id="1559"/>
      <w:r>
        <w:rPr>
          <w:rFonts w:ascii="Arial" w:eastAsia="Arial" w:hAnsi="Arial" w:cs="Arial"/>
          <w:i/>
          <w:color w:val="000000"/>
          <w:sz w:val="20"/>
        </w:rPr>
        <w:t>Havens Realty</w:t>
      </w:r>
      <w:r>
        <w:rPr>
          <w:rFonts w:ascii="Arial" w:eastAsia="Arial" w:hAnsi="Arial" w:cs="Arial"/>
          <w:color w:val="000000"/>
          <w:sz w:val="20"/>
        </w:rPr>
        <w:t xml:space="preserve">, </w:t>
      </w:r>
      <w:bookmarkStart w:id="1560" w:name="Bookmark_I67K33WC2N1PV50030000400_2"/>
      <w:bookmarkStart w:id="1561" w:name="Bookmark_I67K33WC2N1PV50040000400"/>
      <w:bookmarkEnd w:id="1560"/>
      <w:bookmarkEnd w:id="1561"/>
      <w:r>
        <w:rPr>
          <w:rFonts w:ascii="Arial" w:eastAsia="Arial" w:hAnsi="Arial" w:cs="Arial"/>
          <w:i/>
          <w:color w:val="000000"/>
          <w:sz w:val="20"/>
        </w:rPr>
        <w:t>Public Citizen</w:t>
      </w:r>
      <w:r>
        <w:rPr>
          <w:rFonts w:ascii="Arial" w:eastAsia="Arial" w:hAnsi="Arial" w:cs="Arial"/>
          <w:color w:val="000000"/>
          <w:sz w:val="20"/>
        </w:rPr>
        <w:t xml:space="preserve">, and </w:t>
      </w:r>
      <w:bookmarkStart w:id="1562" w:name="Bookmark_I67K33WC2HM6MK0010000400"/>
      <w:bookmarkEnd w:id="1562"/>
      <w:r>
        <w:rPr>
          <w:rFonts w:ascii="Arial" w:eastAsia="Arial" w:hAnsi="Arial" w:cs="Arial"/>
          <w:i/>
          <w:color w:val="000000"/>
          <w:sz w:val="20"/>
        </w:rPr>
        <w:t>Akins</w:t>
      </w:r>
      <w:r>
        <w:rPr>
          <w:rFonts w:ascii="Arial" w:eastAsia="Arial" w:hAnsi="Arial" w:cs="Arial"/>
          <w:color w:val="000000"/>
          <w:sz w:val="20"/>
        </w:rPr>
        <w:t>.</w:t>
      </w:r>
    </w:p>
    <w:p w:rsidR="00022B47" w:rsidRDefault="00000000">
      <w:pPr>
        <w:pStyle w:val="Normal9"/>
        <w:widowControl w:val="0"/>
        <w:spacing w:before="120" w:line="260" w:lineRule="atLeast"/>
      </w:pPr>
      <w:r>
        <w:rPr>
          <w:rFonts w:ascii="Arial" w:eastAsia="Arial" w:hAnsi="Arial" w:cs="Arial"/>
          <w:color w:val="000000"/>
          <w:sz w:val="20"/>
        </w:rPr>
        <w:t>a.</w:t>
      </w:r>
    </w:p>
    <w:p w:rsidR="00022B47" w:rsidRDefault="00000000">
      <w:pPr>
        <w:pStyle w:val="Normal9"/>
        <w:widowControl w:val="0"/>
        <w:spacing w:before="200" w:line="260" w:lineRule="atLeast"/>
        <w:jc w:val="both"/>
      </w:pPr>
      <w:bookmarkStart w:id="1563" w:name="Bookmark_para_39_2"/>
      <w:bookmarkStart w:id="1564" w:name="Bookmark_I1XXT3G1JHV000081490003N"/>
      <w:bookmarkStart w:id="1565" w:name="Bookmark_I67K33WC2HM6MK0040000400"/>
      <w:bookmarkStart w:id="1566" w:name="Bookmark_I67K33WC2N1PV60020000400"/>
      <w:bookmarkEnd w:id="1563"/>
      <w:bookmarkEnd w:id="1564"/>
      <w:bookmarkEnd w:id="1565"/>
      <w:bookmarkEnd w:id="1566"/>
      <w:r>
        <w:rPr>
          <w:rFonts w:ascii="Arial" w:eastAsia="Arial" w:hAnsi="Arial" w:cs="Arial"/>
          <w:color w:val="000000"/>
          <w:sz w:val="20"/>
        </w:rPr>
        <w:t xml:space="preserve">With respect to the first </w:t>
      </w:r>
      <w:bookmarkStart w:id="1567" w:name="Bookmark_I67K33WC2HM6MK0030000400"/>
      <w:bookmarkEnd w:id="1567"/>
      <w:r>
        <w:rPr>
          <w:rFonts w:ascii="Arial" w:eastAsia="Arial" w:hAnsi="Arial" w:cs="Arial"/>
          <w:i/>
          <w:color w:val="000000"/>
          <w:sz w:val="20"/>
        </w:rPr>
        <w:t>Lujan</w:t>
      </w:r>
      <w:r>
        <w:rPr>
          <w:rFonts w:ascii="Arial" w:eastAsia="Arial" w:hAnsi="Arial" w:cs="Arial"/>
          <w:color w:val="000000"/>
          <w:sz w:val="20"/>
        </w:rPr>
        <w:t xml:space="preserve"> element of an injury in fact, Laufer has alleged all that she needs to: that she has "fail[ed] to obtain information which must be publicly disclosed pursuant to a statute." </w:t>
      </w:r>
      <w:r>
        <w:rPr>
          <w:rFonts w:ascii="Arial" w:eastAsia="Arial" w:hAnsi="Arial" w:cs="Arial"/>
          <w:i/>
          <w:color w:val="000000"/>
          <w:sz w:val="20"/>
        </w:rPr>
        <w:t xml:space="preserve">See </w:t>
      </w:r>
      <w:bookmarkStart w:id="1568" w:name="Bookmark_I67K33WC2HM6MK0050000400"/>
      <w:bookmarkEnd w:id="1568"/>
      <w:r>
        <w:rPr>
          <w:rFonts w:ascii="Arial" w:eastAsia="Arial" w:hAnsi="Arial" w:cs="Arial"/>
          <w:i/>
          <w:color w:val="000000"/>
          <w:sz w:val="20"/>
        </w:rPr>
        <w:t>Akins</w:t>
      </w:r>
      <w:r>
        <w:rPr>
          <w:rFonts w:ascii="Arial" w:eastAsia="Arial" w:hAnsi="Arial" w:cs="Arial"/>
          <w:color w:val="000000"/>
          <w:sz w:val="20"/>
        </w:rPr>
        <w:t xml:space="preserve">, 524 U.S. at 21 (citing </w:t>
      </w:r>
      <w:bookmarkStart w:id="1569" w:name="Bookmark_I67K33WC2D6NMW0020000400"/>
      <w:bookmarkEnd w:id="1569"/>
      <w:r>
        <w:rPr>
          <w:rFonts w:ascii="Arial" w:eastAsia="Arial" w:hAnsi="Arial" w:cs="Arial"/>
          <w:i/>
          <w:color w:val="000000"/>
          <w:sz w:val="20"/>
        </w:rPr>
        <w:t>Pub. Citizen</w:t>
      </w:r>
      <w:r>
        <w:rPr>
          <w:rFonts w:ascii="Arial" w:eastAsia="Arial" w:hAnsi="Arial" w:cs="Arial"/>
          <w:color w:val="000000"/>
          <w:sz w:val="20"/>
        </w:rPr>
        <w:t xml:space="preserve">, 491 U.S. at 449; </w:t>
      </w:r>
      <w:bookmarkStart w:id="1570" w:name="Bookmark_I67K33WC2D6NMW0040000400"/>
      <w:bookmarkEnd w:id="1570"/>
      <w:r>
        <w:rPr>
          <w:rFonts w:ascii="Arial" w:eastAsia="Arial" w:hAnsi="Arial" w:cs="Arial"/>
          <w:i/>
          <w:color w:val="000000"/>
          <w:sz w:val="20"/>
        </w:rPr>
        <w:t>Havens Realty</w:t>
      </w:r>
      <w:r>
        <w:rPr>
          <w:rFonts w:ascii="Arial" w:eastAsia="Arial" w:hAnsi="Arial" w:cs="Arial"/>
          <w:color w:val="000000"/>
          <w:sz w:val="20"/>
        </w:rPr>
        <w:t xml:space="preserve">, 455 U.S. at 373-74). </w:t>
      </w:r>
      <w:bookmarkStart w:id="1571" w:name="Bookmark_LNHNREFclscc10_6"/>
      <w:bookmarkEnd w:id="1571"/>
      <w:r>
        <w:rPr>
          <w:rFonts w:ascii="Arial" w:eastAsia="Arial" w:hAnsi="Arial" w:cs="Arial"/>
          <w:color w:val="000000"/>
          <w:sz w:val="20"/>
        </w:rPr>
        <w:t xml:space="preserve">Under the </w:t>
      </w:r>
      <w:bookmarkStart w:id="1572" w:name="Bookmark_I67K33WC2N1PV60020000400_2"/>
      <w:bookmarkStart w:id="1573" w:name="Bookmark_I67K33WC2HM6MK0040000400_2"/>
      <w:bookmarkStart w:id="1574" w:name="Bookmark_I67K33WC2N1PV60010000400"/>
      <w:bookmarkEnd w:id="1572"/>
      <w:bookmarkEnd w:id="1573"/>
      <w:bookmarkEnd w:id="1574"/>
      <w:r>
        <w:rPr>
          <w:rFonts w:ascii="Arial" w:eastAsia="Arial" w:hAnsi="Arial" w:cs="Arial"/>
          <w:i/>
          <w:color w:val="000000"/>
          <w:sz w:val="20"/>
        </w:rPr>
        <w:t>Havens Realty</w:t>
      </w:r>
      <w:r>
        <w:rPr>
          <w:rFonts w:ascii="Arial" w:eastAsia="Arial" w:hAnsi="Arial" w:cs="Arial"/>
          <w:color w:val="000000"/>
          <w:sz w:val="20"/>
        </w:rPr>
        <w:t xml:space="preserve"> line of decisions, such an informational injury is sufficiently concrete, particularized, and actual to qualify for Article III standing to sue. </w:t>
      </w:r>
      <w:r>
        <w:rPr>
          <w:rFonts w:ascii="Arial" w:eastAsia="Arial" w:hAnsi="Arial" w:cs="Arial"/>
          <w:i/>
          <w:color w:val="000000"/>
          <w:sz w:val="20"/>
        </w:rPr>
        <w:t xml:space="preserve">See </w:t>
      </w:r>
      <w:bookmarkStart w:id="1575" w:name="Bookmark_I67K33WC2N1PV60030000400"/>
      <w:bookmarkEnd w:id="1575"/>
      <w:r>
        <w:rPr>
          <w:rFonts w:ascii="Arial" w:eastAsia="Arial" w:hAnsi="Arial" w:cs="Arial"/>
          <w:i/>
          <w:color w:val="000000"/>
          <w:sz w:val="20"/>
        </w:rPr>
        <w:t>Havens Realty</w:t>
      </w:r>
      <w:r>
        <w:rPr>
          <w:rFonts w:ascii="Arial" w:eastAsia="Arial" w:hAnsi="Arial" w:cs="Arial"/>
          <w:color w:val="000000"/>
          <w:sz w:val="20"/>
        </w:rPr>
        <w:t xml:space="preserve">, 455 U.S. at 373 (highlighting that "[t]he actual or threatened injury required by Art. III may exist solely by virtue of statutes creating legal rights, the invasion of which creates standing" (alteration in original) (quoting </w:t>
      </w:r>
      <w:bookmarkStart w:id="1576" w:name="Bookmark_I67K33WC2N1PV60050000400"/>
      <w:bookmarkEnd w:id="1576"/>
      <w:r>
        <w:rPr>
          <w:rFonts w:ascii="Arial" w:eastAsia="Arial" w:hAnsi="Arial" w:cs="Arial"/>
          <w:i/>
          <w:color w:val="000000"/>
          <w:sz w:val="20"/>
        </w:rPr>
        <w:t>Warth</w:t>
      </w:r>
      <w:r>
        <w:rPr>
          <w:rFonts w:ascii="Arial" w:eastAsia="Arial" w:hAnsi="Arial" w:cs="Arial"/>
          <w:color w:val="000000"/>
          <w:sz w:val="20"/>
        </w:rPr>
        <w:t>, 422 U.S. at 500)).</w:t>
      </w:r>
    </w:p>
    <w:p w:rsidR="00022B47" w:rsidRDefault="00000000">
      <w:pPr>
        <w:pStyle w:val="Normal9"/>
        <w:widowControl w:val="0"/>
        <w:spacing w:before="200" w:line="260" w:lineRule="atLeast"/>
        <w:jc w:val="both"/>
      </w:pPr>
      <w:bookmarkStart w:id="1577" w:name="Bookmark_para_40_2"/>
      <w:bookmarkStart w:id="1578" w:name="Bookmark_I67K33WC28T4GJ0030000400"/>
      <w:bookmarkStart w:id="1579" w:name="Bookmark_I67K33WC2N1PV70020000400"/>
      <w:bookmarkEnd w:id="1577"/>
      <w:bookmarkEnd w:id="1578"/>
      <w:bookmarkEnd w:id="1579"/>
      <w:r>
        <w:rPr>
          <w:rFonts w:ascii="Arial" w:eastAsia="Arial" w:hAnsi="Arial" w:cs="Arial"/>
          <w:color w:val="000000"/>
          <w:sz w:val="20"/>
        </w:rPr>
        <w:t xml:space="preserve">It matters not that Laufer is a tester who may have visited Naranda's hotel reservation websites to look for ADA violations in the form of noncompliance with the Hotel Reservation Regulation, and without any plan or need to book a hotel room, just as it mattered not that the Black plaintiff in </w:t>
      </w:r>
      <w:bookmarkStart w:id="1580" w:name="Bookmark_I67K33WC28T4GJ0020000400"/>
      <w:bookmarkEnd w:id="1580"/>
      <w:r>
        <w:rPr>
          <w:rFonts w:ascii="Arial" w:eastAsia="Arial" w:hAnsi="Arial" w:cs="Arial"/>
          <w:i/>
          <w:color w:val="000000"/>
          <w:sz w:val="20"/>
        </w:rPr>
        <w:t>Havens Realty</w:t>
      </w:r>
      <w:r>
        <w:rPr>
          <w:rFonts w:ascii="Arial" w:eastAsia="Arial" w:hAnsi="Arial" w:cs="Arial"/>
          <w:color w:val="000000"/>
          <w:sz w:val="20"/>
        </w:rPr>
        <w:t xml:space="preserve"> was a tester who "may have approached [defendant Havens Realty] fully expecting that [she] would receive false information [in contravention of the Fair Housing Act], and without any intention of buying or renting a home." </w:t>
      </w:r>
      <w:r>
        <w:rPr>
          <w:rFonts w:ascii="Arial" w:eastAsia="Arial" w:hAnsi="Arial" w:cs="Arial"/>
          <w:i/>
          <w:color w:val="000000"/>
          <w:sz w:val="20"/>
        </w:rPr>
        <w:t xml:space="preserve">See </w:t>
      </w:r>
      <w:bookmarkStart w:id="1581" w:name="Bookmark_I67K33WC28T4GJ0040000400"/>
      <w:bookmarkEnd w:id="1581"/>
      <w:r>
        <w:rPr>
          <w:rFonts w:ascii="Arial" w:eastAsia="Arial" w:hAnsi="Arial" w:cs="Arial"/>
          <w:i/>
          <w:color w:val="000000"/>
          <w:sz w:val="20"/>
        </w:rPr>
        <w:t>Havens Realty</w:t>
      </w:r>
      <w:r>
        <w:rPr>
          <w:rFonts w:ascii="Arial" w:eastAsia="Arial" w:hAnsi="Arial" w:cs="Arial"/>
          <w:color w:val="000000"/>
          <w:sz w:val="20"/>
        </w:rPr>
        <w:t>, 455 U.S. at 374. As the First Circuit cogently explained, "</w:t>
      </w:r>
      <w:bookmarkStart w:id="1582" w:name="Bookmark_I67K33WC2N1PV70020000400_2"/>
      <w:bookmarkStart w:id="1583" w:name="Bookmark_I67K33WC28T4GJ0030000400_2"/>
      <w:bookmarkStart w:id="1584" w:name="Bookmark_I67K33WC2N1PV70010000400"/>
      <w:bookmarkEnd w:id="1582"/>
      <w:bookmarkEnd w:id="1583"/>
      <w:bookmarkEnd w:id="1584"/>
      <w:r>
        <w:rPr>
          <w:rFonts w:ascii="Arial" w:eastAsia="Arial" w:hAnsi="Arial" w:cs="Arial"/>
          <w:i/>
          <w:color w:val="000000"/>
          <w:sz w:val="20"/>
        </w:rPr>
        <w:t>Havens Realty</w:t>
      </w:r>
      <w:r>
        <w:rPr>
          <w:rFonts w:ascii="Arial" w:eastAsia="Arial" w:hAnsi="Arial" w:cs="Arial"/>
          <w:color w:val="000000"/>
          <w:sz w:val="20"/>
        </w:rPr>
        <w:t xml:space="preserve"> appears right on the nose for Laufer's case — both to her status [**23]  as a tester and the injury she suffered." </w:t>
      </w:r>
      <w:r>
        <w:rPr>
          <w:rFonts w:ascii="Arial" w:eastAsia="Arial" w:hAnsi="Arial" w:cs="Arial"/>
          <w:i/>
          <w:color w:val="000000"/>
          <w:sz w:val="20"/>
        </w:rPr>
        <w:t xml:space="preserve">See </w:t>
      </w:r>
      <w:bookmarkStart w:id="1585" w:name="Bookmark_I67K33WC2N1PV70030000400"/>
      <w:bookmarkEnd w:id="1585"/>
      <w:r>
        <w:rPr>
          <w:rFonts w:ascii="Arial" w:eastAsia="Arial" w:hAnsi="Arial" w:cs="Arial"/>
          <w:i/>
          <w:color w:val="000000"/>
          <w:sz w:val="20"/>
        </w:rPr>
        <w:t>Acheson Hotels</w:t>
      </w:r>
      <w:r>
        <w:rPr>
          <w:rFonts w:ascii="Arial" w:eastAsia="Arial" w:hAnsi="Arial" w:cs="Arial"/>
          <w:color w:val="000000"/>
          <w:sz w:val="20"/>
        </w:rPr>
        <w:t xml:space="preserve">, 50 F.4th at 269; </w:t>
      </w:r>
      <w:r>
        <w:rPr>
          <w:rFonts w:ascii="Arial" w:eastAsia="Arial" w:hAnsi="Arial" w:cs="Arial"/>
          <w:i/>
          <w:color w:val="000000"/>
          <w:sz w:val="20"/>
        </w:rPr>
        <w:t xml:space="preserve">accord </w:t>
      </w:r>
      <w:bookmarkStart w:id="1586" w:name="Bookmark_I67K33WC2N1PV70050000400"/>
      <w:bookmarkEnd w:id="1586"/>
      <w:r>
        <w:rPr>
          <w:rFonts w:ascii="Arial" w:eastAsia="Arial" w:hAnsi="Arial" w:cs="Arial"/>
          <w:i/>
          <w:color w:val="000000"/>
          <w:sz w:val="20"/>
        </w:rPr>
        <w:t>Arpan</w:t>
      </w:r>
      <w:r>
        <w:rPr>
          <w:rFonts w:ascii="Arial" w:eastAsia="Arial" w:hAnsi="Arial" w:cs="Arial"/>
          <w:color w:val="000000"/>
          <w:sz w:val="20"/>
        </w:rPr>
        <w:t xml:space="preserve">, 29 F.4th at 1277 (Jordan, J., concurring) ("[H]as Ms. Laufer suffered a cognizable injury under Article III? The answer, I think, is yes under </w:t>
      </w:r>
      <w:bookmarkStart w:id="1587" w:name="Bookmark_I67K33WC2HM6MM0020000400"/>
      <w:bookmarkEnd w:id="1587"/>
      <w:r>
        <w:rPr>
          <w:rFonts w:ascii="Arial" w:eastAsia="Arial" w:hAnsi="Arial" w:cs="Arial"/>
          <w:i/>
          <w:color w:val="000000"/>
          <w:sz w:val="20"/>
        </w:rPr>
        <w:t>Havens Realty</w:t>
      </w:r>
      <w:r>
        <w:rPr>
          <w:rFonts w:ascii="Arial" w:eastAsia="Arial" w:hAnsi="Arial" w:cs="Arial"/>
          <w:color w:val="000000"/>
          <w:sz w:val="20"/>
        </w:rPr>
        <w:t>.").</w:t>
      </w:r>
    </w:p>
    <w:p w:rsidR="00022B47" w:rsidRDefault="00000000">
      <w:pPr>
        <w:pStyle w:val="Normal9"/>
        <w:widowControl w:val="0"/>
        <w:spacing w:before="200" w:line="260" w:lineRule="atLeast"/>
        <w:jc w:val="both"/>
      </w:pPr>
      <w:bookmarkStart w:id="1588" w:name="Bookmark_para_41_2"/>
      <w:bookmarkStart w:id="1589" w:name="Bookmark_I67K33WC2HM6MM0050000400"/>
      <w:bookmarkStart w:id="1590" w:name="Bookmark_I67K33WC28T4GK0020000400"/>
      <w:bookmarkStart w:id="1591" w:name="Bookmark_LNHNREFclscc11_5"/>
      <w:bookmarkEnd w:id="1588"/>
      <w:bookmarkEnd w:id="1589"/>
      <w:bookmarkEnd w:id="1590"/>
      <w:bookmarkEnd w:id="1591"/>
      <w:r>
        <w:rPr>
          <w:rFonts w:ascii="Arial" w:eastAsia="Arial" w:hAnsi="Arial" w:cs="Arial"/>
          <w:color w:val="000000"/>
          <w:sz w:val="20"/>
        </w:rPr>
        <w:t xml:space="preserve">Crucially, although the Hotel Reservation Regulation is designed "to reasonably permit individuals with disabilities to assess independently whether a given hotel or guest room meets his or her accessibility needs," </w:t>
      </w:r>
      <w:r>
        <w:rPr>
          <w:rFonts w:ascii="Arial" w:eastAsia="Arial" w:hAnsi="Arial" w:cs="Arial"/>
          <w:i/>
          <w:color w:val="000000"/>
          <w:sz w:val="20"/>
        </w:rPr>
        <w:t>see</w:t>
      </w:r>
      <w:r>
        <w:rPr>
          <w:rFonts w:ascii="Arial" w:eastAsia="Arial" w:hAnsi="Arial" w:cs="Arial"/>
          <w:color w:val="000000"/>
          <w:sz w:val="20"/>
        </w:rPr>
        <w:t xml:space="preserve"> 28 C.F.R. § 36.302(e)(1)(ii), nothing in the Hotel Reservation Regulation or elsewhere in the ADA expressly requires an intention to book a hotel room to prove a discriminatory failure to provide accessibility information. That is, "there is no carveout that the information need only be turned over if the person [visiting the hotel reservation website] actually wants  [*167]  to make a reservation." </w:t>
      </w:r>
      <w:r>
        <w:rPr>
          <w:rFonts w:ascii="Arial" w:eastAsia="Arial" w:hAnsi="Arial" w:cs="Arial"/>
          <w:i/>
          <w:color w:val="000000"/>
          <w:sz w:val="20"/>
        </w:rPr>
        <w:t xml:space="preserve">See </w:t>
      </w:r>
      <w:bookmarkStart w:id="1592" w:name="Bookmark_I67K33WC2HM6MM0040000400"/>
      <w:bookmarkEnd w:id="1592"/>
      <w:r>
        <w:rPr>
          <w:rFonts w:ascii="Arial" w:eastAsia="Arial" w:hAnsi="Arial" w:cs="Arial"/>
          <w:i/>
          <w:color w:val="000000"/>
          <w:sz w:val="20"/>
        </w:rPr>
        <w:t>Acheson Hotels</w:t>
      </w:r>
      <w:r>
        <w:rPr>
          <w:rFonts w:ascii="Arial" w:eastAsia="Arial" w:hAnsi="Arial" w:cs="Arial"/>
          <w:color w:val="000000"/>
          <w:sz w:val="20"/>
        </w:rPr>
        <w:t xml:space="preserve">, 50 F.4th at 269. </w:t>
      </w:r>
      <w:bookmarkStart w:id="1593" w:name="Bookmark_I67K33WC2SF8V70010000400"/>
      <w:bookmarkEnd w:id="1593"/>
      <w:r>
        <w:rPr>
          <w:rFonts w:ascii="Arial" w:eastAsia="Arial" w:hAnsi="Arial" w:cs="Arial"/>
          <w:color w:val="000000"/>
          <w:sz w:val="20"/>
        </w:rPr>
        <w:t xml:space="preserve">Correspondingly, the Fair Housing Act provision at issue in </w:t>
      </w:r>
      <w:bookmarkStart w:id="1594" w:name="Bookmark_I67K33WC2SF8V70010000400_2"/>
      <w:bookmarkStart w:id="1595" w:name="Bookmark_I67K33WC28T4GK0020000400_2"/>
      <w:bookmarkStart w:id="1596" w:name="Bookmark_I67K33WC2HM6MM0050000400_2"/>
      <w:bookmarkStart w:id="1597" w:name="Bookmark_I67K33WC28T4GK0010000400"/>
      <w:bookmarkEnd w:id="1594"/>
      <w:bookmarkEnd w:id="1595"/>
      <w:bookmarkEnd w:id="1596"/>
      <w:bookmarkEnd w:id="1597"/>
      <w:r>
        <w:rPr>
          <w:rFonts w:ascii="Arial" w:eastAsia="Arial" w:hAnsi="Arial" w:cs="Arial"/>
          <w:i/>
          <w:color w:val="000000"/>
          <w:sz w:val="20"/>
        </w:rPr>
        <w:t>Havens Realty</w:t>
      </w:r>
      <w:r>
        <w:rPr>
          <w:rFonts w:ascii="Arial" w:eastAsia="Arial" w:hAnsi="Arial" w:cs="Arial"/>
          <w:color w:val="000000"/>
          <w:sz w:val="20"/>
        </w:rPr>
        <w:t xml:space="preserve"> "gave 'all persons a legal right to truthful information about available housing' and did not impose any 'bona fide offer' requirement." </w:t>
      </w:r>
      <w:r>
        <w:rPr>
          <w:rFonts w:ascii="Arial" w:eastAsia="Arial" w:hAnsi="Arial" w:cs="Arial"/>
          <w:i/>
          <w:color w:val="000000"/>
          <w:sz w:val="20"/>
        </w:rPr>
        <w:t>Id.</w:t>
      </w:r>
      <w:r>
        <w:rPr>
          <w:rFonts w:ascii="Arial" w:eastAsia="Arial" w:hAnsi="Arial" w:cs="Arial"/>
          <w:color w:val="000000"/>
          <w:sz w:val="20"/>
        </w:rPr>
        <w:t xml:space="preserve"> (quoting </w:t>
      </w:r>
      <w:bookmarkStart w:id="1598" w:name="Bookmark_I67K33WC28T4GK0030000400"/>
      <w:bookmarkEnd w:id="1598"/>
      <w:r>
        <w:rPr>
          <w:rFonts w:ascii="Arial" w:eastAsia="Arial" w:hAnsi="Arial" w:cs="Arial"/>
          <w:i/>
          <w:color w:val="000000"/>
          <w:sz w:val="20"/>
        </w:rPr>
        <w:t>Havens Realty</w:t>
      </w:r>
      <w:r>
        <w:rPr>
          <w:rFonts w:ascii="Arial" w:eastAsia="Arial" w:hAnsi="Arial" w:cs="Arial"/>
          <w:color w:val="000000"/>
          <w:sz w:val="20"/>
        </w:rPr>
        <w:t xml:space="preserve">, 455 U.S. at 373-74). "So if the Black tester plaintiff had standing in </w:t>
      </w:r>
      <w:bookmarkStart w:id="1599" w:name="Bookmark_I67K33WC2SF8V70010000400_3"/>
      <w:bookmarkStart w:id="1600" w:name="Bookmark_I67K33WC28T4GK0050000400"/>
      <w:bookmarkEnd w:id="1599"/>
      <w:bookmarkEnd w:id="1600"/>
      <w:r>
        <w:rPr>
          <w:rFonts w:ascii="Arial" w:eastAsia="Arial" w:hAnsi="Arial" w:cs="Arial"/>
          <w:i/>
          <w:color w:val="000000"/>
          <w:sz w:val="20"/>
        </w:rPr>
        <w:t>Havens Realty</w:t>
      </w:r>
      <w:r>
        <w:rPr>
          <w:rFonts w:ascii="Arial" w:eastAsia="Arial" w:hAnsi="Arial" w:cs="Arial"/>
          <w:color w:val="000000"/>
          <w:sz w:val="20"/>
        </w:rPr>
        <w:t xml:space="preserve"> where the statute gave her a right to truthful information, which she was denied, then </w:t>
      </w:r>
      <w:bookmarkStart w:id="1601" w:name="Bookmark_I67K33WC2SF8V70020000400"/>
      <w:bookmarkEnd w:id="1601"/>
      <w:r>
        <w:rPr>
          <w:rFonts w:ascii="Arial" w:eastAsia="Arial" w:hAnsi="Arial" w:cs="Arial"/>
          <w:i/>
          <w:color w:val="000000"/>
          <w:sz w:val="20"/>
        </w:rPr>
        <w:t>Havens Realty</w:t>
      </w:r>
      <w:r>
        <w:rPr>
          <w:rFonts w:ascii="Arial" w:eastAsia="Arial" w:hAnsi="Arial" w:cs="Arial"/>
          <w:color w:val="000000"/>
          <w:sz w:val="20"/>
        </w:rPr>
        <w:t xml:space="preserve"> would mean that Laufer, too, has standing because she was denied information to [**24]  which she has a legal entitlement." </w:t>
      </w:r>
      <w:r>
        <w:rPr>
          <w:rFonts w:ascii="Arial" w:eastAsia="Arial" w:hAnsi="Arial" w:cs="Arial"/>
          <w:i/>
          <w:color w:val="000000"/>
          <w:sz w:val="20"/>
        </w:rPr>
        <w:t>Id.</w:t>
      </w:r>
    </w:p>
    <w:p w:rsidR="00022B47" w:rsidRDefault="00000000">
      <w:pPr>
        <w:pStyle w:val="Normal9"/>
        <w:widowControl w:val="0"/>
        <w:spacing w:before="200" w:line="260" w:lineRule="atLeast"/>
        <w:jc w:val="both"/>
      </w:pPr>
      <w:bookmarkStart w:id="1602" w:name="Bookmark_para_42_2"/>
      <w:bookmarkStart w:id="1603" w:name="Bookmark_I67K33WC2SF8V70050000400"/>
      <w:bookmarkEnd w:id="1602"/>
      <w:bookmarkEnd w:id="1603"/>
      <w:r>
        <w:rPr>
          <w:rFonts w:ascii="Arial" w:eastAsia="Arial" w:hAnsi="Arial" w:cs="Arial"/>
          <w:color w:val="000000"/>
          <w:sz w:val="20"/>
        </w:rPr>
        <w:t xml:space="preserve">Additionally, </w:t>
      </w:r>
      <w:bookmarkStart w:id="1604" w:name="Bookmark_I67K33WC2SF8V70040000400"/>
      <w:bookmarkEnd w:id="1604"/>
      <w:r>
        <w:rPr>
          <w:rFonts w:ascii="Arial" w:eastAsia="Arial" w:hAnsi="Arial" w:cs="Arial"/>
          <w:i/>
          <w:color w:val="000000"/>
          <w:sz w:val="20"/>
        </w:rPr>
        <w:t>Public Citizen</w:t>
      </w:r>
      <w:r>
        <w:rPr>
          <w:rFonts w:ascii="Arial" w:eastAsia="Arial" w:hAnsi="Arial" w:cs="Arial"/>
          <w:color w:val="000000"/>
          <w:sz w:val="20"/>
        </w:rPr>
        <w:t xml:space="preserve"> and </w:t>
      </w:r>
      <w:bookmarkStart w:id="1605" w:name="Bookmark_I67K33WC2N1PV80010000400"/>
      <w:bookmarkEnd w:id="1605"/>
      <w:r>
        <w:rPr>
          <w:rFonts w:ascii="Arial" w:eastAsia="Arial" w:hAnsi="Arial" w:cs="Arial"/>
          <w:i/>
          <w:color w:val="000000"/>
          <w:sz w:val="20"/>
        </w:rPr>
        <w:t>Akins</w:t>
      </w:r>
      <w:bookmarkStart w:id="1606" w:name="Bookmark_I67K33WC2HM6MN0010000400"/>
      <w:bookmarkEnd w:id="1606"/>
      <w:r>
        <w:rPr>
          <w:rFonts w:ascii="Arial" w:eastAsia="Arial" w:hAnsi="Arial" w:cs="Arial"/>
          <w:color w:val="000000"/>
          <w:sz w:val="20"/>
        </w:rPr>
        <w:t xml:space="preserve"> impart that it matters not that there may be a large number of potential plaintiffs who could visit Naranda's hotel reservation websites and then assert the same ADA claim that Laufer does. </w:t>
      </w:r>
      <w:r>
        <w:rPr>
          <w:rFonts w:ascii="Arial" w:eastAsia="Arial" w:hAnsi="Arial" w:cs="Arial"/>
          <w:i/>
          <w:color w:val="000000"/>
          <w:sz w:val="20"/>
        </w:rPr>
        <w:t xml:space="preserve">See </w:t>
      </w:r>
      <w:bookmarkStart w:id="1607" w:name="Bookmark_I67K33WC2N1PV80030000400"/>
      <w:bookmarkEnd w:id="1607"/>
      <w:r>
        <w:rPr>
          <w:rFonts w:ascii="Arial" w:eastAsia="Arial" w:hAnsi="Arial" w:cs="Arial"/>
          <w:i/>
          <w:color w:val="000000"/>
          <w:sz w:val="20"/>
        </w:rPr>
        <w:t>Pub. Citizen</w:t>
      </w:r>
      <w:r>
        <w:rPr>
          <w:rFonts w:ascii="Arial" w:eastAsia="Arial" w:hAnsi="Arial" w:cs="Arial"/>
          <w:color w:val="000000"/>
          <w:sz w:val="20"/>
        </w:rPr>
        <w:t xml:space="preserve">, 491 U.S. at 449-50 ("The fact that other citizens or groups of citizens might make the same complaint after unsuccessfully demanding disclosure under FACA does not lessen [the plaintiffs'] asserted injury . . . ."). </w:t>
      </w:r>
      <w:bookmarkStart w:id="1608" w:name="Bookmark_I67K33WC2HM6MN0010000400_2"/>
      <w:bookmarkStart w:id="1609" w:name="Bookmark_I67K33WC2HM6MN0030000400"/>
      <w:bookmarkEnd w:id="1608"/>
      <w:bookmarkEnd w:id="1609"/>
      <w:r>
        <w:rPr>
          <w:rFonts w:ascii="Arial" w:eastAsia="Arial" w:hAnsi="Arial" w:cs="Arial"/>
          <w:color w:val="000000"/>
          <w:sz w:val="20"/>
        </w:rPr>
        <w:t xml:space="preserve">Although Laufer's alleged informational injury may be "widely shared," it is also concrete and particularized. </w:t>
      </w:r>
      <w:r>
        <w:rPr>
          <w:rFonts w:ascii="Arial" w:eastAsia="Arial" w:hAnsi="Arial" w:cs="Arial"/>
          <w:i/>
          <w:color w:val="000000"/>
          <w:sz w:val="20"/>
        </w:rPr>
        <w:t xml:space="preserve">See </w:t>
      </w:r>
      <w:bookmarkStart w:id="1610" w:name="Bookmark_I67K33WC2N1PV80050000400"/>
      <w:bookmarkEnd w:id="1610"/>
      <w:r>
        <w:rPr>
          <w:rFonts w:ascii="Arial" w:eastAsia="Arial" w:hAnsi="Arial" w:cs="Arial"/>
          <w:i/>
          <w:color w:val="000000"/>
          <w:sz w:val="20"/>
        </w:rPr>
        <w:t>Akins</w:t>
      </w:r>
      <w:r>
        <w:rPr>
          <w:rFonts w:ascii="Arial" w:eastAsia="Arial" w:hAnsi="Arial" w:cs="Arial"/>
          <w:color w:val="000000"/>
          <w:sz w:val="20"/>
        </w:rPr>
        <w:t xml:space="preserve">, 524 U.S. at 24-25. </w:t>
      </w:r>
      <w:bookmarkStart w:id="1611" w:name="Bookmark_I67K33WC2HM6MN0030000400_2"/>
      <w:bookmarkEnd w:id="1611"/>
      <w:r>
        <w:rPr>
          <w:rFonts w:ascii="Arial" w:eastAsia="Arial" w:hAnsi="Arial" w:cs="Arial"/>
          <w:color w:val="000000"/>
          <w:sz w:val="20"/>
        </w:rPr>
        <w:t xml:space="preserve">And in any event, under Laufer's conception of her claim, there are certainly fewer persons eligible to complain about Naranda's noncompliance with the Hotel Reservation Regulation — only those who qualify as individuals with disabilities within the meaning of the ADA — than citizens entitled to seek disclosure of information under FACA and FECA, the statutes at issue in </w:t>
      </w:r>
      <w:bookmarkStart w:id="1612" w:name="Bookmark_I67K33WC2HM6MN0030000400_3"/>
      <w:bookmarkStart w:id="1613" w:name="Bookmark_I67K33WC2HM6MN0020000400"/>
      <w:bookmarkEnd w:id="1612"/>
      <w:bookmarkEnd w:id="1613"/>
      <w:r>
        <w:rPr>
          <w:rFonts w:ascii="Arial" w:eastAsia="Arial" w:hAnsi="Arial" w:cs="Arial"/>
          <w:i/>
          <w:color w:val="000000"/>
          <w:sz w:val="20"/>
        </w:rPr>
        <w:t>Public Citizen</w:t>
      </w:r>
      <w:bookmarkStart w:id="1614" w:name="Bookmark_I67K33WC2D6NMY0020000400"/>
      <w:bookmarkEnd w:id="1614"/>
      <w:r>
        <w:rPr>
          <w:rFonts w:ascii="Arial" w:eastAsia="Arial" w:hAnsi="Arial" w:cs="Arial"/>
          <w:color w:val="000000"/>
          <w:sz w:val="20"/>
        </w:rPr>
        <w:t xml:space="preserve"> and </w:t>
      </w:r>
      <w:bookmarkStart w:id="1615" w:name="Bookmark_I67K33WC2HM6MN0040000400"/>
      <w:bookmarkEnd w:id="1615"/>
      <w:r>
        <w:rPr>
          <w:rFonts w:ascii="Arial" w:eastAsia="Arial" w:hAnsi="Arial" w:cs="Arial"/>
          <w:i/>
          <w:color w:val="000000"/>
          <w:sz w:val="20"/>
        </w:rPr>
        <w:t>Akins</w:t>
      </w:r>
      <w:r>
        <w:rPr>
          <w:rFonts w:ascii="Arial" w:eastAsia="Arial" w:hAnsi="Arial" w:cs="Arial"/>
          <w:color w:val="000000"/>
          <w:sz w:val="20"/>
        </w:rPr>
        <w:t xml:space="preserve">. </w:t>
      </w:r>
      <w:r>
        <w:rPr>
          <w:rFonts w:ascii="Arial" w:eastAsia="Arial" w:hAnsi="Arial" w:cs="Arial"/>
          <w:i/>
          <w:color w:val="000000"/>
          <w:sz w:val="20"/>
        </w:rPr>
        <w:t xml:space="preserve">See </w:t>
      </w:r>
      <w:bookmarkStart w:id="1616" w:name="Bookmark_I67K33WC2D6NMY0010000400"/>
      <w:bookmarkEnd w:id="1616"/>
      <w:r>
        <w:rPr>
          <w:rFonts w:ascii="Arial" w:eastAsia="Arial" w:hAnsi="Arial" w:cs="Arial"/>
          <w:i/>
          <w:color w:val="000000"/>
          <w:sz w:val="20"/>
        </w:rPr>
        <w:t>Acheson Hotels</w:t>
      </w:r>
      <w:r>
        <w:rPr>
          <w:rFonts w:ascii="Arial" w:eastAsia="Arial" w:hAnsi="Arial" w:cs="Arial"/>
          <w:color w:val="000000"/>
          <w:sz w:val="20"/>
        </w:rPr>
        <w:t>, 50 F.4th at 276 (underscoring that "Laufer is a person with disabilities — not just any one of the hundreds of millions of Americans with a laptop — and personally suffered the denial of information the law entitles her, as a person with disabilities, to have"). [**25] </w:t>
      </w:r>
    </w:p>
    <w:p w:rsidR="00022B47" w:rsidRDefault="00000000">
      <w:pPr>
        <w:pStyle w:val="Normal9"/>
        <w:widowControl w:val="0"/>
        <w:spacing w:before="120" w:line="260" w:lineRule="atLeast"/>
      </w:pPr>
      <w:r>
        <w:rPr>
          <w:rFonts w:ascii="Arial" w:eastAsia="Arial" w:hAnsi="Arial" w:cs="Arial"/>
          <w:color w:val="000000"/>
          <w:sz w:val="20"/>
        </w:rPr>
        <w:t>b.</w:t>
      </w:r>
    </w:p>
    <w:p w:rsidR="00022B47" w:rsidRDefault="00000000">
      <w:pPr>
        <w:pStyle w:val="Normal9"/>
        <w:widowControl w:val="0"/>
        <w:spacing w:before="200" w:line="260" w:lineRule="atLeast"/>
        <w:jc w:val="both"/>
      </w:pPr>
      <w:bookmarkStart w:id="1617" w:name="Bookmark_para_43_2"/>
      <w:bookmarkStart w:id="1618" w:name="Bookmark_I67K33WC2D6NMY0040000400"/>
      <w:bookmarkStart w:id="1619" w:name="Bookmark_I67K33WC28T4GM0030000400"/>
      <w:bookmarkEnd w:id="1617"/>
      <w:bookmarkEnd w:id="1618"/>
      <w:bookmarkEnd w:id="1619"/>
      <w:r>
        <w:rPr>
          <w:rFonts w:ascii="Arial" w:eastAsia="Arial" w:hAnsi="Arial" w:cs="Arial"/>
          <w:color w:val="000000"/>
          <w:sz w:val="20"/>
        </w:rPr>
        <w:t xml:space="preserve">Turning to the second and third </w:t>
      </w:r>
      <w:bookmarkStart w:id="1620" w:name="Bookmark_I67K33WC2D6NMY0030000400"/>
      <w:bookmarkEnd w:id="1620"/>
      <w:r>
        <w:rPr>
          <w:rFonts w:ascii="Arial" w:eastAsia="Arial" w:hAnsi="Arial" w:cs="Arial"/>
          <w:i/>
          <w:color w:val="000000"/>
          <w:sz w:val="20"/>
        </w:rPr>
        <w:t>Lujan</w:t>
      </w:r>
      <w:r>
        <w:rPr>
          <w:rFonts w:ascii="Arial" w:eastAsia="Arial" w:hAnsi="Arial" w:cs="Arial"/>
          <w:color w:val="000000"/>
          <w:sz w:val="20"/>
        </w:rPr>
        <w:t xml:space="preserve"> elements, Naranda did not argue in its motion to dismiss before the district court that there is no "causal connection between [Laufer's alleged informational] injury and the conduct complained of," or that it is not "likely . . . that the injury will be redressed by a favorable decision." </w:t>
      </w:r>
      <w:r>
        <w:rPr>
          <w:rFonts w:ascii="Arial" w:eastAsia="Arial" w:hAnsi="Arial" w:cs="Arial"/>
          <w:i/>
          <w:color w:val="000000"/>
          <w:sz w:val="20"/>
        </w:rPr>
        <w:t xml:space="preserve">See </w:t>
      </w:r>
      <w:bookmarkStart w:id="1621" w:name="Bookmark_I67K33WC2D6NMY0050000400"/>
      <w:bookmarkEnd w:id="1621"/>
      <w:r>
        <w:rPr>
          <w:rFonts w:ascii="Arial" w:eastAsia="Arial" w:hAnsi="Arial" w:cs="Arial"/>
          <w:i/>
          <w:color w:val="000000"/>
          <w:sz w:val="20"/>
        </w:rPr>
        <w:t>Lujan</w:t>
      </w:r>
      <w:r>
        <w:rPr>
          <w:rFonts w:ascii="Arial" w:eastAsia="Arial" w:hAnsi="Arial" w:cs="Arial"/>
          <w:color w:val="000000"/>
          <w:sz w:val="20"/>
        </w:rPr>
        <w:t xml:space="preserve">, 504 U.S. at 560-61 (internal quotation marks omitted). Moreover, the district court's standing ruling against Laufer was confined to the first </w:t>
      </w:r>
      <w:bookmarkStart w:id="1622" w:name="Bookmark_I67K33WC28T4GM0030000400_2"/>
      <w:bookmarkStart w:id="1623" w:name="Bookmark_I67K33WC2D6NMY0040000400_2"/>
      <w:bookmarkStart w:id="1624" w:name="Bookmark_I67K33WC28T4GM0020000400"/>
      <w:bookmarkEnd w:id="1622"/>
      <w:bookmarkEnd w:id="1623"/>
      <w:bookmarkEnd w:id="1624"/>
      <w:r>
        <w:rPr>
          <w:rFonts w:ascii="Arial" w:eastAsia="Arial" w:hAnsi="Arial" w:cs="Arial"/>
          <w:i/>
          <w:color w:val="000000"/>
          <w:sz w:val="20"/>
        </w:rPr>
        <w:t>Lujan</w:t>
      </w:r>
      <w:r>
        <w:rPr>
          <w:rFonts w:ascii="Arial" w:eastAsia="Arial" w:hAnsi="Arial" w:cs="Arial"/>
          <w:color w:val="000000"/>
          <w:sz w:val="20"/>
        </w:rPr>
        <w:t xml:space="preserve"> element, and we have no basis to conclude herein that the second and third elements are not satisfied.</w:t>
      </w:r>
      <w:r>
        <w:rPr>
          <w:rFonts w:ascii="Arial" w:eastAsia="Arial" w:hAnsi="Arial" w:cs="Arial"/>
          <w:vertAlign w:val="superscript"/>
        </w:rPr>
        <w:footnoteReference w:customMarkFollows="1" w:id="38"/>
        <w:t>5</w:t>
      </w:r>
    </w:p>
    <w:p w:rsidR="00022B47" w:rsidRDefault="00000000">
      <w:pPr>
        <w:pStyle w:val="Normal9"/>
        <w:widowControl w:val="0"/>
        <w:spacing w:before="200" w:line="260" w:lineRule="atLeast"/>
        <w:jc w:val="both"/>
      </w:pPr>
      <w:bookmarkStart w:id="1634" w:name="Bookmark_para_44_2"/>
      <w:bookmarkStart w:id="1635" w:name="Bookmark_I67K33WD2D6NN00010000400"/>
      <w:bookmarkStart w:id="1636" w:name="Bookmark_I67K33WD2D6NN00030000400"/>
      <w:bookmarkEnd w:id="1634"/>
      <w:bookmarkEnd w:id="1635"/>
      <w:bookmarkEnd w:id="1636"/>
      <w:r>
        <w:rPr>
          <w:rFonts w:ascii="Arial" w:eastAsia="Arial" w:hAnsi="Arial" w:cs="Arial"/>
          <w:color w:val="000000"/>
          <w:sz w:val="20"/>
        </w:rPr>
        <w:t xml:space="preserve"> [*168]  Of course, because Laufer seeks injunctive relief, she also must show a "real or immediate threat that [she] will be wronged again." </w:t>
      </w:r>
      <w:r>
        <w:rPr>
          <w:rFonts w:ascii="Arial" w:eastAsia="Arial" w:hAnsi="Arial" w:cs="Arial"/>
          <w:i/>
          <w:color w:val="000000"/>
          <w:sz w:val="20"/>
        </w:rPr>
        <w:t xml:space="preserve">See </w:t>
      </w:r>
      <w:bookmarkStart w:id="1637" w:name="Bookmark_I67K33WC2SF8V80050000400"/>
      <w:bookmarkEnd w:id="1637"/>
      <w:r>
        <w:rPr>
          <w:rFonts w:ascii="Arial" w:eastAsia="Arial" w:hAnsi="Arial" w:cs="Arial"/>
          <w:i/>
          <w:color w:val="000000"/>
          <w:sz w:val="20"/>
        </w:rPr>
        <w:t>Lyons</w:t>
      </w:r>
      <w:r>
        <w:rPr>
          <w:rFonts w:ascii="Arial" w:eastAsia="Arial" w:hAnsi="Arial" w:cs="Arial"/>
          <w:color w:val="000000"/>
          <w:sz w:val="20"/>
        </w:rPr>
        <w:t xml:space="preserve">, 461 U.S. at 111. </w:t>
      </w:r>
      <w:bookmarkStart w:id="1638" w:name="Bookmark_LNHNREFclscc12_4"/>
      <w:bookmarkEnd w:id="1638"/>
      <w:r>
        <w:rPr>
          <w:rFonts w:ascii="Arial" w:eastAsia="Arial" w:hAnsi="Arial" w:cs="Arial"/>
          <w:color w:val="000000"/>
          <w:sz w:val="20"/>
        </w:rPr>
        <w:t xml:space="preserve">As we have recognized, "when an ADA plaintiff has alleged a past injury at a particular location, his plausible intentions to thereafter return to that location are sufficient to demonstrate the likelihood of future injury." </w:t>
      </w:r>
      <w:r>
        <w:rPr>
          <w:rFonts w:ascii="Arial" w:eastAsia="Arial" w:hAnsi="Arial" w:cs="Arial"/>
          <w:i/>
          <w:color w:val="000000"/>
          <w:sz w:val="20"/>
        </w:rPr>
        <w:t xml:space="preserve">See </w:t>
      </w:r>
      <w:bookmarkStart w:id="1639" w:name="Bookmark_I67K33WD2D6NN00020000400"/>
      <w:bookmarkEnd w:id="1639"/>
      <w:r>
        <w:rPr>
          <w:rFonts w:ascii="Arial" w:eastAsia="Arial" w:hAnsi="Arial" w:cs="Arial"/>
          <w:i/>
          <w:color w:val="000000"/>
          <w:sz w:val="20"/>
        </w:rPr>
        <w:t>Nanni v. Aberdeen Marketplace, Inc.</w:t>
      </w:r>
      <w:r>
        <w:rPr>
          <w:rFonts w:ascii="Arial" w:eastAsia="Arial" w:hAnsi="Arial" w:cs="Arial"/>
          <w:color w:val="000000"/>
          <w:sz w:val="20"/>
        </w:rPr>
        <w:t>, 878 F.3d 447, 455 (4th Cir. 2017). That raises the question in these proceedings of whether Laufer has alleged plausible intentions to return to the location of her past informational injury: Naranda's hotel reservation websites.</w:t>
      </w:r>
    </w:p>
    <w:p w:rsidR="00022B47" w:rsidRDefault="00000000">
      <w:pPr>
        <w:pStyle w:val="Normal9"/>
        <w:widowControl w:val="0"/>
        <w:spacing w:before="200" w:line="260" w:lineRule="atLeast"/>
        <w:jc w:val="both"/>
      </w:pPr>
      <w:bookmarkStart w:id="1640" w:name="Bookmark_para_45_2"/>
      <w:bookmarkEnd w:id="1640"/>
      <w:r>
        <w:rPr>
          <w:rFonts w:ascii="Arial" w:eastAsia="Arial" w:hAnsi="Arial" w:cs="Arial"/>
          <w:color w:val="000000"/>
          <w:sz w:val="20"/>
        </w:rPr>
        <w:t xml:space="preserve">As it did in the district court, Naranda contends on appeal that Laufer cannot [**26]  demonstrate such plausible intentions because her Complaint does not allege that she would "return[] to the third-party websites for purposes of booking a room or availing herself of Naranda's accommodations or services." </w:t>
      </w:r>
      <w:r>
        <w:rPr>
          <w:rFonts w:ascii="Arial" w:eastAsia="Arial" w:hAnsi="Arial" w:cs="Arial"/>
          <w:i/>
          <w:color w:val="000000"/>
          <w:sz w:val="20"/>
        </w:rPr>
        <w:t>See</w:t>
      </w:r>
      <w:r>
        <w:rPr>
          <w:rFonts w:ascii="Arial" w:eastAsia="Arial" w:hAnsi="Arial" w:cs="Arial"/>
          <w:color w:val="000000"/>
          <w:sz w:val="20"/>
        </w:rPr>
        <w:t xml:space="preserve"> Br. of Appellee 17. Naranda thus relies on the discredited proposition that Laufer's Article III standing to sue depends on an intention to book a hotel room.</w:t>
      </w:r>
    </w:p>
    <w:p w:rsidR="00022B47" w:rsidRDefault="00000000">
      <w:pPr>
        <w:pStyle w:val="Normal9"/>
        <w:widowControl w:val="0"/>
        <w:spacing w:before="200" w:line="260" w:lineRule="atLeast"/>
        <w:jc w:val="both"/>
      </w:pPr>
      <w:bookmarkStart w:id="1641" w:name="Bookmark_para_46_2"/>
      <w:bookmarkStart w:id="1642" w:name="Bookmark_I67K33WD2D6NN00050000400"/>
      <w:bookmarkEnd w:id="1641"/>
      <w:bookmarkEnd w:id="1642"/>
      <w:r>
        <w:rPr>
          <w:rFonts w:ascii="Arial" w:eastAsia="Arial" w:hAnsi="Arial" w:cs="Arial"/>
          <w:color w:val="000000"/>
          <w:sz w:val="20"/>
        </w:rPr>
        <w:t xml:space="preserve">We instead agree with the First Circuit that Laufer has alleged plausible intentions to return to Naranda's hotel reservation websites as part of the "system" described in her Complaint for continually monitoring websites she finds to be in noncompliance with the Hotel Reservation Regulation. </w:t>
      </w:r>
      <w:r>
        <w:rPr>
          <w:rFonts w:ascii="Arial" w:eastAsia="Arial" w:hAnsi="Arial" w:cs="Arial"/>
          <w:i/>
          <w:color w:val="000000"/>
          <w:sz w:val="20"/>
        </w:rPr>
        <w:t>See</w:t>
      </w:r>
      <w:r>
        <w:rPr>
          <w:rFonts w:ascii="Arial" w:eastAsia="Arial" w:hAnsi="Arial" w:cs="Arial"/>
          <w:color w:val="000000"/>
          <w:sz w:val="20"/>
        </w:rPr>
        <w:t xml:space="preserve"> Complaint ¶ 11. </w:t>
      </w:r>
      <w:bookmarkStart w:id="1643" w:name="Bookmark_I67K33WD2N1PVC0020000400"/>
      <w:bookmarkEnd w:id="1643"/>
      <w:r>
        <w:rPr>
          <w:rFonts w:ascii="Arial" w:eastAsia="Arial" w:hAnsi="Arial" w:cs="Arial"/>
          <w:color w:val="000000"/>
          <w:sz w:val="20"/>
        </w:rPr>
        <w:t xml:space="preserve">Laufer has thereby "given her description of her concrete plans to revisit the websites, easily accessible from her home, in the near future." </w:t>
      </w:r>
      <w:r>
        <w:rPr>
          <w:rFonts w:ascii="Arial" w:eastAsia="Arial" w:hAnsi="Arial" w:cs="Arial"/>
          <w:i/>
          <w:color w:val="000000"/>
          <w:sz w:val="20"/>
        </w:rPr>
        <w:t xml:space="preserve">See </w:t>
      </w:r>
      <w:bookmarkStart w:id="1644" w:name="Bookmark_I67K33WD2D6NN00040000400"/>
      <w:bookmarkEnd w:id="1644"/>
      <w:r>
        <w:rPr>
          <w:rFonts w:ascii="Arial" w:eastAsia="Arial" w:hAnsi="Arial" w:cs="Arial"/>
          <w:i/>
          <w:color w:val="000000"/>
          <w:sz w:val="20"/>
        </w:rPr>
        <w:t>Acheson Hotels</w:t>
      </w:r>
      <w:r>
        <w:rPr>
          <w:rFonts w:ascii="Arial" w:eastAsia="Arial" w:hAnsi="Arial" w:cs="Arial"/>
          <w:color w:val="000000"/>
          <w:sz w:val="20"/>
        </w:rPr>
        <w:t xml:space="preserve">, 50 F.4th at 277 (alteration and internal quotation marks omitted). </w:t>
      </w:r>
      <w:bookmarkStart w:id="1645" w:name="Bookmark_I67K33WD2N1PVC0020000400_2"/>
      <w:bookmarkEnd w:id="1645"/>
      <w:r>
        <w:rPr>
          <w:rFonts w:ascii="Arial" w:eastAsia="Arial" w:hAnsi="Arial" w:cs="Arial"/>
          <w:color w:val="000000"/>
          <w:sz w:val="20"/>
        </w:rPr>
        <w:t xml:space="preserve">And she has demonstrated a likelihood that she will suffer the same informational injury again. </w:t>
      </w:r>
      <w:r>
        <w:rPr>
          <w:rFonts w:ascii="Arial" w:eastAsia="Arial" w:hAnsi="Arial" w:cs="Arial"/>
          <w:i/>
          <w:color w:val="000000"/>
          <w:sz w:val="20"/>
        </w:rPr>
        <w:t xml:space="preserve">Cf. </w:t>
      </w:r>
      <w:bookmarkStart w:id="1646" w:name="Bookmark_I67K33WD2N1PVC0010000400"/>
      <w:bookmarkEnd w:id="1646"/>
      <w:r>
        <w:rPr>
          <w:rFonts w:ascii="Arial" w:eastAsia="Arial" w:hAnsi="Arial" w:cs="Arial"/>
          <w:i/>
          <w:color w:val="000000"/>
          <w:sz w:val="20"/>
        </w:rPr>
        <w:t>Nanni</w:t>
      </w:r>
      <w:r>
        <w:rPr>
          <w:rFonts w:ascii="Arial" w:eastAsia="Arial" w:hAnsi="Arial" w:cs="Arial"/>
          <w:color w:val="000000"/>
          <w:sz w:val="20"/>
        </w:rPr>
        <w:t>, 878 F.3d at 455-57 (concluding that ADA tester could seek injunctive relief after encountering architectural barriers at interstate-adjacent marketplace, based on plausible intentions to return there during trips between his Delaware [**27]  home and Baltimore-Washington, D.C. area). In sum, then, Laufer has satisfied all of the requirements to establish her Article III standing to sue Naranda for the alleged informational injury and to seek relief in the form of an injunction.</w:t>
      </w:r>
    </w:p>
    <w:p w:rsidR="00022B47" w:rsidRDefault="00000000">
      <w:pPr>
        <w:pStyle w:val="Normal9"/>
        <w:widowControl w:val="0"/>
        <w:spacing w:before="120" w:line="260" w:lineRule="atLeast"/>
      </w:pPr>
      <w:r>
        <w:rPr>
          <w:rFonts w:ascii="Arial" w:eastAsia="Arial" w:hAnsi="Arial" w:cs="Arial"/>
          <w:color w:val="000000"/>
          <w:sz w:val="20"/>
        </w:rPr>
        <w:t>B.</w:t>
      </w:r>
    </w:p>
    <w:p w:rsidR="00022B47" w:rsidRDefault="00000000">
      <w:pPr>
        <w:pStyle w:val="Normal9"/>
        <w:widowControl w:val="0"/>
        <w:spacing w:before="200" w:line="260" w:lineRule="atLeast"/>
        <w:jc w:val="both"/>
      </w:pPr>
      <w:bookmarkStart w:id="1647" w:name="Bookmark_para_47_2"/>
      <w:bookmarkStart w:id="1648" w:name="Bookmark_I67K33WD2N1PVC0040000400"/>
      <w:bookmarkStart w:id="1649" w:name="Bookmark_I67K33WD2D6NN30010000400"/>
      <w:bookmarkEnd w:id="1647"/>
      <w:bookmarkEnd w:id="1648"/>
      <w:bookmarkEnd w:id="1649"/>
      <w:r>
        <w:rPr>
          <w:rFonts w:ascii="Arial" w:eastAsia="Arial" w:hAnsi="Arial" w:cs="Arial"/>
          <w:color w:val="000000"/>
          <w:sz w:val="20"/>
        </w:rPr>
        <w:t xml:space="preserve">As previously mentioned, the courts of appeals that have ruled in other cases against Laufer and similarly situated plaintiff Harty have done so on the premise that those plaintiffs were obliged — but failed — to show an intention or need to actually book rooms at the defendants' hotels in order to establish informational injury-based Article III standing to sue. In adopting that premise, the Second Circuit perceived that it was compelled to do so by the Supreme Court's recent decision in </w:t>
      </w:r>
      <w:bookmarkStart w:id="1650" w:name="Bookmark_I67K33WD2N1PVC0030000400"/>
      <w:bookmarkEnd w:id="1650"/>
      <w:r>
        <w:rPr>
          <w:rFonts w:ascii="Arial" w:eastAsia="Arial" w:hAnsi="Arial" w:cs="Arial"/>
          <w:i/>
          <w:color w:val="000000"/>
          <w:sz w:val="20"/>
        </w:rPr>
        <w:t>TransUnion LLC v. Ramirez</w:t>
      </w:r>
      <w:r>
        <w:rPr>
          <w:rFonts w:ascii="Arial" w:eastAsia="Arial" w:hAnsi="Arial" w:cs="Arial"/>
          <w:color w:val="000000"/>
          <w:sz w:val="20"/>
        </w:rPr>
        <w:t xml:space="preserve">, 141 S. Ct. 2190, 210 L. Ed. 2d 568 (2021). Meanwhile, the Fifth and Tenth Circuits deemed the contrary decisions in </w:t>
      </w:r>
      <w:bookmarkStart w:id="1651" w:name="Bookmark_I67K33WD2N1PVC0050000400"/>
      <w:bookmarkEnd w:id="1651"/>
      <w:r>
        <w:rPr>
          <w:rFonts w:ascii="Arial" w:eastAsia="Arial" w:hAnsi="Arial" w:cs="Arial"/>
          <w:i/>
          <w:color w:val="000000"/>
          <w:sz w:val="20"/>
        </w:rPr>
        <w:t>Havens Realty</w:t>
      </w:r>
      <w:r>
        <w:rPr>
          <w:rFonts w:ascii="Arial" w:eastAsia="Arial" w:hAnsi="Arial" w:cs="Arial"/>
          <w:color w:val="000000"/>
          <w:sz w:val="20"/>
        </w:rPr>
        <w:t xml:space="preserve">, </w:t>
      </w:r>
      <w:bookmarkStart w:id="1652" w:name="Bookmark_I67K33WD2D6NN30010000400_2"/>
      <w:bookmarkStart w:id="1653" w:name="Bookmark_I67K33WD2N1PVC0040000400_2"/>
      <w:bookmarkStart w:id="1654" w:name="Bookmark_I67K33WD2D6NN30020000400"/>
      <w:bookmarkEnd w:id="1652"/>
      <w:bookmarkEnd w:id="1653"/>
      <w:bookmarkEnd w:id="1654"/>
      <w:r>
        <w:rPr>
          <w:rFonts w:ascii="Arial" w:eastAsia="Arial" w:hAnsi="Arial" w:cs="Arial"/>
          <w:i/>
          <w:color w:val="000000"/>
          <w:sz w:val="20"/>
        </w:rPr>
        <w:t>Public Citizen</w:t>
      </w:r>
      <w:r>
        <w:rPr>
          <w:rFonts w:ascii="Arial" w:eastAsia="Arial" w:hAnsi="Arial" w:cs="Arial"/>
          <w:color w:val="000000"/>
          <w:sz w:val="20"/>
        </w:rPr>
        <w:t xml:space="preserve">, and </w:t>
      </w:r>
      <w:bookmarkStart w:id="1655" w:name="Bookmark_I67K33WD2D6NN30040000400"/>
      <w:bookmarkEnd w:id="1655"/>
      <w:r>
        <w:rPr>
          <w:rFonts w:ascii="Arial" w:eastAsia="Arial" w:hAnsi="Arial" w:cs="Arial"/>
          <w:i/>
          <w:color w:val="000000"/>
          <w:sz w:val="20"/>
        </w:rPr>
        <w:t>Akins</w:t>
      </w:r>
      <w:r>
        <w:rPr>
          <w:rFonts w:ascii="Arial" w:eastAsia="Arial" w:hAnsi="Arial" w:cs="Arial"/>
          <w:color w:val="000000"/>
          <w:sz w:val="20"/>
        </w:rPr>
        <w:t xml:space="preserve"> to be distinguishable and inapposite. None of those rulings can withstand scrutiny.</w:t>
      </w:r>
    </w:p>
    <w:p w:rsidR="00022B47" w:rsidRDefault="00000000">
      <w:pPr>
        <w:pStyle w:val="Normal9"/>
        <w:widowControl w:val="0"/>
        <w:spacing w:before="120" w:line="260" w:lineRule="atLeast"/>
      </w:pPr>
      <w:r>
        <w:rPr>
          <w:rFonts w:ascii="Arial" w:eastAsia="Arial" w:hAnsi="Arial" w:cs="Arial"/>
          <w:color w:val="000000"/>
          <w:sz w:val="20"/>
        </w:rPr>
        <w:t>1.</w:t>
      </w:r>
    </w:p>
    <w:p w:rsidR="00022B47" w:rsidRDefault="00000000">
      <w:pPr>
        <w:pStyle w:val="Normal9"/>
        <w:widowControl w:val="0"/>
        <w:spacing w:before="200" w:line="260" w:lineRule="atLeast"/>
        <w:jc w:val="both"/>
      </w:pPr>
      <w:bookmarkStart w:id="1656" w:name="Bookmark_para_48_2"/>
      <w:bookmarkStart w:id="1657" w:name="Bookmark_I67K33WD28T4GS0020000400"/>
      <w:bookmarkEnd w:id="1656"/>
      <w:bookmarkEnd w:id="1657"/>
      <w:r>
        <w:rPr>
          <w:rFonts w:ascii="Arial" w:eastAsia="Arial" w:hAnsi="Arial" w:cs="Arial"/>
          <w:color w:val="000000"/>
          <w:sz w:val="20"/>
        </w:rPr>
        <w:t xml:space="preserve">In the Second Circuit's view, the Supreme Court's 2021 decision in </w:t>
      </w:r>
      <w:bookmarkStart w:id="1658" w:name="Bookmark_I67K33WD28T4GS0010000400"/>
      <w:bookmarkEnd w:id="1658"/>
      <w:r>
        <w:rPr>
          <w:rFonts w:ascii="Arial" w:eastAsia="Arial" w:hAnsi="Arial" w:cs="Arial"/>
          <w:i/>
          <w:color w:val="000000"/>
          <w:sz w:val="20"/>
        </w:rPr>
        <w:t>TransUnion</w:t>
      </w:r>
      <w:bookmarkStart w:id="1659" w:name="Bookmark_I67K33WD2SF8VD0050000400"/>
      <w:bookmarkEnd w:id="1659"/>
      <w:r>
        <w:rPr>
          <w:rFonts w:ascii="Arial" w:eastAsia="Arial" w:hAnsi="Arial" w:cs="Arial"/>
          <w:color w:val="000000"/>
          <w:sz w:val="20"/>
        </w:rPr>
        <w:t xml:space="preserve"> dictates that the informational injury that has been alleged by Laufer and Harty cannot constitute an injury in fact in satisfaction of the first </w:t>
      </w:r>
      <w:bookmarkStart w:id="1660" w:name="Bookmark_I67K33WD28T4GS0030000400"/>
      <w:bookmarkEnd w:id="1660"/>
      <w:r>
        <w:rPr>
          <w:rFonts w:ascii="Arial" w:eastAsia="Arial" w:hAnsi="Arial" w:cs="Arial"/>
          <w:i/>
          <w:color w:val="000000"/>
          <w:sz w:val="20"/>
        </w:rPr>
        <w:t>Lujan</w:t>
      </w:r>
      <w:r>
        <w:rPr>
          <w:rFonts w:ascii="Arial" w:eastAsia="Arial" w:hAnsi="Arial" w:cs="Arial"/>
          <w:color w:val="000000"/>
          <w:sz w:val="20"/>
        </w:rPr>
        <w:t xml:space="preserve"> element if the plaintiff visited the defendant's hotel reservation website without an intention to book [**28]   [*169]  a room. </w:t>
      </w:r>
      <w:r>
        <w:rPr>
          <w:rFonts w:ascii="Arial" w:eastAsia="Arial" w:hAnsi="Arial" w:cs="Arial"/>
          <w:i/>
          <w:color w:val="000000"/>
          <w:sz w:val="20"/>
        </w:rPr>
        <w:t xml:space="preserve">See </w:t>
      </w:r>
      <w:bookmarkStart w:id="1661" w:name="Bookmark_I67K33WD28T4GS0050000400"/>
      <w:bookmarkEnd w:id="1661"/>
      <w:r>
        <w:rPr>
          <w:rFonts w:ascii="Arial" w:eastAsia="Arial" w:hAnsi="Arial" w:cs="Arial"/>
          <w:i/>
          <w:color w:val="000000"/>
          <w:sz w:val="20"/>
        </w:rPr>
        <w:t>Harty</w:t>
      </w:r>
      <w:r>
        <w:rPr>
          <w:rFonts w:ascii="Arial" w:eastAsia="Arial" w:hAnsi="Arial" w:cs="Arial"/>
          <w:color w:val="000000"/>
          <w:sz w:val="20"/>
        </w:rPr>
        <w:t xml:space="preserve">, 28 F.4th at 444 (citing </w:t>
      </w:r>
      <w:bookmarkStart w:id="1662" w:name="Bookmark_I67K33WD2SF8VD0020000400"/>
      <w:bookmarkEnd w:id="1662"/>
      <w:r>
        <w:rPr>
          <w:rFonts w:ascii="Arial" w:eastAsia="Arial" w:hAnsi="Arial" w:cs="Arial"/>
          <w:i/>
          <w:color w:val="000000"/>
          <w:sz w:val="20"/>
        </w:rPr>
        <w:t>TransUnion</w:t>
      </w:r>
      <w:r>
        <w:rPr>
          <w:rFonts w:ascii="Arial" w:eastAsia="Arial" w:hAnsi="Arial" w:cs="Arial"/>
          <w:color w:val="000000"/>
          <w:sz w:val="20"/>
        </w:rPr>
        <w:t xml:space="preserve">, 141 S. Ct. at 2214). </w:t>
      </w:r>
      <w:bookmarkStart w:id="1663" w:name="Bookmark_I67K33WD2SF8VD0050000400_2"/>
      <w:bookmarkEnd w:id="1663"/>
      <w:r>
        <w:rPr>
          <w:rFonts w:ascii="Arial" w:eastAsia="Arial" w:hAnsi="Arial" w:cs="Arial"/>
          <w:color w:val="000000"/>
          <w:sz w:val="20"/>
        </w:rPr>
        <w:t xml:space="preserve">The </w:t>
      </w:r>
      <w:bookmarkStart w:id="1664" w:name="Bookmark_I67K33WD2SF8VD0050000400_3"/>
      <w:bookmarkStart w:id="1665" w:name="Bookmark_I67K33WD2SF8VD0040000400"/>
      <w:bookmarkEnd w:id="1664"/>
      <w:bookmarkEnd w:id="1665"/>
      <w:r>
        <w:rPr>
          <w:rFonts w:ascii="Arial" w:eastAsia="Arial" w:hAnsi="Arial" w:cs="Arial"/>
          <w:i/>
          <w:color w:val="000000"/>
          <w:sz w:val="20"/>
        </w:rPr>
        <w:t>TransUnion</w:t>
      </w:r>
      <w:r>
        <w:rPr>
          <w:rFonts w:ascii="Arial" w:eastAsia="Arial" w:hAnsi="Arial" w:cs="Arial"/>
          <w:color w:val="000000"/>
          <w:sz w:val="20"/>
        </w:rPr>
        <w:t xml:space="preserve"> decision concerned, in pertinent part, claims that defendant TransUnion (a credit reporting agency) sent the plaintiffs (consumers who were the subject of TransUnion credit files) copies of their credit files that "were formatted incorrectly and deprived them of their right to receive information in the format required by [the Fair Credit Reporting Act]." </w:t>
      </w:r>
      <w:r>
        <w:rPr>
          <w:rFonts w:ascii="Arial" w:eastAsia="Arial" w:hAnsi="Arial" w:cs="Arial"/>
          <w:i/>
          <w:color w:val="000000"/>
          <w:sz w:val="20"/>
        </w:rPr>
        <w:t>See</w:t>
      </w:r>
      <w:r>
        <w:rPr>
          <w:rFonts w:ascii="Arial" w:eastAsia="Arial" w:hAnsi="Arial" w:cs="Arial"/>
          <w:color w:val="000000"/>
          <w:sz w:val="20"/>
        </w:rPr>
        <w:t xml:space="preserve"> </w:t>
      </w:r>
      <w:bookmarkStart w:id="1666" w:name="Bookmark_I67K33WF2SF7JT0010000400"/>
      <w:bookmarkEnd w:id="1666"/>
      <w:r>
        <w:rPr>
          <w:rFonts w:ascii="Arial" w:eastAsia="Arial" w:hAnsi="Arial" w:cs="Arial"/>
          <w:color w:val="000000"/>
          <w:sz w:val="20"/>
        </w:rPr>
        <w:t>141 S. Ct. at 2213.</w:t>
      </w:r>
    </w:p>
    <w:p w:rsidR="00022B47" w:rsidRDefault="00000000">
      <w:pPr>
        <w:pStyle w:val="Normal9"/>
        <w:widowControl w:val="0"/>
        <w:spacing w:before="200" w:line="260" w:lineRule="atLeast"/>
        <w:jc w:val="both"/>
      </w:pPr>
      <w:bookmarkStart w:id="1667" w:name="Bookmark_para_49_2"/>
      <w:bookmarkStart w:id="1668" w:name="Bookmark_I67K33WF2SF7JT0040000400"/>
      <w:bookmarkEnd w:id="1667"/>
      <w:bookmarkEnd w:id="1668"/>
      <w:r>
        <w:rPr>
          <w:rFonts w:ascii="Arial" w:eastAsia="Arial" w:hAnsi="Arial" w:cs="Arial"/>
          <w:color w:val="000000"/>
          <w:sz w:val="20"/>
        </w:rPr>
        <w:t xml:space="preserve">One theory presented to the </w:t>
      </w:r>
      <w:bookmarkStart w:id="1669" w:name="Bookmark_I67K33WF2SF7JT0030000400"/>
      <w:bookmarkEnd w:id="1669"/>
      <w:r>
        <w:rPr>
          <w:rFonts w:ascii="Arial" w:eastAsia="Arial" w:hAnsi="Arial" w:cs="Arial"/>
          <w:i/>
          <w:color w:val="000000"/>
          <w:sz w:val="20"/>
        </w:rPr>
        <w:t>TransUnion</w:t>
      </w:r>
      <w:r>
        <w:rPr>
          <w:rFonts w:ascii="Arial" w:eastAsia="Arial" w:hAnsi="Arial" w:cs="Arial"/>
          <w:color w:val="000000"/>
          <w:sz w:val="20"/>
        </w:rPr>
        <w:t xml:space="preserve"> Court with respect to Article III standing to pursue those claims was "that the plaintiffs suffered a concrete 'informational injury' under several of [the] Court's precedents," including </w:t>
      </w:r>
      <w:bookmarkStart w:id="1670" w:name="Bookmark_I67K33WF2SF7JT0050000400"/>
      <w:bookmarkEnd w:id="1670"/>
      <w:r>
        <w:rPr>
          <w:rFonts w:ascii="Arial" w:eastAsia="Arial" w:hAnsi="Arial" w:cs="Arial"/>
          <w:i/>
          <w:color w:val="000000"/>
          <w:sz w:val="20"/>
        </w:rPr>
        <w:t>Public Citizen</w:t>
      </w:r>
      <w:bookmarkStart w:id="1671" w:name="Bookmark_I67K33WF2N1PVJ0050000400"/>
      <w:bookmarkEnd w:id="1671"/>
      <w:r>
        <w:rPr>
          <w:rFonts w:ascii="Arial" w:eastAsia="Arial" w:hAnsi="Arial" w:cs="Arial"/>
          <w:color w:val="000000"/>
          <w:sz w:val="20"/>
        </w:rPr>
        <w:t xml:space="preserve"> and </w:t>
      </w:r>
      <w:bookmarkStart w:id="1672" w:name="Bookmark_I67K33WF2N1PVJ0050000400_2"/>
      <w:bookmarkStart w:id="1673" w:name="Bookmark_I67K33WF2SF7JT0040000400_2"/>
      <w:bookmarkStart w:id="1674" w:name="Bookmark_I67K33WF2N1PVJ0020000400"/>
      <w:bookmarkEnd w:id="1672"/>
      <w:bookmarkEnd w:id="1673"/>
      <w:bookmarkEnd w:id="1674"/>
      <w:r>
        <w:rPr>
          <w:rFonts w:ascii="Arial" w:eastAsia="Arial" w:hAnsi="Arial" w:cs="Arial"/>
          <w:i/>
          <w:color w:val="000000"/>
          <w:sz w:val="20"/>
        </w:rPr>
        <w:t>Akins</w:t>
      </w:r>
      <w:r>
        <w:rPr>
          <w:rFonts w:ascii="Arial" w:eastAsia="Arial" w:hAnsi="Arial" w:cs="Arial"/>
          <w:color w:val="000000"/>
          <w:sz w:val="20"/>
        </w:rPr>
        <w:t xml:space="preserve">. </w:t>
      </w:r>
      <w:r>
        <w:rPr>
          <w:rFonts w:ascii="Arial" w:eastAsia="Arial" w:hAnsi="Arial" w:cs="Arial"/>
          <w:i/>
          <w:color w:val="000000"/>
          <w:sz w:val="20"/>
        </w:rPr>
        <w:t xml:space="preserve">See </w:t>
      </w:r>
      <w:bookmarkStart w:id="1675" w:name="Bookmark_I67K33WF2N1PVJ0040000400"/>
      <w:bookmarkEnd w:id="1675"/>
      <w:r>
        <w:rPr>
          <w:rFonts w:ascii="Arial" w:eastAsia="Arial" w:hAnsi="Arial" w:cs="Arial"/>
          <w:i/>
          <w:color w:val="000000"/>
          <w:sz w:val="20"/>
        </w:rPr>
        <w:t>TransUnion</w:t>
      </w:r>
      <w:r>
        <w:rPr>
          <w:rFonts w:ascii="Arial" w:eastAsia="Arial" w:hAnsi="Arial" w:cs="Arial"/>
          <w:color w:val="000000"/>
          <w:sz w:val="20"/>
        </w:rPr>
        <w:t xml:space="preserve">, 141 S. Ct. at 2214. The Court disagreed with that theory, however. </w:t>
      </w:r>
      <w:r>
        <w:rPr>
          <w:rFonts w:ascii="Arial" w:eastAsia="Arial" w:hAnsi="Arial" w:cs="Arial"/>
          <w:i/>
          <w:color w:val="000000"/>
          <w:sz w:val="20"/>
        </w:rPr>
        <w:t>Id.</w:t>
      </w:r>
      <w:r>
        <w:rPr>
          <w:rFonts w:ascii="Arial" w:eastAsia="Arial" w:hAnsi="Arial" w:cs="Arial"/>
          <w:color w:val="000000"/>
          <w:sz w:val="20"/>
        </w:rPr>
        <w:t xml:space="preserve"> Addressing why that was so, the Court led with the following explanation:</w:t>
      </w:r>
    </w:p>
    <w:p w:rsidR="00022B47" w:rsidRDefault="00000000">
      <w:pPr>
        <w:pStyle w:val="Normal9"/>
        <w:widowControl w:val="0"/>
        <w:spacing w:before="200" w:line="260" w:lineRule="atLeast"/>
        <w:ind w:left="400"/>
        <w:jc w:val="both"/>
      </w:pPr>
      <w:bookmarkStart w:id="1676" w:name="Bookmark_para_50_2"/>
      <w:bookmarkStart w:id="1677" w:name="Bookmark_I67K33WF2HM6N00020000400"/>
      <w:bookmarkEnd w:id="1676"/>
      <w:bookmarkEnd w:id="1677"/>
      <w:r>
        <w:rPr>
          <w:rFonts w:ascii="Arial" w:eastAsia="Arial" w:hAnsi="Arial" w:cs="Arial"/>
          <w:color w:val="000000"/>
          <w:sz w:val="20"/>
        </w:rPr>
        <w:t xml:space="preserve">The plaintiffs did not allege that they failed to receive any required information. They argued only that they received it </w:t>
      </w:r>
      <w:r>
        <w:rPr>
          <w:rFonts w:ascii="Arial" w:eastAsia="Arial" w:hAnsi="Arial" w:cs="Arial"/>
          <w:i/>
          <w:color w:val="000000"/>
          <w:sz w:val="20"/>
        </w:rPr>
        <w:t>in the wrong format</w:t>
      </w:r>
      <w:r>
        <w:rPr>
          <w:rFonts w:ascii="Arial" w:eastAsia="Arial" w:hAnsi="Arial" w:cs="Arial"/>
          <w:color w:val="000000"/>
          <w:sz w:val="20"/>
        </w:rPr>
        <w:t xml:space="preserve">. Therefore, </w:t>
      </w:r>
      <w:bookmarkStart w:id="1678" w:name="Bookmark_I67K33WF2HM6N00020000400_2"/>
      <w:bookmarkStart w:id="1679" w:name="Bookmark_I67K33WF2HM6N00010000400"/>
      <w:bookmarkEnd w:id="1678"/>
      <w:bookmarkEnd w:id="1679"/>
      <w:r>
        <w:rPr>
          <w:rFonts w:ascii="Arial" w:eastAsia="Arial" w:hAnsi="Arial" w:cs="Arial"/>
          <w:i/>
          <w:color w:val="000000"/>
          <w:sz w:val="20"/>
        </w:rPr>
        <w:t>Akins</w:t>
      </w:r>
      <w:r>
        <w:rPr>
          <w:rFonts w:ascii="Arial" w:eastAsia="Arial" w:hAnsi="Arial" w:cs="Arial"/>
          <w:color w:val="000000"/>
          <w:sz w:val="20"/>
        </w:rPr>
        <w:t xml:space="preserve"> and </w:t>
      </w:r>
      <w:bookmarkStart w:id="1680" w:name="Bookmark_I67K33WF2HM6N00030000400"/>
      <w:bookmarkEnd w:id="1680"/>
      <w:r>
        <w:rPr>
          <w:rFonts w:ascii="Arial" w:eastAsia="Arial" w:hAnsi="Arial" w:cs="Arial"/>
          <w:i/>
          <w:color w:val="000000"/>
          <w:sz w:val="20"/>
        </w:rPr>
        <w:t>Public Citizen</w:t>
      </w:r>
      <w:r>
        <w:rPr>
          <w:rFonts w:ascii="Arial" w:eastAsia="Arial" w:hAnsi="Arial" w:cs="Arial"/>
          <w:color w:val="000000"/>
          <w:sz w:val="20"/>
        </w:rPr>
        <w:t xml:space="preserve"> do not control here.</w:t>
      </w:r>
    </w:p>
    <w:p w:rsidR="00022B47" w:rsidRDefault="00000000">
      <w:pPr>
        <w:pStyle w:val="Normal9"/>
        <w:widowControl w:val="0"/>
        <w:spacing w:before="200" w:line="260" w:lineRule="atLeast"/>
        <w:jc w:val="both"/>
      </w:pPr>
      <w:bookmarkStart w:id="1681" w:name="Bookmark_I67K33WF2D6NN70010000400"/>
      <w:bookmarkEnd w:id="1681"/>
      <w:r>
        <w:rPr>
          <w:rFonts w:ascii="Arial" w:eastAsia="Arial" w:hAnsi="Arial" w:cs="Arial"/>
          <w:i/>
          <w:color w:val="000000"/>
          <w:sz w:val="20"/>
        </w:rPr>
        <w:t>Id.</w:t>
      </w:r>
      <w:r>
        <w:rPr>
          <w:rFonts w:ascii="Arial" w:eastAsia="Arial" w:hAnsi="Arial" w:cs="Arial"/>
          <w:color w:val="000000"/>
          <w:sz w:val="20"/>
        </w:rPr>
        <w:t xml:space="preserve"> The Court then added two more points. First, the Court observed:</w:t>
      </w:r>
    </w:p>
    <w:p w:rsidR="00022B47" w:rsidRDefault="00000000">
      <w:pPr>
        <w:pStyle w:val="Normal9"/>
        <w:widowControl w:val="0"/>
        <w:spacing w:before="200" w:line="260" w:lineRule="atLeast"/>
        <w:ind w:left="400"/>
        <w:jc w:val="both"/>
      </w:pPr>
      <w:bookmarkStart w:id="1682" w:name="Bookmark_para_51_2"/>
      <w:bookmarkStart w:id="1683" w:name="Bookmark_I67K33WF2D6NN70010000400_2"/>
      <w:bookmarkEnd w:id="1682"/>
      <w:bookmarkEnd w:id="1683"/>
      <w:r>
        <w:rPr>
          <w:rFonts w:ascii="Arial" w:eastAsia="Arial" w:hAnsi="Arial" w:cs="Arial"/>
          <w:color w:val="000000"/>
          <w:sz w:val="20"/>
        </w:rPr>
        <w:t>In addition, [</w:t>
      </w:r>
      <w:bookmarkStart w:id="1684" w:name="Bookmark_I67K33WF2D6NN70010000400_3"/>
      <w:bookmarkStart w:id="1685" w:name="Bookmark_I67K33WF2HM6N00050000400"/>
      <w:bookmarkEnd w:id="1684"/>
      <w:bookmarkEnd w:id="1685"/>
      <w:r>
        <w:rPr>
          <w:rFonts w:ascii="Arial" w:eastAsia="Arial" w:hAnsi="Arial" w:cs="Arial"/>
          <w:i/>
          <w:color w:val="000000"/>
          <w:sz w:val="20"/>
        </w:rPr>
        <w:t>Akins</w:t>
      </w:r>
      <w:r>
        <w:rPr>
          <w:rFonts w:ascii="Arial" w:eastAsia="Arial" w:hAnsi="Arial" w:cs="Arial"/>
          <w:color w:val="000000"/>
          <w:sz w:val="20"/>
        </w:rPr>
        <w:t xml:space="preserve"> and </w:t>
      </w:r>
      <w:bookmarkStart w:id="1686" w:name="Bookmark_I67K33WF2D6NN70020000400"/>
      <w:bookmarkEnd w:id="1686"/>
      <w:r>
        <w:rPr>
          <w:rFonts w:ascii="Arial" w:eastAsia="Arial" w:hAnsi="Arial" w:cs="Arial"/>
          <w:i/>
          <w:color w:val="000000"/>
          <w:sz w:val="20"/>
        </w:rPr>
        <w:t>Public Citizen</w:t>
      </w:r>
      <w:r>
        <w:rPr>
          <w:rFonts w:ascii="Arial" w:eastAsia="Arial" w:hAnsi="Arial" w:cs="Arial"/>
          <w:color w:val="000000"/>
          <w:sz w:val="20"/>
        </w:rPr>
        <w:t>] involved denial of information subject to public-disclosure or sunshine laws that entitle all members of the public to certain information. This case does not involve such a public-disclosure law.</w:t>
      </w:r>
    </w:p>
    <w:p w:rsidR="00022B47" w:rsidRDefault="00000000">
      <w:pPr>
        <w:pStyle w:val="Normal9"/>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xml:space="preserve"> And second, the Court [**29]  noted:</w:t>
      </w:r>
    </w:p>
    <w:p w:rsidR="00022B47" w:rsidRDefault="00000000">
      <w:pPr>
        <w:pStyle w:val="Normal9"/>
        <w:widowControl w:val="0"/>
        <w:spacing w:line="260" w:lineRule="atLeast"/>
        <w:ind w:left="400"/>
        <w:jc w:val="both"/>
      </w:pPr>
      <w:bookmarkStart w:id="1687" w:name="Bookmark_para_52_2"/>
      <w:bookmarkEnd w:id="1687"/>
      <w:r>
        <w:rPr>
          <w:rFonts w:ascii="Arial" w:eastAsia="Arial" w:hAnsi="Arial" w:cs="Arial"/>
          <w:color w:val="000000"/>
          <w:sz w:val="20"/>
        </w:rPr>
        <w:t>Moreover, the plaintiffs have identified no downstream consequences from failing to receive the required information. They did not demonstrate, for example, that the alleged information deficit hindered their ability to correct erroneous information before it was later sent to third parties. An asserted informational injury that causes no adverse effects cannot satisfy Article III.</w:t>
      </w:r>
    </w:p>
    <w:p w:rsidR="00022B47" w:rsidRDefault="00000000">
      <w:pPr>
        <w:pStyle w:val="Normal9"/>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xml:space="preserve"> (internal quotation marks omitted).</w:t>
      </w:r>
    </w:p>
    <w:p w:rsidR="00022B47" w:rsidRDefault="00000000">
      <w:pPr>
        <w:pStyle w:val="Normal9"/>
        <w:widowControl w:val="0"/>
        <w:spacing w:before="200" w:line="260" w:lineRule="atLeast"/>
        <w:jc w:val="both"/>
      </w:pPr>
      <w:bookmarkStart w:id="1688" w:name="Bookmark_para_53_1"/>
      <w:bookmarkStart w:id="1689" w:name="Bookmark_I67K33WF2D6NN70050000400"/>
      <w:bookmarkEnd w:id="1688"/>
      <w:bookmarkEnd w:id="1689"/>
      <w:r>
        <w:rPr>
          <w:rFonts w:ascii="Arial" w:eastAsia="Arial" w:hAnsi="Arial" w:cs="Arial"/>
          <w:color w:val="000000"/>
          <w:sz w:val="20"/>
        </w:rPr>
        <w:t xml:space="preserve">It was </w:t>
      </w:r>
      <w:bookmarkStart w:id="1690" w:name="Bookmark_I67K33WF2D6NN70040000400"/>
      <w:bookmarkEnd w:id="1690"/>
      <w:r>
        <w:rPr>
          <w:rFonts w:ascii="Arial" w:eastAsia="Arial" w:hAnsi="Arial" w:cs="Arial"/>
          <w:i/>
          <w:color w:val="000000"/>
          <w:sz w:val="20"/>
        </w:rPr>
        <w:t>TransUnion</w:t>
      </w:r>
      <w:r>
        <w:rPr>
          <w:rFonts w:ascii="Arial" w:eastAsia="Arial" w:hAnsi="Arial" w:cs="Arial"/>
          <w:color w:val="000000"/>
          <w:sz w:val="20"/>
        </w:rPr>
        <w:t xml:space="preserve">'s "Moreover" passage that the Second Circuit invoked in </w:t>
      </w:r>
      <w:bookmarkStart w:id="1691" w:name="Bookmark_I67K33WF28T4GX0010000400"/>
      <w:bookmarkEnd w:id="1691"/>
      <w:r>
        <w:rPr>
          <w:rFonts w:ascii="Arial" w:eastAsia="Arial" w:hAnsi="Arial" w:cs="Arial"/>
          <w:i/>
          <w:color w:val="000000"/>
          <w:sz w:val="20"/>
        </w:rPr>
        <w:t>Harty</w:t>
      </w:r>
      <w:r>
        <w:rPr>
          <w:rFonts w:ascii="Arial" w:eastAsia="Arial" w:hAnsi="Arial" w:cs="Arial"/>
          <w:color w:val="000000"/>
          <w:sz w:val="20"/>
        </w:rPr>
        <w:t xml:space="preserve"> for the proposition that Harty's alleged informational injury was not sufficiently concrete because he had visited the defendant's hotel reservation website without an intention to book a room. As the Second Circuit saw it, "[e]ven assuming that Harty can allege that he was deprived of information to which he is entitled by the ADA, he must also allege 'downstream consequences from failing to receive the required information' in order to have an Article III injury in fact." </w:t>
      </w:r>
      <w:r>
        <w:rPr>
          <w:rFonts w:ascii="Arial" w:eastAsia="Arial" w:hAnsi="Arial" w:cs="Arial"/>
          <w:i/>
          <w:color w:val="000000"/>
          <w:sz w:val="20"/>
        </w:rPr>
        <w:t xml:space="preserve">See </w:t>
      </w:r>
      <w:bookmarkStart w:id="1692" w:name="Bookmark_I67K33WF28T4GX0030000400"/>
      <w:bookmarkEnd w:id="1692"/>
      <w:r>
        <w:rPr>
          <w:rFonts w:ascii="Arial" w:eastAsia="Arial" w:hAnsi="Arial" w:cs="Arial"/>
          <w:i/>
          <w:color w:val="000000"/>
          <w:sz w:val="20"/>
        </w:rPr>
        <w:t>Harty</w:t>
      </w:r>
      <w:r>
        <w:rPr>
          <w:rFonts w:ascii="Arial" w:eastAsia="Arial" w:hAnsi="Arial" w:cs="Arial"/>
          <w:color w:val="000000"/>
          <w:sz w:val="20"/>
        </w:rPr>
        <w:t xml:space="preserve">, 28 F.4th at 444 (quoting </w:t>
      </w:r>
      <w:bookmarkStart w:id="1693" w:name="Bookmark_I67K33WF28T4GX0050000400"/>
      <w:bookmarkEnd w:id="1693"/>
      <w:r>
        <w:rPr>
          <w:rFonts w:ascii="Arial" w:eastAsia="Arial" w:hAnsi="Arial" w:cs="Arial"/>
          <w:i/>
          <w:color w:val="000000"/>
          <w:sz w:val="20"/>
        </w:rPr>
        <w:t>TransUnion</w:t>
      </w:r>
      <w:r>
        <w:rPr>
          <w:rFonts w:ascii="Arial" w:eastAsia="Arial" w:hAnsi="Arial" w:cs="Arial"/>
          <w:color w:val="000000"/>
          <w:sz w:val="20"/>
        </w:rPr>
        <w:t xml:space="preserve">, 141 S. Ct. at 2214). "In other words," the court elaborated, "Harty must show that he has an interest in using the information beyond bringing his lawsuit." </w:t>
      </w:r>
      <w:r>
        <w:rPr>
          <w:rFonts w:ascii="Arial" w:eastAsia="Arial" w:hAnsi="Arial" w:cs="Arial"/>
          <w:i/>
          <w:color w:val="000000"/>
          <w:sz w:val="20"/>
        </w:rPr>
        <w:t>Id.</w:t>
      </w:r>
      <w:r>
        <w:rPr>
          <w:rFonts w:ascii="Arial" w:eastAsia="Arial" w:hAnsi="Arial" w:cs="Arial"/>
          <w:color w:val="000000"/>
          <w:sz w:val="20"/>
        </w:rPr>
        <w:t xml:space="preserve"> (alterations and internal quotation marks omitted).</w:t>
      </w:r>
    </w:p>
    <w:p w:rsidR="00022B47" w:rsidRDefault="00000000">
      <w:pPr>
        <w:pStyle w:val="Normal9"/>
        <w:widowControl w:val="0"/>
        <w:spacing w:before="200" w:line="260" w:lineRule="atLeast"/>
        <w:jc w:val="both"/>
      </w:pPr>
      <w:bookmarkStart w:id="1694" w:name="Bookmark_para_54_1"/>
      <w:bookmarkStart w:id="1695" w:name="Bookmark_I67K33WF2SF7JV0030000400"/>
      <w:bookmarkEnd w:id="1694"/>
      <w:bookmarkEnd w:id="1695"/>
      <w:r>
        <w:rPr>
          <w:rFonts w:ascii="Arial" w:eastAsia="Arial" w:hAnsi="Arial" w:cs="Arial"/>
          <w:color w:val="000000"/>
          <w:sz w:val="20"/>
        </w:rPr>
        <w:t xml:space="preserve">At bottom, the Second Circuit interpreted [**30]  </w:t>
      </w:r>
      <w:bookmarkStart w:id="1696" w:name="Bookmark_I67K33WF2SF7JV0020000400"/>
      <w:bookmarkEnd w:id="1696"/>
      <w:r>
        <w:rPr>
          <w:rFonts w:ascii="Arial" w:eastAsia="Arial" w:hAnsi="Arial" w:cs="Arial"/>
          <w:i/>
          <w:color w:val="000000"/>
          <w:sz w:val="20"/>
        </w:rPr>
        <w:t>TransUnion</w:t>
      </w:r>
      <w:r>
        <w:rPr>
          <w:rFonts w:ascii="Arial" w:eastAsia="Arial" w:hAnsi="Arial" w:cs="Arial"/>
          <w:color w:val="000000"/>
          <w:sz w:val="20"/>
        </w:rPr>
        <w:t xml:space="preserve"> to hold that the type of informational injury alleged in </w:t>
      </w:r>
      <w:bookmarkStart w:id="1697" w:name="Bookmark_I67K33WF2SF7JV0040000400"/>
      <w:bookmarkEnd w:id="1697"/>
      <w:r>
        <w:rPr>
          <w:rFonts w:ascii="Arial" w:eastAsia="Arial" w:hAnsi="Arial" w:cs="Arial"/>
          <w:i/>
          <w:color w:val="000000"/>
          <w:sz w:val="20"/>
        </w:rPr>
        <w:t>Public Citizen</w:t>
      </w:r>
      <w:r>
        <w:rPr>
          <w:rFonts w:ascii="Arial" w:eastAsia="Arial" w:hAnsi="Arial" w:cs="Arial"/>
          <w:color w:val="000000"/>
          <w:sz w:val="20"/>
        </w:rPr>
        <w:t xml:space="preserve"> and </w:t>
      </w:r>
      <w:bookmarkStart w:id="1698" w:name="Bookmark_I67K33WF2SF7JV0030000400_2"/>
      <w:bookmarkStart w:id="1699" w:name="Bookmark_I67K33WF2N1PVK0010000400"/>
      <w:bookmarkEnd w:id="1698"/>
      <w:bookmarkEnd w:id="1699"/>
      <w:r>
        <w:rPr>
          <w:rFonts w:ascii="Arial" w:eastAsia="Arial" w:hAnsi="Arial" w:cs="Arial"/>
          <w:i/>
          <w:color w:val="000000"/>
          <w:sz w:val="20"/>
        </w:rPr>
        <w:t>Akins</w:t>
      </w:r>
      <w:bookmarkStart w:id="1700" w:name="Bookmark_I67K33WF2D6NN80020000400"/>
      <w:bookmarkEnd w:id="1700"/>
      <w:r>
        <w:rPr>
          <w:rFonts w:ascii="Arial" w:eastAsia="Arial" w:hAnsi="Arial" w:cs="Arial"/>
          <w:color w:val="000000"/>
          <w:sz w:val="20"/>
        </w:rPr>
        <w:t xml:space="preserve">, as well as </w:t>
      </w:r>
      <w:bookmarkStart w:id="1701" w:name="Bookmark_I67K33WF2N1PVK0030000400"/>
      <w:bookmarkEnd w:id="1701"/>
      <w:r>
        <w:rPr>
          <w:rFonts w:ascii="Arial" w:eastAsia="Arial" w:hAnsi="Arial" w:cs="Arial"/>
          <w:i/>
          <w:color w:val="000000"/>
          <w:sz w:val="20"/>
        </w:rPr>
        <w:t>Havens Realty</w:t>
      </w:r>
      <w:r>
        <w:rPr>
          <w:rFonts w:ascii="Arial" w:eastAsia="Arial" w:hAnsi="Arial" w:cs="Arial"/>
          <w:color w:val="000000"/>
          <w:sz w:val="20"/>
        </w:rPr>
        <w:t xml:space="preserve"> before them — i.e., the "fail[ure] to obtain information which must be publicly disclosed pursuant to a statute," </w:t>
      </w:r>
      <w:r>
        <w:rPr>
          <w:rFonts w:ascii="Arial" w:eastAsia="Arial" w:hAnsi="Arial" w:cs="Arial"/>
          <w:i/>
          <w:color w:val="000000"/>
          <w:sz w:val="20"/>
        </w:rPr>
        <w:t xml:space="preserve">see </w:t>
      </w:r>
      <w:bookmarkStart w:id="1702" w:name="Bookmark_I67K33WF2N1PVK0050000400"/>
      <w:bookmarkEnd w:id="1702"/>
      <w:r>
        <w:rPr>
          <w:rFonts w:ascii="Arial" w:eastAsia="Arial" w:hAnsi="Arial" w:cs="Arial"/>
          <w:i/>
          <w:color w:val="000000"/>
          <w:sz w:val="20"/>
        </w:rPr>
        <w:t>Akins</w:t>
      </w:r>
      <w:r>
        <w:rPr>
          <w:rFonts w:ascii="Arial" w:eastAsia="Arial" w:hAnsi="Arial" w:cs="Arial"/>
          <w:color w:val="000000"/>
          <w:sz w:val="20"/>
        </w:rPr>
        <w:t xml:space="preserve">, 524 U.S. at 21 (citing </w:t>
      </w:r>
      <w:bookmarkStart w:id="1703" w:name="Bookmark_I67K33WF2HM6N10020000400"/>
      <w:bookmarkEnd w:id="1703"/>
      <w:r>
        <w:rPr>
          <w:rFonts w:ascii="Arial" w:eastAsia="Arial" w:hAnsi="Arial" w:cs="Arial"/>
          <w:i/>
          <w:color w:val="000000"/>
          <w:sz w:val="20"/>
        </w:rPr>
        <w:t>Pub. Citizen</w:t>
      </w:r>
      <w:r>
        <w:rPr>
          <w:rFonts w:ascii="Arial" w:eastAsia="Arial" w:hAnsi="Arial" w:cs="Arial"/>
          <w:color w:val="000000"/>
          <w:sz w:val="20"/>
        </w:rPr>
        <w:t xml:space="preserve">, 491 U.S. at 449; </w:t>
      </w:r>
      <w:bookmarkStart w:id="1704" w:name="Bookmark_I67K33WF2HM6N10040000400"/>
      <w:bookmarkEnd w:id="1704"/>
      <w:r>
        <w:rPr>
          <w:rFonts w:ascii="Arial" w:eastAsia="Arial" w:hAnsi="Arial" w:cs="Arial"/>
          <w:i/>
          <w:color w:val="000000"/>
          <w:sz w:val="20"/>
        </w:rPr>
        <w:t>Havens Realty</w:t>
      </w:r>
      <w:r>
        <w:rPr>
          <w:rFonts w:ascii="Arial" w:eastAsia="Arial" w:hAnsi="Arial" w:cs="Arial"/>
          <w:color w:val="000000"/>
          <w:sz w:val="20"/>
        </w:rPr>
        <w:t xml:space="preserve">, 455 U.S. at 373-74) — is not sufficiently concrete for Article III standing to sue unless the plaintiff had a personal use for the information that was unlawfully withheld. But the Second Circuit's interpretation can be correct only if </w:t>
      </w:r>
      <w:bookmarkStart w:id="1705" w:name="Bookmark_I67K33WF2D6NN80020000400_2"/>
      <w:bookmarkStart w:id="1706" w:name="Bookmark_I67K33WF2D6NN80010000400"/>
      <w:bookmarkEnd w:id="1705"/>
      <w:bookmarkEnd w:id="1706"/>
      <w:r>
        <w:rPr>
          <w:rFonts w:ascii="Arial" w:eastAsia="Arial" w:hAnsi="Arial" w:cs="Arial"/>
          <w:i/>
          <w:color w:val="000000"/>
          <w:sz w:val="20"/>
        </w:rPr>
        <w:t>TransUnion</w:t>
      </w:r>
      <w:r>
        <w:rPr>
          <w:rFonts w:ascii="Arial" w:eastAsia="Arial" w:hAnsi="Arial" w:cs="Arial"/>
          <w:color w:val="000000"/>
          <w:sz w:val="20"/>
        </w:rPr>
        <w:t xml:space="preserve"> overruled </w:t>
      </w:r>
      <w:bookmarkStart w:id="1707" w:name="Bookmark_I67K33WF2D6NN80030000400"/>
      <w:bookmarkEnd w:id="1707"/>
      <w:r>
        <w:rPr>
          <w:rFonts w:ascii="Arial" w:eastAsia="Arial" w:hAnsi="Arial" w:cs="Arial"/>
          <w:i/>
          <w:color w:val="000000"/>
          <w:sz w:val="20"/>
        </w:rPr>
        <w:t>Havens Realty</w:t>
      </w:r>
      <w:r>
        <w:rPr>
          <w:rFonts w:ascii="Arial" w:eastAsia="Arial" w:hAnsi="Arial" w:cs="Arial"/>
          <w:color w:val="000000"/>
          <w:sz w:val="20"/>
        </w:rPr>
        <w:t xml:space="preserve">, </w:t>
      </w:r>
      <w:bookmarkStart w:id="1708" w:name="Bookmark_I67K33WF2D6NN80050000400"/>
      <w:bookmarkEnd w:id="1708"/>
      <w:r>
        <w:rPr>
          <w:rFonts w:ascii="Arial" w:eastAsia="Arial" w:hAnsi="Arial" w:cs="Arial"/>
          <w:i/>
          <w:color w:val="000000"/>
          <w:sz w:val="20"/>
        </w:rPr>
        <w:t>Public Citizen</w:t>
      </w:r>
      <w:bookmarkStart w:id="1709" w:name="Bookmark_I67K33WF28T4GY0050000400"/>
      <w:bookmarkEnd w:id="1709"/>
      <w:r>
        <w:rPr>
          <w:rFonts w:ascii="Arial" w:eastAsia="Arial" w:hAnsi="Arial" w:cs="Arial"/>
          <w:color w:val="000000"/>
          <w:sz w:val="20"/>
        </w:rPr>
        <w:t xml:space="preserve">, and </w:t>
      </w:r>
      <w:bookmarkStart w:id="1710" w:name="Bookmark_I67K33WF28T4GY0020000400"/>
      <w:bookmarkEnd w:id="1710"/>
      <w:r>
        <w:rPr>
          <w:rFonts w:ascii="Arial" w:eastAsia="Arial" w:hAnsi="Arial" w:cs="Arial"/>
          <w:i/>
          <w:color w:val="000000"/>
          <w:sz w:val="20"/>
        </w:rPr>
        <w:t>Akins</w:t>
      </w:r>
      <w:r>
        <w:rPr>
          <w:rFonts w:ascii="Arial" w:eastAsia="Arial" w:hAnsi="Arial" w:cs="Arial"/>
          <w:color w:val="000000"/>
          <w:sz w:val="20"/>
        </w:rPr>
        <w:t xml:space="preserve">. </w:t>
      </w:r>
      <w:bookmarkStart w:id="1711" w:name="Bookmark_I67K33WF2N1PVM0020000400"/>
      <w:bookmarkEnd w:id="1711"/>
      <w:r>
        <w:rPr>
          <w:rFonts w:ascii="Arial" w:eastAsia="Arial" w:hAnsi="Arial" w:cs="Arial"/>
          <w:color w:val="000000"/>
          <w:sz w:val="20"/>
        </w:rPr>
        <w:t xml:space="preserve">Put succinctly, that is because </w:t>
      </w:r>
      <w:bookmarkStart w:id="1712" w:name="Bookmark_I67K33WF2N1PVM0020000400_2"/>
      <w:bookmarkStart w:id="1713" w:name="Bookmark_I67K33WF28T4GY0050000400_2"/>
      <w:bookmarkStart w:id="1714" w:name="Bookmark_I67K33WF28T4GY0040000400"/>
      <w:bookmarkEnd w:id="1712"/>
      <w:bookmarkEnd w:id="1713"/>
      <w:bookmarkEnd w:id="1714"/>
      <w:r>
        <w:rPr>
          <w:rFonts w:ascii="Arial" w:eastAsia="Arial" w:hAnsi="Arial" w:cs="Arial"/>
          <w:i/>
          <w:color w:val="000000"/>
          <w:sz w:val="20"/>
        </w:rPr>
        <w:t>Havens Realty</w:t>
      </w:r>
      <w:bookmarkStart w:id="1715" w:name="Bookmark_I67K33WF2N1PVM0040000400"/>
      <w:bookmarkEnd w:id="1715"/>
      <w:r>
        <w:rPr>
          <w:rFonts w:ascii="Arial" w:eastAsia="Arial" w:hAnsi="Arial" w:cs="Arial"/>
          <w:color w:val="000000"/>
          <w:sz w:val="20"/>
        </w:rPr>
        <w:t xml:space="preserve"> squarely rejected any such use requirement. </w:t>
      </w:r>
      <w:r>
        <w:rPr>
          <w:rFonts w:ascii="Arial" w:eastAsia="Arial" w:hAnsi="Arial" w:cs="Arial"/>
          <w:i/>
          <w:color w:val="000000"/>
          <w:sz w:val="20"/>
        </w:rPr>
        <w:t xml:space="preserve">See </w:t>
      </w:r>
      <w:bookmarkStart w:id="1716" w:name="Bookmark_I67K33WF2N1PVM0010000400"/>
      <w:bookmarkEnd w:id="1716"/>
      <w:r>
        <w:rPr>
          <w:rFonts w:ascii="Arial" w:eastAsia="Arial" w:hAnsi="Arial" w:cs="Arial"/>
          <w:i/>
          <w:color w:val="000000"/>
          <w:sz w:val="20"/>
        </w:rPr>
        <w:t>Havens Realty</w:t>
      </w:r>
      <w:r>
        <w:rPr>
          <w:rFonts w:ascii="Arial" w:eastAsia="Arial" w:hAnsi="Arial" w:cs="Arial"/>
          <w:color w:val="000000"/>
          <w:sz w:val="20"/>
        </w:rPr>
        <w:t xml:space="preserve">, 455 U.S. at 374 (confirming that the Black tester plaintiff's lack of intention to rent an apartment did "not negate the  [*170]  simple fact of injury"). </w:t>
      </w:r>
      <w:bookmarkStart w:id="1717" w:name="Bookmark_I67K33WF2N1PVM0040000400_2"/>
      <w:bookmarkEnd w:id="1717"/>
      <w:r>
        <w:rPr>
          <w:rFonts w:ascii="Arial" w:eastAsia="Arial" w:hAnsi="Arial" w:cs="Arial"/>
          <w:color w:val="000000"/>
          <w:sz w:val="20"/>
        </w:rPr>
        <w:t xml:space="preserve">And although the plaintiffs in </w:t>
      </w:r>
      <w:bookmarkStart w:id="1718" w:name="Bookmark_I67K33WF2N1PVM0040000400_3"/>
      <w:bookmarkStart w:id="1719" w:name="Bookmark_I67K33WF2N1PVM0030000400"/>
      <w:bookmarkEnd w:id="1718"/>
      <w:bookmarkEnd w:id="1719"/>
      <w:r>
        <w:rPr>
          <w:rFonts w:ascii="Arial" w:eastAsia="Arial" w:hAnsi="Arial" w:cs="Arial"/>
          <w:i/>
          <w:color w:val="000000"/>
          <w:sz w:val="20"/>
        </w:rPr>
        <w:t>Public Citizen</w:t>
      </w:r>
      <w:r>
        <w:rPr>
          <w:rFonts w:ascii="Arial" w:eastAsia="Arial" w:hAnsi="Arial" w:cs="Arial"/>
          <w:color w:val="000000"/>
          <w:sz w:val="20"/>
        </w:rPr>
        <w:t xml:space="preserve"> and </w:t>
      </w:r>
      <w:bookmarkStart w:id="1720" w:name="Bookmark_I67K33WF2N1PVM0050000400"/>
      <w:bookmarkEnd w:id="1720"/>
      <w:r>
        <w:rPr>
          <w:rFonts w:ascii="Arial" w:eastAsia="Arial" w:hAnsi="Arial" w:cs="Arial"/>
          <w:i/>
          <w:color w:val="000000"/>
          <w:sz w:val="20"/>
        </w:rPr>
        <w:t>Akins</w:t>
      </w:r>
      <w:r>
        <w:rPr>
          <w:rFonts w:ascii="Arial" w:eastAsia="Arial" w:hAnsi="Arial" w:cs="Arial"/>
          <w:color w:val="000000"/>
          <w:sz w:val="20"/>
        </w:rPr>
        <w:t xml:space="preserve"> thereafter asserted uses for the information they sought, those asserted uses were not a factor in the </w:t>
      </w:r>
      <w:bookmarkStart w:id="1721" w:name="Bookmark_I67K33WF2HM6N20020000400"/>
      <w:bookmarkEnd w:id="1721"/>
      <w:r>
        <w:rPr>
          <w:rFonts w:ascii="Arial" w:eastAsia="Arial" w:hAnsi="Arial" w:cs="Arial"/>
          <w:i/>
          <w:color w:val="000000"/>
          <w:sz w:val="20"/>
        </w:rPr>
        <w:t>Public Citizen</w:t>
      </w:r>
      <w:bookmarkStart w:id="1722" w:name="Bookmark_I67K33WF2D6NN90020000400"/>
      <w:bookmarkEnd w:id="1722"/>
      <w:r>
        <w:rPr>
          <w:rFonts w:ascii="Arial" w:eastAsia="Arial" w:hAnsi="Arial" w:cs="Arial"/>
          <w:color w:val="000000"/>
          <w:sz w:val="20"/>
        </w:rPr>
        <w:t xml:space="preserve"> and </w:t>
      </w:r>
      <w:bookmarkStart w:id="1723" w:name="Bookmark_I67K33WF2HM6N20040000400"/>
      <w:bookmarkEnd w:id="1723"/>
      <w:r>
        <w:rPr>
          <w:rFonts w:ascii="Arial" w:eastAsia="Arial" w:hAnsi="Arial" w:cs="Arial"/>
          <w:i/>
          <w:color w:val="000000"/>
          <w:sz w:val="20"/>
        </w:rPr>
        <w:t>Akins</w:t>
      </w:r>
      <w:r>
        <w:rPr>
          <w:rFonts w:ascii="Arial" w:eastAsia="Arial" w:hAnsi="Arial" w:cs="Arial"/>
          <w:color w:val="000000"/>
          <w:sz w:val="20"/>
        </w:rPr>
        <w:t xml:space="preserve"> Article III standing analyses. </w:t>
      </w:r>
      <w:r>
        <w:rPr>
          <w:rFonts w:ascii="Arial" w:eastAsia="Arial" w:hAnsi="Arial" w:cs="Arial"/>
          <w:i/>
          <w:color w:val="000000"/>
          <w:sz w:val="20"/>
        </w:rPr>
        <w:t xml:space="preserve">See </w:t>
      </w:r>
      <w:bookmarkStart w:id="1724" w:name="Bookmark_I67K33WF2D6NN90010000400"/>
      <w:bookmarkEnd w:id="1724"/>
      <w:r>
        <w:rPr>
          <w:rFonts w:ascii="Arial" w:eastAsia="Arial" w:hAnsi="Arial" w:cs="Arial"/>
          <w:i/>
          <w:color w:val="000000"/>
          <w:sz w:val="20"/>
        </w:rPr>
        <w:t>Akins</w:t>
      </w:r>
      <w:r>
        <w:rPr>
          <w:rFonts w:ascii="Arial" w:eastAsia="Arial" w:hAnsi="Arial" w:cs="Arial"/>
          <w:color w:val="000000"/>
          <w:sz w:val="20"/>
        </w:rPr>
        <w:t xml:space="preserve">, 524 U.S. at 21; </w:t>
      </w:r>
      <w:bookmarkStart w:id="1725" w:name="Bookmark_I67K33WF2D6NN90030000400"/>
      <w:bookmarkEnd w:id="1725"/>
      <w:r>
        <w:rPr>
          <w:rFonts w:ascii="Arial" w:eastAsia="Arial" w:hAnsi="Arial" w:cs="Arial"/>
          <w:i/>
          <w:color w:val="000000"/>
          <w:sz w:val="20"/>
        </w:rPr>
        <w:t>Pub. Citizen</w:t>
      </w:r>
      <w:r>
        <w:rPr>
          <w:rFonts w:ascii="Arial" w:eastAsia="Arial" w:hAnsi="Arial" w:cs="Arial"/>
          <w:color w:val="000000"/>
          <w:sz w:val="20"/>
        </w:rPr>
        <w:t>, 491 U.S. at 449.</w:t>
      </w:r>
    </w:p>
    <w:p w:rsidR="00022B47" w:rsidRDefault="00000000">
      <w:pPr>
        <w:pStyle w:val="Normal9"/>
        <w:widowControl w:val="0"/>
        <w:spacing w:before="200" w:line="260" w:lineRule="atLeast"/>
        <w:jc w:val="both"/>
      </w:pPr>
      <w:bookmarkStart w:id="1726" w:name="Bookmark_para_55_1"/>
      <w:bookmarkStart w:id="1727" w:name="Bookmark_I1XXT3FYJMN0000814900033"/>
      <w:bookmarkStart w:id="1728" w:name="Bookmark_I67K33WF28T4H00010000400"/>
      <w:bookmarkEnd w:id="1726"/>
      <w:bookmarkEnd w:id="1727"/>
      <w:bookmarkEnd w:id="1728"/>
      <w:r>
        <w:rPr>
          <w:rFonts w:ascii="Arial" w:eastAsia="Arial" w:hAnsi="Arial" w:cs="Arial"/>
          <w:color w:val="000000"/>
          <w:sz w:val="20"/>
        </w:rPr>
        <w:t xml:space="preserve">We cannot accept the Second Circuit's interpretation of </w:t>
      </w:r>
      <w:bookmarkStart w:id="1729" w:name="Bookmark_I67K33WF2D6NN90050000400"/>
      <w:bookmarkEnd w:id="1729"/>
      <w:r>
        <w:rPr>
          <w:rFonts w:ascii="Arial" w:eastAsia="Arial" w:hAnsi="Arial" w:cs="Arial"/>
          <w:i/>
          <w:color w:val="000000"/>
          <w:sz w:val="20"/>
        </w:rPr>
        <w:t>TransUnion</w:t>
      </w:r>
      <w:r>
        <w:rPr>
          <w:rFonts w:ascii="Arial" w:eastAsia="Arial" w:hAnsi="Arial" w:cs="Arial"/>
          <w:color w:val="000000"/>
          <w:sz w:val="20"/>
        </w:rPr>
        <w:t xml:space="preserve"> because it cannot fairly be concluded that </w:t>
      </w:r>
      <w:bookmarkStart w:id="1730" w:name="Bookmark_I67K33WF28T4H00020000400"/>
      <w:bookmarkEnd w:id="1730"/>
      <w:r>
        <w:rPr>
          <w:rFonts w:ascii="Arial" w:eastAsia="Arial" w:hAnsi="Arial" w:cs="Arial"/>
          <w:i/>
          <w:color w:val="000000"/>
          <w:sz w:val="20"/>
        </w:rPr>
        <w:t>TransUnion</w:t>
      </w:r>
      <w:r>
        <w:rPr>
          <w:rFonts w:ascii="Arial" w:eastAsia="Arial" w:hAnsi="Arial" w:cs="Arial"/>
          <w:color w:val="000000"/>
          <w:sz w:val="20"/>
        </w:rPr>
        <w:t xml:space="preserve"> overruled </w:t>
      </w:r>
      <w:bookmarkStart w:id="1731" w:name="Bookmark_I67K33WF28T4H00010000400_2"/>
      <w:bookmarkStart w:id="1732" w:name="Bookmark_I67K33WF28T4H00040000400"/>
      <w:bookmarkEnd w:id="1731"/>
      <w:bookmarkEnd w:id="1732"/>
      <w:r>
        <w:rPr>
          <w:rFonts w:ascii="Arial" w:eastAsia="Arial" w:hAnsi="Arial" w:cs="Arial"/>
          <w:i/>
          <w:color w:val="000000"/>
          <w:sz w:val="20"/>
        </w:rPr>
        <w:t>Havens Realty</w:t>
      </w:r>
      <w:r>
        <w:rPr>
          <w:rFonts w:ascii="Arial" w:eastAsia="Arial" w:hAnsi="Arial" w:cs="Arial"/>
          <w:color w:val="000000"/>
          <w:sz w:val="20"/>
        </w:rPr>
        <w:t xml:space="preserve">, </w:t>
      </w:r>
      <w:bookmarkStart w:id="1733" w:name="Bookmark_I67K33WF2HM6N30010000400"/>
      <w:bookmarkEnd w:id="1733"/>
      <w:r>
        <w:rPr>
          <w:rFonts w:ascii="Arial" w:eastAsia="Arial" w:hAnsi="Arial" w:cs="Arial"/>
          <w:i/>
          <w:color w:val="000000"/>
          <w:sz w:val="20"/>
        </w:rPr>
        <w:t>Public Citizen</w:t>
      </w:r>
      <w:bookmarkStart w:id="1734" w:name="Bookmark_I67K33WF2SF7JX0010000400"/>
      <w:bookmarkEnd w:id="1734"/>
      <w:r>
        <w:rPr>
          <w:rFonts w:ascii="Arial" w:eastAsia="Arial" w:hAnsi="Arial" w:cs="Arial"/>
          <w:color w:val="000000"/>
          <w:sz w:val="20"/>
        </w:rPr>
        <w:t xml:space="preserve">, and </w:t>
      </w:r>
      <w:bookmarkStart w:id="1735" w:name="Bookmark_I67K33WF2HM6N30030000400"/>
      <w:bookmarkEnd w:id="1735"/>
      <w:r>
        <w:rPr>
          <w:rFonts w:ascii="Arial" w:eastAsia="Arial" w:hAnsi="Arial" w:cs="Arial"/>
          <w:i/>
          <w:color w:val="000000"/>
          <w:sz w:val="20"/>
        </w:rPr>
        <w:t>Akins</w:t>
      </w:r>
      <w:r>
        <w:rPr>
          <w:rFonts w:ascii="Arial" w:eastAsia="Arial" w:hAnsi="Arial" w:cs="Arial"/>
          <w:color w:val="000000"/>
          <w:sz w:val="20"/>
        </w:rPr>
        <w:t xml:space="preserve">. First of all, </w:t>
      </w:r>
      <w:bookmarkStart w:id="1736" w:name="Bookmark_I67K33WF2SF7JX0010000400_2"/>
      <w:bookmarkStart w:id="1737" w:name="Bookmark_I67K33WF2HM6N30050000400"/>
      <w:bookmarkEnd w:id="1736"/>
      <w:bookmarkEnd w:id="1737"/>
      <w:r>
        <w:rPr>
          <w:rFonts w:ascii="Arial" w:eastAsia="Arial" w:hAnsi="Arial" w:cs="Arial"/>
          <w:i/>
          <w:color w:val="000000"/>
          <w:sz w:val="20"/>
        </w:rPr>
        <w:t>TransUnion</w:t>
      </w:r>
      <w:r>
        <w:rPr>
          <w:rFonts w:ascii="Arial" w:eastAsia="Arial" w:hAnsi="Arial" w:cs="Arial"/>
          <w:color w:val="000000"/>
          <w:sz w:val="20"/>
        </w:rPr>
        <w:t xml:space="preserve"> is reconcilable with the earlier precedents, in that the Court expressly distinguished the informational injuries in </w:t>
      </w:r>
      <w:bookmarkStart w:id="1738" w:name="Bookmark_I67K33WF2SF7JX0020000400"/>
      <w:bookmarkEnd w:id="1738"/>
      <w:r>
        <w:rPr>
          <w:rFonts w:ascii="Arial" w:eastAsia="Arial" w:hAnsi="Arial" w:cs="Arial"/>
          <w:i/>
          <w:color w:val="000000"/>
          <w:sz w:val="20"/>
        </w:rPr>
        <w:t>Public Citizen</w:t>
      </w:r>
      <w:bookmarkStart w:id="1739" w:name="Bookmark_I67K33WF2HM6N40020000400"/>
      <w:bookmarkEnd w:id="1739"/>
      <w:r>
        <w:rPr>
          <w:rFonts w:ascii="Arial" w:eastAsia="Arial" w:hAnsi="Arial" w:cs="Arial"/>
          <w:color w:val="000000"/>
          <w:sz w:val="20"/>
        </w:rPr>
        <w:t xml:space="preserve"> and </w:t>
      </w:r>
      <w:bookmarkStart w:id="1740" w:name="Bookmark_I67K33WF2SF7JX0040000400"/>
      <w:bookmarkEnd w:id="1740"/>
      <w:r>
        <w:rPr>
          <w:rFonts w:ascii="Arial" w:eastAsia="Arial" w:hAnsi="Arial" w:cs="Arial"/>
          <w:i/>
          <w:color w:val="000000"/>
          <w:sz w:val="20"/>
        </w:rPr>
        <w:t>Akins</w:t>
      </w:r>
      <w:bookmarkStart w:id="1741" w:name="Bookmark_I67K33WF2HM6N40040000400"/>
      <w:bookmarkEnd w:id="1741"/>
      <w:r>
        <w:rPr>
          <w:rFonts w:ascii="Arial" w:eastAsia="Arial" w:hAnsi="Arial" w:cs="Arial"/>
          <w:color w:val="000000"/>
          <w:sz w:val="20"/>
        </w:rPr>
        <w:t xml:space="preserve"> (the "fail[ure] to receive </w:t>
      </w:r>
      <w:r>
        <w:rPr>
          <w:rFonts w:ascii="Arial" w:eastAsia="Arial" w:hAnsi="Arial" w:cs="Arial"/>
          <w:i/>
          <w:color w:val="000000"/>
          <w:sz w:val="20"/>
        </w:rPr>
        <w:t>any</w:t>
      </w:r>
      <w:r>
        <w:rPr>
          <w:rFonts w:ascii="Arial" w:eastAsia="Arial" w:hAnsi="Arial" w:cs="Arial"/>
          <w:color w:val="000000"/>
          <w:sz w:val="20"/>
        </w:rPr>
        <w:t xml:space="preserve"> required information") from the purported informational injury before it (receipt [**31]  of the required information "</w:t>
      </w:r>
      <w:r>
        <w:rPr>
          <w:rFonts w:ascii="Arial" w:eastAsia="Arial" w:hAnsi="Arial" w:cs="Arial"/>
          <w:i/>
          <w:color w:val="000000"/>
          <w:sz w:val="20"/>
        </w:rPr>
        <w:t>in the wrong format</w:t>
      </w:r>
      <w:r>
        <w:rPr>
          <w:rFonts w:ascii="Arial" w:eastAsia="Arial" w:hAnsi="Arial" w:cs="Arial"/>
          <w:color w:val="000000"/>
          <w:sz w:val="20"/>
        </w:rPr>
        <w:t xml:space="preserve">"). </w:t>
      </w:r>
      <w:r>
        <w:rPr>
          <w:rFonts w:ascii="Arial" w:eastAsia="Arial" w:hAnsi="Arial" w:cs="Arial"/>
          <w:i/>
          <w:color w:val="000000"/>
          <w:sz w:val="20"/>
        </w:rPr>
        <w:t xml:space="preserve">See </w:t>
      </w:r>
      <w:bookmarkStart w:id="1742" w:name="Bookmark_I67K33WF2HM6N40010000400"/>
      <w:bookmarkEnd w:id="1742"/>
      <w:r>
        <w:rPr>
          <w:rFonts w:ascii="Arial" w:eastAsia="Arial" w:hAnsi="Arial" w:cs="Arial"/>
          <w:i/>
          <w:color w:val="000000"/>
          <w:sz w:val="20"/>
        </w:rPr>
        <w:t>TransUnion</w:t>
      </w:r>
      <w:r>
        <w:rPr>
          <w:rFonts w:ascii="Arial" w:eastAsia="Arial" w:hAnsi="Arial" w:cs="Arial"/>
          <w:color w:val="000000"/>
          <w:sz w:val="20"/>
        </w:rPr>
        <w:t xml:space="preserve">, 141 S. Ct. at 2214 (first emphasis added). </w:t>
      </w:r>
      <w:bookmarkStart w:id="1743" w:name="Bookmark_I67K33WF2HM6N40040000400_2"/>
      <w:bookmarkEnd w:id="1743"/>
      <w:r>
        <w:rPr>
          <w:rFonts w:ascii="Arial" w:eastAsia="Arial" w:hAnsi="Arial" w:cs="Arial"/>
          <w:color w:val="000000"/>
          <w:sz w:val="20"/>
        </w:rPr>
        <w:t xml:space="preserve">Only then did </w:t>
      </w:r>
      <w:bookmarkStart w:id="1744" w:name="Bookmark_I67K33WF2HM6N40040000400_3"/>
      <w:bookmarkStart w:id="1745" w:name="Bookmark_I67K33WF2HM6N40030000400"/>
      <w:bookmarkEnd w:id="1744"/>
      <w:bookmarkEnd w:id="1745"/>
      <w:r>
        <w:rPr>
          <w:rFonts w:ascii="Arial" w:eastAsia="Arial" w:hAnsi="Arial" w:cs="Arial"/>
          <w:i/>
          <w:color w:val="000000"/>
          <w:sz w:val="20"/>
        </w:rPr>
        <w:t>TransUnion</w:t>
      </w:r>
      <w:r>
        <w:rPr>
          <w:rFonts w:ascii="Arial" w:eastAsia="Arial" w:hAnsi="Arial" w:cs="Arial"/>
          <w:color w:val="000000"/>
          <w:sz w:val="20"/>
        </w:rPr>
        <w:t xml:space="preserve"> discuss the need for "downstream consequences" and "adverse effects," </w:t>
      </w:r>
      <w:r>
        <w:rPr>
          <w:rFonts w:ascii="Arial" w:eastAsia="Arial" w:hAnsi="Arial" w:cs="Arial"/>
          <w:i/>
          <w:color w:val="000000"/>
          <w:sz w:val="20"/>
        </w:rPr>
        <w:t>see id.</w:t>
      </w:r>
      <w:r>
        <w:rPr>
          <w:rFonts w:ascii="Arial" w:eastAsia="Arial" w:hAnsi="Arial" w:cs="Arial"/>
          <w:color w:val="000000"/>
          <w:sz w:val="20"/>
        </w:rPr>
        <w:t xml:space="preserve"> (internal quotation marks omitted), indicating that any use requirement is limited to the type of informational injury at issue in </w:t>
      </w:r>
      <w:bookmarkStart w:id="1746" w:name="Bookmark_I67K33WF2HM6N40050000400"/>
      <w:bookmarkEnd w:id="1746"/>
      <w:r>
        <w:rPr>
          <w:rFonts w:ascii="Arial" w:eastAsia="Arial" w:hAnsi="Arial" w:cs="Arial"/>
          <w:i/>
          <w:color w:val="000000"/>
          <w:sz w:val="20"/>
        </w:rPr>
        <w:t>TransUnion</w:t>
      </w:r>
      <w:r>
        <w:rPr>
          <w:rFonts w:ascii="Arial" w:eastAsia="Arial" w:hAnsi="Arial" w:cs="Arial"/>
          <w:color w:val="000000"/>
          <w:sz w:val="20"/>
        </w:rPr>
        <w:t xml:space="preserve"> and does not extend to the type of informational injury presented in </w:t>
      </w:r>
      <w:bookmarkStart w:id="1747" w:name="Bookmark_I67K33WF2D6NNB0020000400"/>
      <w:bookmarkEnd w:id="1747"/>
      <w:r>
        <w:rPr>
          <w:rFonts w:ascii="Arial" w:eastAsia="Arial" w:hAnsi="Arial" w:cs="Arial"/>
          <w:i/>
          <w:color w:val="000000"/>
          <w:sz w:val="20"/>
        </w:rPr>
        <w:t>Public Citizen</w:t>
      </w:r>
      <w:r>
        <w:rPr>
          <w:rFonts w:ascii="Arial" w:eastAsia="Arial" w:hAnsi="Arial" w:cs="Arial"/>
          <w:color w:val="000000"/>
          <w:sz w:val="20"/>
        </w:rPr>
        <w:t xml:space="preserve"> and </w:t>
      </w:r>
      <w:bookmarkStart w:id="1748" w:name="Bookmark_I67K33WF2D6NNB0040000400"/>
      <w:bookmarkEnd w:id="1748"/>
      <w:r>
        <w:rPr>
          <w:rFonts w:ascii="Arial" w:eastAsia="Arial" w:hAnsi="Arial" w:cs="Arial"/>
          <w:i/>
          <w:color w:val="000000"/>
          <w:sz w:val="20"/>
        </w:rPr>
        <w:t>Akins</w:t>
      </w:r>
      <w:r>
        <w:rPr>
          <w:rFonts w:ascii="Arial" w:eastAsia="Arial" w:hAnsi="Arial" w:cs="Arial"/>
          <w:color w:val="000000"/>
          <w:sz w:val="20"/>
        </w:rPr>
        <w:t>.</w:t>
      </w:r>
    </w:p>
    <w:p w:rsidR="00022B47" w:rsidRDefault="00000000">
      <w:pPr>
        <w:pStyle w:val="Normal9"/>
        <w:widowControl w:val="0"/>
        <w:spacing w:before="200" w:line="260" w:lineRule="atLeast"/>
        <w:jc w:val="both"/>
      </w:pPr>
      <w:bookmarkStart w:id="1749" w:name="Bookmark_para_56_1"/>
      <w:bookmarkStart w:id="1750" w:name="Bookmark_I67K33WF28T4H10020000400"/>
      <w:bookmarkStart w:id="1751" w:name="Bookmark_I67K33WF28T4H10040000400"/>
      <w:bookmarkStart w:id="1752" w:name="Bookmark_LNHNREFclscc13_3"/>
      <w:bookmarkEnd w:id="1749"/>
      <w:bookmarkEnd w:id="1750"/>
      <w:bookmarkEnd w:id="1751"/>
      <w:bookmarkEnd w:id="1752"/>
      <w:r>
        <w:rPr>
          <w:rFonts w:ascii="Arial" w:eastAsia="Arial" w:hAnsi="Arial" w:cs="Arial"/>
          <w:color w:val="000000"/>
          <w:sz w:val="20"/>
        </w:rPr>
        <w:t xml:space="preserve">More importantly, as the Supreme Court itself has cautioned, its "decisions remain binding precedent until [the Court] see[s] fit to reconsider them, regardless of whether subsequent cases have raised doubts about their continuing vitality." </w:t>
      </w:r>
      <w:r>
        <w:rPr>
          <w:rFonts w:ascii="Arial" w:eastAsia="Arial" w:hAnsi="Arial" w:cs="Arial"/>
          <w:i/>
          <w:color w:val="000000"/>
          <w:sz w:val="20"/>
        </w:rPr>
        <w:t xml:space="preserve">See </w:t>
      </w:r>
      <w:bookmarkStart w:id="1753" w:name="Bookmark_I67K33WF28T4H10010000400"/>
      <w:bookmarkEnd w:id="1753"/>
      <w:r>
        <w:rPr>
          <w:rFonts w:ascii="Arial" w:eastAsia="Arial" w:hAnsi="Arial" w:cs="Arial"/>
          <w:i/>
          <w:color w:val="000000"/>
          <w:sz w:val="20"/>
        </w:rPr>
        <w:t>Hohn v. United States</w:t>
      </w:r>
      <w:r>
        <w:rPr>
          <w:rFonts w:ascii="Arial" w:eastAsia="Arial" w:hAnsi="Arial" w:cs="Arial"/>
          <w:color w:val="000000"/>
          <w:sz w:val="20"/>
        </w:rPr>
        <w:t xml:space="preserve">, 524 U.S. 236, 252-53, 118 S. Ct. 1969, 141 L. Ed. 2d 242 (1998). </w:t>
      </w:r>
      <w:bookmarkStart w:id="1754" w:name="Bookmark_I67K33WG28T4H20010000400"/>
      <w:bookmarkEnd w:id="1754"/>
      <w:r>
        <w:rPr>
          <w:rFonts w:ascii="Arial" w:eastAsia="Arial" w:hAnsi="Arial" w:cs="Arial"/>
          <w:color w:val="000000"/>
          <w:sz w:val="20"/>
        </w:rPr>
        <w:t xml:space="preserve">There was no statement or even suggestion in </w:t>
      </w:r>
      <w:bookmarkStart w:id="1755" w:name="Bookmark_I67K33WF28T4H10030000400"/>
      <w:bookmarkEnd w:id="1755"/>
      <w:r>
        <w:rPr>
          <w:rFonts w:ascii="Arial" w:eastAsia="Arial" w:hAnsi="Arial" w:cs="Arial"/>
          <w:i/>
          <w:color w:val="000000"/>
          <w:sz w:val="20"/>
        </w:rPr>
        <w:t>TransUnion</w:t>
      </w:r>
      <w:r>
        <w:rPr>
          <w:rFonts w:ascii="Arial" w:eastAsia="Arial" w:hAnsi="Arial" w:cs="Arial"/>
          <w:color w:val="000000"/>
          <w:sz w:val="20"/>
        </w:rPr>
        <w:t xml:space="preserve"> that the Court was reconsidering the earlier precedents. </w:t>
      </w:r>
      <w:bookmarkStart w:id="1756" w:name="Bookmark_I67K33WG28T4H20010000400_2"/>
      <w:bookmarkEnd w:id="1756"/>
      <w:r>
        <w:rPr>
          <w:rFonts w:ascii="Arial" w:eastAsia="Arial" w:hAnsi="Arial" w:cs="Arial"/>
          <w:color w:val="000000"/>
          <w:sz w:val="20"/>
        </w:rPr>
        <w:t xml:space="preserve">Rather, the </w:t>
      </w:r>
      <w:bookmarkStart w:id="1757" w:name="Bookmark_I67K33WG28T4H20010000400_3"/>
      <w:bookmarkStart w:id="1758" w:name="Bookmark_I67K33WF28T4H10050000400"/>
      <w:bookmarkEnd w:id="1757"/>
      <w:bookmarkEnd w:id="1758"/>
      <w:r>
        <w:rPr>
          <w:rFonts w:ascii="Arial" w:eastAsia="Arial" w:hAnsi="Arial" w:cs="Arial"/>
          <w:i/>
          <w:color w:val="000000"/>
          <w:sz w:val="20"/>
        </w:rPr>
        <w:t>TransUnion</w:t>
      </w:r>
      <w:r>
        <w:rPr>
          <w:rFonts w:ascii="Arial" w:eastAsia="Arial" w:hAnsi="Arial" w:cs="Arial"/>
          <w:color w:val="000000"/>
          <w:sz w:val="20"/>
        </w:rPr>
        <w:t xml:space="preserve"> Court distinguished </w:t>
      </w:r>
      <w:bookmarkStart w:id="1759" w:name="Bookmark_I67K33WG28T4H20020000400"/>
      <w:bookmarkEnd w:id="1759"/>
      <w:r>
        <w:rPr>
          <w:rFonts w:ascii="Arial" w:eastAsia="Arial" w:hAnsi="Arial" w:cs="Arial"/>
          <w:i/>
          <w:color w:val="000000"/>
          <w:sz w:val="20"/>
        </w:rPr>
        <w:t>Public Citizen</w:t>
      </w:r>
      <w:r>
        <w:rPr>
          <w:rFonts w:ascii="Arial" w:eastAsia="Arial" w:hAnsi="Arial" w:cs="Arial"/>
          <w:color w:val="000000"/>
          <w:sz w:val="20"/>
        </w:rPr>
        <w:t xml:space="preserve"> and </w:t>
      </w:r>
      <w:bookmarkStart w:id="1760" w:name="Bookmark_I67K33WG28T4H20040000400"/>
      <w:bookmarkEnd w:id="1760"/>
      <w:r>
        <w:rPr>
          <w:rFonts w:ascii="Arial" w:eastAsia="Arial" w:hAnsi="Arial" w:cs="Arial"/>
          <w:i/>
          <w:color w:val="000000"/>
          <w:sz w:val="20"/>
        </w:rPr>
        <w:t>Akins</w:t>
      </w:r>
      <w:r>
        <w:rPr>
          <w:rFonts w:ascii="Arial" w:eastAsia="Arial" w:hAnsi="Arial" w:cs="Arial"/>
          <w:color w:val="000000"/>
          <w:sz w:val="20"/>
        </w:rPr>
        <w:t xml:space="preserve"> without questioning their validity.</w:t>
      </w:r>
      <w:r>
        <w:rPr>
          <w:rFonts w:ascii="Arial" w:eastAsia="Arial" w:hAnsi="Arial" w:cs="Arial"/>
          <w:vertAlign w:val="superscript"/>
        </w:rPr>
        <w:footnoteReference w:customMarkFollows="1" w:id="39"/>
        <w:t>6</w:t>
      </w:r>
    </w:p>
    <w:p w:rsidR="00022B47" w:rsidRDefault="00000000">
      <w:pPr>
        <w:pStyle w:val="Normal9"/>
        <w:widowControl w:val="0"/>
        <w:spacing w:before="200" w:line="260" w:lineRule="atLeast"/>
        <w:jc w:val="both"/>
      </w:pPr>
      <w:bookmarkStart w:id="1777" w:name="Bookmark_para_57_1"/>
      <w:bookmarkStart w:id="1778" w:name="Bookmark_I67K33WG2HM6N60040000400"/>
      <w:bookmarkEnd w:id="1777"/>
      <w:bookmarkEnd w:id="1778"/>
      <w:r>
        <w:rPr>
          <w:rFonts w:ascii="Arial" w:eastAsia="Arial" w:hAnsi="Arial" w:cs="Arial"/>
          <w:color w:val="000000"/>
          <w:sz w:val="20"/>
        </w:rPr>
        <w:t xml:space="preserve">It is also significant that in other recent decisions, both before and after </w:t>
      </w:r>
      <w:bookmarkStart w:id="1779" w:name="Bookmark_I67K33WG2HM6N60030000400"/>
      <w:bookmarkEnd w:id="1779"/>
      <w:r>
        <w:rPr>
          <w:rFonts w:ascii="Arial" w:eastAsia="Arial" w:hAnsi="Arial" w:cs="Arial"/>
          <w:i/>
          <w:color w:val="000000"/>
          <w:sz w:val="20"/>
        </w:rPr>
        <w:t>TransUnion</w:t>
      </w:r>
      <w:r>
        <w:rPr>
          <w:rFonts w:ascii="Arial" w:eastAsia="Arial" w:hAnsi="Arial" w:cs="Arial"/>
          <w:color w:val="000000"/>
          <w:sz w:val="20"/>
        </w:rPr>
        <w:t xml:space="preserve">, the Supreme Court has treated </w:t>
      </w:r>
      <w:bookmarkStart w:id="1780" w:name="Bookmark_I67K33WG2HM6N60050000400"/>
      <w:bookmarkEnd w:id="1780"/>
      <w:r>
        <w:rPr>
          <w:rFonts w:ascii="Arial" w:eastAsia="Arial" w:hAnsi="Arial" w:cs="Arial"/>
          <w:i/>
          <w:color w:val="000000"/>
          <w:sz w:val="20"/>
        </w:rPr>
        <w:t>Havens Realty</w:t>
      </w:r>
      <w:r>
        <w:rPr>
          <w:rFonts w:ascii="Arial" w:eastAsia="Arial" w:hAnsi="Arial" w:cs="Arial"/>
          <w:color w:val="000000"/>
          <w:sz w:val="20"/>
        </w:rPr>
        <w:t xml:space="preserve">, </w:t>
      </w:r>
      <w:bookmarkStart w:id="1781" w:name="Bookmark_I67K33WG2HM6N60040000400_2"/>
      <w:bookmarkStart w:id="1782" w:name="Bookmark_I67K33WG2D6NND0020000400"/>
      <w:bookmarkEnd w:id="1781"/>
      <w:bookmarkEnd w:id="1782"/>
      <w:r>
        <w:rPr>
          <w:rFonts w:ascii="Arial" w:eastAsia="Arial" w:hAnsi="Arial" w:cs="Arial"/>
          <w:i/>
          <w:color w:val="000000"/>
          <w:sz w:val="20"/>
        </w:rPr>
        <w:t>Public Citizen</w:t>
      </w:r>
      <w:r>
        <w:rPr>
          <w:rFonts w:ascii="Arial" w:eastAsia="Arial" w:hAnsi="Arial" w:cs="Arial"/>
          <w:color w:val="000000"/>
          <w:sz w:val="20"/>
        </w:rPr>
        <w:t xml:space="preserve">, and </w:t>
      </w:r>
      <w:bookmarkStart w:id="1783" w:name="Bookmark_I67K33WG2D6NND0040000400"/>
      <w:bookmarkEnd w:id="1783"/>
      <w:r>
        <w:rPr>
          <w:rFonts w:ascii="Arial" w:eastAsia="Arial" w:hAnsi="Arial" w:cs="Arial"/>
          <w:i/>
          <w:color w:val="000000"/>
          <w:sz w:val="20"/>
        </w:rPr>
        <w:t>Akins</w:t>
      </w:r>
      <w:r>
        <w:rPr>
          <w:rFonts w:ascii="Arial" w:eastAsia="Arial" w:hAnsi="Arial" w:cs="Arial"/>
          <w:color w:val="000000"/>
          <w:sz w:val="20"/>
        </w:rPr>
        <w:t xml:space="preserve"> as good law. For instance, in </w:t>
      </w:r>
      <w:bookmarkStart w:id="1784" w:name="Bookmark_I67K33WG28T4H30010000400"/>
      <w:bookmarkEnd w:id="1784"/>
      <w:r>
        <w:rPr>
          <w:rFonts w:ascii="Arial" w:eastAsia="Arial" w:hAnsi="Arial" w:cs="Arial"/>
          <w:i/>
          <w:color w:val="000000"/>
          <w:sz w:val="20"/>
        </w:rPr>
        <w:t>Spokeo, Inc. v. Robins</w:t>
      </w:r>
      <w:r>
        <w:rPr>
          <w:rFonts w:ascii="Arial" w:eastAsia="Arial" w:hAnsi="Arial" w:cs="Arial"/>
          <w:color w:val="000000"/>
          <w:sz w:val="20"/>
        </w:rPr>
        <w:t xml:space="preserve">, 578 U.S. 330, 136 S. Ct. 1540, 194 L. Ed. 2d 635 (2016) — a decision heavily and favorably cited in </w:t>
      </w:r>
      <w:bookmarkStart w:id="1785" w:name="Bookmark_I67K33WG28T4H30030000400"/>
      <w:bookmarkEnd w:id="1785"/>
      <w:r>
        <w:rPr>
          <w:rFonts w:ascii="Arial" w:eastAsia="Arial" w:hAnsi="Arial" w:cs="Arial"/>
          <w:i/>
          <w:color w:val="000000"/>
          <w:sz w:val="20"/>
        </w:rPr>
        <w:t>TransUnion</w:t>
      </w:r>
      <w:r>
        <w:rPr>
          <w:rFonts w:ascii="Arial" w:eastAsia="Arial" w:hAnsi="Arial" w:cs="Arial"/>
          <w:color w:val="000000"/>
          <w:sz w:val="20"/>
        </w:rPr>
        <w:t xml:space="preserve"> — the Court named </w:t>
      </w:r>
      <w:bookmarkStart w:id="1786" w:name="Bookmark_I67K33WG28T4H30050000400"/>
      <w:bookmarkEnd w:id="1786"/>
      <w:r>
        <w:rPr>
          <w:rFonts w:ascii="Arial" w:eastAsia="Arial" w:hAnsi="Arial" w:cs="Arial"/>
          <w:i/>
          <w:color w:val="000000"/>
          <w:sz w:val="20"/>
        </w:rPr>
        <w:t>Public Citizen</w:t>
      </w:r>
      <w:bookmarkStart w:id="1787" w:name="Bookmark_I67K33WG2HM6N70020000400"/>
      <w:bookmarkEnd w:id="1787"/>
      <w:r>
        <w:rPr>
          <w:rFonts w:ascii="Arial" w:eastAsia="Arial" w:hAnsi="Arial" w:cs="Arial"/>
          <w:color w:val="000000"/>
          <w:sz w:val="20"/>
        </w:rPr>
        <w:t xml:space="preserve"> and </w:t>
      </w:r>
      <w:bookmarkStart w:id="1788" w:name="Bookmark_I67K33WG2N1PVS0020000400"/>
      <w:bookmarkEnd w:id="1788"/>
      <w:r>
        <w:rPr>
          <w:rFonts w:ascii="Arial" w:eastAsia="Arial" w:hAnsi="Arial" w:cs="Arial"/>
          <w:i/>
          <w:color w:val="000000"/>
          <w:sz w:val="20"/>
        </w:rPr>
        <w:t>Akins</w:t>
      </w:r>
      <w:r>
        <w:rPr>
          <w:rFonts w:ascii="Arial" w:eastAsia="Arial" w:hAnsi="Arial" w:cs="Arial"/>
          <w:color w:val="000000"/>
          <w:sz w:val="20"/>
        </w:rPr>
        <w:t xml:space="preserve"> as examples of the "some circumstances" in which "the violation of a procedural right granted by statute can be sufficient . . . to constitute injury in fact" and the plaintiff [**32]  "need not allege any </w:t>
      </w:r>
      <w:r>
        <w:rPr>
          <w:rFonts w:ascii="Arial" w:eastAsia="Arial" w:hAnsi="Arial" w:cs="Arial"/>
          <w:i/>
          <w:color w:val="000000"/>
          <w:sz w:val="20"/>
        </w:rPr>
        <w:t>additional</w:t>
      </w:r>
      <w:r>
        <w:rPr>
          <w:rFonts w:ascii="Arial" w:eastAsia="Arial" w:hAnsi="Arial" w:cs="Arial"/>
          <w:color w:val="000000"/>
          <w:sz w:val="20"/>
        </w:rPr>
        <w:t xml:space="preserve"> harm beyond the one Congress has identified." </w:t>
      </w:r>
      <w:r>
        <w:rPr>
          <w:rFonts w:ascii="Arial" w:eastAsia="Arial" w:hAnsi="Arial" w:cs="Arial"/>
          <w:i/>
          <w:color w:val="000000"/>
          <w:sz w:val="20"/>
        </w:rPr>
        <w:t xml:space="preserve">See </w:t>
      </w:r>
      <w:bookmarkStart w:id="1789" w:name="Bookmark_I67K33WG2N1PVS0040000400"/>
      <w:bookmarkEnd w:id="1789"/>
      <w:r>
        <w:rPr>
          <w:rFonts w:ascii="Arial" w:eastAsia="Arial" w:hAnsi="Arial" w:cs="Arial"/>
          <w:i/>
          <w:color w:val="000000"/>
          <w:sz w:val="20"/>
        </w:rPr>
        <w:t>Spokeo</w:t>
      </w:r>
      <w:r>
        <w:rPr>
          <w:rFonts w:ascii="Arial" w:eastAsia="Arial" w:hAnsi="Arial" w:cs="Arial"/>
          <w:color w:val="000000"/>
          <w:sz w:val="20"/>
        </w:rPr>
        <w:t xml:space="preserve">, 578 U.S. at 342. Thereafter, in the wake of </w:t>
      </w:r>
      <w:bookmarkStart w:id="1790" w:name="Bookmark_I67K33WG2HM6N70020000400_2"/>
      <w:bookmarkStart w:id="1791" w:name="Bookmark_I67K33WG2HM6N70010000400"/>
      <w:bookmarkEnd w:id="1790"/>
      <w:bookmarkEnd w:id="1791"/>
      <w:r>
        <w:rPr>
          <w:rFonts w:ascii="Arial" w:eastAsia="Arial" w:hAnsi="Arial" w:cs="Arial"/>
          <w:i/>
          <w:color w:val="000000"/>
          <w:sz w:val="20"/>
        </w:rPr>
        <w:t>TransUnion</w:t>
      </w:r>
      <w:r>
        <w:rPr>
          <w:rFonts w:ascii="Arial" w:eastAsia="Arial" w:hAnsi="Arial" w:cs="Arial"/>
          <w:color w:val="000000"/>
          <w:sz w:val="20"/>
        </w:rPr>
        <w:t xml:space="preserve">, the Court cited </w:t>
      </w:r>
      <w:bookmarkStart w:id="1792" w:name="Bookmark_I67K33WG2HM6N70030000400"/>
      <w:bookmarkEnd w:id="1792"/>
      <w:r>
        <w:rPr>
          <w:rFonts w:ascii="Arial" w:eastAsia="Arial" w:hAnsi="Arial" w:cs="Arial"/>
          <w:i/>
          <w:color w:val="000000"/>
          <w:sz w:val="20"/>
        </w:rPr>
        <w:t>Havens Realty</w:t>
      </w:r>
      <w:bookmarkStart w:id="1793" w:name="Bookmark_I67K33WG28T4H40050000400"/>
      <w:bookmarkEnd w:id="1793"/>
      <w:r>
        <w:rPr>
          <w:rFonts w:ascii="Arial" w:eastAsia="Arial" w:hAnsi="Arial" w:cs="Arial"/>
          <w:color w:val="000000"/>
          <w:sz w:val="20"/>
        </w:rPr>
        <w:t xml:space="preserve"> in its 2022 </w:t>
      </w:r>
      <w:bookmarkStart w:id="1794" w:name="Bookmark_I67K33WG2HM6N70050000400"/>
      <w:bookmarkEnd w:id="1794"/>
      <w:r>
        <w:rPr>
          <w:rFonts w:ascii="Arial" w:eastAsia="Arial" w:hAnsi="Arial" w:cs="Arial"/>
          <w:i/>
          <w:color w:val="000000"/>
          <w:sz w:val="20"/>
        </w:rPr>
        <w:t>Cruz</w:t>
      </w:r>
      <w:r>
        <w:rPr>
          <w:rFonts w:ascii="Arial" w:eastAsia="Arial" w:hAnsi="Arial" w:cs="Arial"/>
          <w:color w:val="000000"/>
          <w:sz w:val="20"/>
        </w:rPr>
        <w:t xml:space="preserve"> decision in support of the proposition "that an injury resulting from the application or threatened application of an unlawful enactment remains fairly traceable to such application, even if the injury could be described in some sense as willingly incurred." </w:t>
      </w:r>
      <w:r>
        <w:rPr>
          <w:rFonts w:ascii="Arial" w:eastAsia="Arial" w:hAnsi="Arial" w:cs="Arial"/>
          <w:i/>
          <w:color w:val="000000"/>
          <w:sz w:val="20"/>
        </w:rPr>
        <w:t xml:space="preserve">See </w:t>
      </w:r>
      <w:bookmarkStart w:id="1795" w:name="Bookmark_I67K33WG28T4H40020000400"/>
      <w:bookmarkEnd w:id="1795"/>
      <w:r>
        <w:rPr>
          <w:rFonts w:ascii="Arial" w:eastAsia="Arial" w:hAnsi="Arial" w:cs="Arial"/>
          <w:i/>
          <w:color w:val="000000"/>
          <w:sz w:val="20"/>
        </w:rPr>
        <w:t>Cruz</w:t>
      </w:r>
      <w:r>
        <w:rPr>
          <w:rFonts w:ascii="Arial" w:eastAsia="Arial" w:hAnsi="Arial" w:cs="Arial"/>
          <w:color w:val="000000"/>
          <w:sz w:val="20"/>
        </w:rPr>
        <w:t xml:space="preserve">, 142 S. Ct. at 1647. Without even a hint of criticism, the </w:t>
      </w:r>
      <w:bookmarkStart w:id="1796" w:name="Bookmark_I67K33WG28T4H40050000400_2"/>
      <w:bookmarkStart w:id="1797" w:name="Bookmark_I67K33WG28T4H40040000400"/>
      <w:bookmarkEnd w:id="1796"/>
      <w:bookmarkEnd w:id="1797"/>
      <w:r>
        <w:rPr>
          <w:rFonts w:ascii="Arial" w:eastAsia="Arial" w:hAnsi="Arial" w:cs="Arial"/>
          <w:i/>
          <w:color w:val="000000"/>
          <w:sz w:val="20"/>
        </w:rPr>
        <w:t>Cruz</w:t>
      </w:r>
      <w:r>
        <w:rPr>
          <w:rFonts w:ascii="Arial" w:eastAsia="Arial" w:hAnsi="Arial" w:cs="Arial"/>
          <w:color w:val="000000"/>
          <w:sz w:val="20"/>
        </w:rPr>
        <w:t xml:space="preserve"> Court described </w:t>
      </w:r>
      <w:bookmarkStart w:id="1798" w:name="Bookmark_I67K33WG2SF7K20010000400"/>
      <w:bookmarkEnd w:id="1798"/>
      <w:r>
        <w:rPr>
          <w:rFonts w:ascii="Arial" w:eastAsia="Arial" w:hAnsi="Arial" w:cs="Arial"/>
          <w:i/>
          <w:color w:val="000000"/>
          <w:sz w:val="20"/>
        </w:rPr>
        <w:t>Havens Realty</w:t>
      </w:r>
      <w:r>
        <w:rPr>
          <w:rFonts w:ascii="Arial" w:eastAsia="Arial" w:hAnsi="Arial" w:cs="Arial"/>
          <w:color w:val="000000"/>
          <w:sz w:val="20"/>
        </w:rPr>
        <w:t xml:space="preserve"> as ruling that "a 'tester' plaintiff posing as a renter for purposes of housing-discrimination litigation still suffered an injury under Article III." </w:t>
      </w:r>
      <w:r>
        <w:rPr>
          <w:rFonts w:ascii="Arial" w:eastAsia="Arial" w:hAnsi="Arial" w:cs="Arial"/>
          <w:i/>
          <w:color w:val="000000"/>
          <w:sz w:val="20"/>
        </w:rPr>
        <w:t>Id.</w:t>
      </w:r>
    </w:p>
    <w:p w:rsidR="00022B47" w:rsidRDefault="00000000">
      <w:pPr>
        <w:pStyle w:val="Normal9"/>
        <w:widowControl w:val="0"/>
        <w:spacing w:before="200" w:line="260" w:lineRule="atLeast"/>
        <w:jc w:val="both"/>
      </w:pPr>
      <w:bookmarkStart w:id="1799" w:name="Bookmark_para_58_1"/>
      <w:bookmarkStart w:id="1800" w:name="Bookmark_I1XXT3G062B0000814900038"/>
      <w:bookmarkStart w:id="1801" w:name="Bookmark_I1XXT3G0F1N000081490003B"/>
      <w:bookmarkStart w:id="1802" w:name="Bookmark_I1XXT3G0P4G000081490003D"/>
      <w:bookmarkStart w:id="1803" w:name="Bookmark_I67K33WG2SF7K20040000400"/>
      <w:bookmarkEnd w:id="1799"/>
      <w:bookmarkEnd w:id="1800"/>
      <w:bookmarkEnd w:id="1801"/>
      <w:bookmarkEnd w:id="1802"/>
      <w:bookmarkEnd w:id="1803"/>
      <w:r>
        <w:rPr>
          <w:rFonts w:ascii="Arial" w:eastAsia="Arial" w:hAnsi="Arial" w:cs="Arial"/>
          <w:color w:val="000000"/>
          <w:sz w:val="20"/>
        </w:rPr>
        <w:t xml:space="preserve">In these circumstances, we are satisfied that </w:t>
      </w:r>
      <w:bookmarkStart w:id="1804" w:name="Bookmark_I67K33WG2SF7K20030000400"/>
      <w:bookmarkEnd w:id="1804"/>
      <w:r>
        <w:rPr>
          <w:rFonts w:ascii="Arial" w:eastAsia="Arial" w:hAnsi="Arial" w:cs="Arial"/>
          <w:i/>
          <w:color w:val="000000"/>
          <w:sz w:val="20"/>
        </w:rPr>
        <w:t>TransUnion</w:t>
      </w:r>
      <w:r>
        <w:rPr>
          <w:rFonts w:ascii="Arial" w:eastAsia="Arial" w:hAnsi="Arial" w:cs="Arial"/>
          <w:color w:val="000000"/>
          <w:sz w:val="20"/>
        </w:rPr>
        <w:t xml:space="preserve"> most assuredly did not  [*171]  overrule </w:t>
      </w:r>
      <w:bookmarkStart w:id="1805" w:name="Bookmark_I67K33WG2SF7K20050000400"/>
      <w:bookmarkEnd w:id="1805"/>
      <w:r>
        <w:rPr>
          <w:rFonts w:ascii="Arial" w:eastAsia="Arial" w:hAnsi="Arial" w:cs="Arial"/>
          <w:i/>
          <w:color w:val="000000"/>
          <w:sz w:val="20"/>
        </w:rPr>
        <w:t>Havens Realty</w:t>
      </w:r>
      <w:r>
        <w:rPr>
          <w:rFonts w:ascii="Arial" w:eastAsia="Arial" w:hAnsi="Arial" w:cs="Arial"/>
          <w:color w:val="000000"/>
          <w:sz w:val="20"/>
        </w:rPr>
        <w:t xml:space="preserve">, </w:t>
      </w:r>
      <w:bookmarkStart w:id="1806" w:name="Bookmark_I67K33WG2SF7K20040000400_2"/>
      <w:bookmarkStart w:id="1807" w:name="Bookmark_I67K33WG2N1PVT0020000400"/>
      <w:bookmarkEnd w:id="1806"/>
      <w:bookmarkEnd w:id="1807"/>
      <w:r>
        <w:rPr>
          <w:rFonts w:ascii="Arial" w:eastAsia="Arial" w:hAnsi="Arial" w:cs="Arial"/>
          <w:i/>
          <w:color w:val="000000"/>
          <w:sz w:val="20"/>
        </w:rPr>
        <w:t>Public Citizen</w:t>
      </w:r>
      <w:r>
        <w:rPr>
          <w:rFonts w:ascii="Arial" w:eastAsia="Arial" w:hAnsi="Arial" w:cs="Arial"/>
          <w:color w:val="000000"/>
          <w:sz w:val="20"/>
        </w:rPr>
        <w:t xml:space="preserve">, and </w:t>
      </w:r>
      <w:bookmarkStart w:id="1808" w:name="Bookmark_I67K33WG2N1PVT0040000400"/>
      <w:bookmarkEnd w:id="1808"/>
      <w:r>
        <w:rPr>
          <w:rFonts w:ascii="Arial" w:eastAsia="Arial" w:hAnsi="Arial" w:cs="Arial"/>
          <w:i/>
          <w:color w:val="000000"/>
          <w:sz w:val="20"/>
        </w:rPr>
        <w:t>Akins</w:t>
      </w:r>
      <w:bookmarkStart w:id="1809" w:name="Bookmark_I67K33WG2HM6N80020000400"/>
      <w:bookmarkEnd w:id="1809"/>
      <w:r>
        <w:rPr>
          <w:rFonts w:ascii="Arial" w:eastAsia="Arial" w:hAnsi="Arial" w:cs="Arial"/>
          <w:color w:val="000000"/>
          <w:sz w:val="20"/>
        </w:rPr>
        <w:t xml:space="preserve">. </w:t>
      </w:r>
      <w:bookmarkStart w:id="1810" w:name="Bookmark_LNHNREFclscc14_3"/>
      <w:bookmarkEnd w:id="1810"/>
      <w:r>
        <w:rPr>
          <w:rFonts w:ascii="Arial" w:eastAsia="Arial" w:hAnsi="Arial" w:cs="Arial"/>
          <w:color w:val="000000"/>
          <w:sz w:val="20"/>
        </w:rPr>
        <w:t xml:space="preserve">As such, those precedents must continue to be followed where they are applicable, unless and until the Supreme Court decides otherwise. </w:t>
      </w:r>
      <w:r>
        <w:rPr>
          <w:rFonts w:ascii="Arial" w:eastAsia="Arial" w:hAnsi="Arial" w:cs="Arial"/>
          <w:i/>
          <w:color w:val="000000"/>
          <w:sz w:val="20"/>
        </w:rPr>
        <w:t xml:space="preserve">See </w:t>
      </w:r>
      <w:bookmarkStart w:id="1811" w:name="Bookmark_I67K33WG2HM6N80010000400"/>
      <w:bookmarkEnd w:id="1811"/>
      <w:r>
        <w:rPr>
          <w:rFonts w:ascii="Arial" w:eastAsia="Arial" w:hAnsi="Arial" w:cs="Arial"/>
          <w:i/>
          <w:color w:val="000000"/>
          <w:sz w:val="20"/>
        </w:rPr>
        <w:t>Rodriguez de Quijas v. Shearson/Am. Express, Inc.</w:t>
      </w:r>
      <w:r>
        <w:rPr>
          <w:rFonts w:ascii="Arial" w:eastAsia="Arial" w:hAnsi="Arial" w:cs="Arial"/>
          <w:color w:val="000000"/>
          <w:sz w:val="20"/>
        </w:rPr>
        <w:t xml:space="preserve">, 490 U.S. 477, 484, 109 S. Ct. 1917, 104 L. Ed. 2d 526 (1989) ("If a precedent of this Court has direct application in a case, yet appears to rest on reasons rejected in some other line of decisions, the [lower courts] should follow the case which directly controls, leaving to this Court the prerogative of overruling its own decisions."); </w:t>
      </w:r>
      <w:r>
        <w:rPr>
          <w:rFonts w:ascii="Arial" w:eastAsia="Arial" w:hAnsi="Arial" w:cs="Arial"/>
          <w:i/>
          <w:color w:val="000000"/>
          <w:sz w:val="20"/>
        </w:rPr>
        <w:t xml:space="preserve">see also </w:t>
      </w:r>
      <w:bookmarkStart w:id="1812" w:name="Bookmark_I67K33WG2HM6N80030000400"/>
      <w:bookmarkEnd w:id="1812"/>
      <w:r>
        <w:rPr>
          <w:rFonts w:ascii="Arial" w:eastAsia="Arial" w:hAnsi="Arial" w:cs="Arial"/>
          <w:i/>
          <w:color w:val="000000"/>
          <w:sz w:val="20"/>
        </w:rPr>
        <w:t>Acheson Hotels</w:t>
      </w:r>
      <w:r>
        <w:rPr>
          <w:rFonts w:ascii="Arial" w:eastAsia="Arial" w:hAnsi="Arial" w:cs="Arial"/>
          <w:color w:val="000000"/>
          <w:sz w:val="20"/>
        </w:rPr>
        <w:t xml:space="preserve">, 50 F.4th at 271 &amp; n.4 (First Circuit's rejection of argument that </w:t>
      </w:r>
      <w:bookmarkStart w:id="1813" w:name="Bookmark_I67K33WG2HM6N80020000400_2"/>
      <w:bookmarkStart w:id="1814" w:name="Bookmark_I67K33WG2HM6N80050000400"/>
      <w:bookmarkEnd w:id="1813"/>
      <w:bookmarkEnd w:id="1814"/>
      <w:r>
        <w:rPr>
          <w:rFonts w:ascii="Arial" w:eastAsia="Arial" w:hAnsi="Arial" w:cs="Arial"/>
          <w:i/>
          <w:color w:val="000000"/>
          <w:sz w:val="20"/>
        </w:rPr>
        <w:t>TransUnion</w:t>
      </w:r>
      <w:r>
        <w:rPr>
          <w:rFonts w:ascii="Arial" w:eastAsia="Arial" w:hAnsi="Arial" w:cs="Arial"/>
          <w:color w:val="000000"/>
          <w:sz w:val="20"/>
        </w:rPr>
        <w:t xml:space="preserve"> somehow implicitly overruled [**33]  </w:t>
      </w:r>
      <w:bookmarkStart w:id="1815" w:name="Bookmark_I67K33WG2SF7K30020000400"/>
      <w:bookmarkEnd w:id="1815"/>
      <w:r>
        <w:rPr>
          <w:rFonts w:ascii="Arial" w:eastAsia="Arial" w:hAnsi="Arial" w:cs="Arial"/>
          <w:i/>
          <w:color w:val="000000"/>
          <w:sz w:val="20"/>
        </w:rPr>
        <w:t>Havens Realty</w:t>
      </w:r>
      <w:r>
        <w:rPr>
          <w:rFonts w:ascii="Arial" w:eastAsia="Arial" w:hAnsi="Arial" w:cs="Arial"/>
          <w:color w:val="000000"/>
          <w:sz w:val="20"/>
        </w:rPr>
        <w:t xml:space="preserve"> and </w:t>
      </w:r>
      <w:bookmarkStart w:id="1816" w:name="Bookmark_I67K33WG2SF7K30040000400"/>
      <w:bookmarkEnd w:id="1816"/>
      <w:r>
        <w:rPr>
          <w:rFonts w:ascii="Arial" w:eastAsia="Arial" w:hAnsi="Arial" w:cs="Arial"/>
          <w:i/>
          <w:color w:val="000000"/>
          <w:sz w:val="20"/>
        </w:rPr>
        <w:t>Public Citizen</w:t>
      </w:r>
      <w:r>
        <w:rPr>
          <w:rFonts w:ascii="Arial" w:eastAsia="Arial" w:hAnsi="Arial" w:cs="Arial"/>
          <w:color w:val="000000"/>
          <w:sz w:val="20"/>
        </w:rPr>
        <w:t>).</w:t>
      </w:r>
    </w:p>
    <w:p w:rsidR="00022B47" w:rsidRDefault="00000000">
      <w:pPr>
        <w:pStyle w:val="Normal9"/>
        <w:widowControl w:val="0"/>
        <w:spacing w:before="120" w:line="260" w:lineRule="atLeast"/>
      </w:pPr>
      <w:r>
        <w:rPr>
          <w:rFonts w:ascii="Arial" w:eastAsia="Arial" w:hAnsi="Arial" w:cs="Arial"/>
          <w:color w:val="000000"/>
          <w:sz w:val="20"/>
        </w:rPr>
        <w:t>2.</w:t>
      </w:r>
    </w:p>
    <w:p w:rsidR="00022B47" w:rsidRDefault="00000000">
      <w:pPr>
        <w:pStyle w:val="Normal9"/>
        <w:widowControl w:val="0"/>
        <w:spacing w:before="200" w:line="260" w:lineRule="atLeast"/>
        <w:jc w:val="both"/>
      </w:pPr>
      <w:bookmarkStart w:id="1817" w:name="Bookmark_para_59_1"/>
      <w:bookmarkStart w:id="1818" w:name="Bookmark_I67K33WG2N1PVV0020000400"/>
      <w:bookmarkEnd w:id="1817"/>
      <w:bookmarkEnd w:id="1818"/>
      <w:r>
        <w:rPr>
          <w:rFonts w:ascii="Arial" w:eastAsia="Arial" w:hAnsi="Arial" w:cs="Arial"/>
          <w:color w:val="000000"/>
          <w:sz w:val="20"/>
        </w:rPr>
        <w:t xml:space="preserve">Turning to the views of the Fifth and Tenth Circuits, those courts ruled that Laufer failed to allege an Article III injury in fact upon characterizing the </w:t>
      </w:r>
      <w:bookmarkStart w:id="1819" w:name="Bookmark_I67K33WG2N1PVV0010000400"/>
      <w:bookmarkEnd w:id="1819"/>
      <w:r>
        <w:rPr>
          <w:rFonts w:ascii="Arial" w:eastAsia="Arial" w:hAnsi="Arial" w:cs="Arial"/>
          <w:i/>
          <w:color w:val="000000"/>
          <w:sz w:val="20"/>
        </w:rPr>
        <w:t>Havens Realty</w:t>
      </w:r>
      <w:r>
        <w:rPr>
          <w:rFonts w:ascii="Arial" w:eastAsia="Arial" w:hAnsi="Arial" w:cs="Arial"/>
          <w:color w:val="000000"/>
          <w:sz w:val="20"/>
        </w:rPr>
        <w:t xml:space="preserve">, </w:t>
      </w:r>
      <w:bookmarkStart w:id="1820" w:name="Bookmark_I67K33WG2N1PVV0030000400"/>
      <w:bookmarkEnd w:id="1820"/>
      <w:r>
        <w:rPr>
          <w:rFonts w:ascii="Arial" w:eastAsia="Arial" w:hAnsi="Arial" w:cs="Arial"/>
          <w:i/>
          <w:color w:val="000000"/>
          <w:sz w:val="20"/>
        </w:rPr>
        <w:t>Public Citizen</w:t>
      </w:r>
      <w:bookmarkStart w:id="1821" w:name="Bookmark_I1XXT3G15XY000081490003J"/>
      <w:bookmarkStart w:id="1822" w:name="Bookmark_I67K33WG2HM6N90030000400"/>
      <w:bookmarkEnd w:id="1821"/>
      <w:bookmarkEnd w:id="1822"/>
      <w:r>
        <w:rPr>
          <w:rFonts w:ascii="Arial" w:eastAsia="Arial" w:hAnsi="Arial" w:cs="Arial"/>
          <w:color w:val="000000"/>
          <w:sz w:val="20"/>
        </w:rPr>
        <w:t xml:space="preserve">, and </w:t>
      </w:r>
      <w:bookmarkStart w:id="1823" w:name="Bookmark_I67K33WG2HM6N90030000400_2"/>
      <w:bookmarkStart w:id="1824" w:name="Bookmark_I67K33WG2N1PVV0020000400_2"/>
      <w:bookmarkStart w:id="1825" w:name="Bookmark_I67K33WG2N1PVV0050000400"/>
      <w:bookmarkEnd w:id="1823"/>
      <w:bookmarkEnd w:id="1824"/>
      <w:bookmarkEnd w:id="1825"/>
      <w:r>
        <w:rPr>
          <w:rFonts w:ascii="Arial" w:eastAsia="Arial" w:hAnsi="Arial" w:cs="Arial"/>
          <w:i/>
          <w:color w:val="000000"/>
          <w:sz w:val="20"/>
        </w:rPr>
        <w:t>Akins</w:t>
      </w:r>
      <w:r>
        <w:rPr>
          <w:rFonts w:ascii="Arial" w:eastAsia="Arial" w:hAnsi="Arial" w:cs="Arial"/>
          <w:color w:val="000000"/>
          <w:sz w:val="20"/>
        </w:rPr>
        <w:t xml:space="preserve"> decisions as distinguishable and inapposite. For its part, the Fifth Circuit reasoned that "Laufer's case differs from the Supreme Court's seminal 'tester' case, </w:t>
      </w:r>
      <w:bookmarkStart w:id="1826" w:name="Bookmark_I67K33WG2HM6N90030000400_3"/>
      <w:bookmarkStart w:id="1827" w:name="Bookmark_I67K33WG2HM6N90020000400"/>
      <w:bookmarkEnd w:id="1826"/>
      <w:bookmarkEnd w:id="1827"/>
      <w:r>
        <w:rPr>
          <w:rFonts w:ascii="Arial" w:eastAsia="Arial" w:hAnsi="Arial" w:cs="Arial"/>
          <w:i/>
          <w:color w:val="000000"/>
          <w:sz w:val="20"/>
        </w:rPr>
        <w:t>Havens Realty</w:t>
      </w:r>
      <w:r>
        <w:rPr>
          <w:rFonts w:ascii="Arial" w:eastAsia="Arial" w:hAnsi="Arial" w:cs="Arial"/>
          <w:color w:val="000000"/>
          <w:sz w:val="20"/>
        </w:rPr>
        <w:t xml:space="preserve">," in that "[t]here, the information had some relevance to the tester because the statute forbade misrepresenting it to 'any person,' quite apart from whether the tester needed it for some other purpose." </w:t>
      </w:r>
      <w:r>
        <w:rPr>
          <w:rFonts w:ascii="Arial" w:eastAsia="Arial" w:hAnsi="Arial" w:cs="Arial"/>
          <w:i/>
          <w:color w:val="000000"/>
          <w:sz w:val="20"/>
        </w:rPr>
        <w:t xml:space="preserve">See </w:t>
      </w:r>
      <w:bookmarkStart w:id="1828" w:name="Bookmark_I67K33WG2HM6N90040000400"/>
      <w:bookmarkEnd w:id="1828"/>
      <w:r>
        <w:rPr>
          <w:rFonts w:ascii="Arial" w:eastAsia="Arial" w:hAnsi="Arial" w:cs="Arial"/>
          <w:i/>
          <w:color w:val="000000"/>
          <w:sz w:val="20"/>
        </w:rPr>
        <w:t>Mann Hosp.</w:t>
      </w:r>
      <w:r>
        <w:rPr>
          <w:rFonts w:ascii="Arial" w:eastAsia="Arial" w:hAnsi="Arial" w:cs="Arial"/>
          <w:color w:val="000000"/>
          <w:sz w:val="20"/>
        </w:rPr>
        <w:t xml:space="preserve">, 996 F.3d at 273 (some internal quotation marks omitted). </w:t>
      </w:r>
      <w:bookmarkStart w:id="1829" w:name="Bookmark_I67K33WG2D6NNH0020000400"/>
      <w:bookmarkEnd w:id="1829"/>
      <w:r>
        <w:rPr>
          <w:rFonts w:ascii="Arial" w:eastAsia="Arial" w:hAnsi="Arial" w:cs="Arial"/>
          <w:color w:val="000000"/>
          <w:sz w:val="20"/>
        </w:rPr>
        <w:t xml:space="preserve">Setting aside the legal merits of that theory, it fails as an effort at differentiation. Under Laufer's conception of the ADA claims asserted here and in the Fifth Circuit, the accessibility information missing from the hotel reservation websites had some relevance to her because the Hotel Reservation Regulation required providing it to individuals with disabilities, quite apart from whether she needed it for some other purpose. </w:t>
      </w:r>
      <w:bookmarkStart w:id="1830" w:name="Bookmark_I67K33WG2D6NNH0040000400"/>
      <w:bookmarkEnd w:id="1830"/>
      <w:r>
        <w:rPr>
          <w:rFonts w:ascii="Arial" w:eastAsia="Arial" w:hAnsi="Arial" w:cs="Arial"/>
          <w:color w:val="000000"/>
          <w:sz w:val="20"/>
        </w:rPr>
        <w:t xml:space="preserve">The Fifth Circuit therefore did not proffer a sound basis for distinguishing </w:t>
      </w:r>
      <w:bookmarkStart w:id="1831" w:name="Bookmark_I67K33WG2D6NNH0040000400_2"/>
      <w:bookmarkStart w:id="1832" w:name="Bookmark_I67K33WG2D6NNH0020000400_2"/>
      <w:bookmarkStart w:id="1833" w:name="Bookmark_I67K33WG2D6NNH0010000400"/>
      <w:bookmarkEnd w:id="1831"/>
      <w:bookmarkEnd w:id="1832"/>
      <w:bookmarkEnd w:id="1833"/>
      <w:r>
        <w:rPr>
          <w:rFonts w:ascii="Arial" w:eastAsia="Arial" w:hAnsi="Arial" w:cs="Arial"/>
          <w:i/>
          <w:color w:val="000000"/>
          <w:sz w:val="20"/>
        </w:rPr>
        <w:t>Havens Realty</w:t>
      </w:r>
      <w:r>
        <w:rPr>
          <w:rFonts w:ascii="Arial" w:eastAsia="Arial" w:hAnsi="Arial" w:cs="Arial"/>
          <w:color w:val="000000"/>
          <w:sz w:val="20"/>
        </w:rPr>
        <w:t xml:space="preserve">. </w:t>
      </w:r>
      <w:r>
        <w:rPr>
          <w:rFonts w:ascii="Arial" w:eastAsia="Arial" w:hAnsi="Arial" w:cs="Arial"/>
          <w:i/>
          <w:color w:val="000000"/>
          <w:sz w:val="20"/>
        </w:rPr>
        <w:t xml:space="preserve">See also </w:t>
      </w:r>
      <w:bookmarkStart w:id="1834" w:name="Bookmark_I67K33WG2D6NNH0030000400"/>
      <w:bookmarkEnd w:id="1834"/>
      <w:r>
        <w:rPr>
          <w:rFonts w:ascii="Arial" w:eastAsia="Arial" w:hAnsi="Arial" w:cs="Arial"/>
          <w:i/>
          <w:color w:val="000000"/>
          <w:sz w:val="20"/>
        </w:rPr>
        <w:t>Arpan</w:t>
      </w:r>
      <w:r>
        <w:rPr>
          <w:rFonts w:ascii="Arial" w:eastAsia="Arial" w:hAnsi="Arial" w:cs="Arial"/>
          <w:color w:val="000000"/>
          <w:sz w:val="20"/>
        </w:rPr>
        <w:t>, 29 F.4th at 1281 (Jordan, J., concurring) (explaining why Fifth Circuit was "wrong on various fronts").</w:t>
      </w:r>
    </w:p>
    <w:p w:rsidR="00022B47" w:rsidRDefault="00000000">
      <w:pPr>
        <w:pStyle w:val="Normal9"/>
        <w:widowControl w:val="0"/>
        <w:spacing w:before="200" w:line="260" w:lineRule="atLeast"/>
        <w:jc w:val="both"/>
      </w:pPr>
      <w:bookmarkStart w:id="1835" w:name="Bookmark_para_60_1"/>
      <w:bookmarkStart w:id="1836" w:name="Bookmark_I67K33WG28T4H60010000400"/>
      <w:bookmarkStart w:id="1837" w:name="Bookmark_I67K33WG28T4H60050000400"/>
      <w:bookmarkEnd w:id="1835"/>
      <w:bookmarkEnd w:id="1836"/>
      <w:bookmarkEnd w:id="1837"/>
      <w:r>
        <w:rPr>
          <w:rFonts w:ascii="Arial" w:eastAsia="Arial" w:hAnsi="Arial" w:cs="Arial"/>
          <w:color w:val="000000"/>
          <w:sz w:val="20"/>
        </w:rPr>
        <w:t xml:space="preserve">Taking a different [**34]  tack, the Tenth Circuit distinguished </w:t>
      </w:r>
      <w:bookmarkStart w:id="1838" w:name="Bookmark_I67K33WG2D6NNH0050000400"/>
      <w:bookmarkEnd w:id="1838"/>
      <w:r>
        <w:rPr>
          <w:rFonts w:ascii="Arial" w:eastAsia="Arial" w:hAnsi="Arial" w:cs="Arial"/>
          <w:i/>
          <w:color w:val="000000"/>
          <w:sz w:val="20"/>
        </w:rPr>
        <w:t>Havens Realty</w:t>
      </w:r>
      <w:r>
        <w:rPr>
          <w:rFonts w:ascii="Arial" w:eastAsia="Arial" w:hAnsi="Arial" w:cs="Arial"/>
          <w:color w:val="000000"/>
          <w:sz w:val="20"/>
        </w:rPr>
        <w:t xml:space="preserve"> on the premise that the injury there "was grounded in misrepresentation and racial animus." </w:t>
      </w:r>
      <w:r>
        <w:rPr>
          <w:rFonts w:ascii="Arial" w:eastAsia="Arial" w:hAnsi="Arial" w:cs="Arial"/>
          <w:i/>
          <w:color w:val="000000"/>
          <w:sz w:val="20"/>
        </w:rPr>
        <w:t xml:space="preserve">See </w:t>
      </w:r>
      <w:bookmarkStart w:id="1839" w:name="Bookmark_I67K33WG28T4H60020000400"/>
      <w:bookmarkEnd w:id="1839"/>
      <w:r>
        <w:rPr>
          <w:rFonts w:ascii="Arial" w:eastAsia="Arial" w:hAnsi="Arial" w:cs="Arial"/>
          <w:i/>
          <w:color w:val="000000"/>
          <w:sz w:val="20"/>
        </w:rPr>
        <w:t>Looper</w:t>
      </w:r>
      <w:r>
        <w:rPr>
          <w:rFonts w:ascii="Arial" w:eastAsia="Arial" w:hAnsi="Arial" w:cs="Arial"/>
          <w:color w:val="000000"/>
          <w:sz w:val="20"/>
        </w:rPr>
        <w:t xml:space="preserve">, 22 F.4th at 879. Additionally, the Tenth Circuit distinguished </w:t>
      </w:r>
      <w:bookmarkStart w:id="1840" w:name="Bookmark_I67K33WG28T4H60050000400_2"/>
      <w:bookmarkStart w:id="1841" w:name="Bookmark_I67K33WG28T4H60010000400_2"/>
      <w:bookmarkStart w:id="1842" w:name="Bookmark_I67K33WG28T4H60040000400"/>
      <w:bookmarkEnd w:id="1840"/>
      <w:bookmarkEnd w:id="1841"/>
      <w:bookmarkEnd w:id="1842"/>
      <w:r>
        <w:rPr>
          <w:rFonts w:ascii="Arial" w:eastAsia="Arial" w:hAnsi="Arial" w:cs="Arial"/>
          <w:i/>
          <w:color w:val="000000"/>
          <w:sz w:val="20"/>
        </w:rPr>
        <w:t>Public Citizen</w:t>
      </w:r>
      <w:bookmarkStart w:id="1843" w:name="Bookmark_I67K33WG2N1PVW0010000400"/>
      <w:bookmarkEnd w:id="1843"/>
      <w:r>
        <w:rPr>
          <w:rFonts w:ascii="Arial" w:eastAsia="Arial" w:hAnsi="Arial" w:cs="Arial"/>
          <w:color w:val="000000"/>
          <w:sz w:val="20"/>
        </w:rPr>
        <w:t xml:space="preserve"> and </w:t>
      </w:r>
      <w:bookmarkStart w:id="1844" w:name="Bookmark_I67K33WG2SF7K40010000400"/>
      <w:bookmarkEnd w:id="1844"/>
      <w:r>
        <w:rPr>
          <w:rFonts w:ascii="Arial" w:eastAsia="Arial" w:hAnsi="Arial" w:cs="Arial"/>
          <w:i/>
          <w:color w:val="000000"/>
          <w:sz w:val="20"/>
        </w:rPr>
        <w:t>Akins</w:t>
      </w:r>
      <w:r>
        <w:rPr>
          <w:rFonts w:ascii="Arial" w:eastAsia="Arial" w:hAnsi="Arial" w:cs="Arial"/>
          <w:color w:val="000000"/>
          <w:sz w:val="20"/>
        </w:rPr>
        <w:t xml:space="preserve"> based on the fact that the plaintiffs in those cases "alleged an intent to use the information" that had been unlawfully withheld from them. </w:t>
      </w:r>
      <w:bookmarkStart w:id="1845" w:name="Bookmark_I67K33WG2SF7K40030000400"/>
      <w:bookmarkEnd w:id="1845"/>
      <w:r>
        <w:rPr>
          <w:rFonts w:ascii="Arial" w:eastAsia="Arial" w:hAnsi="Arial" w:cs="Arial"/>
          <w:i/>
          <w:color w:val="000000"/>
          <w:sz w:val="20"/>
        </w:rPr>
        <w:t>Id.</w:t>
      </w:r>
      <w:r>
        <w:rPr>
          <w:rFonts w:ascii="Arial" w:eastAsia="Arial" w:hAnsi="Arial" w:cs="Arial"/>
          <w:color w:val="000000"/>
          <w:sz w:val="20"/>
        </w:rPr>
        <w:t xml:space="preserve"> at 881. From there, the court interpreted </w:t>
      </w:r>
      <w:bookmarkStart w:id="1846" w:name="Bookmark_I67K33WG2N1PVW0010000400_2"/>
      <w:bookmarkStart w:id="1847" w:name="Bookmark_I67K33WG2SF7K40050000400"/>
      <w:bookmarkEnd w:id="1846"/>
      <w:bookmarkEnd w:id="1847"/>
      <w:r>
        <w:rPr>
          <w:rFonts w:ascii="Arial" w:eastAsia="Arial" w:hAnsi="Arial" w:cs="Arial"/>
          <w:i/>
          <w:color w:val="000000"/>
          <w:sz w:val="20"/>
        </w:rPr>
        <w:t>Public Citizen</w:t>
      </w:r>
      <w:r>
        <w:rPr>
          <w:rFonts w:ascii="Arial" w:eastAsia="Arial" w:hAnsi="Arial" w:cs="Arial"/>
          <w:color w:val="000000"/>
          <w:sz w:val="20"/>
        </w:rPr>
        <w:t xml:space="preserve"> and </w:t>
      </w:r>
      <w:bookmarkStart w:id="1848" w:name="Bookmark_I67K33WG2N1PVW0020000400"/>
      <w:bookmarkEnd w:id="1848"/>
      <w:r>
        <w:rPr>
          <w:rFonts w:ascii="Arial" w:eastAsia="Arial" w:hAnsi="Arial" w:cs="Arial"/>
          <w:i/>
          <w:color w:val="000000"/>
          <w:sz w:val="20"/>
        </w:rPr>
        <w:t>Akins</w:t>
      </w:r>
      <w:r>
        <w:rPr>
          <w:rFonts w:ascii="Arial" w:eastAsia="Arial" w:hAnsi="Arial" w:cs="Arial"/>
          <w:color w:val="000000"/>
          <w:sz w:val="20"/>
        </w:rPr>
        <w:t xml:space="preserve"> to rule that there must be a use for the information or there cannot be an Article III injury in fact. </w:t>
      </w:r>
      <w:r>
        <w:rPr>
          <w:rFonts w:ascii="Arial" w:eastAsia="Arial" w:hAnsi="Arial" w:cs="Arial"/>
          <w:i/>
          <w:color w:val="000000"/>
          <w:sz w:val="20"/>
        </w:rPr>
        <w:t>Id.</w:t>
      </w:r>
      <w:r>
        <w:rPr>
          <w:rFonts w:ascii="Arial" w:eastAsia="Arial" w:hAnsi="Arial" w:cs="Arial"/>
          <w:color w:val="000000"/>
          <w:sz w:val="20"/>
        </w:rPr>
        <w:t xml:space="preserve"> (explaining that because Laufer "did not attempt to book a room at the [defendant's hotel] and ha[d] no intent to do so," she did "not suffer[] an injury of the type recognized in </w:t>
      </w:r>
      <w:bookmarkStart w:id="1849" w:name="Bookmark_I67K33WG2N1PVW0040000400"/>
      <w:bookmarkEnd w:id="1849"/>
      <w:r>
        <w:rPr>
          <w:rFonts w:ascii="Arial" w:eastAsia="Arial" w:hAnsi="Arial" w:cs="Arial"/>
          <w:i/>
          <w:color w:val="000000"/>
          <w:sz w:val="20"/>
        </w:rPr>
        <w:t>Public Citizen</w:t>
      </w:r>
      <w:r>
        <w:rPr>
          <w:rFonts w:ascii="Arial" w:eastAsia="Arial" w:hAnsi="Arial" w:cs="Arial"/>
          <w:color w:val="000000"/>
          <w:sz w:val="20"/>
        </w:rPr>
        <w:t xml:space="preserve"> or </w:t>
      </w:r>
      <w:bookmarkStart w:id="1850" w:name="Bookmark_I67K33WG2HM6NC0010000400"/>
      <w:bookmarkEnd w:id="1850"/>
      <w:r>
        <w:rPr>
          <w:rFonts w:ascii="Arial" w:eastAsia="Arial" w:hAnsi="Arial" w:cs="Arial"/>
          <w:i/>
          <w:color w:val="000000"/>
          <w:sz w:val="20"/>
        </w:rPr>
        <w:t>Akins</w:t>
      </w:r>
      <w:r>
        <w:rPr>
          <w:rFonts w:ascii="Arial" w:eastAsia="Arial" w:hAnsi="Arial" w:cs="Arial"/>
          <w:color w:val="000000"/>
          <w:sz w:val="20"/>
        </w:rPr>
        <w:t>").</w:t>
      </w:r>
    </w:p>
    <w:p w:rsidR="00022B47" w:rsidRDefault="00000000">
      <w:pPr>
        <w:pStyle w:val="Normal9"/>
        <w:widowControl w:val="0"/>
        <w:spacing w:before="200" w:line="260" w:lineRule="atLeast"/>
        <w:jc w:val="both"/>
      </w:pPr>
      <w:bookmarkStart w:id="1851" w:name="Bookmark_para_61_1"/>
      <w:bookmarkStart w:id="1852" w:name="Bookmark_I67K33WG2HM6NC0040000400"/>
      <w:bookmarkStart w:id="1853" w:name="Bookmark_I67K33WG28T4H70020000400"/>
      <w:bookmarkEnd w:id="1851"/>
      <w:bookmarkEnd w:id="1852"/>
      <w:bookmarkEnd w:id="1853"/>
      <w:r>
        <w:rPr>
          <w:rFonts w:ascii="Arial" w:eastAsia="Arial" w:hAnsi="Arial" w:cs="Arial"/>
          <w:color w:val="000000"/>
          <w:sz w:val="20"/>
        </w:rPr>
        <w:t xml:space="preserve">The Tenth Circuit's analysis, however, disregarded the plain holding of the </w:t>
      </w:r>
      <w:bookmarkStart w:id="1854" w:name="Bookmark_I67K33WG2HM6NC0030000400"/>
      <w:bookmarkEnd w:id="1854"/>
      <w:r>
        <w:rPr>
          <w:rFonts w:ascii="Arial" w:eastAsia="Arial" w:hAnsi="Arial" w:cs="Arial"/>
          <w:i/>
          <w:color w:val="000000"/>
          <w:sz w:val="20"/>
        </w:rPr>
        <w:t>Havens Realty</w:t>
      </w:r>
      <w:r>
        <w:rPr>
          <w:rFonts w:ascii="Arial" w:eastAsia="Arial" w:hAnsi="Arial" w:cs="Arial"/>
          <w:color w:val="000000"/>
          <w:sz w:val="20"/>
        </w:rPr>
        <w:t xml:space="preserve"> line of decisions: "that a plaintiff suffers an 'injury in fact' when the plaintiff fails to obtain information which must be publicly disclosed pursuant to a statute." </w:t>
      </w:r>
      <w:r>
        <w:rPr>
          <w:rFonts w:ascii="Arial" w:eastAsia="Arial" w:hAnsi="Arial" w:cs="Arial"/>
          <w:i/>
          <w:color w:val="000000"/>
          <w:sz w:val="20"/>
        </w:rPr>
        <w:t xml:space="preserve">See </w:t>
      </w:r>
      <w:bookmarkStart w:id="1855" w:name="Bookmark_I67K33WG2HM6NC0050000400"/>
      <w:bookmarkEnd w:id="1855"/>
      <w:r>
        <w:rPr>
          <w:rFonts w:ascii="Arial" w:eastAsia="Arial" w:hAnsi="Arial" w:cs="Arial"/>
          <w:i/>
          <w:color w:val="000000"/>
          <w:sz w:val="20"/>
        </w:rPr>
        <w:t>Akins</w:t>
      </w:r>
      <w:r>
        <w:rPr>
          <w:rFonts w:ascii="Arial" w:eastAsia="Arial" w:hAnsi="Arial" w:cs="Arial"/>
          <w:color w:val="000000"/>
          <w:sz w:val="20"/>
        </w:rPr>
        <w:t xml:space="preserve">, 524 U.S. at 21 (citing </w:t>
      </w:r>
      <w:bookmarkStart w:id="1856" w:name="Bookmark_I67K33WG2D6NNJ0020000400"/>
      <w:bookmarkEnd w:id="1856"/>
      <w:r>
        <w:rPr>
          <w:rFonts w:ascii="Arial" w:eastAsia="Arial" w:hAnsi="Arial" w:cs="Arial"/>
          <w:i/>
          <w:color w:val="000000"/>
          <w:sz w:val="20"/>
        </w:rPr>
        <w:t>Pub. Citizen</w:t>
      </w:r>
      <w:r>
        <w:rPr>
          <w:rFonts w:ascii="Arial" w:eastAsia="Arial" w:hAnsi="Arial" w:cs="Arial"/>
          <w:color w:val="000000"/>
          <w:sz w:val="20"/>
        </w:rPr>
        <w:t xml:space="preserve">, 491 U.S. at 449; </w:t>
      </w:r>
      <w:bookmarkStart w:id="1857" w:name="Bookmark_I67K33WG2D6NNJ0040000400"/>
      <w:bookmarkEnd w:id="1857"/>
      <w:r>
        <w:rPr>
          <w:rFonts w:ascii="Arial" w:eastAsia="Arial" w:hAnsi="Arial" w:cs="Arial"/>
          <w:i/>
          <w:color w:val="000000"/>
          <w:sz w:val="20"/>
        </w:rPr>
        <w:t>Havens Realty</w:t>
      </w:r>
      <w:r>
        <w:rPr>
          <w:rFonts w:ascii="Arial" w:eastAsia="Arial" w:hAnsi="Arial" w:cs="Arial"/>
          <w:color w:val="000000"/>
          <w:sz w:val="20"/>
        </w:rPr>
        <w:t xml:space="preserve">, 455 U.S. at 373-74). Those precedents reflect that the failure to obtain information may be because of a misrepresentation (as in </w:t>
      </w:r>
      <w:bookmarkStart w:id="1858" w:name="Bookmark_I67K33WG28T4H70020000400_2"/>
      <w:bookmarkStart w:id="1859" w:name="Bookmark_I67K33WG2HM6NC0040000400_2"/>
      <w:bookmarkStart w:id="1860" w:name="Bookmark_I67K33WG28T4H70010000400"/>
      <w:bookmarkEnd w:id="1858"/>
      <w:bookmarkEnd w:id="1859"/>
      <w:bookmarkEnd w:id="1860"/>
      <w:r>
        <w:rPr>
          <w:rFonts w:ascii="Arial" w:eastAsia="Arial" w:hAnsi="Arial" w:cs="Arial"/>
          <w:i/>
          <w:color w:val="000000"/>
          <w:sz w:val="20"/>
        </w:rPr>
        <w:t>Havens Realty</w:t>
      </w:r>
      <w:r>
        <w:rPr>
          <w:rFonts w:ascii="Arial" w:eastAsia="Arial" w:hAnsi="Arial" w:cs="Arial"/>
          <w:color w:val="000000"/>
          <w:sz w:val="20"/>
        </w:rPr>
        <w:t xml:space="preserve">), or because of a wholesale refusal to provide it (as in </w:t>
      </w:r>
      <w:bookmarkStart w:id="1861" w:name="Bookmark_I67K33WG28T4H70030000400"/>
      <w:bookmarkEnd w:id="1861"/>
      <w:r>
        <w:rPr>
          <w:rFonts w:ascii="Arial" w:eastAsia="Arial" w:hAnsi="Arial" w:cs="Arial"/>
          <w:i/>
          <w:color w:val="000000"/>
          <w:sz w:val="20"/>
        </w:rPr>
        <w:t>Public Citizen</w:t>
      </w:r>
      <w:bookmarkStart w:id="1862" w:name="Bookmark_I67K33WG2SF7K50030000400"/>
      <w:bookmarkEnd w:id="1862"/>
      <w:r>
        <w:rPr>
          <w:rFonts w:ascii="Arial" w:eastAsia="Arial" w:hAnsi="Arial" w:cs="Arial"/>
          <w:color w:val="000000"/>
          <w:sz w:val="20"/>
        </w:rPr>
        <w:t xml:space="preserve"> and </w:t>
      </w:r>
      <w:bookmarkStart w:id="1863" w:name="Bookmark_I67K33WG28T4H70050000400"/>
      <w:bookmarkEnd w:id="1863"/>
      <w:r>
        <w:rPr>
          <w:rFonts w:ascii="Arial" w:eastAsia="Arial" w:hAnsi="Arial" w:cs="Arial"/>
          <w:i/>
          <w:color w:val="000000"/>
          <w:sz w:val="20"/>
        </w:rPr>
        <w:t>Akins</w:t>
      </w:r>
      <w:r>
        <w:rPr>
          <w:rFonts w:ascii="Arial" w:eastAsia="Arial" w:hAnsi="Arial" w:cs="Arial"/>
          <w:color w:val="000000"/>
          <w:sz w:val="20"/>
        </w:rPr>
        <w:t xml:space="preserve">). </w:t>
      </w:r>
      <w:bookmarkStart w:id="1864" w:name="Bookmark_I67K33WG2SF7K50050000400"/>
      <w:bookmarkEnd w:id="1864"/>
      <w:r>
        <w:rPr>
          <w:rFonts w:ascii="Arial" w:eastAsia="Arial" w:hAnsi="Arial" w:cs="Arial"/>
          <w:color w:val="000000"/>
          <w:sz w:val="20"/>
        </w:rPr>
        <w:t xml:space="preserve">Although the allegation of racial animus certainly was relevant in </w:t>
      </w:r>
      <w:bookmarkStart w:id="1865" w:name="Bookmark_I67K33WG2SF7K50050000400_2"/>
      <w:bookmarkStart w:id="1866" w:name="Bookmark_I67K33WG2SF7K50030000400_2"/>
      <w:bookmarkStart w:id="1867" w:name="Bookmark_I67K33WG2SF7K50020000400"/>
      <w:bookmarkEnd w:id="1865"/>
      <w:bookmarkEnd w:id="1866"/>
      <w:bookmarkEnd w:id="1867"/>
      <w:r>
        <w:rPr>
          <w:rFonts w:ascii="Arial" w:eastAsia="Arial" w:hAnsi="Arial" w:cs="Arial"/>
          <w:i/>
          <w:color w:val="000000"/>
          <w:sz w:val="20"/>
        </w:rPr>
        <w:t>Havens Realty</w:t>
      </w:r>
      <w:r>
        <w:rPr>
          <w:rFonts w:ascii="Arial" w:eastAsia="Arial" w:hAnsi="Arial" w:cs="Arial"/>
          <w:color w:val="000000"/>
          <w:sz w:val="20"/>
        </w:rPr>
        <w:t xml:space="preserve">, that was because it was an element of [**35]  the statutory violation at issue (violation of the Fair Housing Act's discriminatory representation provision). No racial or other discriminatory  [*172]  animus was alleged in </w:t>
      </w:r>
      <w:bookmarkStart w:id="1868" w:name="Bookmark_I67K33WG2SF7K50050000400_3"/>
      <w:bookmarkStart w:id="1869" w:name="Bookmark_I67K33WG2SF7K50040000400"/>
      <w:bookmarkEnd w:id="1868"/>
      <w:bookmarkEnd w:id="1869"/>
      <w:r>
        <w:rPr>
          <w:rFonts w:ascii="Arial" w:eastAsia="Arial" w:hAnsi="Arial" w:cs="Arial"/>
          <w:i/>
          <w:color w:val="000000"/>
          <w:sz w:val="20"/>
        </w:rPr>
        <w:t>Public Citizen</w:t>
      </w:r>
      <w:r>
        <w:rPr>
          <w:rFonts w:ascii="Arial" w:eastAsia="Arial" w:hAnsi="Arial" w:cs="Arial"/>
          <w:color w:val="000000"/>
          <w:sz w:val="20"/>
        </w:rPr>
        <w:t xml:space="preserve"> or </w:t>
      </w:r>
      <w:bookmarkStart w:id="1870" w:name="Bookmark_I67K33WG2N1PVX0010000400"/>
      <w:bookmarkEnd w:id="1870"/>
      <w:r>
        <w:rPr>
          <w:rFonts w:ascii="Arial" w:eastAsia="Arial" w:hAnsi="Arial" w:cs="Arial"/>
          <w:i/>
          <w:color w:val="000000"/>
          <w:sz w:val="20"/>
        </w:rPr>
        <w:t>Akins</w:t>
      </w:r>
      <w:r>
        <w:rPr>
          <w:rFonts w:ascii="Arial" w:eastAsia="Arial" w:hAnsi="Arial" w:cs="Arial"/>
          <w:color w:val="000000"/>
          <w:sz w:val="20"/>
        </w:rPr>
        <w:t>, as such animus was not an element of the statutory violations there (failure to provide information requested pursuant to FACA and FECA), and that lack of alleged animus did not deprive the plaintiffs of informational injury-based Article III standing to sue.</w:t>
      </w:r>
    </w:p>
    <w:p w:rsidR="00022B47" w:rsidRDefault="00000000">
      <w:pPr>
        <w:pStyle w:val="Normal9"/>
        <w:widowControl w:val="0"/>
        <w:spacing w:before="200" w:line="260" w:lineRule="atLeast"/>
        <w:jc w:val="both"/>
      </w:pPr>
      <w:bookmarkStart w:id="1871" w:name="Bookmark_para_62_0"/>
      <w:bookmarkStart w:id="1872" w:name="Bookmark_I67K33WG2N1PVX0040000400"/>
      <w:bookmarkStart w:id="1873" w:name="Bookmark_LNHNREFclscc15_3"/>
      <w:bookmarkEnd w:id="1871"/>
      <w:bookmarkEnd w:id="1872"/>
      <w:bookmarkEnd w:id="1873"/>
      <w:r>
        <w:rPr>
          <w:rFonts w:ascii="Arial" w:eastAsia="Arial" w:hAnsi="Arial" w:cs="Arial"/>
          <w:color w:val="000000"/>
          <w:sz w:val="20"/>
        </w:rPr>
        <w:t xml:space="preserve">Furthermore, </w:t>
      </w:r>
      <w:bookmarkStart w:id="1874" w:name="Bookmark_I67K33WG2N1PVX0030000400"/>
      <w:bookmarkEnd w:id="1874"/>
      <w:r>
        <w:rPr>
          <w:rFonts w:ascii="Arial" w:eastAsia="Arial" w:hAnsi="Arial" w:cs="Arial"/>
          <w:i/>
          <w:color w:val="000000"/>
          <w:sz w:val="20"/>
        </w:rPr>
        <w:t>Havens Realty</w:t>
      </w:r>
      <w:r>
        <w:rPr>
          <w:rFonts w:ascii="Arial" w:eastAsia="Arial" w:hAnsi="Arial" w:cs="Arial"/>
          <w:color w:val="000000"/>
          <w:sz w:val="20"/>
        </w:rPr>
        <w:t xml:space="preserve">, </w:t>
      </w:r>
      <w:bookmarkStart w:id="1875" w:name="Bookmark_I67K33WG2N1PVX0050000400"/>
      <w:bookmarkEnd w:id="1875"/>
      <w:r>
        <w:rPr>
          <w:rFonts w:ascii="Arial" w:eastAsia="Arial" w:hAnsi="Arial" w:cs="Arial"/>
          <w:i/>
          <w:color w:val="000000"/>
          <w:sz w:val="20"/>
        </w:rPr>
        <w:t>Public Citizen</w:t>
      </w:r>
      <w:r>
        <w:rPr>
          <w:rFonts w:ascii="Arial" w:eastAsia="Arial" w:hAnsi="Arial" w:cs="Arial"/>
          <w:color w:val="000000"/>
          <w:sz w:val="20"/>
        </w:rPr>
        <w:t xml:space="preserve">, and </w:t>
      </w:r>
      <w:bookmarkStart w:id="1876" w:name="Bookmark_I67K33WG2N1PVX0040000400_2"/>
      <w:bookmarkStart w:id="1877" w:name="Bookmark_I67K33WG2HM6ND0020000400"/>
      <w:bookmarkEnd w:id="1876"/>
      <w:bookmarkEnd w:id="1877"/>
      <w:r>
        <w:rPr>
          <w:rFonts w:ascii="Arial" w:eastAsia="Arial" w:hAnsi="Arial" w:cs="Arial"/>
          <w:i/>
          <w:color w:val="000000"/>
          <w:sz w:val="20"/>
        </w:rPr>
        <w:t>Akins</w:t>
      </w:r>
      <w:bookmarkStart w:id="1878" w:name="Bookmark_I67K33WG2D6NNK0020000400"/>
      <w:bookmarkEnd w:id="1878"/>
      <w:r>
        <w:rPr>
          <w:rFonts w:ascii="Arial" w:eastAsia="Arial" w:hAnsi="Arial" w:cs="Arial"/>
          <w:color w:val="000000"/>
          <w:sz w:val="20"/>
        </w:rPr>
        <w:t xml:space="preserve"> are clear that a plaintiff need not show a use for the information being sought in order to establish an injury in fact in satisfaction of the first </w:t>
      </w:r>
      <w:bookmarkStart w:id="1879" w:name="Bookmark_I67K33WG2HM6ND0040000400"/>
      <w:bookmarkEnd w:id="1879"/>
      <w:r>
        <w:rPr>
          <w:rFonts w:ascii="Arial" w:eastAsia="Arial" w:hAnsi="Arial" w:cs="Arial"/>
          <w:i/>
          <w:color w:val="000000"/>
          <w:sz w:val="20"/>
        </w:rPr>
        <w:t>Lujan</w:t>
      </w:r>
      <w:r>
        <w:rPr>
          <w:rFonts w:ascii="Arial" w:eastAsia="Arial" w:hAnsi="Arial" w:cs="Arial"/>
          <w:color w:val="000000"/>
          <w:sz w:val="20"/>
        </w:rPr>
        <w:t xml:space="preserve"> element. </w:t>
      </w:r>
      <w:bookmarkStart w:id="1880" w:name="Bookmark_I67K33WG2D6NNK0040000400"/>
      <w:bookmarkEnd w:id="1880"/>
      <w:r>
        <w:rPr>
          <w:rFonts w:ascii="Arial" w:eastAsia="Arial" w:hAnsi="Arial" w:cs="Arial"/>
          <w:color w:val="000000"/>
          <w:sz w:val="20"/>
        </w:rPr>
        <w:t xml:space="preserve">Again, </w:t>
      </w:r>
      <w:bookmarkStart w:id="1881" w:name="Bookmark_I67K33WG2D6NNK0040000400_2"/>
      <w:bookmarkStart w:id="1882" w:name="Bookmark_I67K33WG2D6NNK0020000400_2"/>
      <w:bookmarkStart w:id="1883" w:name="Bookmark_I67K33WG2D6NNK0010000400"/>
      <w:bookmarkEnd w:id="1881"/>
      <w:bookmarkEnd w:id="1882"/>
      <w:bookmarkEnd w:id="1883"/>
      <w:r>
        <w:rPr>
          <w:rFonts w:ascii="Arial" w:eastAsia="Arial" w:hAnsi="Arial" w:cs="Arial"/>
          <w:i/>
          <w:color w:val="000000"/>
          <w:sz w:val="20"/>
        </w:rPr>
        <w:t>Havens Realty</w:t>
      </w:r>
      <w:r>
        <w:rPr>
          <w:rFonts w:ascii="Arial" w:eastAsia="Arial" w:hAnsi="Arial" w:cs="Arial"/>
          <w:color w:val="000000"/>
          <w:sz w:val="20"/>
        </w:rPr>
        <w:t xml:space="preserve"> squarely rejected any such use requirement. </w:t>
      </w:r>
      <w:bookmarkStart w:id="1884" w:name="Bookmark_I67K33WG28T4H80050000400"/>
      <w:bookmarkEnd w:id="1884"/>
      <w:r>
        <w:rPr>
          <w:rFonts w:ascii="Arial" w:eastAsia="Arial" w:hAnsi="Arial" w:cs="Arial"/>
          <w:i/>
          <w:color w:val="000000"/>
          <w:sz w:val="20"/>
        </w:rPr>
        <w:t xml:space="preserve">See </w:t>
      </w:r>
      <w:bookmarkStart w:id="1885" w:name="Bookmark_I67K33WG2D6NNK0030000400"/>
      <w:bookmarkEnd w:id="1885"/>
      <w:r>
        <w:rPr>
          <w:rFonts w:ascii="Arial" w:eastAsia="Arial" w:hAnsi="Arial" w:cs="Arial"/>
          <w:i/>
          <w:color w:val="000000"/>
          <w:sz w:val="20"/>
        </w:rPr>
        <w:t>Havens Realty</w:t>
      </w:r>
      <w:r>
        <w:rPr>
          <w:rFonts w:ascii="Arial" w:eastAsia="Arial" w:hAnsi="Arial" w:cs="Arial"/>
          <w:color w:val="000000"/>
          <w:sz w:val="20"/>
        </w:rPr>
        <w:t xml:space="preserve">, 455 U.S. at 374 (confirming that the Black tester plaintiff's lack of intention to rent an apartment did "not negate the simple fact of injury"); </w:t>
      </w:r>
      <w:r>
        <w:rPr>
          <w:rFonts w:ascii="Arial" w:eastAsia="Arial" w:hAnsi="Arial" w:cs="Arial"/>
          <w:i/>
          <w:color w:val="000000"/>
          <w:sz w:val="20"/>
        </w:rPr>
        <w:t xml:space="preserve">see also </w:t>
      </w:r>
      <w:bookmarkStart w:id="1886" w:name="Bookmark_I67K33WG2D6NNK0050000400"/>
      <w:bookmarkEnd w:id="1886"/>
      <w:r>
        <w:rPr>
          <w:rFonts w:ascii="Arial" w:eastAsia="Arial" w:hAnsi="Arial" w:cs="Arial"/>
          <w:i/>
          <w:color w:val="000000"/>
          <w:sz w:val="20"/>
        </w:rPr>
        <w:t>Cruz</w:t>
      </w:r>
      <w:r>
        <w:rPr>
          <w:rFonts w:ascii="Arial" w:eastAsia="Arial" w:hAnsi="Arial" w:cs="Arial"/>
          <w:color w:val="000000"/>
          <w:sz w:val="20"/>
        </w:rPr>
        <w:t xml:space="preserve">, 142 S. Ct. at 1647 (approvingly describing </w:t>
      </w:r>
      <w:bookmarkStart w:id="1887" w:name="Bookmark_I67K33WG28T4H80050000400_2"/>
      <w:bookmarkStart w:id="1888" w:name="Bookmark_I67K33WG2D6NNK0040000400_3"/>
      <w:bookmarkStart w:id="1889" w:name="Bookmark_I67K33WG28T4H80020000400"/>
      <w:bookmarkEnd w:id="1887"/>
      <w:bookmarkEnd w:id="1888"/>
      <w:bookmarkEnd w:id="1889"/>
      <w:r>
        <w:rPr>
          <w:rFonts w:ascii="Arial" w:eastAsia="Arial" w:hAnsi="Arial" w:cs="Arial"/>
          <w:i/>
          <w:color w:val="000000"/>
          <w:sz w:val="20"/>
        </w:rPr>
        <w:t>Havens Realty</w:t>
      </w:r>
      <w:r>
        <w:rPr>
          <w:rFonts w:ascii="Arial" w:eastAsia="Arial" w:hAnsi="Arial" w:cs="Arial"/>
          <w:color w:val="000000"/>
          <w:sz w:val="20"/>
        </w:rPr>
        <w:t xml:space="preserve"> as ruling that "a 'tester' plaintiff posing as a renter for purposes of housing-discrimination litigation still suffered an injury under Article III"). And although the plaintiffs in </w:t>
      </w:r>
      <w:bookmarkStart w:id="1890" w:name="Bookmark_I67K33WG28T4H80050000400_3"/>
      <w:bookmarkStart w:id="1891" w:name="Bookmark_I67K33WG28T4H80040000400"/>
      <w:bookmarkEnd w:id="1890"/>
      <w:bookmarkEnd w:id="1891"/>
      <w:r>
        <w:rPr>
          <w:rFonts w:ascii="Arial" w:eastAsia="Arial" w:hAnsi="Arial" w:cs="Arial"/>
          <w:i/>
          <w:color w:val="000000"/>
          <w:sz w:val="20"/>
        </w:rPr>
        <w:t>Public Citizen</w:t>
      </w:r>
      <w:r>
        <w:rPr>
          <w:rFonts w:ascii="Arial" w:eastAsia="Arial" w:hAnsi="Arial" w:cs="Arial"/>
          <w:color w:val="000000"/>
          <w:sz w:val="20"/>
        </w:rPr>
        <w:t xml:space="preserve"> and </w:t>
      </w:r>
      <w:bookmarkStart w:id="1892" w:name="Bookmark_I67K33WG2SF7K60010000400"/>
      <w:bookmarkEnd w:id="1892"/>
      <w:r>
        <w:rPr>
          <w:rFonts w:ascii="Arial" w:eastAsia="Arial" w:hAnsi="Arial" w:cs="Arial"/>
          <w:i/>
          <w:color w:val="000000"/>
          <w:sz w:val="20"/>
        </w:rPr>
        <w:t>Akins</w:t>
      </w:r>
      <w:r>
        <w:rPr>
          <w:rFonts w:ascii="Arial" w:eastAsia="Arial" w:hAnsi="Arial" w:cs="Arial"/>
          <w:color w:val="000000"/>
          <w:sz w:val="20"/>
        </w:rPr>
        <w:t xml:space="preserve"> thereafter asserted uses for the information they sought, those asserted uses were not a factor in the </w:t>
      </w:r>
      <w:bookmarkStart w:id="1893" w:name="Bookmark_I67K33WG2SF7K60030000400"/>
      <w:bookmarkEnd w:id="1893"/>
      <w:r>
        <w:rPr>
          <w:rFonts w:ascii="Arial" w:eastAsia="Arial" w:hAnsi="Arial" w:cs="Arial"/>
          <w:i/>
          <w:color w:val="000000"/>
          <w:sz w:val="20"/>
        </w:rPr>
        <w:t>Public Citizen</w:t>
      </w:r>
      <w:bookmarkStart w:id="1894" w:name="Bookmark_I67K33WG2N1PVY0030000400"/>
      <w:bookmarkEnd w:id="1894"/>
      <w:r>
        <w:rPr>
          <w:rFonts w:ascii="Arial" w:eastAsia="Arial" w:hAnsi="Arial" w:cs="Arial"/>
          <w:color w:val="000000"/>
          <w:sz w:val="20"/>
        </w:rPr>
        <w:t xml:space="preserve"> and </w:t>
      </w:r>
      <w:bookmarkStart w:id="1895" w:name="Bookmark_I67K33WG2SF7K60050000400"/>
      <w:bookmarkEnd w:id="1895"/>
      <w:r>
        <w:rPr>
          <w:rFonts w:ascii="Arial" w:eastAsia="Arial" w:hAnsi="Arial" w:cs="Arial"/>
          <w:i/>
          <w:color w:val="000000"/>
          <w:sz w:val="20"/>
        </w:rPr>
        <w:t>Akins</w:t>
      </w:r>
      <w:r>
        <w:rPr>
          <w:rFonts w:ascii="Arial" w:eastAsia="Arial" w:hAnsi="Arial" w:cs="Arial"/>
          <w:color w:val="000000"/>
          <w:sz w:val="20"/>
        </w:rPr>
        <w:t xml:space="preserve"> Article III standing analyses. </w:t>
      </w:r>
      <w:r>
        <w:rPr>
          <w:rFonts w:ascii="Arial" w:eastAsia="Arial" w:hAnsi="Arial" w:cs="Arial"/>
          <w:i/>
          <w:color w:val="000000"/>
          <w:sz w:val="20"/>
        </w:rPr>
        <w:t xml:space="preserve">See </w:t>
      </w:r>
      <w:bookmarkStart w:id="1896" w:name="Bookmark_I67K33WG2N1PVY0020000400"/>
      <w:bookmarkEnd w:id="1896"/>
      <w:r>
        <w:rPr>
          <w:rFonts w:ascii="Arial" w:eastAsia="Arial" w:hAnsi="Arial" w:cs="Arial"/>
          <w:i/>
          <w:color w:val="000000"/>
          <w:sz w:val="20"/>
        </w:rPr>
        <w:t>Akins</w:t>
      </w:r>
      <w:r>
        <w:rPr>
          <w:rFonts w:ascii="Arial" w:eastAsia="Arial" w:hAnsi="Arial" w:cs="Arial"/>
          <w:color w:val="000000"/>
          <w:sz w:val="20"/>
        </w:rPr>
        <w:t xml:space="preserve">, 524 U.S. at 21; </w:t>
      </w:r>
      <w:bookmarkStart w:id="1897" w:name="Bookmark_I67K33WG2N1PVY0040000400"/>
      <w:bookmarkEnd w:id="1897"/>
      <w:r>
        <w:rPr>
          <w:rFonts w:ascii="Arial" w:eastAsia="Arial" w:hAnsi="Arial" w:cs="Arial"/>
          <w:i/>
          <w:color w:val="000000"/>
          <w:sz w:val="20"/>
        </w:rPr>
        <w:t>Pub. Citizen</w:t>
      </w:r>
      <w:r>
        <w:rPr>
          <w:rFonts w:ascii="Arial" w:eastAsia="Arial" w:hAnsi="Arial" w:cs="Arial"/>
          <w:color w:val="000000"/>
          <w:sz w:val="20"/>
        </w:rPr>
        <w:t xml:space="preserve">, 491 U.S. at 449; </w:t>
      </w:r>
      <w:r>
        <w:rPr>
          <w:rFonts w:ascii="Arial" w:eastAsia="Arial" w:hAnsi="Arial" w:cs="Arial"/>
          <w:i/>
          <w:color w:val="000000"/>
          <w:sz w:val="20"/>
        </w:rPr>
        <w:t xml:space="preserve">see also </w:t>
      </w:r>
      <w:bookmarkStart w:id="1898" w:name="Bookmark_I67K33WG2HM6NF0010000400"/>
      <w:bookmarkEnd w:id="1898"/>
      <w:r>
        <w:rPr>
          <w:rFonts w:ascii="Arial" w:eastAsia="Arial" w:hAnsi="Arial" w:cs="Arial"/>
          <w:i/>
          <w:color w:val="000000"/>
          <w:sz w:val="20"/>
        </w:rPr>
        <w:t>Spokeo</w:t>
      </w:r>
      <w:r>
        <w:rPr>
          <w:rFonts w:ascii="Arial" w:eastAsia="Arial" w:hAnsi="Arial" w:cs="Arial"/>
          <w:color w:val="000000"/>
          <w:sz w:val="20"/>
        </w:rPr>
        <w:t xml:space="preserve">, 578 U.S. at 342 (naming </w:t>
      </w:r>
      <w:bookmarkStart w:id="1899" w:name="Bookmark_I67K33WG2N1PVY0030000400_2"/>
      <w:bookmarkStart w:id="1900" w:name="Bookmark_I67K33WG2HM6NF0030000400"/>
      <w:bookmarkEnd w:id="1899"/>
      <w:bookmarkEnd w:id="1900"/>
      <w:r>
        <w:rPr>
          <w:rFonts w:ascii="Arial" w:eastAsia="Arial" w:hAnsi="Arial" w:cs="Arial"/>
          <w:i/>
          <w:color w:val="000000"/>
          <w:sz w:val="20"/>
        </w:rPr>
        <w:t>Public Citizen</w:t>
      </w:r>
      <w:r>
        <w:rPr>
          <w:rFonts w:ascii="Arial" w:eastAsia="Arial" w:hAnsi="Arial" w:cs="Arial"/>
          <w:color w:val="000000"/>
          <w:sz w:val="20"/>
        </w:rPr>
        <w:t xml:space="preserve"> and </w:t>
      </w:r>
      <w:bookmarkStart w:id="1901" w:name="Bookmark_I67K33WG2HM6NF0050000400"/>
      <w:bookmarkEnd w:id="1901"/>
      <w:r>
        <w:rPr>
          <w:rFonts w:ascii="Arial" w:eastAsia="Arial" w:hAnsi="Arial" w:cs="Arial"/>
          <w:i/>
          <w:color w:val="000000"/>
          <w:sz w:val="20"/>
        </w:rPr>
        <w:t>Akins</w:t>
      </w:r>
      <w:r>
        <w:rPr>
          <w:rFonts w:ascii="Arial" w:eastAsia="Arial" w:hAnsi="Arial" w:cs="Arial"/>
          <w:color w:val="000000"/>
          <w:sz w:val="20"/>
        </w:rPr>
        <w:t xml:space="preserve"> as examples of the "some circumstances" in [**36]  which "the violation of a procedural right granted by statute can be sufficient . . . to constitute injury in fact" and the plaintiff "need not allege any </w:t>
      </w:r>
      <w:r>
        <w:rPr>
          <w:rFonts w:ascii="Arial" w:eastAsia="Arial" w:hAnsi="Arial" w:cs="Arial"/>
          <w:i/>
          <w:color w:val="000000"/>
          <w:sz w:val="20"/>
        </w:rPr>
        <w:t>additional</w:t>
      </w:r>
      <w:r>
        <w:rPr>
          <w:rFonts w:ascii="Arial" w:eastAsia="Arial" w:hAnsi="Arial" w:cs="Arial"/>
          <w:color w:val="000000"/>
          <w:sz w:val="20"/>
        </w:rPr>
        <w:t xml:space="preserve"> harm beyond the one Congress has identified").</w:t>
      </w:r>
      <w:r>
        <w:rPr>
          <w:rFonts w:ascii="Arial" w:eastAsia="Arial" w:hAnsi="Arial" w:cs="Arial"/>
          <w:vertAlign w:val="superscript"/>
        </w:rPr>
        <w:footnoteReference w:customMarkFollows="1" w:id="40"/>
        <w:t>7</w:t>
      </w:r>
    </w:p>
    <w:p w:rsidR="00022B47" w:rsidRDefault="00000000">
      <w:pPr>
        <w:pStyle w:val="Normal9"/>
        <w:widowControl w:val="0"/>
        <w:spacing w:before="200" w:line="260" w:lineRule="atLeast"/>
        <w:jc w:val="both"/>
      </w:pPr>
      <w:bookmarkStart w:id="1946" w:name="Bookmark_para_63_0"/>
      <w:bookmarkStart w:id="1947" w:name="Bookmark_I67K33WH2SF7K90040000400"/>
      <w:bookmarkStart w:id="1948" w:name="Bookmark_I67K33WH2N1PW20010000400"/>
      <w:bookmarkEnd w:id="1946"/>
      <w:bookmarkEnd w:id="1947"/>
      <w:bookmarkEnd w:id="1948"/>
      <w:r>
        <w:rPr>
          <w:rFonts w:ascii="Arial" w:eastAsia="Arial" w:hAnsi="Arial" w:cs="Arial"/>
          <w:color w:val="000000"/>
          <w:sz w:val="20"/>
        </w:rPr>
        <w:t xml:space="preserve">For all of the foregoing reasons, the Tenth Circuit's grounds for distinguishing the </w:t>
      </w:r>
      <w:bookmarkStart w:id="1949" w:name="Bookmark_I67K33WH2SF7K90030000400"/>
      <w:bookmarkEnd w:id="1949"/>
      <w:r>
        <w:rPr>
          <w:rFonts w:ascii="Arial" w:eastAsia="Arial" w:hAnsi="Arial" w:cs="Arial"/>
          <w:i/>
          <w:color w:val="000000"/>
          <w:sz w:val="20"/>
        </w:rPr>
        <w:t>Havens Realty</w:t>
      </w:r>
      <w:bookmarkStart w:id="1950" w:name="Bookmark_I67K33WH2N1PW20050000400"/>
      <w:bookmarkEnd w:id="1950"/>
      <w:r>
        <w:rPr>
          <w:rFonts w:ascii="Arial" w:eastAsia="Arial" w:hAnsi="Arial" w:cs="Arial"/>
          <w:color w:val="000000"/>
          <w:sz w:val="20"/>
        </w:rPr>
        <w:t xml:space="preserve"> lines of decisions are just as unpersuasive as the Fifth Circuit's. </w:t>
      </w:r>
      <w:r>
        <w:rPr>
          <w:rFonts w:ascii="Arial" w:eastAsia="Arial" w:hAnsi="Arial" w:cs="Arial"/>
          <w:i/>
          <w:color w:val="000000"/>
          <w:sz w:val="20"/>
        </w:rPr>
        <w:t xml:space="preserve">See also </w:t>
      </w:r>
      <w:bookmarkStart w:id="1951" w:name="Bookmark_I67K33WH2SF7K90050000400"/>
      <w:bookmarkEnd w:id="1951"/>
      <w:r>
        <w:rPr>
          <w:rFonts w:ascii="Arial" w:eastAsia="Arial" w:hAnsi="Arial" w:cs="Arial"/>
          <w:i/>
          <w:color w:val="000000"/>
          <w:sz w:val="20"/>
        </w:rPr>
        <w:t>Acheson Hotels</w:t>
      </w:r>
      <w:r>
        <w:rPr>
          <w:rFonts w:ascii="Arial" w:eastAsia="Arial" w:hAnsi="Arial" w:cs="Arial"/>
          <w:color w:val="000000"/>
          <w:sz w:val="20"/>
        </w:rPr>
        <w:t xml:space="preserve">, 50 F.4th at 273 (similarly criticizing Tenth Circuit's analysis); </w:t>
      </w:r>
      <w:bookmarkStart w:id="1952" w:name="Bookmark_I67K33WH2N1PW20020000400"/>
      <w:bookmarkEnd w:id="1952"/>
      <w:r>
        <w:rPr>
          <w:rFonts w:ascii="Arial" w:eastAsia="Arial" w:hAnsi="Arial" w:cs="Arial"/>
          <w:i/>
          <w:color w:val="000000"/>
          <w:sz w:val="20"/>
        </w:rPr>
        <w:t>Arpan</w:t>
      </w:r>
      <w:r>
        <w:rPr>
          <w:rFonts w:ascii="Arial" w:eastAsia="Arial" w:hAnsi="Arial" w:cs="Arial"/>
          <w:color w:val="000000"/>
          <w:sz w:val="20"/>
        </w:rPr>
        <w:t xml:space="preserve">, 29 F.4th at 1281-82 (Jordan, J., concurring) (same). </w:t>
      </w:r>
      <w:bookmarkStart w:id="1953" w:name="Bookmark_I67K33WH2N1PW20050000400_2"/>
      <w:bookmarkEnd w:id="1953"/>
      <w:r>
        <w:rPr>
          <w:rFonts w:ascii="Arial" w:eastAsia="Arial" w:hAnsi="Arial" w:cs="Arial"/>
          <w:color w:val="000000"/>
          <w:sz w:val="20"/>
        </w:rPr>
        <w:t xml:space="preserve">As the First Circuit aptly put it in </w:t>
      </w:r>
      <w:bookmarkStart w:id="1954" w:name="Bookmark_I67K33WH2N1PW20050000400_3"/>
      <w:bookmarkStart w:id="1955" w:name="Bookmark_I67K33WH2N1PW20040000400"/>
      <w:bookmarkEnd w:id="1954"/>
      <w:bookmarkEnd w:id="1955"/>
      <w:r>
        <w:rPr>
          <w:rFonts w:ascii="Arial" w:eastAsia="Arial" w:hAnsi="Arial" w:cs="Arial"/>
          <w:i/>
          <w:color w:val="000000"/>
          <w:sz w:val="20"/>
        </w:rPr>
        <w:t>Acheson Hotels</w:t>
      </w:r>
      <w:bookmarkStart w:id="1956" w:name="Bookmark_I67K33WH2HM6NJ0040000400"/>
      <w:bookmarkEnd w:id="1956"/>
      <w:r>
        <w:rPr>
          <w:rFonts w:ascii="Arial" w:eastAsia="Arial" w:hAnsi="Arial" w:cs="Arial"/>
          <w:color w:val="000000"/>
          <w:sz w:val="20"/>
        </w:rPr>
        <w:t xml:space="preserve">: "We understand that our sibling circuits thought </w:t>
      </w:r>
      <w:bookmarkStart w:id="1957" w:name="Bookmark_I67K33WH2HM6NJ0010000400"/>
      <w:bookmarkEnd w:id="1957"/>
      <w:r>
        <w:rPr>
          <w:rFonts w:ascii="Arial" w:eastAsia="Arial" w:hAnsi="Arial" w:cs="Arial"/>
          <w:i/>
          <w:color w:val="000000"/>
          <w:sz w:val="20"/>
        </w:rPr>
        <w:t>Havens Realty</w:t>
      </w:r>
      <w:r>
        <w:rPr>
          <w:rFonts w:ascii="Arial" w:eastAsia="Arial" w:hAnsi="Arial" w:cs="Arial"/>
          <w:color w:val="000000"/>
          <w:sz w:val="20"/>
        </w:rPr>
        <w:t xml:space="preserve"> doesn't decide this case. But we respectfully disagree. </w:t>
      </w:r>
      <w:bookmarkStart w:id="1958" w:name="Bookmark_I67K33WH2D6NNR0030000400"/>
      <w:bookmarkEnd w:id="1958"/>
      <w:r>
        <w:rPr>
          <w:rFonts w:ascii="Arial" w:eastAsia="Arial" w:hAnsi="Arial" w:cs="Arial"/>
          <w:color w:val="000000"/>
          <w:sz w:val="20"/>
        </w:rPr>
        <w:t xml:space="preserve">None has convincingly explained why </w:t>
      </w:r>
      <w:bookmarkStart w:id="1959" w:name="Bookmark_I67K33WH2D6NNR0030000400_2"/>
      <w:bookmarkStart w:id="1960" w:name="Bookmark_I67K33WH2HM6NJ0040000400_2"/>
      <w:bookmarkStart w:id="1961" w:name="Bookmark_I67K33WH2HM6NJ0030000400"/>
      <w:bookmarkEnd w:id="1959"/>
      <w:bookmarkEnd w:id="1960"/>
      <w:bookmarkEnd w:id="1961"/>
      <w:r>
        <w:rPr>
          <w:rFonts w:ascii="Arial" w:eastAsia="Arial" w:hAnsi="Arial" w:cs="Arial"/>
          <w:i/>
          <w:color w:val="000000"/>
          <w:sz w:val="20"/>
        </w:rPr>
        <w:t>Havens Realty</w:t>
      </w:r>
      <w:r>
        <w:rPr>
          <w:rFonts w:ascii="Arial" w:eastAsia="Arial" w:hAnsi="Arial" w:cs="Arial"/>
          <w:color w:val="000000"/>
          <w:sz w:val="20"/>
        </w:rPr>
        <w:t xml:space="preserve"> can't illuminate the path to decision." </w:t>
      </w:r>
      <w:r>
        <w:rPr>
          <w:rFonts w:ascii="Arial" w:eastAsia="Arial" w:hAnsi="Arial" w:cs="Arial"/>
          <w:i/>
          <w:color w:val="000000"/>
          <w:sz w:val="20"/>
        </w:rPr>
        <w:t>See</w:t>
      </w:r>
      <w:r>
        <w:rPr>
          <w:rFonts w:ascii="Arial" w:eastAsia="Arial" w:hAnsi="Arial" w:cs="Arial"/>
          <w:color w:val="000000"/>
          <w:sz w:val="20"/>
        </w:rPr>
        <w:t xml:space="preserve"> </w:t>
      </w:r>
      <w:bookmarkStart w:id="1962" w:name="Bookmark_I67K33WH2HM6NJ0050000400"/>
      <w:bookmarkEnd w:id="1962"/>
      <w:r>
        <w:rPr>
          <w:rFonts w:ascii="Arial" w:eastAsia="Arial" w:hAnsi="Arial" w:cs="Arial"/>
          <w:color w:val="000000"/>
          <w:sz w:val="20"/>
        </w:rPr>
        <w:t xml:space="preserve">50 F.4th at 273-74. Or as the Eleventh Circuit's Judge Jordan summed up in </w:t>
      </w:r>
      <w:bookmarkStart w:id="1963" w:name="Bookmark_I67K33WH2D6NNR0030000400_3"/>
      <w:bookmarkStart w:id="1964" w:name="Bookmark_I67K33WH2D6NNR0020000400"/>
      <w:bookmarkEnd w:id="1963"/>
      <w:bookmarkEnd w:id="1964"/>
      <w:r>
        <w:rPr>
          <w:rFonts w:ascii="Arial" w:eastAsia="Arial" w:hAnsi="Arial" w:cs="Arial"/>
          <w:i/>
          <w:color w:val="000000"/>
          <w:sz w:val="20"/>
        </w:rPr>
        <w:t>Arpan</w:t>
      </w:r>
      <w:bookmarkStart w:id="1965" w:name="Bookmark_I67K33WH28T4HD0020000400"/>
      <w:bookmarkEnd w:id="1965"/>
      <w:r>
        <w:rPr>
          <w:rFonts w:ascii="Arial" w:eastAsia="Arial" w:hAnsi="Arial" w:cs="Arial"/>
          <w:color w:val="000000"/>
          <w:sz w:val="20"/>
        </w:rPr>
        <w:t xml:space="preserve">: "I have yet to see any court answer [the question as to why </w:t>
      </w:r>
      <w:bookmarkStart w:id="1966" w:name="Bookmark_I67K33WH2D6NNR0040000400"/>
      <w:bookmarkEnd w:id="1966"/>
      <w:r>
        <w:rPr>
          <w:rFonts w:ascii="Arial" w:eastAsia="Arial" w:hAnsi="Arial" w:cs="Arial"/>
          <w:i/>
          <w:color w:val="000000"/>
          <w:sz w:val="20"/>
        </w:rPr>
        <w:t>Havens Realty</w:t>
      </w:r>
      <w:r>
        <w:rPr>
          <w:rFonts w:ascii="Arial" w:eastAsia="Arial" w:hAnsi="Arial" w:cs="Arial"/>
          <w:color w:val="000000"/>
          <w:sz w:val="20"/>
        </w:rPr>
        <w:t xml:space="preserve"> is different] persuasively. </w:t>
      </w:r>
      <w:bookmarkStart w:id="1967" w:name="Bookmark_I67K33WH28T4HD0020000400_2"/>
      <w:bookmarkStart w:id="1968" w:name="Bookmark_I67K33WH28T4HD0010000400"/>
      <w:bookmarkEnd w:id="1967"/>
      <w:bookmarkEnd w:id="1968"/>
      <w:r>
        <w:rPr>
          <w:rFonts w:ascii="Arial" w:eastAsia="Arial" w:hAnsi="Arial" w:cs="Arial"/>
          <w:i/>
          <w:color w:val="000000"/>
          <w:sz w:val="20"/>
        </w:rPr>
        <w:t>Havens Realty</w:t>
      </w:r>
      <w:r>
        <w:rPr>
          <w:rFonts w:ascii="Arial" w:eastAsia="Arial" w:hAnsi="Arial" w:cs="Arial"/>
          <w:color w:val="000000"/>
          <w:sz w:val="20"/>
        </w:rPr>
        <w:t xml:space="preserve"> is still on the books, and we are bound to apply it here." </w:t>
      </w:r>
      <w:r>
        <w:rPr>
          <w:rFonts w:ascii="Arial" w:eastAsia="Arial" w:hAnsi="Arial" w:cs="Arial"/>
          <w:i/>
          <w:color w:val="000000"/>
          <w:sz w:val="20"/>
        </w:rPr>
        <w:t>See</w:t>
      </w:r>
      <w:r>
        <w:rPr>
          <w:rFonts w:ascii="Arial" w:eastAsia="Arial" w:hAnsi="Arial" w:cs="Arial"/>
          <w:color w:val="000000"/>
          <w:sz w:val="20"/>
        </w:rPr>
        <w:t xml:space="preserve"> </w:t>
      </w:r>
      <w:bookmarkStart w:id="1969" w:name="Bookmark_I67K33WH28T4HD0030000400"/>
      <w:bookmarkEnd w:id="1969"/>
      <w:r>
        <w:rPr>
          <w:rFonts w:ascii="Arial" w:eastAsia="Arial" w:hAnsi="Arial" w:cs="Arial"/>
          <w:color w:val="000000"/>
          <w:sz w:val="20"/>
        </w:rPr>
        <w:t>29 F.4th at 1282 (Jordan, J., concurring).</w:t>
      </w:r>
    </w:p>
    <w:p w:rsidR="00022B47" w:rsidRDefault="00000000">
      <w:pPr>
        <w:pStyle w:val="Normal9"/>
        <w:widowControl w:val="0"/>
        <w:spacing w:before="120" w:line="260" w:lineRule="atLeast"/>
      </w:pPr>
      <w:r>
        <w:rPr>
          <w:rFonts w:ascii="Arial" w:eastAsia="Arial" w:hAnsi="Arial" w:cs="Arial"/>
          <w:color w:val="000000"/>
          <w:sz w:val="20"/>
        </w:rPr>
        <w:t>C.</w:t>
      </w:r>
    </w:p>
    <w:p w:rsidR="00022B47" w:rsidRDefault="00000000">
      <w:pPr>
        <w:pStyle w:val="Normal9"/>
        <w:widowControl w:val="0"/>
        <w:spacing w:before="200" w:line="260" w:lineRule="atLeast"/>
        <w:jc w:val="both"/>
      </w:pPr>
      <w:bookmarkStart w:id="1970" w:name="Bookmark_para_64_0"/>
      <w:bookmarkStart w:id="1971" w:name="Bookmark_I67K33WH2SF7KB0010000400"/>
      <w:bookmarkStart w:id="1972" w:name="Bookmark_I1XXT3G0Y4H000081490003G"/>
      <w:bookmarkStart w:id="1973" w:name="Bookmark_I67K33WH2SF7KB0030000400"/>
      <w:bookmarkEnd w:id="1970"/>
      <w:bookmarkEnd w:id="1971"/>
      <w:bookmarkEnd w:id="1972"/>
      <w:bookmarkEnd w:id="1973"/>
      <w:r>
        <w:rPr>
          <w:rFonts w:ascii="Arial" w:eastAsia="Arial" w:hAnsi="Arial" w:cs="Arial"/>
          <w:color w:val="000000"/>
          <w:sz w:val="20"/>
        </w:rPr>
        <w:t xml:space="preserve">As also previously mentioned, in ruling in this case that Laufer lacks informational  [*173]  injury-based Article III standing to pursue her ADA claim against Naranda, the district court adhered to District of Maryland precedents. Those local precedents relied, in turn, on this Court's [**37]  decision in </w:t>
      </w:r>
      <w:bookmarkStart w:id="1974" w:name="Bookmark_I67K33WH28T4HD0050000400"/>
      <w:bookmarkEnd w:id="1974"/>
      <w:r>
        <w:rPr>
          <w:rFonts w:ascii="Arial" w:eastAsia="Arial" w:hAnsi="Arial" w:cs="Arial"/>
          <w:i/>
          <w:color w:val="000000"/>
          <w:sz w:val="20"/>
        </w:rPr>
        <w:t>Griffin v. Department of Labor Federal Credit Union</w:t>
      </w:r>
      <w:r>
        <w:rPr>
          <w:rFonts w:ascii="Arial" w:eastAsia="Arial" w:hAnsi="Arial" w:cs="Arial"/>
          <w:color w:val="000000"/>
          <w:sz w:val="20"/>
        </w:rPr>
        <w:t xml:space="preserve">, 912 F.3d 649 (4th Cir. 2019). The </w:t>
      </w:r>
      <w:bookmarkStart w:id="1975" w:name="Bookmark_I67K33WH2SF7KB0030000400_2"/>
      <w:bookmarkStart w:id="1976" w:name="Bookmark_I67K33WH2SF7KB0010000400_2"/>
      <w:bookmarkStart w:id="1977" w:name="Bookmark_I67K33WH2SF7KB0020000400"/>
      <w:bookmarkEnd w:id="1975"/>
      <w:bookmarkEnd w:id="1976"/>
      <w:bookmarkEnd w:id="1977"/>
      <w:r>
        <w:rPr>
          <w:rFonts w:ascii="Arial" w:eastAsia="Arial" w:hAnsi="Arial" w:cs="Arial"/>
          <w:i/>
          <w:color w:val="000000"/>
          <w:sz w:val="20"/>
        </w:rPr>
        <w:t>Griffin</w:t>
      </w:r>
      <w:r>
        <w:rPr>
          <w:rFonts w:ascii="Arial" w:eastAsia="Arial" w:hAnsi="Arial" w:cs="Arial"/>
          <w:color w:val="000000"/>
          <w:sz w:val="20"/>
        </w:rPr>
        <w:t xml:space="preserve"> case, however, is quite different and readily distinguishable from this and the other actions that have been brought by Laufer.</w:t>
      </w:r>
      <w:r>
        <w:rPr>
          <w:rFonts w:ascii="Arial" w:eastAsia="Arial" w:hAnsi="Arial" w:cs="Arial"/>
          <w:vertAlign w:val="superscript"/>
        </w:rPr>
        <w:footnoteReference w:customMarkFollows="1" w:id="41"/>
        <w:t>8</w:t>
      </w:r>
    </w:p>
    <w:p w:rsidR="00022B47" w:rsidRDefault="00000000">
      <w:pPr>
        <w:pStyle w:val="Normal9"/>
        <w:widowControl w:val="0"/>
        <w:spacing w:before="200" w:line="260" w:lineRule="atLeast"/>
        <w:jc w:val="both"/>
      </w:pPr>
      <w:bookmarkStart w:id="1985" w:name="Bookmark_para_65_0"/>
      <w:bookmarkStart w:id="1986" w:name="Bookmark_I67K33WH2SF7KD0030000400"/>
      <w:bookmarkStart w:id="1987" w:name="Bookmark_I67K33WH2SF7KD0050000400"/>
      <w:bookmarkEnd w:id="1985"/>
      <w:bookmarkEnd w:id="1986"/>
      <w:bookmarkEnd w:id="1987"/>
      <w:r>
        <w:rPr>
          <w:rFonts w:ascii="Arial" w:eastAsia="Arial" w:hAnsi="Arial" w:cs="Arial"/>
          <w:color w:val="000000"/>
          <w:sz w:val="20"/>
        </w:rPr>
        <w:t xml:space="preserve">In </w:t>
      </w:r>
      <w:bookmarkStart w:id="1988" w:name="Bookmark_I67K33WH2SF7KD0020000400"/>
      <w:bookmarkEnd w:id="1988"/>
      <w:r>
        <w:rPr>
          <w:rFonts w:ascii="Arial" w:eastAsia="Arial" w:hAnsi="Arial" w:cs="Arial"/>
          <w:i/>
          <w:color w:val="000000"/>
          <w:sz w:val="20"/>
        </w:rPr>
        <w:t>Griffin</w:t>
      </w:r>
      <w:r>
        <w:rPr>
          <w:rFonts w:ascii="Arial" w:eastAsia="Arial" w:hAnsi="Arial" w:cs="Arial"/>
          <w:color w:val="000000"/>
          <w:sz w:val="20"/>
        </w:rPr>
        <w:t xml:space="preserve">, the visually impaired tester plaintiff sued the defendant Department of Labor Federal Credit Union under Title III of the ADA for the inaccessibility of the Credit Union's website describing its services and products. </w:t>
      </w:r>
      <w:r>
        <w:rPr>
          <w:rFonts w:ascii="Arial" w:eastAsia="Arial" w:hAnsi="Arial" w:cs="Arial"/>
          <w:i/>
          <w:color w:val="000000"/>
          <w:sz w:val="20"/>
        </w:rPr>
        <w:t>See</w:t>
      </w:r>
      <w:r>
        <w:rPr>
          <w:rFonts w:ascii="Arial" w:eastAsia="Arial" w:hAnsi="Arial" w:cs="Arial"/>
          <w:color w:val="000000"/>
          <w:sz w:val="20"/>
        </w:rPr>
        <w:t xml:space="preserve"> </w:t>
      </w:r>
      <w:bookmarkStart w:id="1989" w:name="Bookmark_I67K33WH2SF7KD0040000400"/>
      <w:bookmarkEnd w:id="1989"/>
      <w:r>
        <w:rPr>
          <w:rFonts w:ascii="Arial" w:eastAsia="Arial" w:hAnsi="Arial" w:cs="Arial"/>
          <w:color w:val="000000"/>
          <w:sz w:val="20"/>
        </w:rPr>
        <w:t xml:space="preserve">912 F.3d at 652. Of utmost significance, membership in the Credit Union was limited by federal statute to "current and former employees of the Department of Labor and their immediate families and households," and the plaintiff was "not eligible for membership in the Credit Union" and did not allege that he was "legally permitted to make use of the Credit Union's benefits." </w:t>
      </w:r>
      <w:r>
        <w:rPr>
          <w:rFonts w:ascii="Arial" w:eastAsia="Arial" w:hAnsi="Arial" w:cs="Arial"/>
          <w:i/>
          <w:color w:val="000000"/>
          <w:sz w:val="20"/>
        </w:rPr>
        <w:t>Id.</w:t>
      </w:r>
      <w:r>
        <w:rPr>
          <w:rFonts w:ascii="Arial" w:eastAsia="Arial" w:hAnsi="Arial" w:cs="Arial"/>
          <w:color w:val="000000"/>
          <w:sz w:val="20"/>
        </w:rPr>
        <w:t xml:space="preserve"> (citing 12 U.S.C. § 1759(b)).</w:t>
      </w:r>
    </w:p>
    <w:p w:rsidR="00022B47" w:rsidRDefault="00000000">
      <w:pPr>
        <w:pStyle w:val="Normal9"/>
        <w:widowControl w:val="0"/>
        <w:spacing w:before="200" w:line="260" w:lineRule="atLeast"/>
        <w:jc w:val="both"/>
      </w:pPr>
      <w:bookmarkStart w:id="1990" w:name="Bookmark_para_66_0"/>
      <w:bookmarkStart w:id="1991" w:name="Bookmark_I67K33WH2N1PW50020000400"/>
      <w:bookmarkStart w:id="1992" w:name="Bookmark_I67K33WH2N1PW50040000400"/>
      <w:bookmarkEnd w:id="1990"/>
      <w:bookmarkEnd w:id="1991"/>
      <w:bookmarkEnd w:id="1992"/>
      <w:r>
        <w:rPr>
          <w:rFonts w:ascii="Arial" w:eastAsia="Arial" w:hAnsi="Arial" w:cs="Arial"/>
          <w:color w:val="000000"/>
          <w:sz w:val="20"/>
        </w:rPr>
        <w:t xml:space="preserve">Our Court was called upon to decide whether, in those novel circumstances, the plaintiff possessed Article III standing to sue the Credit Union based on either an informational or stigmatic injury. </w:t>
      </w:r>
      <w:r>
        <w:rPr>
          <w:rFonts w:ascii="Arial" w:eastAsia="Arial" w:hAnsi="Arial" w:cs="Arial"/>
          <w:i/>
          <w:color w:val="000000"/>
          <w:sz w:val="20"/>
        </w:rPr>
        <w:t xml:space="preserve">See </w:t>
      </w:r>
      <w:bookmarkStart w:id="1993" w:name="Bookmark_I67K33WH2N1PW50010000400"/>
      <w:bookmarkEnd w:id="1993"/>
      <w:r>
        <w:rPr>
          <w:rFonts w:ascii="Arial" w:eastAsia="Arial" w:hAnsi="Arial" w:cs="Arial"/>
          <w:i/>
          <w:color w:val="000000"/>
          <w:sz w:val="20"/>
        </w:rPr>
        <w:t>Griffin</w:t>
      </w:r>
      <w:r>
        <w:rPr>
          <w:rFonts w:ascii="Arial" w:eastAsia="Arial" w:hAnsi="Arial" w:cs="Arial"/>
          <w:color w:val="000000"/>
          <w:sz w:val="20"/>
        </w:rPr>
        <w:t xml:space="preserve">, 912 F.3d at 653-54. In rendering our decision, we emphasized that we were "address[ing] only whether this plaintiff </w:t>
      </w:r>
      <w:r>
        <w:rPr>
          <w:rFonts w:ascii="Arial" w:eastAsia="Arial" w:hAnsi="Arial" w:cs="Arial"/>
          <w:i/>
          <w:color w:val="000000"/>
          <w:sz w:val="20"/>
        </w:rPr>
        <w:t>who is barred by law from making use of defendant's services</w:t>
      </w:r>
      <w:r>
        <w:rPr>
          <w:rFonts w:ascii="Arial" w:eastAsia="Arial" w:hAnsi="Arial" w:cs="Arial"/>
          <w:color w:val="000000"/>
          <w:sz w:val="20"/>
        </w:rPr>
        <w:t xml:space="preserve"> may sue under the ADA for an allegedly deficient website." </w:t>
      </w:r>
      <w:bookmarkStart w:id="1994" w:name="Bookmark_I67K33WH2N1PW50030000400"/>
      <w:bookmarkEnd w:id="1994"/>
      <w:r>
        <w:rPr>
          <w:rFonts w:ascii="Arial" w:eastAsia="Arial" w:hAnsi="Arial" w:cs="Arial"/>
          <w:i/>
          <w:color w:val="000000"/>
          <w:sz w:val="20"/>
        </w:rPr>
        <w:t>Id.</w:t>
      </w:r>
      <w:r>
        <w:rPr>
          <w:rFonts w:ascii="Arial" w:eastAsia="Arial" w:hAnsi="Arial" w:cs="Arial"/>
          <w:color w:val="000000"/>
          <w:sz w:val="20"/>
        </w:rPr>
        <w:t xml:space="preserve"> at 653. And we resolved that "[t]he answer to this narrow question is [**38]  no." </w:t>
      </w:r>
      <w:r>
        <w:rPr>
          <w:rFonts w:ascii="Arial" w:eastAsia="Arial" w:hAnsi="Arial" w:cs="Arial"/>
          <w:i/>
          <w:color w:val="000000"/>
          <w:sz w:val="20"/>
        </w:rPr>
        <w:t>Id.</w:t>
      </w:r>
    </w:p>
    <w:p w:rsidR="00022B47" w:rsidRDefault="00000000">
      <w:pPr>
        <w:pStyle w:val="Normal9"/>
        <w:widowControl w:val="0"/>
        <w:spacing w:before="200" w:line="260" w:lineRule="atLeast"/>
        <w:jc w:val="both"/>
      </w:pPr>
      <w:bookmarkStart w:id="1995" w:name="Bookmark_para_67_0"/>
      <w:bookmarkStart w:id="1996" w:name="Bookmark_I67K33WH2HM6NM0010000400"/>
      <w:bookmarkEnd w:id="1995"/>
      <w:bookmarkEnd w:id="1996"/>
      <w:r>
        <w:rPr>
          <w:rFonts w:ascii="Arial" w:eastAsia="Arial" w:hAnsi="Arial" w:cs="Arial"/>
          <w:color w:val="000000"/>
          <w:sz w:val="20"/>
        </w:rPr>
        <w:t xml:space="preserve">With respect to the existence of an informational injury, we concluded that the plaintiff was required, but failed, to show that the information he failed to obtain had "some relevance" to him. </w:t>
      </w:r>
      <w:r>
        <w:rPr>
          <w:rFonts w:ascii="Arial" w:eastAsia="Arial" w:hAnsi="Arial" w:cs="Arial"/>
          <w:i/>
          <w:color w:val="000000"/>
          <w:sz w:val="20"/>
        </w:rPr>
        <w:t xml:space="preserve">See </w:t>
      </w:r>
      <w:bookmarkStart w:id="1997" w:name="Bookmark_I67K33WH2N1PW50050000400"/>
      <w:bookmarkEnd w:id="1997"/>
      <w:r>
        <w:rPr>
          <w:rFonts w:ascii="Arial" w:eastAsia="Arial" w:hAnsi="Arial" w:cs="Arial"/>
          <w:i/>
          <w:color w:val="000000"/>
          <w:sz w:val="20"/>
        </w:rPr>
        <w:t>Griffin</w:t>
      </w:r>
      <w:r>
        <w:rPr>
          <w:rFonts w:ascii="Arial" w:eastAsia="Arial" w:hAnsi="Arial" w:cs="Arial"/>
          <w:color w:val="000000"/>
          <w:sz w:val="20"/>
        </w:rPr>
        <w:t xml:space="preserve">, 912 F.3d at 654. As we explained, the plaintiff "sought information on the Credit Union's services, privileges, advantages, and accommodations and amenities, as well as the physical locations where those services are provided." </w:t>
      </w:r>
      <w:r>
        <w:rPr>
          <w:rFonts w:ascii="Arial" w:eastAsia="Arial" w:hAnsi="Arial" w:cs="Arial"/>
          <w:i/>
          <w:color w:val="000000"/>
          <w:sz w:val="20"/>
        </w:rPr>
        <w:t>Id.</w:t>
      </w:r>
      <w:r>
        <w:rPr>
          <w:rFonts w:ascii="Arial" w:eastAsia="Arial" w:hAnsi="Arial" w:cs="Arial"/>
          <w:color w:val="000000"/>
          <w:sz w:val="20"/>
        </w:rPr>
        <w:t xml:space="preserve"> (internal quotation marks omitted). But that information lacked the requisite relevance to the plaintiff, in that "a federal law closes the door of the Credit Union to [him] whether or not he obtains the information he seeks." </w:t>
      </w:r>
      <w:r>
        <w:rPr>
          <w:rFonts w:ascii="Arial" w:eastAsia="Arial" w:hAnsi="Arial" w:cs="Arial"/>
          <w:i/>
          <w:color w:val="000000"/>
          <w:sz w:val="20"/>
        </w:rPr>
        <w:t>Id.</w:t>
      </w:r>
    </w:p>
    <w:p w:rsidR="00022B47" w:rsidRDefault="00000000">
      <w:pPr>
        <w:pStyle w:val="Normal9"/>
        <w:widowControl w:val="0"/>
        <w:spacing w:before="200" w:line="260" w:lineRule="atLeast"/>
        <w:jc w:val="both"/>
      </w:pPr>
      <w:bookmarkStart w:id="1998" w:name="Bookmark_para_68_0"/>
      <w:bookmarkStart w:id="1999" w:name="Bookmark_I67K33WH2HM6NM0030000400"/>
      <w:bookmarkEnd w:id="1998"/>
      <w:bookmarkEnd w:id="1999"/>
      <w:r>
        <w:rPr>
          <w:rFonts w:ascii="Arial" w:eastAsia="Arial" w:hAnsi="Arial" w:cs="Arial"/>
          <w:color w:val="000000"/>
          <w:sz w:val="20"/>
        </w:rPr>
        <w:t xml:space="preserve">Our treatment of the informational injury alleged in </w:t>
      </w:r>
      <w:bookmarkStart w:id="2000" w:name="Bookmark_I67K33WH2HM6NM0020000400"/>
      <w:bookmarkEnd w:id="2000"/>
      <w:r>
        <w:rPr>
          <w:rFonts w:ascii="Arial" w:eastAsia="Arial" w:hAnsi="Arial" w:cs="Arial"/>
          <w:i/>
          <w:color w:val="000000"/>
          <w:sz w:val="20"/>
        </w:rPr>
        <w:t>Griffin</w:t>
      </w:r>
      <w:r>
        <w:rPr>
          <w:rFonts w:ascii="Arial" w:eastAsia="Arial" w:hAnsi="Arial" w:cs="Arial"/>
          <w:color w:val="000000"/>
          <w:sz w:val="20"/>
        </w:rPr>
        <w:t xml:space="preserve"> was thereby different from the Supreme Court's treatment of the informational injuries at issue in </w:t>
      </w:r>
      <w:bookmarkStart w:id="2001" w:name="Bookmark_I67K33WH2HM6NM0040000400"/>
      <w:bookmarkEnd w:id="2001"/>
      <w:r>
        <w:rPr>
          <w:rFonts w:ascii="Arial" w:eastAsia="Arial" w:hAnsi="Arial" w:cs="Arial"/>
          <w:i/>
          <w:color w:val="000000"/>
          <w:sz w:val="20"/>
        </w:rPr>
        <w:t>Havens Realty</w:t>
      </w:r>
      <w:r>
        <w:rPr>
          <w:rFonts w:ascii="Arial" w:eastAsia="Arial" w:hAnsi="Arial" w:cs="Arial"/>
          <w:color w:val="000000"/>
          <w:sz w:val="20"/>
        </w:rPr>
        <w:t xml:space="preserve">, </w:t>
      </w:r>
      <w:bookmarkStart w:id="2002" w:name="Bookmark_I67K33WH2HM6NM0030000400_2"/>
      <w:bookmarkStart w:id="2003" w:name="Bookmark_I67K33WH2D6NNV0010000400"/>
      <w:bookmarkEnd w:id="2002"/>
      <w:bookmarkEnd w:id="2003"/>
      <w:r>
        <w:rPr>
          <w:rFonts w:ascii="Arial" w:eastAsia="Arial" w:hAnsi="Arial" w:cs="Arial"/>
          <w:i/>
          <w:color w:val="000000"/>
          <w:sz w:val="20"/>
        </w:rPr>
        <w:t>Public Citizen</w:t>
      </w:r>
      <w:bookmarkStart w:id="2004" w:name="Bookmark_I67K33WH28T4HH0010000400"/>
      <w:bookmarkEnd w:id="2004"/>
      <w:r>
        <w:rPr>
          <w:rFonts w:ascii="Arial" w:eastAsia="Arial" w:hAnsi="Arial" w:cs="Arial"/>
          <w:color w:val="000000"/>
          <w:sz w:val="20"/>
        </w:rPr>
        <w:t xml:space="preserve">, and </w:t>
      </w:r>
      <w:bookmarkStart w:id="2005" w:name="Bookmark_I67K33WH2D6NNV0030000400"/>
      <w:bookmarkEnd w:id="2005"/>
      <w:r>
        <w:rPr>
          <w:rFonts w:ascii="Arial" w:eastAsia="Arial" w:hAnsi="Arial" w:cs="Arial"/>
          <w:i/>
          <w:color w:val="000000"/>
          <w:sz w:val="20"/>
        </w:rPr>
        <w:t>Akins</w:t>
      </w:r>
      <w:r>
        <w:rPr>
          <w:rFonts w:ascii="Arial" w:eastAsia="Arial" w:hAnsi="Arial" w:cs="Arial"/>
          <w:color w:val="000000"/>
          <w:sz w:val="20"/>
        </w:rPr>
        <w:t xml:space="preserve">. Whereas our </w:t>
      </w:r>
      <w:bookmarkStart w:id="2006" w:name="Bookmark_I67K33WH28T4HH0010000400_2"/>
      <w:bookmarkStart w:id="2007" w:name="Bookmark_I67K33WH2D6NNV0050000400"/>
      <w:bookmarkEnd w:id="2006"/>
      <w:bookmarkEnd w:id="2007"/>
      <w:r>
        <w:rPr>
          <w:rFonts w:ascii="Arial" w:eastAsia="Arial" w:hAnsi="Arial" w:cs="Arial"/>
          <w:i/>
          <w:color w:val="000000"/>
          <w:sz w:val="20"/>
        </w:rPr>
        <w:t>Griffin</w:t>
      </w:r>
      <w:bookmarkStart w:id="2008" w:name="Bookmark_I67K33WH28T4HH0050000400"/>
      <w:bookmarkEnd w:id="2008"/>
      <w:r>
        <w:rPr>
          <w:rFonts w:ascii="Arial" w:eastAsia="Arial" w:hAnsi="Arial" w:cs="Arial"/>
          <w:color w:val="000000"/>
          <w:sz w:val="20"/>
        </w:rPr>
        <w:t xml:space="preserve"> decision required a use for the information being sought, the Supreme Court's </w:t>
      </w:r>
      <w:bookmarkStart w:id="2009" w:name="Bookmark_I67K33WH28T4HH0020000400"/>
      <w:bookmarkEnd w:id="2009"/>
      <w:r>
        <w:rPr>
          <w:rFonts w:ascii="Arial" w:eastAsia="Arial" w:hAnsi="Arial" w:cs="Arial"/>
          <w:i/>
          <w:color w:val="000000"/>
          <w:sz w:val="20"/>
        </w:rPr>
        <w:t>Havens Realty</w:t>
      </w:r>
      <w:r>
        <w:rPr>
          <w:rFonts w:ascii="Arial" w:eastAsia="Arial" w:hAnsi="Arial" w:cs="Arial"/>
          <w:color w:val="000000"/>
          <w:sz w:val="20"/>
        </w:rPr>
        <w:t xml:space="preserve"> line of decisions did not. That difference in treatment resulted from a difference in facts. The </w:t>
      </w:r>
      <w:bookmarkStart w:id="2010" w:name="Bookmark_I67K33WH28T4HH0050000400_2"/>
      <w:bookmarkStart w:id="2011" w:name="Bookmark_I67K33WH28T4HH0040000400"/>
      <w:bookmarkEnd w:id="2010"/>
      <w:bookmarkEnd w:id="2011"/>
      <w:r>
        <w:rPr>
          <w:rFonts w:ascii="Arial" w:eastAsia="Arial" w:hAnsi="Arial" w:cs="Arial"/>
          <w:i/>
          <w:color w:val="000000"/>
          <w:sz w:val="20"/>
        </w:rPr>
        <w:t>Havens Realty</w:t>
      </w:r>
      <w:r>
        <w:rPr>
          <w:rFonts w:ascii="Arial" w:eastAsia="Arial" w:hAnsi="Arial" w:cs="Arial"/>
          <w:color w:val="000000"/>
          <w:sz w:val="20"/>
        </w:rPr>
        <w:t xml:space="preserve">, </w:t>
      </w:r>
      <w:bookmarkStart w:id="2012" w:name="Bookmark_I67K33WH2SF7KF0010000400"/>
      <w:bookmarkEnd w:id="2012"/>
      <w:r>
        <w:rPr>
          <w:rFonts w:ascii="Arial" w:eastAsia="Arial" w:hAnsi="Arial" w:cs="Arial"/>
          <w:i/>
          <w:color w:val="000000"/>
          <w:sz w:val="20"/>
        </w:rPr>
        <w:t>Public Citizen</w:t>
      </w:r>
      <w:bookmarkStart w:id="2013" w:name="Bookmark_I67K33WH2HM6NN0020000400"/>
      <w:bookmarkEnd w:id="2013"/>
      <w:r>
        <w:rPr>
          <w:rFonts w:ascii="Arial" w:eastAsia="Arial" w:hAnsi="Arial" w:cs="Arial"/>
          <w:color w:val="000000"/>
          <w:sz w:val="20"/>
        </w:rPr>
        <w:t xml:space="preserve">, and </w:t>
      </w:r>
      <w:bookmarkStart w:id="2014" w:name="Bookmark_I67K33WH2SF7KF0030000400"/>
      <w:bookmarkEnd w:id="2014"/>
      <w:r>
        <w:rPr>
          <w:rFonts w:ascii="Arial" w:eastAsia="Arial" w:hAnsi="Arial" w:cs="Arial"/>
          <w:i/>
          <w:color w:val="000000"/>
          <w:sz w:val="20"/>
        </w:rPr>
        <w:t>Akins</w:t>
      </w:r>
      <w:r>
        <w:rPr>
          <w:rFonts w:ascii="Arial" w:eastAsia="Arial" w:hAnsi="Arial" w:cs="Arial"/>
          <w:color w:val="000000"/>
          <w:sz w:val="20"/>
        </w:rPr>
        <w:t xml:space="preserve"> cases each involved a "fail[ure] to obtain information which must be publicly disclosed pursuant to a statute." </w:t>
      </w:r>
      <w:r>
        <w:rPr>
          <w:rFonts w:ascii="Arial" w:eastAsia="Arial" w:hAnsi="Arial" w:cs="Arial"/>
          <w:i/>
          <w:color w:val="000000"/>
          <w:sz w:val="20"/>
        </w:rPr>
        <w:t xml:space="preserve">See </w:t>
      </w:r>
      <w:bookmarkStart w:id="2015" w:name="Bookmark_I67K33WH2SF7KF0050000400"/>
      <w:bookmarkEnd w:id="2015"/>
      <w:r>
        <w:rPr>
          <w:rFonts w:ascii="Arial" w:eastAsia="Arial" w:hAnsi="Arial" w:cs="Arial"/>
          <w:i/>
          <w:color w:val="000000"/>
          <w:sz w:val="20"/>
        </w:rPr>
        <w:t>Akins</w:t>
      </w:r>
      <w:r>
        <w:rPr>
          <w:rFonts w:ascii="Arial" w:eastAsia="Arial" w:hAnsi="Arial" w:cs="Arial"/>
          <w:color w:val="000000"/>
          <w:sz w:val="20"/>
        </w:rPr>
        <w:t xml:space="preserve">, 524 U.S. at 21 (citing </w:t>
      </w:r>
      <w:bookmarkStart w:id="2016" w:name="Bookmark_I67K33WH2N1PW60020000400"/>
      <w:bookmarkEnd w:id="2016"/>
      <w:r>
        <w:rPr>
          <w:rFonts w:ascii="Arial" w:eastAsia="Arial" w:hAnsi="Arial" w:cs="Arial"/>
          <w:i/>
          <w:color w:val="000000"/>
          <w:sz w:val="20"/>
        </w:rPr>
        <w:t>Pub. Citizen</w:t>
      </w:r>
      <w:r>
        <w:rPr>
          <w:rFonts w:ascii="Arial" w:eastAsia="Arial" w:hAnsi="Arial" w:cs="Arial"/>
          <w:color w:val="000000"/>
          <w:sz w:val="20"/>
        </w:rPr>
        <w:t xml:space="preserve">, 491 U.S. at 449; </w:t>
      </w:r>
      <w:bookmarkStart w:id="2017" w:name="Bookmark_I67K33WH2N1PW60040000400"/>
      <w:bookmarkEnd w:id="2017"/>
      <w:r>
        <w:rPr>
          <w:rFonts w:ascii="Arial" w:eastAsia="Arial" w:hAnsi="Arial" w:cs="Arial"/>
          <w:i/>
          <w:color w:val="000000"/>
          <w:sz w:val="20"/>
        </w:rPr>
        <w:t>Havens Realty</w:t>
      </w:r>
      <w:r>
        <w:rPr>
          <w:rFonts w:ascii="Arial" w:eastAsia="Arial" w:hAnsi="Arial" w:cs="Arial"/>
          <w:color w:val="000000"/>
          <w:sz w:val="20"/>
        </w:rPr>
        <w:t xml:space="preserve">, 455 U.S. at 373-74). </w:t>
      </w:r>
      <w:bookmarkStart w:id="2018" w:name="Bookmark_I67K33WH2HM6NN0040000400"/>
      <w:bookmarkEnd w:id="2018"/>
      <w:r>
        <w:rPr>
          <w:rFonts w:ascii="Arial" w:eastAsia="Arial" w:hAnsi="Arial" w:cs="Arial"/>
          <w:color w:val="000000"/>
          <w:sz w:val="20"/>
        </w:rPr>
        <w:t xml:space="preserve">In contrast, </w:t>
      </w:r>
      <w:bookmarkStart w:id="2019" w:name="Bookmark_I67K33WH2HM6NN0040000400_2"/>
      <w:bookmarkStart w:id="2020" w:name="Bookmark_I67K33WH2HM6NN0020000400_2"/>
      <w:bookmarkStart w:id="2021" w:name="Bookmark_I67K33WH2HM6NN0010000400"/>
      <w:bookmarkEnd w:id="2019"/>
      <w:bookmarkEnd w:id="2020"/>
      <w:bookmarkEnd w:id="2021"/>
      <w:r>
        <w:rPr>
          <w:rFonts w:ascii="Arial" w:eastAsia="Arial" w:hAnsi="Arial" w:cs="Arial"/>
          <w:i/>
          <w:color w:val="000000"/>
          <w:sz w:val="20"/>
        </w:rPr>
        <w:t>Griffin</w:t>
      </w:r>
      <w:bookmarkStart w:id="2022" w:name="Bookmark_I67K33WH2D6NNW0010000400"/>
      <w:bookmarkEnd w:id="2022"/>
      <w:r>
        <w:rPr>
          <w:rFonts w:ascii="Arial" w:eastAsia="Arial" w:hAnsi="Arial" w:cs="Arial"/>
          <w:color w:val="000000"/>
          <w:sz w:val="20"/>
        </w:rPr>
        <w:t xml:space="preserve"> involved a failure to obtain information about [**39]  services that the plaintiff was "barred by law" from using. </w:t>
      </w:r>
      <w:r>
        <w:rPr>
          <w:rFonts w:ascii="Arial" w:eastAsia="Arial" w:hAnsi="Arial" w:cs="Arial"/>
          <w:i/>
          <w:color w:val="000000"/>
          <w:sz w:val="20"/>
        </w:rPr>
        <w:t xml:space="preserve">See </w:t>
      </w:r>
      <w:bookmarkStart w:id="2023" w:name="Bookmark_I67K33WH2HM6NN0030000400"/>
      <w:bookmarkEnd w:id="2023"/>
      <w:r>
        <w:rPr>
          <w:rFonts w:ascii="Arial" w:eastAsia="Arial" w:hAnsi="Arial" w:cs="Arial"/>
          <w:i/>
          <w:color w:val="000000"/>
          <w:sz w:val="20"/>
        </w:rPr>
        <w:t>Griffin</w:t>
      </w:r>
      <w:r>
        <w:rPr>
          <w:rFonts w:ascii="Arial" w:eastAsia="Arial" w:hAnsi="Arial" w:cs="Arial"/>
          <w:color w:val="000000"/>
          <w:sz w:val="20"/>
        </w:rPr>
        <w:t xml:space="preserve">, 912 F.3d at 653 (emphasis omitted). </w:t>
      </w:r>
      <w:bookmarkStart w:id="2024" w:name="Bookmark_I67K33WH2D6NNW0010000400_2"/>
      <w:bookmarkEnd w:id="2024"/>
      <w:r>
        <w:rPr>
          <w:rFonts w:ascii="Arial" w:eastAsia="Arial" w:hAnsi="Arial" w:cs="Arial"/>
          <w:color w:val="000000"/>
          <w:sz w:val="20"/>
        </w:rPr>
        <w:t xml:space="preserve">Consequently, we were not bound in </w:t>
      </w:r>
      <w:bookmarkStart w:id="2025" w:name="Bookmark_I67K33WH2D6NNW0010000400_3"/>
      <w:bookmarkStart w:id="2026" w:name="Bookmark_I67K33WH2HM6NN0050000400"/>
      <w:bookmarkEnd w:id="2025"/>
      <w:bookmarkEnd w:id="2026"/>
      <w:r>
        <w:rPr>
          <w:rFonts w:ascii="Arial" w:eastAsia="Arial" w:hAnsi="Arial" w:cs="Arial"/>
          <w:i/>
          <w:color w:val="000000"/>
          <w:sz w:val="20"/>
        </w:rPr>
        <w:t>Griffin</w:t>
      </w:r>
      <w:bookmarkStart w:id="2027" w:name="Bookmark_I67K33WH2D6NNW0050000400"/>
      <w:bookmarkEnd w:id="2027"/>
      <w:r>
        <w:rPr>
          <w:rFonts w:ascii="Arial" w:eastAsia="Arial" w:hAnsi="Arial" w:cs="Arial"/>
          <w:color w:val="000000"/>
          <w:sz w:val="20"/>
        </w:rPr>
        <w:t xml:space="preserve"> to follow the </w:t>
      </w:r>
      <w:bookmarkStart w:id="2028" w:name="Bookmark_I67K33WH2D6NNW0020000400"/>
      <w:bookmarkEnd w:id="2028"/>
      <w:r>
        <w:rPr>
          <w:rFonts w:ascii="Arial" w:eastAsia="Arial" w:hAnsi="Arial" w:cs="Arial"/>
          <w:i/>
          <w:color w:val="000000"/>
          <w:sz w:val="20"/>
        </w:rPr>
        <w:t>Havens Realty</w:t>
      </w:r>
      <w:r>
        <w:rPr>
          <w:rFonts w:ascii="Arial" w:eastAsia="Arial" w:hAnsi="Arial" w:cs="Arial"/>
          <w:color w:val="000000"/>
          <w:sz w:val="20"/>
        </w:rPr>
        <w:t xml:space="preserve"> line of decisions. </w:t>
      </w:r>
      <w:r>
        <w:rPr>
          <w:rFonts w:ascii="Arial" w:eastAsia="Arial" w:hAnsi="Arial" w:cs="Arial"/>
          <w:i/>
          <w:color w:val="000000"/>
          <w:sz w:val="20"/>
        </w:rPr>
        <w:t xml:space="preserve">Cf. </w:t>
      </w:r>
      <w:bookmarkStart w:id="2029" w:name="Bookmark_I67K33WH2D6NNW0040000400"/>
      <w:bookmarkEnd w:id="2029"/>
      <w:r>
        <w:rPr>
          <w:rFonts w:ascii="Arial" w:eastAsia="Arial" w:hAnsi="Arial" w:cs="Arial"/>
          <w:i/>
          <w:color w:val="000000"/>
          <w:sz w:val="20"/>
        </w:rPr>
        <w:t>TransUnion</w:t>
      </w:r>
      <w:r>
        <w:rPr>
          <w:rFonts w:ascii="Arial" w:eastAsia="Arial" w:hAnsi="Arial" w:cs="Arial"/>
          <w:color w:val="000000"/>
          <w:sz w:val="20"/>
        </w:rPr>
        <w:t xml:space="preserve">, 141 S. Ct. at 2214 (distinguishing </w:t>
      </w:r>
      <w:bookmarkStart w:id="2030" w:name="Bookmark_I67K33WH2D6NNW0050000400_2"/>
      <w:bookmarkStart w:id="2031" w:name="Bookmark_I67K33WH2SF7KG0010000400"/>
      <w:bookmarkEnd w:id="2030"/>
      <w:bookmarkEnd w:id="2031"/>
      <w:r>
        <w:rPr>
          <w:rFonts w:ascii="Arial" w:eastAsia="Arial" w:hAnsi="Arial" w:cs="Arial"/>
          <w:i/>
          <w:color w:val="000000"/>
          <w:sz w:val="20"/>
        </w:rPr>
        <w:t>Public Citizen</w:t>
      </w:r>
      <w:r>
        <w:rPr>
          <w:rFonts w:ascii="Arial" w:eastAsia="Arial" w:hAnsi="Arial" w:cs="Arial"/>
          <w:color w:val="000000"/>
          <w:sz w:val="20"/>
        </w:rPr>
        <w:t xml:space="preserve"> and </w:t>
      </w:r>
      <w:bookmarkStart w:id="2032" w:name="Bookmark_I67K33WH2SF7KG0030000400"/>
      <w:bookmarkEnd w:id="2032"/>
      <w:r>
        <w:rPr>
          <w:rFonts w:ascii="Arial" w:eastAsia="Arial" w:hAnsi="Arial" w:cs="Arial"/>
          <w:i/>
          <w:color w:val="000000"/>
          <w:sz w:val="20"/>
        </w:rPr>
        <w:t>Akins</w:t>
      </w:r>
      <w:r>
        <w:rPr>
          <w:rFonts w:ascii="Arial" w:eastAsia="Arial" w:hAnsi="Arial" w:cs="Arial"/>
          <w:color w:val="000000"/>
          <w:sz w:val="20"/>
        </w:rPr>
        <w:t xml:space="preserve"> before indicating that </w:t>
      </w:r>
      <w:bookmarkStart w:id="2033" w:name="Bookmark_I67K33WH2SF7KG0050000400"/>
      <w:bookmarkEnd w:id="2033"/>
      <w:r>
        <w:rPr>
          <w:rFonts w:ascii="Arial" w:eastAsia="Arial" w:hAnsi="Arial" w:cs="Arial"/>
          <w:i/>
          <w:color w:val="000000"/>
          <w:sz w:val="20"/>
        </w:rPr>
        <w:t>TransUnion</w:t>
      </w:r>
      <w:r>
        <w:rPr>
          <w:rFonts w:ascii="Arial" w:eastAsia="Arial" w:hAnsi="Arial" w:cs="Arial"/>
          <w:color w:val="000000"/>
          <w:sz w:val="20"/>
        </w:rPr>
        <w:t xml:space="preserve"> plaintiffs needed to show use for information provided in wrong format).</w:t>
      </w:r>
      <w:r>
        <w:rPr>
          <w:rFonts w:ascii="Arial" w:eastAsia="Arial" w:hAnsi="Arial" w:cs="Arial"/>
          <w:vertAlign w:val="superscript"/>
        </w:rPr>
        <w:footnoteReference w:customMarkFollows="1" w:id="42"/>
        <w:t>9</w:t>
      </w:r>
    </w:p>
    <w:p w:rsidR="00022B47" w:rsidRDefault="00000000">
      <w:pPr>
        <w:pStyle w:val="Normal9"/>
        <w:widowControl w:val="0"/>
        <w:spacing w:before="200" w:line="260" w:lineRule="atLeast"/>
        <w:jc w:val="both"/>
      </w:pPr>
      <w:bookmarkStart w:id="2055" w:name="Bookmark_para_69_0"/>
      <w:bookmarkStart w:id="2056" w:name="Bookmark_I67K33WH2SF7KH0030000400"/>
      <w:bookmarkEnd w:id="2055"/>
      <w:bookmarkEnd w:id="2056"/>
      <w:r>
        <w:rPr>
          <w:rFonts w:ascii="Arial" w:eastAsia="Arial" w:hAnsi="Arial" w:cs="Arial"/>
          <w:color w:val="000000"/>
          <w:sz w:val="20"/>
        </w:rPr>
        <w:t xml:space="preserve"> [*174]  In relying on </w:t>
      </w:r>
      <w:bookmarkStart w:id="2057" w:name="Bookmark_I67K33WH2SF7KH0020000400"/>
      <w:bookmarkEnd w:id="2057"/>
      <w:r>
        <w:rPr>
          <w:rFonts w:ascii="Arial" w:eastAsia="Arial" w:hAnsi="Arial" w:cs="Arial"/>
          <w:i/>
          <w:color w:val="000000"/>
          <w:sz w:val="20"/>
        </w:rPr>
        <w:t>Griffin</w:t>
      </w:r>
      <w:bookmarkStart w:id="2058" w:name="Bookmark_I67K33WH2N1PW80020000400"/>
      <w:bookmarkEnd w:id="2058"/>
      <w:r>
        <w:rPr>
          <w:rFonts w:ascii="Arial" w:eastAsia="Arial" w:hAnsi="Arial" w:cs="Arial"/>
          <w:color w:val="000000"/>
          <w:sz w:val="20"/>
        </w:rPr>
        <w:t xml:space="preserve"> in these proceedings, the Maryland district court acknowledged both that this Court "was careful to limit its holding to the facts of </w:t>
      </w:r>
      <w:bookmarkStart w:id="2059" w:name="Bookmark_I67K33WH2SF7KH0040000400"/>
      <w:bookmarkEnd w:id="2059"/>
      <w:r>
        <w:rPr>
          <w:rFonts w:ascii="Arial" w:eastAsia="Arial" w:hAnsi="Arial" w:cs="Arial"/>
          <w:i/>
          <w:color w:val="000000"/>
          <w:sz w:val="20"/>
        </w:rPr>
        <w:t>Griffin</w:t>
      </w:r>
      <w:r>
        <w:rPr>
          <w:rFonts w:ascii="Arial" w:eastAsia="Arial" w:hAnsi="Arial" w:cs="Arial"/>
          <w:color w:val="000000"/>
          <w:sz w:val="20"/>
        </w:rPr>
        <w:t xml:space="preserve">" and that the facts of Laufer's case are different, as "there is no legal impediment barring [Laufer] from reserving a room at [Naranda's hotel]." </w:t>
      </w:r>
      <w:r>
        <w:rPr>
          <w:rFonts w:ascii="Arial" w:eastAsia="Arial" w:hAnsi="Arial" w:cs="Arial"/>
          <w:i/>
          <w:color w:val="000000"/>
          <w:sz w:val="20"/>
        </w:rPr>
        <w:t>See</w:t>
      </w:r>
      <w:r>
        <w:rPr>
          <w:rFonts w:ascii="Arial" w:eastAsia="Arial" w:hAnsi="Arial" w:cs="Arial"/>
          <w:color w:val="000000"/>
          <w:sz w:val="20"/>
        </w:rPr>
        <w:t xml:space="preserve"> Dismissal Opinion 8-9. </w:t>
      </w:r>
      <w:bookmarkStart w:id="2060" w:name="Bookmark_I67K33WH2N1PW80020000400_2"/>
      <w:bookmarkEnd w:id="2060"/>
      <w:r>
        <w:rPr>
          <w:rFonts w:ascii="Arial" w:eastAsia="Arial" w:hAnsi="Arial" w:cs="Arial"/>
          <w:color w:val="000000"/>
          <w:sz w:val="20"/>
        </w:rPr>
        <w:t>Nevertheless, the district court found "</w:t>
      </w:r>
      <w:bookmarkStart w:id="2061" w:name="Bookmark_I67K33WH2N1PW80020000400_3"/>
      <w:bookmarkStart w:id="2062" w:name="Bookmark_I67K33WH2N1PW80010000400"/>
      <w:bookmarkEnd w:id="2061"/>
      <w:bookmarkEnd w:id="2062"/>
      <w:r>
        <w:rPr>
          <w:rFonts w:ascii="Arial" w:eastAsia="Arial" w:hAnsi="Arial" w:cs="Arial"/>
          <w:i/>
          <w:color w:val="000000"/>
          <w:sz w:val="20"/>
        </w:rPr>
        <w:t>Griffin</w:t>
      </w:r>
      <w:bookmarkStart w:id="2063" w:name="Bookmark_I67K33WH2N1PW80040000400"/>
      <w:bookmarkEnd w:id="2063"/>
      <w:r>
        <w:rPr>
          <w:rFonts w:ascii="Arial" w:eastAsia="Arial" w:hAnsi="Arial" w:cs="Arial"/>
          <w:color w:val="000000"/>
          <w:sz w:val="20"/>
        </w:rPr>
        <w:t xml:space="preserve">'s underlying reasoning [to have] unmistakable force." </w:t>
      </w:r>
      <w:r>
        <w:rPr>
          <w:rFonts w:ascii="Arial" w:eastAsia="Arial" w:hAnsi="Arial" w:cs="Arial"/>
          <w:i/>
          <w:color w:val="000000"/>
          <w:sz w:val="20"/>
        </w:rPr>
        <w:t>Id.</w:t>
      </w:r>
      <w:r>
        <w:rPr>
          <w:rFonts w:ascii="Arial" w:eastAsia="Arial" w:hAnsi="Arial" w:cs="Arial"/>
          <w:color w:val="000000"/>
          <w:sz w:val="20"/>
        </w:rPr>
        <w:t xml:space="preserve"> at 9. Accordingly, the district court required Laufer to demonstrate that the information she failed to obtain from Naranda's hotel reservation websites had "some relevance" to her, i.e., that when she visited the websites, she had a definite and credible plan to travel to the Baltimore area and book a hotel room there. </w:t>
      </w:r>
      <w:r>
        <w:rPr>
          <w:rFonts w:ascii="Arial" w:eastAsia="Arial" w:hAnsi="Arial" w:cs="Arial"/>
          <w:i/>
          <w:color w:val="000000"/>
          <w:sz w:val="20"/>
        </w:rPr>
        <w:t>Id.</w:t>
      </w:r>
      <w:r>
        <w:rPr>
          <w:rFonts w:ascii="Arial" w:eastAsia="Arial" w:hAnsi="Arial" w:cs="Arial"/>
          <w:color w:val="000000"/>
          <w:sz w:val="20"/>
        </w:rPr>
        <w:t xml:space="preserve"> (emphasis omitted) (quoting </w:t>
      </w:r>
      <w:bookmarkStart w:id="2064" w:name="Bookmark_I67K33WH2N1PW80030000400"/>
      <w:bookmarkEnd w:id="2064"/>
      <w:r>
        <w:rPr>
          <w:rFonts w:ascii="Arial" w:eastAsia="Arial" w:hAnsi="Arial" w:cs="Arial"/>
          <w:i/>
          <w:color w:val="000000"/>
          <w:sz w:val="20"/>
        </w:rPr>
        <w:t>Griffin</w:t>
      </w:r>
      <w:r>
        <w:rPr>
          <w:rFonts w:ascii="Arial" w:eastAsia="Arial" w:hAnsi="Arial" w:cs="Arial"/>
          <w:color w:val="000000"/>
          <w:sz w:val="20"/>
        </w:rPr>
        <w:t>, 912 F.3d at 654).</w:t>
      </w:r>
    </w:p>
    <w:p w:rsidR="00022B47" w:rsidRDefault="00000000">
      <w:pPr>
        <w:pStyle w:val="Normal9"/>
        <w:widowControl w:val="0"/>
        <w:spacing w:before="200" w:line="260" w:lineRule="atLeast"/>
        <w:jc w:val="both"/>
      </w:pPr>
      <w:bookmarkStart w:id="2065" w:name="Bookmark_para_70_0"/>
      <w:bookmarkStart w:id="2066" w:name="Bookmark_I67K33WH2D6NNY0010000400"/>
      <w:bookmarkEnd w:id="2065"/>
      <w:bookmarkEnd w:id="2066"/>
      <w:r>
        <w:rPr>
          <w:rFonts w:ascii="Arial" w:eastAsia="Arial" w:hAnsi="Arial" w:cs="Arial"/>
          <w:color w:val="000000"/>
          <w:sz w:val="20"/>
        </w:rPr>
        <w:t xml:space="preserve">The fatal flaw in the district court's analysis is that the court was not free to choose to follow our </w:t>
      </w:r>
      <w:bookmarkStart w:id="2067" w:name="Bookmark_I67K33WH2N1PW80050000400"/>
      <w:bookmarkEnd w:id="2067"/>
      <w:r>
        <w:rPr>
          <w:rFonts w:ascii="Arial" w:eastAsia="Arial" w:hAnsi="Arial" w:cs="Arial"/>
          <w:i/>
          <w:color w:val="000000"/>
          <w:sz w:val="20"/>
        </w:rPr>
        <w:t>Griffin</w:t>
      </w:r>
      <w:bookmarkStart w:id="2068" w:name="Bookmark_I67K33WH2D6NNY0050000400"/>
      <w:bookmarkEnd w:id="2068"/>
      <w:r>
        <w:rPr>
          <w:rFonts w:ascii="Arial" w:eastAsia="Arial" w:hAnsi="Arial" w:cs="Arial"/>
          <w:color w:val="000000"/>
          <w:sz w:val="20"/>
        </w:rPr>
        <w:t xml:space="preserve"> decision rather than the Supreme [**40]  Court's </w:t>
      </w:r>
      <w:bookmarkStart w:id="2069" w:name="Bookmark_I67K33WH2D6NNY0020000400"/>
      <w:bookmarkEnd w:id="2069"/>
      <w:r>
        <w:rPr>
          <w:rFonts w:ascii="Arial" w:eastAsia="Arial" w:hAnsi="Arial" w:cs="Arial"/>
          <w:i/>
          <w:color w:val="000000"/>
          <w:sz w:val="20"/>
        </w:rPr>
        <w:t>Havens Realty</w:t>
      </w:r>
      <w:r>
        <w:rPr>
          <w:rFonts w:ascii="Arial" w:eastAsia="Arial" w:hAnsi="Arial" w:cs="Arial"/>
          <w:color w:val="000000"/>
          <w:sz w:val="20"/>
        </w:rPr>
        <w:t xml:space="preserve"> line of decisions. </w:t>
      </w:r>
      <w:bookmarkStart w:id="2070" w:name="Bookmark_I67K33WH2D6NNY0050000400_2"/>
      <w:bookmarkStart w:id="2071" w:name="Bookmark_I1XXT3FY69X0000814900030"/>
      <w:bookmarkStart w:id="2072" w:name="Bookmark_I67K33WH2HM6NR0020000400"/>
      <w:bookmarkEnd w:id="2070"/>
      <w:bookmarkEnd w:id="2071"/>
      <w:bookmarkEnd w:id="2072"/>
      <w:r>
        <w:rPr>
          <w:rFonts w:ascii="Arial" w:eastAsia="Arial" w:hAnsi="Arial" w:cs="Arial"/>
          <w:color w:val="000000"/>
          <w:sz w:val="20"/>
        </w:rPr>
        <w:t xml:space="preserve">As the district court itself recognized, the </w:t>
      </w:r>
      <w:bookmarkStart w:id="2073" w:name="Bookmark_I67K33WH2HM6NR0020000400_2"/>
      <w:bookmarkStart w:id="2074" w:name="Bookmark_I67K33WH2D6NNY0050000400_3"/>
      <w:bookmarkStart w:id="2075" w:name="Bookmark_I67K33WH2D6NNY0040000400"/>
      <w:bookmarkEnd w:id="2073"/>
      <w:bookmarkEnd w:id="2074"/>
      <w:bookmarkEnd w:id="2075"/>
      <w:r>
        <w:rPr>
          <w:rFonts w:ascii="Arial" w:eastAsia="Arial" w:hAnsi="Arial" w:cs="Arial"/>
          <w:i/>
          <w:color w:val="000000"/>
          <w:sz w:val="20"/>
        </w:rPr>
        <w:t>Griffin</w:t>
      </w:r>
      <w:r>
        <w:rPr>
          <w:rFonts w:ascii="Arial" w:eastAsia="Arial" w:hAnsi="Arial" w:cs="Arial"/>
          <w:color w:val="000000"/>
          <w:sz w:val="20"/>
        </w:rPr>
        <w:t xml:space="preserve"> decision is distinguishable and thus merely persuasive. The Supreme Court's </w:t>
      </w:r>
      <w:bookmarkStart w:id="2076" w:name="Bookmark_I67K33WH2HM6NR0020000400_3"/>
      <w:bookmarkStart w:id="2077" w:name="Bookmark_I67K33WH2HM6NR0010000400"/>
      <w:bookmarkEnd w:id="2076"/>
      <w:bookmarkEnd w:id="2077"/>
      <w:r>
        <w:rPr>
          <w:rFonts w:ascii="Arial" w:eastAsia="Arial" w:hAnsi="Arial" w:cs="Arial"/>
          <w:i/>
          <w:color w:val="000000"/>
          <w:sz w:val="20"/>
        </w:rPr>
        <w:t>Havens Realty</w:t>
      </w:r>
      <w:r>
        <w:rPr>
          <w:rFonts w:ascii="Arial" w:eastAsia="Arial" w:hAnsi="Arial" w:cs="Arial"/>
          <w:color w:val="000000"/>
          <w:sz w:val="20"/>
        </w:rPr>
        <w:t xml:space="preserve"> line of decisions, however, has direct application and therefore controls.</w:t>
      </w:r>
    </w:p>
    <w:p w:rsidR="00022B47" w:rsidRDefault="00000000">
      <w:pPr>
        <w:pStyle w:val="Normal9"/>
        <w:widowControl w:val="0"/>
        <w:spacing w:before="120" w:line="260" w:lineRule="atLeast"/>
      </w:pPr>
      <w:r>
        <w:rPr>
          <w:rFonts w:ascii="Arial" w:eastAsia="Arial" w:hAnsi="Arial" w:cs="Arial"/>
          <w:color w:val="000000"/>
          <w:sz w:val="20"/>
        </w:rPr>
        <w:t>* * *</w:t>
      </w:r>
    </w:p>
    <w:p w:rsidR="00022B47" w:rsidRDefault="00000000">
      <w:pPr>
        <w:pStyle w:val="Normal9"/>
        <w:widowControl w:val="0"/>
        <w:spacing w:before="200" w:line="260" w:lineRule="atLeast"/>
        <w:jc w:val="both"/>
      </w:pPr>
      <w:bookmarkStart w:id="2078" w:name="Bookmark_para_71_0"/>
      <w:bookmarkEnd w:id="2078"/>
      <w:r>
        <w:rPr>
          <w:rFonts w:ascii="Arial" w:eastAsia="Arial" w:hAnsi="Arial" w:cs="Arial"/>
          <w:color w:val="000000"/>
          <w:sz w:val="20"/>
        </w:rPr>
        <w:t>In closing, we reiterate our conclusion that Laufer's allegation of an informational injury accords her Article III standing to pursue her ADA claim against Naranda and to seek injunctive relief. We also recognize that our decision today appears to even the split among the courts of appeals at 3-3 — three circuits that have ruled in Laufer's favor based on an informational or stigmatic injury, and three that have ruled against her and similarly situated plaintiff Harty. We are confident that, as explained herein, the applicable precedents best support our position. Finally, we emphasize that the merits of Laufer's ADA claim were not before us today, that we state no opinion on the factual or legal basis of that claim, and that it is up to the district court to consider those issues in the first instance on remand. Pursuant to the foregoing, we vacate the judgment of the district court and remand for such other and further proceedings as may be appropriate.</w:t>
      </w:r>
    </w:p>
    <w:p w:rsidR="00022B47" w:rsidRDefault="00000000">
      <w:pPr>
        <w:pStyle w:val="Normal9"/>
        <w:widowControl w:val="0"/>
        <w:spacing w:before="120" w:line="260" w:lineRule="atLeast"/>
      </w:pPr>
      <w:r>
        <w:rPr>
          <w:rFonts w:ascii="Arial" w:eastAsia="Arial" w:hAnsi="Arial" w:cs="Arial"/>
          <w:color w:val="000000"/>
          <w:sz w:val="20"/>
        </w:rPr>
        <w:t>III.</w:t>
      </w:r>
    </w:p>
    <w:p w:rsidR="00022B47" w:rsidRDefault="00000000">
      <w:pPr>
        <w:pStyle w:val="Normal9"/>
        <w:widowControl w:val="0"/>
        <w:spacing w:before="200" w:line="260" w:lineRule="atLeast"/>
        <w:jc w:val="both"/>
      </w:pPr>
      <w:bookmarkStart w:id="2079" w:name="Bookmark_para_72_0"/>
      <w:bookmarkEnd w:id="2079"/>
      <w:r>
        <w:rPr>
          <w:rFonts w:ascii="Arial" w:eastAsia="Arial" w:hAnsi="Arial" w:cs="Arial"/>
          <w:i/>
          <w:color w:val="000000"/>
          <w:sz w:val="20"/>
        </w:rPr>
        <w:t>VACATED [**41]  AND REMANDED</w:t>
      </w:r>
    </w:p>
    <w:p w:rsidR="00022B47" w:rsidRDefault="00022B47">
      <w:pPr>
        <w:pStyle w:val="Normal9"/>
      </w:pPr>
    </w:p>
    <w:p w:rsidR="00022B47" w:rsidRDefault="00000000">
      <w:pPr>
        <w:pStyle w:val="Normal9"/>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677696"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610977247"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FB854B" id="Line 21"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10"/>
        <w:sectPr w:rsidR="00022B47">
          <w:headerReference w:type="even" r:id="rId67"/>
          <w:headerReference w:type="default" r:id="rId68"/>
          <w:footerReference w:type="even" r:id="rId69"/>
          <w:footerReference w:type="default" r:id="rId70"/>
          <w:headerReference w:type="first" r:id="rId71"/>
          <w:footerReference w:type="first" r:id="rId72"/>
          <w:pgSz w:w="12240" w:h="15840"/>
          <w:pgMar w:top="840" w:right="1000" w:bottom="840" w:left="1000" w:header="400" w:footer="400" w:gutter="0"/>
          <w:cols w:space="720"/>
          <w:titlePg/>
        </w:sectPr>
      </w:pPr>
    </w:p>
    <w:p w:rsidR="00022B47" w:rsidRDefault="00022B47">
      <w:pPr>
        <w:pStyle w:val="Normal10"/>
      </w:pPr>
    </w:p>
    <w:p w:rsidR="00022B47" w:rsidRDefault="00000000">
      <w:pPr>
        <w:pStyle w:val="Heading19"/>
        <w:keepNext w:val="0"/>
        <w:widowControl w:val="0"/>
        <w:spacing w:after="200" w:line="340" w:lineRule="atLeast"/>
        <w:jc w:val="center"/>
      </w:pPr>
      <w:r>
        <w:rPr>
          <w:rFonts w:eastAsia="Arial"/>
          <w:color w:val="000000"/>
          <w:sz w:val="28"/>
        </w:rPr>
        <w:t>Lewis v. Georgia Power Co.</w:t>
      </w:r>
    </w:p>
    <w:p w:rsidR="00022B47" w:rsidRDefault="00000000">
      <w:pPr>
        <w:pStyle w:val="Normal10"/>
        <w:widowControl w:val="0"/>
        <w:spacing w:before="120" w:line="260" w:lineRule="atLeast"/>
        <w:jc w:val="center"/>
      </w:pPr>
      <w:r>
        <w:rPr>
          <w:rFonts w:ascii="Arial" w:eastAsia="Arial" w:hAnsi="Arial" w:cs="Arial"/>
          <w:color w:val="000000"/>
          <w:sz w:val="20"/>
        </w:rPr>
        <w:t>United States Court of Appeals for the Eleventh Circuit</w:t>
      </w:r>
    </w:p>
    <w:p w:rsidR="00022B47" w:rsidRDefault="00000000">
      <w:pPr>
        <w:pStyle w:val="Normal10"/>
        <w:widowControl w:val="0"/>
        <w:spacing w:before="120" w:line="260" w:lineRule="atLeast"/>
        <w:jc w:val="center"/>
      </w:pPr>
      <w:r>
        <w:rPr>
          <w:rFonts w:ascii="Arial" w:eastAsia="Arial" w:hAnsi="Arial" w:cs="Arial"/>
          <w:color w:val="000000"/>
          <w:sz w:val="20"/>
        </w:rPr>
        <w:t>February 8, 2023, Filed</w:t>
      </w:r>
    </w:p>
    <w:p w:rsidR="00022B47" w:rsidRDefault="00000000">
      <w:pPr>
        <w:pStyle w:val="Normal10"/>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22-11395 Non-Argument Calendar</w:t>
      </w:r>
    </w:p>
    <w:p w:rsidR="00022B47" w:rsidRDefault="00022B47">
      <w:pPr>
        <w:pStyle w:val="Normal10"/>
        <w:widowControl w:val="0"/>
        <w:spacing w:line="240" w:lineRule="atLeast"/>
        <w:jc w:val="both"/>
      </w:pPr>
      <w:bookmarkStart w:id="2080" w:name="Bookmark_11"/>
      <w:bookmarkEnd w:id="2080"/>
    </w:p>
    <w:p w:rsidR="00022B47" w:rsidRDefault="00000000">
      <w:pPr>
        <w:pStyle w:val="Normal10"/>
        <w:widowControl w:val="0"/>
        <w:spacing w:before="200" w:line="240" w:lineRule="atLeast"/>
      </w:pPr>
      <w:bookmarkStart w:id="2081" w:name="Reporter_9"/>
      <w:bookmarkEnd w:id="2081"/>
      <w:r>
        <w:rPr>
          <w:rFonts w:ascii="Arial" w:eastAsia="Arial" w:hAnsi="Arial" w:cs="Arial"/>
          <w:b/>
          <w:color w:val="000000"/>
          <w:sz w:val="18"/>
        </w:rPr>
        <w:t>Reporter</w:t>
      </w:r>
    </w:p>
    <w:p w:rsidR="00022B47" w:rsidRDefault="00000000">
      <w:pPr>
        <w:pStyle w:val="Normal10"/>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2023 U.S. App. LEXIS 3084 *; 2023 WL 1818924</w:t>
      </w:r>
    </w:p>
    <w:p w:rsidR="00022B47" w:rsidRDefault="00000000">
      <w:pPr>
        <w:pStyle w:val="Normal10"/>
        <w:widowControl w:val="0"/>
        <w:spacing w:before="120" w:line="260" w:lineRule="atLeast"/>
      </w:pPr>
      <w:r>
        <w:rPr>
          <w:rFonts w:ascii="Arial" w:eastAsia="Arial" w:hAnsi="Arial" w:cs="Arial"/>
          <w:color w:val="000000"/>
          <w:sz w:val="20"/>
        </w:rPr>
        <w:t>SCOTTIE LEWIS, Plaintiff-Appellant, versus GEORGIA POWER COMPANY, Defendant-Appellee,</w:t>
      </w:r>
    </w:p>
    <w:p w:rsidR="00022B47" w:rsidRDefault="00000000">
      <w:pPr>
        <w:pStyle w:val="Normal10"/>
        <w:widowControl w:val="0"/>
        <w:spacing w:before="240" w:line="260" w:lineRule="atLeast"/>
        <w:jc w:val="both"/>
      </w:pPr>
      <w:bookmarkStart w:id="2082" w:name="Notice_2"/>
      <w:bookmarkEnd w:id="2082"/>
      <w:r>
        <w:rPr>
          <w:rFonts w:ascii="Arial" w:eastAsia="Arial" w:hAnsi="Arial" w:cs="Arial"/>
          <w:b/>
          <w:color w:val="000000"/>
          <w:sz w:val="20"/>
        </w:rPr>
        <w:t>Notice:</w:t>
      </w:r>
      <w:r>
        <w:rPr>
          <w:rFonts w:ascii="Arial" w:eastAsia="Arial" w:hAnsi="Arial" w:cs="Arial"/>
          <w:color w:val="000000"/>
          <w:sz w:val="20"/>
        </w:rPr>
        <w:t> </w:t>
      </w:r>
      <w:bookmarkStart w:id="2083" w:name="Bookmark_para_1_9"/>
      <w:bookmarkEnd w:id="2083"/>
      <w:r>
        <w:rPr>
          <w:rFonts w:ascii="Arial" w:eastAsia="Arial" w:hAnsi="Arial" w:cs="Arial"/>
          <w:color w:val="000000"/>
          <w:sz w:val="20"/>
        </w:rPr>
        <w:t>PLEASE REFER TO FEDERAL RULES OF APPELLATE PROCEDURE RULE 32.1 GOVERNING THE CITATION TO UNPUBLISHED OPINIONS.</w:t>
      </w:r>
    </w:p>
    <w:p w:rsidR="00022B47" w:rsidRDefault="00000000">
      <w:pPr>
        <w:pStyle w:val="Normal10"/>
        <w:widowControl w:val="0"/>
        <w:spacing w:before="240" w:line="260" w:lineRule="atLeast"/>
        <w:jc w:val="both"/>
      </w:pPr>
      <w:bookmarkStart w:id="2084" w:name="Prior_History_9"/>
      <w:bookmarkEnd w:id="2084"/>
      <w:r>
        <w:rPr>
          <w:rFonts w:ascii="Arial" w:eastAsia="Arial" w:hAnsi="Arial" w:cs="Arial"/>
          <w:b/>
          <w:color w:val="000000"/>
          <w:sz w:val="20"/>
        </w:rPr>
        <w:t>Prior History:</w:t>
      </w:r>
      <w:r>
        <w:rPr>
          <w:rFonts w:ascii="Arial" w:eastAsia="Arial" w:hAnsi="Arial" w:cs="Arial"/>
          <w:color w:val="000000"/>
          <w:sz w:val="20"/>
        </w:rPr>
        <w:t> </w:t>
      </w:r>
      <w:bookmarkStart w:id="2085" w:name="Bookmark_para_2_9"/>
      <w:bookmarkEnd w:id="2085"/>
      <w:r>
        <w:rPr>
          <w:rFonts w:ascii="Arial" w:eastAsia="Arial" w:hAnsi="Arial" w:cs="Arial"/>
          <w:color w:val="000000"/>
          <w:sz w:val="20"/>
        </w:rPr>
        <w:t> [*1] Appeal from the United States District Court for the Middle District of Georgia. D.C. Docket No. 1:19-cv-00173-LAG.</w:t>
      </w:r>
    </w:p>
    <w:p w:rsidR="00022B47" w:rsidRDefault="00000000">
      <w:pPr>
        <w:pStyle w:val="Normal10"/>
        <w:widowControl w:val="0"/>
        <w:spacing w:before="120" w:line="260" w:lineRule="atLeast"/>
      </w:pPr>
      <w:r>
        <w:rPr>
          <w:rFonts w:ascii="Arial" w:eastAsia="Arial" w:hAnsi="Arial" w:cs="Arial"/>
          <w:color w:val="000000"/>
          <w:sz w:val="20"/>
        </w:rPr>
        <w:t>Lewis v. Georgia Power Co., 2022 U.S. Dist. LEXIS 81397, 2022 WL 1401720 (M.D. Ga., Mar. 29, 2022)</w:t>
      </w:r>
    </w:p>
    <w:p w:rsidR="00022B47" w:rsidRDefault="00000000">
      <w:pPr>
        <w:pStyle w:val="Normal10"/>
        <w:widowControl w:val="0"/>
        <w:spacing w:before="240" w:line="260" w:lineRule="atLeast"/>
        <w:jc w:val="both"/>
      </w:pPr>
      <w:bookmarkStart w:id="2086" w:name="Disposition_3"/>
      <w:bookmarkEnd w:id="2086"/>
      <w:r>
        <w:rPr>
          <w:rFonts w:ascii="Arial" w:eastAsia="Arial" w:hAnsi="Arial" w:cs="Arial"/>
          <w:b/>
          <w:color w:val="000000"/>
          <w:sz w:val="20"/>
        </w:rPr>
        <w:t>Disposition:</w:t>
      </w:r>
      <w:r>
        <w:rPr>
          <w:rFonts w:ascii="Arial" w:eastAsia="Arial" w:hAnsi="Arial" w:cs="Arial"/>
          <w:color w:val="000000"/>
          <w:sz w:val="20"/>
        </w:rPr>
        <w:t> </w:t>
      </w:r>
      <w:bookmarkStart w:id="2087" w:name="Bookmark_clspara_4_2"/>
      <w:bookmarkEnd w:id="2087"/>
      <w:r>
        <w:rPr>
          <w:rFonts w:ascii="Arial" w:eastAsia="Arial" w:hAnsi="Arial" w:cs="Arial"/>
          <w:color w:val="000000"/>
          <w:sz w:val="20"/>
        </w:rPr>
        <w:t>AFFIRMED.</w:t>
      </w:r>
    </w:p>
    <w:p w:rsidR="00022B47" w:rsidRDefault="00000000">
      <w:pPr>
        <w:pStyle w:val="Normal10"/>
        <w:widowControl w:val="0"/>
        <w:spacing w:before="240" w:line="260" w:lineRule="atLeast"/>
      </w:pPr>
      <w:bookmarkStart w:id="2088" w:name="Counsel_9"/>
      <w:bookmarkEnd w:id="2088"/>
      <w:r>
        <w:rPr>
          <w:rFonts w:ascii="Arial" w:eastAsia="Arial" w:hAnsi="Arial" w:cs="Arial"/>
          <w:b/>
          <w:color w:val="000000"/>
          <w:sz w:val="20"/>
        </w:rPr>
        <w:t>Counsel:</w:t>
      </w:r>
      <w:r>
        <w:rPr>
          <w:rFonts w:ascii="Arial" w:eastAsia="Arial" w:hAnsi="Arial" w:cs="Arial"/>
          <w:color w:val="000000"/>
          <w:sz w:val="20"/>
        </w:rPr>
        <w:t> For SCOTTIE LEWIS, Plaintiff - Appellant: Robert D. Howell, Melissa D. Peeler, Robert D. Howell, PC, MOULTRIE, GA.</w:t>
      </w:r>
    </w:p>
    <w:p w:rsidR="00022B47" w:rsidRDefault="00000000">
      <w:pPr>
        <w:pStyle w:val="Normal10"/>
        <w:widowControl w:val="0"/>
        <w:spacing w:before="120" w:line="260" w:lineRule="atLeast"/>
      </w:pPr>
      <w:r>
        <w:rPr>
          <w:rFonts w:ascii="Arial" w:eastAsia="Arial" w:hAnsi="Arial" w:cs="Arial"/>
          <w:color w:val="000000"/>
          <w:sz w:val="20"/>
        </w:rPr>
        <w:t>For GEORGIA POWER COMPANY, Defendant - Appellee: Tashwanda Pinchback Dixon, Balch &amp; Bingham, LLP, ATLANTA, GA.</w:t>
      </w:r>
    </w:p>
    <w:p w:rsidR="00022B47" w:rsidRDefault="00000000">
      <w:pPr>
        <w:pStyle w:val="Normal10"/>
        <w:widowControl w:val="0"/>
        <w:spacing w:before="240" w:line="260" w:lineRule="atLeast"/>
      </w:pPr>
      <w:bookmarkStart w:id="2089" w:name="Judges_9"/>
      <w:bookmarkEnd w:id="2089"/>
      <w:r>
        <w:rPr>
          <w:rFonts w:ascii="Arial" w:eastAsia="Arial" w:hAnsi="Arial" w:cs="Arial"/>
          <w:b/>
          <w:color w:val="000000"/>
          <w:sz w:val="20"/>
        </w:rPr>
        <w:t>Judges:</w:t>
      </w:r>
      <w:r>
        <w:rPr>
          <w:rFonts w:ascii="Arial" w:eastAsia="Arial" w:hAnsi="Arial" w:cs="Arial"/>
          <w:color w:val="000000"/>
          <w:sz w:val="20"/>
        </w:rPr>
        <w:t> Before NEWSOM, GRANT, and LUCK, Circuit Judges.</w:t>
      </w:r>
    </w:p>
    <w:p w:rsidR="00022B47" w:rsidRDefault="00000000">
      <w:pPr>
        <w:pStyle w:val="Normal10"/>
        <w:keepNext/>
        <w:widowControl w:val="0"/>
        <w:spacing w:before="240" w:line="340" w:lineRule="atLeast"/>
      </w:pPr>
      <w:bookmarkStart w:id="2090" w:name="Opinion_9"/>
      <w:bookmarkEnd w:id="2090"/>
      <w:r>
        <w:rPr>
          <w:rFonts w:ascii="Arial" w:eastAsia="Arial" w:hAnsi="Arial" w:cs="Arial"/>
          <w:b/>
          <w:color w:val="000000"/>
          <w:sz w:val="28"/>
        </w:rPr>
        <w:t>Opinion</w:t>
      </w:r>
    </w:p>
    <w:p w:rsidR="00022B47" w:rsidRDefault="0025213E">
      <w:pPr>
        <w:pStyle w:val="Normal10"/>
        <w:spacing w:line="60" w:lineRule="exact"/>
      </w:pPr>
      <w:r>
        <w:rPr>
          <w:noProof/>
        </w:rPr>
        <mc:AlternateContent>
          <mc:Choice Requires="wps">
            <w:drawing>
              <wp:anchor distT="0" distB="0" distL="114300" distR="114300" simplePos="0" relativeHeight="25167872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52923462"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3472AF" id="Line 22"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10"/>
      </w:pPr>
    </w:p>
    <w:p w:rsidR="00022B47" w:rsidRDefault="00000000">
      <w:pPr>
        <w:pStyle w:val="Normal10"/>
        <w:widowControl w:val="0"/>
        <w:spacing w:before="200" w:line="260" w:lineRule="atLeast"/>
        <w:jc w:val="both"/>
      </w:pPr>
      <w:bookmarkStart w:id="2091" w:name="Bookmark_para_3_9"/>
      <w:bookmarkEnd w:id="2091"/>
      <w:r>
        <w:rPr>
          <w:rFonts w:ascii="Arial" w:eastAsia="Arial" w:hAnsi="Arial" w:cs="Arial"/>
          <w:smallCaps/>
          <w:color w:val="000000"/>
          <w:sz w:val="20"/>
        </w:rPr>
        <w:t>Per Curiam</w:t>
      </w:r>
      <w:r>
        <w:rPr>
          <w:rFonts w:ascii="Arial" w:eastAsia="Arial" w:hAnsi="Arial" w:cs="Arial"/>
          <w:color w:val="000000"/>
          <w:sz w:val="20"/>
        </w:rPr>
        <w:t>:</w:t>
      </w:r>
    </w:p>
    <w:p w:rsidR="00022B47" w:rsidRDefault="00000000">
      <w:pPr>
        <w:pStyle w:val="Normal10"/>
        <w:widowControl w:val="0"/>
        <w:spacing w:before="200" w:line="260" w:lineRule="atLeast"/>
        <w:jc w:val="both"/>
      </w:pPr>
      <w:bookmarkStart w:id="2092" w:name="Bookmark_para_4_9"/>
      <w:bookmarkEnd w:id="2092"/>
      <w:r>
        <w:rPr>
          <w:rFonts w:ascii="Arial" w:eastAsia="Arial" w:hAnsi="Arial" w:cs="Arial"/>
          <w:color w:val="000000"/>
          <w:sz w:val="20"/>
        </w:rPr>
        <w:t>Scottie Lewis appeals the summary judgment for his former employer, Georgia Power Co., on his discrimination and retaliation claims under the Americans with Disabilities Act. We affirm.</w:t>
      </w:r>
    </w:p>
    <w:p w:rsidR="00022B47" w:rsidRDefault="00000000">
      <w:pPr>
        <w:pStyle w:val="Normal10"/>
        <w:widowControl w:val="0"/>
        <w:spacing w:before="240" w:line="260" w:lineRule="atLeast"/>
      </w:pPr>
      <w:r>
        <w:br/>
      </w:r>
      <w:r>
        <w:rPr>
          <w:rFonts w:ascii="Arial" w:eastAsia="Arial" w:hAnsi="Arial" w:cs="Arial"/>
          <w:b/>
          <w:color w:val="000000"/>
          <w:sz w:val="20"/>
        </w:rPr>
        <w:t>FACTUAL BACKGROUND AND PROCEDURAL HISTORY</w:t>
      </w:r>
    </w:p>
    <w:p w:rsidR="00022B47" w:rsidRDefault="00000000">
      <w:pPr>
        <w:pStyle w:val="Normal10"/>
        <w:widowControl w:val="0"/>
        <w:spacing w:before="200" w:line="260" w:lineRule="atLeast"/>
        <w:jc w:val="both"/>
      </w:pPr>
      <w:bookmarkStart w:id="2093" w:name="Bookmark_para_5_9"/>
      <w:bookmarkEnd w:id="2093"/>
      <w:r>
        <w:rPr>
          <w:rFonts w:ascii="Arial" w:eastAsia="Arial" w:hAnsi="Arial" w:cs="Arial"/>
          <w:color w:val="000000"/>
          <w:sz w:val="20"/>
        </w:rPr>
        <w:t>Lewis began working as a lineman at Georgia Power in 2001, and he held that same position until his termination in 2019. He also suffers from monocular vision: he has been blind in his right eye since the age of five. Lewis's condition didn't affect his ability to perform his work normally, but it did mean that he needed a medical examiner's certification, plus a federal vision waiver, to obtain a commercial driver's license (CDL). Georgia Power required all of its linemen to have a valid CDL to drive its company vehicles. To keep his CDL valid, Lewis needed to submit paperwork for his federal [*2]  vision waiver every two years.</w:t>
      </w:r>
    </w:p>
    <w:p w:rsidR="00022B47" w:rsidRDefault="00000000">
      <w:pPr>
        <w:pStyle w:val="Normal10"/>
        <w:widowControl w:val="0"/>
        <w:spacing w:before="200" w:line="260" w:lineRule="atLeast"/>
        <w:jc w:val="both"/>
      </w:pPr>
      <w:bookmarkStart w:id="2094" w:name="Bookmark_para_6_9"/>
      <w:bookmarkEnd w:id="2094"/>
      <w:r>
        <w:rPr>
          <w:rFonts w:ascii="Arial" w:eastAsia="Arial" w:hAnsi="Arial" w:cs="Arial"/>
          <w:color w:val="000000"/>
          <w:sz w:val="20"/>
        </w:rPr>
        <w:t>Georgia Power considered a CDL as "essential" to a lineman's job functions. Linemen did not necessarily drive a commercial vehicle every day, and whether any particular lineman needed to do so was "unpredictable." It was uncommon that all four members of a line crew would need to drive vehicles to a job site. But various conditions could increase the need for more drivers: broken electric poles, multiple simultaneous failures, severe storms, and the like. Lewis drove both a pickup truck and commercial vehicles as a lineman, but he only drove the commercial vehicles around four days per month. Still, Georgia Power required a valid CDL for linemen to drive even non-commercial vehicles, including a pickup truck, while on duty. Its policy permitted reasonable accommodations for a lineman who lost his CDL due to medical circumstances. But Georgia Power would not offer modified job duties to an employee after more than one loss of a CDL for a non-medical reason.</w:t>
      </w:r>
    </w:p>
    <w:p w:rsidR="00022B47" w:rsidRDefault="00000000">
      <w:pPr>
        <w:pStyle w:val="Normal10"/>
        <w:widowControl w:val="0"/>
        <w:spacing w:before="200" w:line="260" w:lineRule="atLeast"/>
        <w:jc w:val="both"/>
      </w:pPr>
      <w:bookmarkStart w:id="2095" w:name="Bookmark_para_7_9"/>
      <w:bookmarkEnd w:id="2095"/>
      <w:r>
        <w:rPr>
          <w:rFonts w:ascii="Arial" w:eastAsia="Arial" w:hAnsi="Arial" w:cs="Arial"/>
          <w:color w:val="000000"/>
          <w:sz w:val="20"/>
        </w:rPr>
        <w:t>In 2007, Lewis's CDL was suspended following a traffic citation for driving under the influence of alcohol. Ten years later, in 2017, he lost his CDL for thirty days while he waited for the government [*3]  to approve the paperwork he'd submitted to renew his federal vision exemption. He asked Georgia Power to accommodate him while his vision exemption was processed, and Georgia Power permitted him to work without driving a company vehicle for thirty days until his CDL was reinstated. Beverly Turner—then the supervisor of Georgia Power's disability management department—helped Lewis fill out the accommodation paperwork, and she categorized his accommodation request as related to a medical circumstance.</w:t>
      </w:r>
    </w:p>
    <w:p w:rsidR="00022B47" w:rsidRDefault="00000000">
      <w:pPr>
        <w:pStyle w:val="Normal10"/>
        <w:widowControl w:val="0"/>
        <w:spacing w:before="200" w:line="260" w:lineRule="atLeast"/>
        <w:jc w:val="both"/>
      </w:pPr>
      <w:bookmarkStart w:id="2096" w:name="Bookmark_para_8_9"/>
      <w:bookmarkEnd w:id="2096"/>
      <w:r>
        <w:rPr>
          <w:rFonts w:ascii="Arial" w:eastAsia="Arial" w:hAnsi="Arial" w:cs="Arial"/>
          <w:color w:val="000000"/>
          <w:sz w:val="20"/>
        </w:rPr>
        <w:t>In 2019, Lewis's vision exemption expired again—automatically suspending his CDL—because he didn't submit paperwork in time for it to be approved. The day his CDL expired, Lewis asked his supervisor for the same accommodation he'd requested in 2017—to work without driving until his CDL was reinstated. This time, when Ms. Turner reviewed Lewis's application for an accommodation, she told Lewis's supervisor that the failure to timely submit paperwork was not a medical issue. Georgia Power's labor relations supervisor reviewed Lewis's files and determined that Lewis's 2017 accommodation had been "mishandled" as a medical issue because he lost his license for submitting paperwork too late, not [*4]  because of his monocular vision. Lewis's supervisor and other management then decided to terminate Lewis; his termination letter stated that he was being discharged for failing to maintain a valid CDL for non-medical reasons in 2007, 2017, and 2019.</w:t>
      </w:r>
    </w:p>
    <w:p w:rsidR="00022B47" w:rsidRDefault="00000000">
      <w:pPr>
        <w:pStyle w:val="Normal10"/>
        <w:widowControl w:val="0"/>
        <w:spacing w:before="200" w:line="260" w:lineRule="atLeast"/>
        <w:jc w:val="both"/>
      </w:pPr>
      <w:bookmarkStart w:id="2097" w:name="Bookmark_para_9_9"/>
      <w:bookmarkEnd w:id="2097"/>
      <w:r>
        <w:rPr>
          <w:rFonts w:ascii="Arial" w:eastAsia="Arial" w:hAnsi="Arial" w:cs="Arial"/>
          <w:color w:val="000000"/>
          <w:sz w:val="20"/>
        </w:rPr>
        <w:t>Lewis sued Georgia Power in 2019. He alleged that Georgia Power had violated the Americans with Disabilities Act through failure to reasonably accommodate his disability (count one), intentional discrimination on the basis of disability (count two), and retaliation against his request for an accommodation (count three). After discovery ended, Georgia Power moved for summary judgment.</w:t>
      </w:r>
    </w:p>
    <w:p w:rsidR="00022B47" w:rsidRDefault="00000000">
      <w:pPr>
        <w:pStyle w:val="Normal10"/>
        <w:widowControl w:val="0"/>
        <w:spacing w:before="200" w:line="260" w:lineRule="atLeast"/>
        <w:jc w:val="both"/>
      </w:pPr>
      <w:bookmarkStart w:id="2098" w:name="Bookmark_para_10_9"/>
      <w:bookmarkEnd w:id="2098"/>
      <w:r>
        <w:rPr>
          <w:rFonts w:ascii="Arial" w:eastAsia="Arial" w:hAnsi="Arial" w:cs="Arial"/>
          <w:color w:val="000000"/>
          <w:sz w:val="20"/>
        </w:rPr>
        <w:t xml:space="preserve">The district court granted summary judgment for Georgia Power. As to the intentional-discrimination and reasonable-accommodation claims, the district court concluded that Lewis was not a "qualified individual." </w:t>
      </w:r>
      <w:bookmarkStart w:id="2099" w:name="Bookmark_LNHNREFclscc1_8"/>
      <w:bookmarkEnd w:id="2099"/>
      <w:r>
        <w:rPr>
          <w:rFonts w:ascii="Arial" w:eastAsia="Arial" w:hAnsi="Arial" w:cs="Arial"/>
          <w:color w:val="000000"/>
          <w:sz w:val="20"/>
        </w:rPr>
        <w:t>To be a qualified individual under the Americans with Disabilities Act, Lewis had to present summary judgment evidence that, with or without a reasonable accommodation, he could perform the essential functions of his job. But, the district court explained, the summary judgment evidence showed that having a valid CDL was an essential function of Lewis's lineman job. His "failure to maintain his CDL made him unqualified [*5]  for the position at the time of his termination."</w:t>
      </w:r>
    </w:p>
    <w:p w:rsidR="00022B47" w:rsidRDefault="00000000">
      <w:pPr>
        <w:pStyle w:val="Normal10"/>
        <w:widowControl w:val="0"/>
        <w:spacing w:before="200" w:line="260" w:lineRule="atLeast"/>
        <w:jc w:val="both"/>
      </w:pPr>
      <w:bookmarkStart w:id="2100" w:name="Bookmark_para_11_9"/>
      <w:bookmarkEnd w:id="2100"/>
      <w:r>
        <w:rPr>
          <w:rFonts w:ascii="Arial" w:eastAsia="Arial" w:hAnsi="Arial" w:cs="Arial"/>
          <w:color w:val="000000"/>
          <w:sz w:val="20"/>
        </w:rPr>
        <w:t>As to the retaliation claim, the district court concluded that Lewis's "adverse employment action—his termination—was caused not by a request for an accommodation, but by his own failure timely to submit his vision exemption paperwork." Lewis, the district court explained, "admitted during his deposition that he was not terminated in retaliation for requesting an accommodation."</w:t>
      </w:r>
    </w:p>
    <w:p w:rsidR="00022B47" w:rsidRDefault="00000000">
      <w:pPr>
        <w:pStyle w:val="Normal10"/>
        <w:widowControl w:val="0"/>
        <w:spacing w:before="200" w:line="260" w:lineRule="atLeast"/>
        <w:jc w:val="both"/>
      </w:pPr>
      <w:bookmarkStart w:id="2101" w:name="Bookmark_para_12_9"/>
      <w:bookmarkEnd w:id="2101"/>
      <w:r>
        <w:rPr>
          <w:rFonts w:ascii="Arial" w:eastAsia="Arial" w:hAnsi="Arial" w:cs="Arial"/>
          <w:color w:val="000000"/>
          <w:sz w:val="20"/>
        </w:rPr>
        <w:t>Lewis appealed the summary judgment for Georgia Power.</w:t>
      </w:r>
    </w:p>
    <w:p w:rsidR="00022B47" w:rsidRDefault="00000000">
      <w:pPr>
        <w:pStyle w:val="Normal10"/>
        <w:widowControl w:val="0"/>
        <w:spacing w:before="240" w:line="260" w:lineRule="atLeast"/>
      </w:pPr>
      <w:r>
        <w:br/>
      </w:r>
      <w:r>
        <w:rPr>
          <w:rFonts w:ascii="Arial" w:eastAsia="Arial" w:hAnsi="Arial" w:cs="Arial"/>
          <w:b/>
          <w:color w:val="000000"/>
          <w:sz w:val="20"/>
        </w:rPr>
        <w:t>STANDARD OF REVIEW</w:t>
      </w:r>
    </w:p>
    <w:p w:rsidR="00022B47" w:rsidRDefault="00000000">
      <w:pPr>
        <w:pStyle w:val="Normal10"/>
        <w:widowControl w:val="0"/>
        <w:spacing w:before="200" w:line="260" w:lineRule="atLeast"/>
        <w:jc w:val="both"/>
      </w:pPr>
      <w:bookmarkStart w:id="2102" w:name="Bookmark_para_13_9"/>
      <w:bookmarkStart w:id="2103" w:name="Bookmark_I67J4WBN2SF8V10020000400"/>
      <w:bookmarkStart w:id="2104" w:name="Bookmark_LNHNREFclscc2_8"/>
      <w:bookmarkEnd w:id="2102"/>
      <w:bookmarkEnd w:id="2103"/>
      <w:bookmarkEnd w:id="2104"/>
      <w:r>
        <w:rPr>
          <w:rFonts w:ascii="Arial" w:eastAsia="Arial" w:hAnsi="Arial" w:cs="Arial"/>
          <w:color w:val="000000"/>
          <w:sz w:val="20"/>
        </w:rPr>
        <w:t xml:space="preserve">We review de novo the district court's grant of summary judgment, viewing the record in the light most favorable to the nonmoving party. </w:t>
      </w:r>
      <w:bookmarkStart w:id="2105" w:name="Bookmark_I67J4WBN2SF8V10010000400"/>
      <w:bookmarkEnd w:id="2105"/>
      <w:r>
        <w:rPr>
          <w:rFonts w:ascii="Arial" w:eastAsia="Arial" w:hAnsi="Arial" w:cs="Arial"/>
          <w:i/>
          <w:color w:val="000000"/>
          <w:sz w:val="20"/>
        </w:rPr>
        <w:t>Owens v. Governor's Off. of Student Achievement</w:t>
      </w:r>
      <w:r>
        <w:rPr>
          <w:rFonts w:ascii="Arial" w:eastAsia="Arial" w:hAnsi="Arial" w:cs="Arial"/>
          <w:color w:val="000000"/>
          <w:sz w:val="20"/>
        </w:rPr>
        <w:t>, 52 F.4th 1327, 1333 (11th Cir. 2022). Summary judgment is appropriate where "there is no genuine dispute as to any material fact and the movant is entitled to judgment as a matter of law." Fed. R. Civ. P. 56(a).</w:t>
      </w:r>
    </w:p>
    <w:p w:rsidR="00022B47" w:rsidRDefault="00000000">
      <w:pPr>
        <w:pStyle w:val="Normal10"/>
        <w:widowControl w:val="0"/>
        <w:spacing w:before="240" w:line="260" w:lineRule="atLeast"/>
      </w:pPr>
      <w:r>
        <w:br/>
      </w:r>
      <w:r>
        <w:rPr>
          <w:rFonts w:ascii="Arial" w:eastAsia="Arial" w:hAnsi="Arial" w:cs="Arial"/>
          <w:b/>
          <w:color w:val="000000"/>
          <w:sz w:val="20"/>
        </w:rPr>
        <w:t>DISCUSSION</w:t>
      </w:r>
    </w:p>
    <w:p w:rsidR="00022B47" w:rsidRDefault="00000000">
      <w:pPr>
        <w:pStyle w:val="Normal10"/>
        <w:widowControl w:val="0"/>
        <w:spacing w:before="200" w:line="260" w:lineRule="atLeast"/>
        <w:jc w:val="both"/>
      </w:pPr>
      <w:bookmarkStart w:id="2106" w:name="Bookmark_para_14_9"/>
      <w:bookmarkEnd w:id="2106"/>
      <w:r>
        <w:rPr>
          <w:rFonts w:ascii="Arial" w:eastAsia="Arial" w:hAnsi="Arial" w:cs="Arial"/>
          <w:color w:val="000000"/>
          <w:sz w:val="20"/>
        </w:rPr>
        <w:t>Lewis alleged three counts in his complaint—(1) failure to accommodate his disability, (2) intentional discrimination against his disability, and (3) retaliatory discharge—all in violation of the Americans with Disabilities Act. We address the discrimination claims together first, then turn to the retaliation claim.</w:t>
      </w:r>
    </w:p>
    <w:p w:rsidR="00022B47" w:rsidRDefault="00000000">
      <w:pPr>
        <w:pStyle w:val="Normal10"/>
        <w:widowControl w:val="0"/>
        <w:spacing w:before="240" w:line="260" w:lineRule="atLeast"/>
      </w:pPr>
      <w:r>
        <w:br/>
      </w:r>
      <w:r>
        <w:rPr>
          <w:rFonts w:ascii="Arial" w:eastAsia="Arial" w:hAnsi="Arial" w:cs="Arial"/>
          <w:i/>
          <w:color w:val="000000"/>
          <w:sz w:val="20"/>
        </w:rPr>
        <w:t>Discrimination</w:t>
      </w:r>
    </w:p>
    <w:p w:rsidR="00022B47" w:rsidRDefault="00000000">
      <w:pPr>
        <w:pStyle w:val="Normal10"/>
        <w:widowControl w:val="0"/>
        <w:spacing w:before="200" w:line="260" w:lineRule="atLeast"/>
        <w:jc w:val="both"/>
      </w:pPr>
      <w:bookmarkStart w:id="2107" w:name="Bookmark_para_15_9"/>
      <w:bookmarkStart w:id="2108" w:name="Bookmark_I67J4WBN2SF8V10040000400"/>
      <w:bookmarkStart w:id="2109" w:name="Bookmark_LNHNREFclscc3_8"/>
      <w:bookmarkEnd w:id="2107"/>
      <w:bookmarkEnd w:id="2108"/>
      <w:bookmarkEnd w:id="2109"/>
      <w:r>
        <w:rPr>
          <w:rFonts w:ascii="Arial" w:eastAsia="Arial" w:hAnsi="Arial" w:cs="Arial"/>
          <w:color w:val="000000"/>
          <w:sz w:val="20"/>
        </w:rPr>
        <w:t xml:space="preserve">The Americans with Disabilities Act prohibits employers from taking adverse employment action "against a qualified individual on [*6]  the basis of disability." 42 U.S.C. § 12112(a). </w:t>
      </w:r>
      <w:bookmarkStart w:id="2110" w:name="Bookmark_I67J4WBN28T4GF0010000400"/>
      <w:bookmarkEnd w:id="2110"/>
      <w:r>
        <w:rPr>
          <w:rFonts w:ascii="Arial" w:eastAsia="Arial" w:hAnsi="Arial" w:cs="Arial"/>
          <w:color w:val="000000"/>
          <w:sz w:val="20"/>
        </w:rPr>
        <w:t xml:space="preserve">An employer can violate section 12112(a) either by intentional discrimination or by failing to make a reasonable accommodation for an employee's disability. </w:t>
      </w:r>
      <w:bookmarkStart w:id="2111" w:name="Bookmark_I67J4WBN28T4GF0030000400"/>
      <w:bookmarkEnd w:id="2111"/>
      <w:r>
        <w:rPr>
          <w:rFonts w:ascii="Arial" w:eastAsia="Arial" w:hAnsi="Arial" w:cs="Arial"/>
          <w:i/>
          <w:color w:val="000000"/>
          <w:sz w:val="20"/>
        </w:rPr>
        <w:t>Id.</w:t>
      </w:r>
      <w:r>
        <w:rPr>
          <w:rFonts w:ascii="Arial" w:eastAsia="Arial" w:hAnsi="Arial" w:cs="Arial"/>
          <w:color w:val="000000"/>
          <w:sz w:val="20"/>
        </w:rPr>
        <w:t xml:space="preserve"> § 12112(b)(5)(A); </w:t>
      </w:r>
      <w:bookmarkStart w:id="2112" w:name="Bookmark_I67J4WBN2SF8V10030000400"/>
      <w:bookmarkEnd w:id="2112"/>
      <w:r>
        <w:rPr>
          <w:rFonts w:ascii="Arial" w:eastAsia="Arial" w:hAnsi="Arial" w:cs="Arial"/>
          <w:i/>
          <w:color w:val="000000"/>
          <w:sz w:val="20"/>
        </w:rPr>
        <w:t>Lucas v. W.W. Grainger, Inc.</w:t>
      </w:r>
      <w:r>
        <w:rPr>
          <w:rFonts w:ascii="Arial" w:eastAsia="Arial" w:hAnsi="Arial" w:cs="Arial"/>
          <w:color w:val="000000"/>
          <w:sz w:val="20"/>
        </w:rPr>
        <w:t xml:space="preserve">, 257 F.3d 1249, 1255 (11th Cir. 2001). </w:t>
      </w:r>
      <w:bookmarkStart w:id="2113" w:name="Bookmark_I67J4WBN28T4GF0030000400_2"/>
      <w:bookmarkStart w:id="2114" w:name="Bookmark_I67J4WBN28T4GF0010000400_2"/>
      <w:bookmarkEnd w:id="2113"/>
      <w:bookmarkEnd w:id="2114"/>
      <w:r>
        <w:rPr>
          <w:rFonts w:ascii="Arial" w:eastAsia="Arial" w:hAnsi="Arial" w:cs="Arial"/>
          <w:color w:val="000000"/>
          <w:sz w:val="20"/>
        </w:rPr>
        <w:t xml:space="preserve">Under either theory of discrimination, a plaintiff must show that "he was a 'qualified individual' at the relevant time, meaning he could perform the essential functions of the job in question with or without reasonable accommodations." </w:t>
      </w:r>
      <w:r>
        <w:rPr>
          <w:rFonts w:ascii="Arial" w:eastAsia="Arial" w:hAnsi="Arial" w:cs="Arial"/>
          <w:i/>
          <w:color w:val="000000"/>
          <w:sz w:val="20"/>
        </w:rPr>
        <w:t>Id.</w:t>
      </w:r>
      <w:r>
        <w:rPr>
          <w:rFonts w:ascii="Arial" w:eastAsia="Arial" w:hAnsi="Arial" w:cs="Arial"/>
          <w:color w:val="000000"/>
          <w:sz w:val="20"/>
        </w:rPr>
        <w:t xml:space="preserve"> (citing </w:t>
      </w:r>
      <w:bookmarkStart w:id="2115" w:name="Bookmark_I67J4WBN2SF8V10050000400"/>
      <w:bookmarkEnd w:id="2115"/>
      <w:r>
        <w:rPr>
          <w:rFonts w:ascii="Arial" w:eastAsia="Arial" w:hAnsi="Arial" w:cs="Arial"/>
          <w:i/>
          <w:color w:val="000000"/>
          <w:sz w:val="20"/>
        </w:rPr>
        <w:t>Reed v. Heil Co.</w:t>
      </w:r>
      <w:r>
        <w:rPr>
          <w:rFonts w:ascii="Arial" w:eastAsia="Arial" w:hAnsi="Arial" w:cs="Arial"/>
          <w:color w:val="000000"/>
          <w:sz w:val="20"/>
        </w:rPr>
        <w:t xml:space="preserve">, 206 F.3d 1055, 1061 (11th Cir. 2000). "If the individual is unable to perform an essential function of his job, even with an accommodation, he is, by definition, not a 'qualified individual' and, therefore, not covered under the ADA." </w:t>
      </w:r>
      <w:bookmarkStart w:id="2116" w:name="Bookmark_I67J4WBN28T4GF0020000400"/>
      <w:bookmarkEnd w:id="2116"/>
      <w:r>
        <w:rPr>
          <w:rFonts w:ascii="Arial" w:eastAsia="Arial" w:hAnsi="Arial" w:cs="Arial"/>
          <w:i/>
          <w:color w:val="000000"/>
          <w:sz w:val="20"/>
        </w:rPr>
        <w:t>Holly v. Clairson Indus.</w:t>
      </w:r>
      <w:r>
        <w:rPr>
          <w:rFonts w:ascii="Arial" w:eastAsia="Arial" w:hAnsi="Arial" w:cs="Arial"/>
          <w:color w:val="000000"/>
          <w:sz w:val="20"/>
        </w:rPr>
        <w:t xml:space="preserve">, 492 F.3d 1247 (11th Cir. 2007) (quoting </w:t>
      </w:r>
      <w:bookmarkStart w:id="2117" w:name="Bookmark_I67J4WBN28T4GF0040000400"/>
      <w:bookmarkEnd w:id="2117"/>
      <w:r>
        <w:rPr>
          <w:rFonts w:ascii="Arial" w:eastAsia="Arial" w:hAnsi="Arial" w:cs="Arial"/>
          <w:i/>
          <w:color w:val="000000"/>
          <w:sz w:val="20"/>
        </w:rPr>
        <w:t>D'Angelo v. ConAgra Foods, Inc.</w:t>
      </w:r>
      <w:r>
        <w:rPr>
          <w:rFonts w:ascii="Arial" w:eastAsia="Arial" w:hAnsi="Arial" w:cs="Arial"/>
          <w:color w:val="000000"/>
          <w:sz w:val="20"/>
        </w:rPr>
        <w:t>, 422 F.3d 1220, 1229 (11th Cir. 2005)).</w:t>
      </w:r>
    </w:p>
    <w:p w:rsidR="00022B47" w:rsidRDefault="00000000">
      <w:pPr>
        <w:pStyle w:val="Normal10"/>
        <w:widowControl w:val="0"/>
        <w:spacing w:before="200" w:line="260" w:lineRule="atLeast"/>
        <w:jc w:val="both"/>
      </w:pPr>
      <w:bookmarkStart w:id="2118" w:name="Bookmark_para_16_9"/>
      <w:bookmarkStart w:id="2119" w:name="Bookmark_I67J4WBP2N1PV70020000400"/>
      <w:bookmarkStart w:id="2120" w:name="Bookmark_I67J4WBP2HM6MV0010000400"/>
      <w:bookmarkEnd w:id="2118"/>
      <w:bookmarkEnd w:id="2119"/>
      <w:bookmarkEnd w:id="2120"/>
      <w:r>
        <w:rPr>
          <w:rFonts w:ascii="Arial" w:eastAsia="Arial" w:hAnsi="Arial" w:cs="Arial"/>
          <w:color w:val="000000"/>
          <w:sz w:val="20"/>
        </w:rPr>
        <w:t xml:space="preserve">"Whether a function is essential is evaluated on a case-by-case basis by examining a number of factors." </w:t>
      </w:r>
      <w:bookmarkStart w:id="2121" w:name="Bookmark_I67J4WBP2N1PV70010000400"/>
      <w:bookmarkEnd w:id="2121"/>
      <w:r>
        <w:rPr>
          <w:rFonts w:ascii="Arial" w:eastAsia="Arial" w:hAnsi="Arial" w:cs="Arial"/>
          <w:i/>
          <w:color w:val="000000"/>
          <w:sz w:val="20"/>
        </w:rPr>
        <w:t>Lewis v. City of Union City</w:t>
      </w:r>
      <w:r>
        <w:rPr>
          <w:rFonts w:ascii="Arial" w:eastAsia="Arial" w:hAnsi="Arial" w:cs="Arial"/>
          <w:color w:val="000000"/>
          <w:sz w:val="20"/>
        </w:rPr>
        <w:t xml:space="preserve">, 934 F.3d 1169, 1182 (11th Cir. 2019) (quoting </w:t>
      </w:r>
      <w:bookmarkStart w:id="2122" w:name="Bookmark_I67J4WBP2N1PV70030000400"/>
      <w:bookmarkEnd w:id="2122"/>
      <w:r>
        <w:rPr>
          <w:rFonts w:ascii="Arial" w:eastAsia="Arial" w:hAnsi="Arial" w:cs="Arial"/>
          <w:color w:val="000000"/>
          <w:sz w:val="20"/>
        </w:rPr>
        <w:t xml:space="preserve">D'Angelo, 422 F.3d at 1230). Those factors include "the employer's judgment of whether a particular function is essential," </w:t>
      </w:r>
      <w:r>
        <w:rPr>
          <w:rFonts w:ascii="Arial" w:eastAsia="Arial" w:hAnsi="Arial" w:cs="Arial"/>
          <w:i/>
          <w:color w:val="000000"/>
          <w:sz w:val="20"/>
        </w:rPr>
        <w:t>id.</w:t>
      </w:r>
      <w:r>
        <w:rPr>
          <w:rFonts w:ascii="Arial" w:eastAsia="Arial" w:hAnsi="Arial" w:cs="Arial"/>
          <w:color w:val="000000"/>
          <w:sz w:val="20"/>
        </w:rPr>
        <w:t xml:space="preserve">, as well as: a "written job description prepared before . . . interviewing applicants for the job; the amount of time spent on the job performing the function; the consequences of not requiring the employee to perform the function"; and whether the requirement applies to "past employees in the job" or "employees in similar jobs." </w:t>
      </w:r>
      <w:r>
        <w:rPr>
          <w:rFonts w:ascii="Arial" w:eastAsia="Arial" w:hAnsi="Arial" w:cs="Arial"/>
          <w:i/>
          <w:color w:val="000000"/>
          <w:sz w:val="20"/>
        </w:rPr>
        <w:t>Id.</w:t>
      </w:r>
      <w:r>
        <w:rPr>
          <w:rFonts w:ascii="Arial" w:eastAsia="Arial" w:hAnsi="Arial" w:cs="Arial"/>
          <w:color w:val="000000"/>
          <w:sz w:val="20"/>
        </w:rPr>
        <w:t xml:space="preserve"> (quoting </w:t>
      </w:r>
      <w:bookmarkStart w:id="2123" w:name="Bookmark_I67J4WBP2N1PV70050000400"/>
      <w:bookmarkEnd w:id="2123"/>
      <w:r>
        <w:rPr>
          <w:rFonts w:ascii="Arial" w:eastAsia="Arial" w:hAnsi="Arial" w:cs="Arial"/>
          <w:i/>
          <w:color w:val="000000"/>
          <w:sz w:val="20"/>
        </w:rPr>
        <w:t>Sampson v. Fed. Exp. Corp.</w:t>
      </w:r>
      <w:r>
        <w:rPr>
          <w:rFonts w:ascii="Arial" w:eastAsia="Arial" w:hAnsi="Arial" w:cs="Arial"/>
          <w:color w:val="000000"/>
          <w:sz w:val="20"/>
        </w:rPr>
        <w:t xml:space="preserve">, 746 F.3d 1196, 1201 (11th Cir. 2014) [*7] ); </w:t>
      </w:r>
      <w:r>
        <w:rPr>
          <w:rFonts w:ascii="Arial" w:eastAsia="Arial" w:hAnsi="Arial" w:cs="Arial"/>
          <w:i/>
          <w:color w:val="000000"/>
          <w:sz w:val="20"/>
        </w:rPr>
        <w:t>see also</w:t>
      </w:r>
      <w:r>
        <w:rPr>
          <w:rFonts w:ascii="Arial" w:eastAsia="Arial" w:hAnsi="Arial" w:cs="Arial"/>
          <w:color w:val="000000"/>
          <w:sz w:val="20"/>
        </w:rPr>
        <w:t xml:space="preserve"> 29 C.F.R. § 1630.2(n)(3).</w:t>
      </w:r>
    </w:p>
    <w:p w:rsidR="00022B47" w:rsidRDefault="00000000">
      <w:pPr>
        <w:pStyle w:val="Normal10"/>
        <w:widowControl w:val="0"/>
        <w:spacing w:before="200" w:line="260" w:lineRule="atLeast"/>
        <w:jc w:val="both"/>
      </w:pPr>
      <w:bookmarkStart w:id="2124" w:name="Bookmark_para_17_9"/>
      <w:bookmarkStart w:id="2125" w:name="Bookmark_I67J4WBP2HM6MV0030000400"/>
      <w:bookmarkEnd w:id="2124"/>
      <w:bookmarkEnd w:id="2125"/>
      <w:r>
        <w:rPr>
          <w:rFonts w:ascii="Arial" w:eastAsia="Arial" w:hAnsi="Arial" w:cs="Arial"/>
          <w:color w:val="000000"/>
          <w:sz w:val="20"/>
        </w:rPr>
        <w:t xml:space="preserve">A job function can be essential even if an employer insists on it merely to improve its responsiveness to customers' needs. </w:t>
      </w:r>
      <w:bookmarkStart w:id="2126" w:name="Bookmark_I67J4WBP2HM6MV0050000400"/>
      <w:bookmarkEnd w:id="2126"/>
      <w:r>
        <w:rPr>
          <w:rFonts w:ascii="Arial" w:eastAsia="Arial" w:hAnsi="Arial" w:cs="Arial"/>
          <w:color w:val="000000"/>
          <w:sz w:val="20"/>
        </w:rPr>
        <w:t xml:space="preserve">In </w:t>
      </w:r>
      <w:r>
        <w:rPr>
          <w:rFonts w:ascii="Arial" w:eastAsia="Arial" w:hAnsi="Arial" w:cs="Arial"/>
          <w:i/>
          <w:color w:val="000000"/>
          <w:sz w:val="20"/>
        </w:rPr>
        <w:t>Davis v. Florida Power &amp; Light Co.</w:t>
      </w:r>
      <w:r>
        <w:rPr>
          <w:rFonts w:ascii="Arial" w:eastAsia="Arial" w:hAnsi="Arial" w:cs="Arial"/>
          <w:color w:val="000000"/>
          <w:sz w:val="20"/>
        </w:rPr>
        <w:t xml:space="preserve">, for example, the plaintiff worked for a power company that required its technicians to work overtime when necessary to restore power outages the same day they occurred. </w:t>
      </w:r>
      <w:bookmarkStart w:id="2127" w:name="Bookmark_I67J4WBP2HM6MV0020000400"/>
      <w:bookmarkEnd w:id="2127"/>
      <w:r>
        <w:rPr>
          <w:rFonts w:ascii="Arial" w:eastAsia="Arial" w:hAnsi="Arial" w:cs="Arial"/>
          <w:color w:val="000000"/>
          <w:sz w:val="20"/>
        </w:rPr>
        <w:t xml:space="preserve">205 F.3d 1301, 1303 (11th Cir. 2000). The plaintiff had suffered a back injury and sought a light duty schedule where he didn't need to work overtime, but the power company suspended him for refusing to work the extra hours. </w:t>
      </w:r>
      <w:bookmarkStart w:id="2128" w:name="Bookmark_I67J4WBP2HM6MV0050000400_2"/>
      <w:bookmarkStart w:id="2129" w:name="Bookmark_I67J4WBP2D6NN40020000400"/>
      <w:bookmarkStart w:id="2130" w:name="Bookmark_I67J4WBP2HM6MV0040000400"/>
      <w:bookmarkEnd w:id="2128"/>
      <w:bookmarkEnd w:id="2129"/>
      <w:bookmarkEnd w:id="2130"/>
      <w:r>
        <w:rPr>
          <w:rFonts w:ascii="Arial" w:eastAsia="Arial" w:hAnsi="Arial" w:cs="Arial"/>
          <w:i/>
          <w:color w:val="000000"/>
          <w:sz w:val="20"/>
        </w:rPr>
        <w:t>Id.</w:t>
      </w:r>
      <w:r>
        <w:rPr>
          <w:rFonts w:ascii="Arial" w:eastAsia="Arial" w:hAnsi="Arial" w:cs="Arial"/>
          <w:color w:val="000000"/>
          <w:sz w:val="20"/>
        </w:rPr>
        <w:t xml:space="preserve"> at 1304. </w:t>
      </w:r>
      <w:bookmarkStart w:id="2131" w:name="Bookmark_I67J4WBP2D6NN40020000400_2"/>
      <w:bookmarkStart w:id="2132" w:name="Bookmark_I67J4WBP2D6NN40040000400"/>
      <w:bookmarkEnd w:id="2131"/>
      <w:bookmarkEnd w:id="2132"/>
      <w:r>
        <w:rPr>
          <w:rFonts w:ascii="Arial" w:eastAsia="Arial" w:hAnsi="Arial" w:cs="Arial"/>
          <w:color w:val="000000"/>
          <w:sz w:val="20"/>
        </w:rPr>
        <w:t xml:space="preserve">We held that the plaintiff was not a qualified individual under the Americans with Disabilities Act because the ability to work overtime was an essential function of his job: the plaintiff agreed to it as a job requirement when he hired on, the power company relied on unpredictable overtime work to guarantee customers a sameday power restoration, and overtime work comprised a "substantial amount" of employees' schedules. </w:t>
      </w:r>
      <w:bookmarkStart w:id="2133" w:name="Bookmark_I67J4WBP2D6NN40010000400"/>
      <w:bookmarkEnd w:id="2133"/>
      <w:r>
        <w:rPr>
          <w:rFonts w:ascii="Arial" w:eastAsia="Arial" w:hAnsi="Arial" w:cs="Arial"/>
          <w:i/>
          <w:color w:val="000000"/>
          <w:sz w:val="20"/>
        </w:rPr>
        <w:t>Id.</w:t>
      </w:r>
      <w:r>
        <w:rPr>
          <w:rFonts w:ascii="Arial" w:eastAsia="Arial" w:hAnsi="Arial" w:cs="Arial"/>
          <w:color w:val="000000"/>
          <w:sz w:val="20"/>
        </w:rPr>
        <w:t xml:space="preserve"> at 1305. </w:t>
      </w:r>
      <w:bookmarkStart w:id="2134" w:name="Bookmark_I67J4WBP2D6NN40040000400_2"/>
      <w:bookmarkEnd w:id="2134"/>
      <w:r>
        <w:rPr>
          <w:rFonts w:ascii="Arial" w:eastAsia="Arial" w:hAnsi="Arial" w:cs="Arial"/>
          <w:color w:val="000000"/>
          <w:sz w:val="20"/>
        </w:rPr>
        <w:t xml:space="preserve">Because overtime was necessary to fulfill the plaintiff's job requirements, we concluded that refusing to work overtime essentially amounted to refusing to show up for work. </w:t>
      </w:r>
      <w:bookmarkStart w:id="2135" w:name="Bookmark_I67J4WBP2D6NN40030000400"/>
      <w:bookmarkEnd w:id="2135"/>
      <w:r>
        <w:rPr>
          <w:rFonts w:ascii="Arial" w:eastAsia="Arial" w:hAnsi="Arial" w:cs="Arial"/>
          <w:i/>
          <w:color w:val="000000"/>
          <w:sz w:val="20"/>
        </w:rPr>
        <w:t>Id.</w:t>
      </w:r>
      <w:r>
        <w:rPr>
          <w:rFonts w:ascii="Arial" w:eastAsia="Arial" w:hAnsi="Arial" w:cs="Arial"/>
          <w:color w:val="000000"/>
          <w:sz w:val="20"/>
        </w:rPr>
        <w:t xml:space="preserve"> at 1306.</w:t>
      </w:r>
    </w:p>
    <w:p w:rsidR="00022B47" w:rsidRDefault="00000000">
      <w:pPr>
        <w:pStyle w:val="Normal10"/>
        <w:widowControl w:val="0"/>
        <w:spacing w:before="200" w:line="260" w:lineRule="atLeast"/>
        <w:jc w:val="both"/>
      </w:pPr>
      <w:bookmarkStart w:id="2136" w:name="Bookmark_para_18_9"/>
      <w:bookmarkStart w:id="2137" w:name="Bookmark_I67J4WBP28T4GS0010000400"/>
      <w:bookmarkEnd w:id="2136"/>
      <w:bookmarkEnd w:id="2137"/>
      <w:r>
        <w:rPr>
          <w:rFonts w:ascii="Arial" w:eastAsia="Arial" w:hAnsi="Arial" w:cs="Arial"/>
          <w:color w:val="000000"/>
          <w:sz w:val="20"/>
        </w:rPr>
        <w:t xml:space="preserve">Here, having a CDL was an essential function of Lewis's lineman job. Like the overtime requirement [*8]  in </w:t>
      </w:r>
      <w:r>
        <w:rPr>
          <w:rFonts w:ascii="Arial" w:eastAsia="Arial" w:hAnsi="Arial" w:cs="Arial"/>
          <w:i/>
          <w:color w:val="000000"/>
          <w:sz w:val="20"/>
        </w:rPr>
        <w:t>Davis</w:t>
      </w:r>
      <w:r>
        <w:rPr>
          <w:rFonts w:ascii="Arial" w:eastAsia="Arial" w:hAnsi="Arial" w:cs="Arial"/>
          <w:color w:val="000000"/>
          <w:sz w:val="20"/>
        </w:rPr>
        <w:t xml:space="preserve">, Georgia Power's company policy required its linemen to have a valid CDL. And, while driving a company vehicle was not necessary every day, it still comprised a "substantial amount" of Lewis's job—some ten to twenty hours per week, and roughly four days per month driving a commercial vehicle that Georgia law required a CDL to operate. </w:t>
      </w:r>
      <w:r>
        <w:rPr>
          <w:rFonts w:ascii="Arial" w:eastAsia="Arial" w:hAnsi="Arial" w:cs="Arial"/>
          <w:i/>
          <w:color w:val="000000"/>
          <w:sz w:val="20"/>
        </w:rPr>
        <w:t xml:space="preserve">Cf. </w:t>
      </w:r>
      <w:bookmarkStart w:id="2138" w:name="Bookmark_I67J4WBP2D6NN40050000400"/>
      <w:bookmarkEnd w:id="2138"/>
      <w:r>
        <w:rPr>
          <w:rFonts w:ascii="Arial" w:eastAsia="Arial" w:hAnsi="Arial" w:cs="Arial"/>
          <w:i/>
          <w:color w:val="000000"/>
          <w:sz w:val="20"/>
        </w:rPr>
        <w:t>Davis</w:t>
      </w:r>
      <w:r>
        <w:rPr>
          <w:rFonts w:ascii="Arial" w:eastAsia="Arial" w:hAnsi="Arial" w:cs="Arial"/>
          <w:color w:val="000000"/>
          <w:sz w:val="20"/>
        </w:rPr>
        <w:t xml:space="preserve">, 205 F.3d at 1305 (holding that two hundred hours of annual overtime—less than twenty hours per month—constituted a "substantial amount" that weighed in favor of overtime being an essential job function). As in </w:t>
      </w:r>
      <w:r>
        <w:rPr>
          <w:rFonts w:ascii="Arial" w:eastAsia="Arial" w:hAnsi="Arial" w:cs="Arial"/>
          <w:i/>
          <w:color w:val="000000"/>
          <w:sz w:val="20"/>
        </w:rPr>
        <w:t>Davis</w:t>
      </w:r>
      <w:r>
        <w:rPr>
          <w:rFonts w:ascii="Arial" w:eastAsia="Arial" w:hAnsi="Arial" w:cs="Arial"/>
          <w:color w:val="000000"/>
          <w:sz w:val="20"/>
        </w:rPr>
        <w:t>, Lewis's supervisor testified that it was unpredictable when all four linemen on a crew team would need to operate a vehicle at a job site. Finally, if a crew member didn't have a CDL when he needed to drive, he needed to be replaced with another crew member, so the consequences of Lewis's lack of a CDL meant that Georgia Power would need to pay someone else to cover for him. The district court correctly concluded that having a CDL was an essential function of Lewis's job.</w:t>
      </w:r>
    </w:p>
    <w:p w:rsidR="00022B47" w:rsidRDefault="00000000">
      <w:pPr>
        <w:pStyle w:val="Normal10"/>
        <w:widowControl w:val="0"/>
        <w:spacing w:before="200" w:line="260" w:lineRule="atLeast"/>
        <w:jc w:val="both"/>
      </w:pPr>
      <w:bookmarkStart w:id="2139" w:name="Bookmark_para_19_9"/>
      <w:bookmarkStart w:id="2140" w:name="Bookmark_I67J4WBP28T4GS0030000400"/>
      <w:bookmarkEnd w:id="2139"/>
      <w:bookmarkEnd w:id="2140"/>
      <w:r>
        <w:rPr>
          <w:rFonts w:ascii="Arial" w:eastAsia="Arial" w:hAnsi="Arial" w:cs="Arial"/>
          <w:color w:val="000000"/>
          <w:sz w:val="20"/>
        </w:rPr>
        <w:t xml:space="preserve">Lewis argues that having a CDL was not an essential job function because he mostly drove a pickup truck, which he did not need a CDL to do under Georgia law. He doesn't dispute [*9]  that Georgia Power required a CDL for him to drive its pickup trucks, but he contends this requirement was "arbitrary" and thus not essential. </w:t>
      </w:r>
      <w:bookmarkStart w:id="2141" w:name="Bookmark_I67J4WBR2HM6N20020000400"/>
      <w:bookmarkStart w:id="2142" w:name="Bookmark_LNHNREFclscc4_8"/>
      <w:bookmarkEnd w:id="2141"/>
      <w:bookmarkEnd w:id="2142"/>
      <w:r>
        <w:rPr>
          <w:rFonts w:ascii="Arial" w:eastAsia="Arial" w:hAnsi="Arial" w:cs="Arial"/>
          <w:color w:val="000000"/>
          <w:sz w:val="20"/>
        </w:rPr>
        <w:t xml:space="preserve">But, as the district court correctly noted, "[f]ederal courts do not sit as a super-personnel department that reexamines an entity's business decisions." </w:t>
      </w:r>
      <w:bookmarkStart w:id="2143" w:name="Bookmark_I67J4WBP28T4GS0020000400"/>
      <w:bookmarkEnd w:id="2143"/>
      <w:r>
        <w:rPr>
          <w:rFonts w:ascii="Arial" w:eastAsia="Arial" w:hAnsi="Arial" w:cs="Arial"/>
          <w:i/>
          <w:color w:val="000000"/>
          <w:sz w:val="20"/>
        </w:rPr>
        <w:t>Chapman v. AI Transp.</w:t>
      </w:r>
      <w:r>
        <w:rPr>
          <w:rFonts w:ascii="Arial" w:eastAsia="Arial" w:hAnsi="Arial" w:cs="Arial"/>
          <w:color w:val="000000"/>
          <w:sz w:val="20"/>
        </w:rPr>
        <w:t xml:space="preserve">, 229 F.3d 1012, 1030 (11th Cir. 2000) (quoting </w:t>
      </w:r>
      <w:bookmarkStart w:id="2144" w:name="Bookmark_I67J4WBP28T4GS0040000400"/>
      <w:bookmarkEnd w:id="2144"/>
      <w:r>
        <w:rPr>
          <w:rFonts w:ascii="Arial" w:eastAsia="Arial" w:hAnsi="Arial" w:cs="Arial"/>
          <w:i/>
          <w:color w:val="000000"/>
          <w:sz w:val="20"/>
        </w:rPr>
        <w:t>Elrod v. Sears, Roebuck &amp; Co.</w:t>
      </w:r>
      <w:r>
        <w:rPr>
          <w:rFonts w:ascii="Arial" w:eastAsia="Arial" w:hAnsi="Arial" w:cs="Arial"/>
          <w:color w:val="000000"/>
          <w:sz w:val="20"/>
        </w:rPr>
        <w:t xml:space="preserve">, 939 F.2d 1466, 1470 (11th Cir. 1991) (marks omitted)). Lewis doesn't argue that Georgia Power's CDL requirement was itself discriminatory, and he wasn't a "qualified employee" under the Americans with Disabilities Act when he was terminated. </w:t>
      </w:r>
      <w:bookmarkStart w:id="2145" w:name="Bookmark_I67J4WBR2HM6N20020000400_2"/>
      <w:bookmarkEnd w:id="2145"/>
      <w:r>
        <w:rPr>
          <w:rFonts w:ascii="Arial" w:eastAsia="Arial" w:hAnsi="Arial" w:cs="Arial"/>
          <w:i/>
          <w:color w:val="000000"/>
          <w:sz w:val="20"/>
        </w:rPr>
        <w:t xml:space="preserve">See </w:t>
      </w:r>
      <w:bookmarkStart w:id="2146" w:name="Bookmark_I67J4WBR2HM6N20010000400"/>
      <w:bookmarkEnd w:id="2146"/>
      <w:r>
        <w:rPr>
          <w:rFonts w:ascii="Arial" w:eastAsia="Arial" w:hAnsi="Arial" w:cs="Arial"/>
          <w:i/>
          <w:color w:val="000000"/>
          <w:sz w:val="20"/>
        </w:rPr>
        <w:t>Davis</w:t>
      </w:r>
      <w:r>
        <w:rPr>
          <w:rFonts w:ascii="Arial" w:eastAsia="Arial" w:hAnsi="Arial" w:cs="Arial"/>
          <w:color w:val="000000"/>
          <w:sz w:val="20"/>
        </w:rPr>
        <w:t>, 205 F.3d at 1305. The district court did not err in granting summary judgment on Lewis's intentional-discrimination and reasonable-accommodation claims.</w:t>
      </w:r>
    </w:p>
    <w:p w:rsidR="00022B47" w:rsidRDefault="00000000">
      <w:pPr>
        <w:pStyle w:val="Normal10"/>
        <w:widowControl w:val="0"/>
        <w:spacing w:before="240" w:line="260" w:lineRule="atLeast"/>
      </w:pPr>
      <w:r>
        <w:br/>
      </w:r>
      <w:r>
        <w:rPr>
          <w:rFonts w:ascii="Arial" w:eastAsia="Arial" w:hAnsi="Arial" w:cs="Arial"/>
          <w:i/>
          <w:color w:val="000000"/>
          <w:sz w:val="20"/>
        </w:rPr>
        <w:t>Retaliation</w:t>
      </w:r>
    </w:p>
    <w:p w:rsidR="00022B47" w:rsidRDefault="00000000">
      <w:pPr>
        <w:pStyle w:val="Normal10"/>
        <w:widowControl w:val="0"/>
        <w:spacing w:before="200" w:line="260" w:lineRule="atLeast"/>
        <w:jc w:val="both"/>
      </w:pPr>
      <w:bookmarkStart w:id="2147" w:name="Bookmark_para_20_9"/>
      <w:bookmarkStart w:id="2148" w:name="Bookmark_I67J4WBR2HM6N20040000400"/>
      <w:bookmarkStart w:id="2149" w:name="Bookmark_LNHNREFclscc5_8"/>
      <w:bookmarkEnd w:id="2147"/>
      <w:bookmarkEnd w:id="2148"/>
      <w:bookmarkEnd w:id="2149"/>
      <w:r>
        <w:rPr>
          <w:rFonts w:ascii="Arial" w:eastAsia="Arial" w:hAnsi="Arial" w:cs="Arial"/>
          <w:color w:val="000000"/>
          <w:sz w:val="20"/>
        </w:rPr>
        <w:t xml:space="preserve">In addition to prohibiting discrimination, the Americans with Disabilities Act protects disabled employees from retaliation on the basis of "oppos[ing] any act or practice made unlawful by" the Act. 42 U.S.C. § 12203(a). "To establish a prima facie case of retaliation, a plaintiff must show: (1) statutorily protected expression; (2) adverse employment action; and (3) a causal link between the protected expression and the adverse action." </w:t>
      </w:r>
      <w:bookmarkStart w:id="2150" w:name="Bookmark_I67J4WBR2HM6N20030000400"/>
      <w:bookmarkEnd w:id="2150"/>
      <w:r>
        <w:rPr>
          <w:rFonts w:ascii="Arial" w:eastAsia="Arial" w:hAnsi="Arial" w:cs="Arial"/>
          <w:i/>
          <w:color w:val="000000"/>
          <w:sz w:val="20"/>
        </w:rPr>
        <w:t>Stewart v. Happy Herman's Cheshire Bridge, Inc.</w:t>
      </w:r>
      <w:r>
        <w:rPr>
          <w:rFonts w:ascii="Arial" w:eastAsia="Arial" w:hAnsi="Arial" w:cs="Arial"/>
          <w:color w:val="000000"/>
          <w:sz w:val="20"/>
        </w:rPr>
        <w:t>, 117 F.3d 1278, 1287 (11th Cir. 1997) (emphasis omitted).</w:t>
      </w:r>
    </w:p>
    <w:p w:rsidR="00022B47" w:rsidRDefault="00000000">
      <w:pPr>
        <w:pStyle w:val="Normal10"/>
        <w:widowControl w:val="0"/>
        <w:spacing w:before="200" w:line="260" w:lineRule="atLeast"/>
        <w:jc w:val="both"/>
      </w:pPr>
      <w:bookmarkStart w:id="2151" w:name="Bookmark_para_21_9"/>
      <w:bookmarkEnd w:id="2151"/>
      <w:r>
        <w:rPr>
          <w:rFonts w:ascii="Arial" w:eastAsia="Arial" w:hAnsi="Arial" w:cs="Arial"/>
          <w:color w:val="000000"/>
          <w:sz w:val="20"/>
        </w:rPr>
        <w:t>We agree with the district court that there's no genuine dispute that Lewis's request for an accommodation was not the cause of his termination. Lewis admitted [*10]  in his deposition that he was fired not because he requested an accommodation but because he could not get his paperwork in on time to renew his CDL. Lewis testified that he was not "terminated because [he] asked for more time to get [his] paperwork in." Instead, Lewis agreed, he was "terminated because [he] couldn't get [his] paperwork in." Because Lewis hasn't shown a genuine dispute that his request for an accommodation caused his termination, he hasn't shown a prima facie case of retaliation.</w:t>
      </w:r>
    </w:p>
    <w:p w:rsidR="00022B47" w:rsidRDefault="00000000">
      <w:pPr>
        <w:pStyle w:val="Normal10"/>
        <w:widowControl w:val="0"/>
        <w:spacing w:before="200" w:line="260" w:lineRule="atLeast"/>
        <w:jc w:val="both"/>
      </w:pPr>
      <w:bookmarkStart w:id="2152" w:name="Bookmark_para_22_8"/>
      <w:bookmarkEnd w:id="2152"/>
      <w:r>
        <w:rPr>
          <w:rFonts w:ascii="Arial" w:eastAsia="Arial" w:hAnsi="Arial" w:cs="Arial"/>
          <w:b/>
          <w:color w:val="000000"/>
          <w:sz w:val="20"/>
        </w:rPr>
        <w:t>AFFIRMED</w:t>
      </w:r>
      <w:r>
        <w:rPr>
          <w:rFonts w:ascii="Arial" w:eastAsia="Arial" w:hAnsi="Arial" w:cs="Arial"/>
          <w:color w:val="000000"/>
          <w:sz w:val="20"/>
        </w:rPr>
        <w:t>.</w:t>
      </w:r>
    </w:p>
    <w:p w:rsidR="00022B47" w:rsidRDefault="00022B47">
      <w:pPr>
        <w:pStyle w:val="Normal10"/>
      </w:pPr>
    </w:p>
    <w:p w:rsidR="00022B47" w:rsidRDefault="00000000">
      <w:pPr>
        <w:pStyle w:val="Normal10"/>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67974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594551158"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39110B" id="Line 23"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11"/>
        <w:sectPr w:rsidR="00022B47">
          <w:headerReference w:type="even" r:id="rId73"/>
          <w:headerReference w:type="default" r:id="rId74"/>
          <w:footerReference w:type="even" r:id="rId75"/>
          <w:footerReference w:type="default" r:id="rId76"/>
          <w:headerReference w:type="first" r:id="rId77"/>
          <w:footerReference w:type="first" r:id="rId78"/>
          <w:pgSz w:w="12240" w:h="15840"/>
          <w:pgMar w:top="840" w:right="1000" w:bottom="840" w:left="1000" w:header="400" w:footer="400" w:gutter="0"/>
          <w:cols w:space="720"/>
          <w:titlePg/>
        </w:sectPr>
      </w:pPr>
    </w:p>
    <w:p w:rsidR="00022B47" w:rsidRDefault="00022B47">
      <w:pPr>
        <w:pStyle w:val="Normal11"/>
      </w:pPr>
    </w:p>
    <w:p w:rsidR="00022B47" w:rsidRDefault="00000000">
      <w:pPr>
        <w:pStyle w:val="Heading110"/>
        <w:keepNext w:val="0"/>
        <w:widowControl w:val="0"/>
        <w:spacing w:after="200" w:line="340" w:lineRule="atLeast"/>
        <w:jc w:val="center"/>
      </w:pPr>
      <w:r>
        <w:rPr>
          <w:rFonts w:eastAsia="Arial"/>
          <w:color w:val="000000"/>
          <w:sz w:val="28"/>
        </w:rPr>
        <w:t>Tomlinson v. Krauss-Maffei Corp.</w:t>
      </w:r>
    </w:p>
    <w:p w:rsidR="00022B47" w:rsidRDefault="00000000">
      <w:pPr>
        <w:pStyle w:val="Normal11"/>
        <w:widowControl w:val="0"/>
        <w:spacing w:before="120" w:line="260" w:lineRule="atLeast"/>
        <w:jc w:val="center"/>
      </w:pPr>
      <w:r>
        <w:rPr>
          <w:rFonts w:ascii="Arial" w:eastAsia="Arial" w:hAnsi="Arial" w:cs="Arial"/>
          <w:color w:val="000000"/>
          <w:sz w:val="20"/>
        </w:rPr>
        <w:t>United States Court of Appeals for the Sixth Circuit</w:t>
      </w:r>
    </w:p>
    <w:p w:rsidR="00022B47" w:rsidRDefault="00000000">
      <w:pPr>
        <w:pStyle w:val="Normal11"/>
        <w:widowControl w:val="0"/>
        <w:spacing w:before="120" w:line="260" w:lineRule="atLeast"/>
        <w:jc w:val="center"/>
      </w:pPr>
      <w:r>
        <w:rPr>
          <w:rFonts w:ascii="Arial" w:eastAsia="Arial" w:hAnsi="Arial" w:cs="Arial"/>
          <w:color w:val="000000"/>
          <w:sz w:val="20"/>
        </w:rPr>
        <w:t>February 6, 2023, Filed</w:t>
      </w:r>
    </w:p>
    <w:p w:rsidR="00022B47" w:rsidRDefault="00000000">
      <w:pPr>
        <w:pStyle w:val="Normal11"/>
        <w:widowControl w:val="0"/>
        <w:spacing w:before="120" w:line="260" w:lineRule="atLeast"/>
        <w:jc w:val="center"/>
      </w:pPr>
      <w:r>
        <w:rPr>
          <w:rFonts w:ascii="Arial" w:eastAsia="Arial" w:hAnsi="Arial" w:cs="Arial"/>
          <w:color w:val="000000"/>
          <w:sz w:val="20"/>
        </w:rPr>
        <w:t>File Name: 23a0071n.06</w:t>
      </w:r>
    </w:p>
    <w:p w:rsidR="00022B47" w:rsidRDefault="00000000">
      <w:pPr>
        <w:pStyle w:val="Normal11"/>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Case No. 21-6245</w:t>
      </w:r>
    </w:p>
    <w:p w:rsidR="00022B47" w:rsidRDefault="00022B47">
      <w:pPr>
        <w:pStyle w:val="Normal11"/>
        <w:widowControl w:val="0"/>
        <w:spacing w:line="240" w:lineRule="atLeast"/>
        <w:jc w:val="both"/>
      </w:pPr>
      <w:bookmarkStart w:id="2153" w:name="Bookmark_12"/>
      <w:bookmarkEnd w:id="2153"/>
    </w:p>
    <w:p w:rsidR="00022B47" w:rsidRDefault="00000000">
      <w:pPr>
        <w:pStyle w:val="Normal11"/>
        <w:widowControl w:val="0"/>
        <w:spacing w:before="200" w:line="240" w:lineRule="atLeast"/>
      </w:pPr>
      <w:bookmarkStart w:id="2154" w:name="Reporter_10"/>
      <w:bookmarkEnd w:id="2154"/>
      <w:r>
        <w:rPr>
          <w:rFonts w:ascii="Arial" w:eastAsia="Arial" w:hAnsi="Arial" w:cs="Arial"/>
          <w:b/>
          <w:color w:val="000000"/>
          <w:sz w:val="18"/>
        </w:rPr>
        <w:t>Reporter</w:t>
      </w:r>
    </w:p>
    <w:p w:rsidR="00022B47" w:rsidRDefault="00000000">
      <w:pPr>
        <w:pStyle w:val="Normal11"/>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2023 U.S. App. LEXIS 2949 *; 2023 FED App. 0071N (6th Cir.); 2023 WL 1777389</w:t>
      </w:r>
    </w:p>
    <w:p w:rsidR="00022B47" w:rsidRDefault="00000000">
      <w:pPr>
        <w:pStyle w:val="Normal11"/>
        <w:widowControl w:val="0"/>
        <w:spacing w:before="120" w:line="260" w:lineRule="atLeast"/>
      </w:pPr>
      <w:r>
        <w:rPr>
          <w:rFonts w:ascii="Arial" w:eastAsia="Arial" w:hAnsi="Arial" w:cs="Arial"/>
          <w:color w:val="000000"/>
          <w:sz w:val="20"/>
        </w:rPr>
        <w:t>CURT TOMLINSON, Plaintiff-Appellant, v. KRAUSS-MAFFEI CORPORATION, Defendant-Appellee.</w:t>
      </w:r>
    </w:p>
    <w:p w:rsidR="00022B47" w:rsidRDefault="00000000">
      <w:pPr>
        <w:pStyle w:val="Normal11"/>
        <w:widowControl w:val="0"/>
        <w:spacing w:before="240" w:line="260" w:lineRule="atLeast"/>
        <w:jc w:val="both"/>
      </w:pPr>
      <w:bookmarkStart w:id="2155" w:name="Notice_3"/>
      <w:bookmarkEnd w:id="2155"/>
      <w:r>
        <w:rPr>
          <w:rFonts w:ascii="Arial" w:eastAsia="Arial" w:hAnsi="Arial" w:cs="Arial"/>
          <w:b/>
          <w:color w:val="000000"/>
          <w:sz w:val="20"/>
        </w:rPr>
        <w:t>Notice:</w:t>
      </w:r>
      <w:r>
        <w:rPr>
          <w:rFonts w:ascii="Arial" w:eastAsia="Arial" w:hAnsi="Arial" w:cs="Arial"/>
          <w:color w:val="000000"/>
          <w:sz w:val="20"/>
        </w:rPr>
        <w:t> </w:t>
      </w:r>
      <w:bookmarkStart w:id="2156" w:name="Bookmark_para_1_10"/>
      <w:bookmarkEnd w:id="2156"/>
      <w:r>
        <w:rPr>
          <w:rFonts w:ascii="Arial" w:eastAsia="Arial" w:hAnsi="Arial" w:cs="Arial"/>
          <w:color w:val="000000"/>
          <w:sz w:val="20"/>
        </w:rPr>
        <w:t>CONSULT 6TH CIR. R. 32.1 FOR CITATION OF UNPUBLISHED OPINIONS AND DECISIONS.</w:t>
      </w:r>
    </w:p>
    <w:p w:rsidR="00022B47" w:rsidRDefault="00000000">
      <w:pPr>
        <w:pStyle w:val="Normal11"/>
        <w:widowControl w:val="0"/>
        <w:spacing w:before="240" w:line="260" w:lineRule="atLeast"/>
        <w:jc w:val="both"/>
      </w:pPr>
      <w:bookmarkStart w:id="2157" w:name="Subsequent_History_0"/>
      <w:bookmarkEnd w:id="2157"/>
      <w:r>
        <w:rPr>
          <w:rFonts w:ascii="Arial" w:eastAsia="Arial" w:hAnsi="Arial" w:cs="Arial"/>
          <w:b/>
          <w:color w:val="000000"/>
          <w:sz w:val="20"/>
        </w:rPr>
        <w:t>Subsequent History:</w:t>
      </w:r>
      <w:r>
        <w:rPr>
          <w:rFonts w:ascii="Arial" w:eastAsia="Arial" w:hAnsi="Arial" w:cs="Arial"/>
          <w:color w:val="000000"/>
          <w:sz w:val="20"/>
        </w:rPr>
        <w:t> </w:t>
      </w:r>
      <w:bookmarkStart w:id="2158" w:name="Bookmark_para_2_10"/>
      <w:bookmarkEnd w:id="2158"/>
      <w:r>
        <w:rPr>
          <w:rFonts w:ascii="Arial" w:eastAsia="Arial" w:hAnsi="Arial" w:cs="Arial"/>
          <w:color w:val="000000"/>
          <w:sz w:val="20"/>
        </w:rPr>
        <w:t>As Revised February 28, 2023.</w:t>
      </w:r>
    </w:p>
    <w:p w:rsidR="00022B47" w:rsidRDefault="00000000">
      <w:pPr>
        <w:pStyle w:val="Normal11"/>
        <w:widowControl w:val="0"/>
        <w:spacing w:before="240" w:line="260" w:lineRule="atLeast"/>
        <w:jc w:val="both"/>
      </w:pPr>
      <w:bookmarkStart w:id="2159" w:name="Prior_History_10"/>
      <w:bookmarkEnd w:id="2159"/>
      <w:r>
        <w:rPr>
          <w:rFonts w:ascii="Arial" w:eastAsia="Arial" w:hAnsi="Arial" w:cs="Arial"/>
          <w:b/>
          <w:color w:val="000000"/>
          <w:sz w:val="20"/>
        </w:rPr>
        <w:t>Prior History:</w:t>
      </w:r>
      <w:r>
        <w:rPr>
          <w:rFonts w:ascii="Arial" w:eastAsia="Arial" w:hAnsi="Arial" w:cs="Arial"/>
          <w:color w:val="000000"/>
          <w:sz w:val="20"/>
        </w:rPr>
        <w:t> </w:t>
      </w:r>
      <w:bookmarkStart w:id="2160" w:name="Bookmark_para_3_10"/>
      <w:bookmarkEnd w:id="2160"/>
      <w:r>
        <w:rPr>
          <w:rFonts w:ascii="Arial" w:eastAsia="Arial" w:hAnsi="Arial" w:cs="Arial"/>
          <w:color w:val="000000"/>
          <w:sz w:val="20"/>
        </w:rPr>
        <w:t> [*1] ON APPEAL FROM THE UNITED STATES DISTRICT COURT FOR THE EASTERN DISTRICT OF KENTUCKY.</w:t>
      </w:r>
    </w:p>
    <w:p w:rsidR="00022B47" w:rsidRDefault="00000000">
      <w:pPr>
        <w:pStyle w:val="Normal11"/>
        <w:widowControl w:val="0"/>
        <w:spacing w:before="240" w:line="260" w:lineRule="atLeast"/>
      </w:pPr>
      <w:bookmarkStart w:id="2161" w:name="Counsel_10"/>
      <w:bookmarkEnd w:id="2161"/>
      <w:r>
        <w:rPr>
          <w:rFonts w:ascii="Arial" w:eastAsia="Arial" w:hAnsi="Arial" w:cs="Arial"/>
          <w:b/>
          <w:color w:val="000000"/>
          <w:sz w:val="20"/>
        </w:rPr>
        <w:t>Counsel:</w:t>
      </w:r>
      <w:r>
        <w:rPr>
          <w:rFonts w:ascii="Arial" w:eastAsia="Arial" w:hAnsi="Arial" w:cs="Arial"/>
          <w:color w:val="000000"/>
          <w:sz w:val="20"/>
        </w:rPr>
        <w:t> For CURT TOMLINSON, Plaintiff - Appellant: David Torchia, Tobias, Torchia &amp; Simon, Cincinnati, OH.</w:t>
      </w:r>
    </w:p>
    <w:p w:rsidR="00022B47" w:rsidRDefault="00000000">
      <w:pPr>
        <w:pStyle w:val="Normal11"/>
        <w:widowControl w:val="0"/>
        <w:spacing w:before="120" w:line="260" w:lineRule="atLeast"/>
      </w:pPr>
      <w:r>
        <w:rPr>
          <w:rFonts w:ascii="Arial" w:eastAsia="Arial" w:hAnsi="Arial" w:cs="Arial"/>
          <w:color w:val="000000"/>
          <w:sz w:val="20"/>
        </w:rPr>
        <w:t>For KRAUSS-MAFFEI CORPORATION, Defendant - Appellee: Michael Baringhaus Mattingly, Dinsmore &amp; Shohl, Cincinnati, OH.</w:t>
      </w:r>
    </w:p>
    <w:p w:rsidR="00022B47" w:rsidRDefault="00000000">
      <w:pPr>
        <w:pStyle w:val="Normal11"/>
        <w:widowControl w:val="0"/>
        <w:spacing w:before="240" w:line="260" w:lineRule="atLeast"/>
      </w:pPr>
      <w:bookmarkStart w:id="2162" w:name="Judges_10"/>
      <w:bookmarkEnd w:id="2162"/>
      <w:r>
        <w:rPr>
          <w:rFonts w:ascii="Arial" w:eastAsia="Arial" w:hAnsi="Arial" w:cs="Arial"/>
          <w:b/>
          <w:color w:val="000000"/>
          <w:sz w:val="20"/>
        </w:rPr>
        <w:t>Judges:</w:t>
      </w:r>
      <w:r>
        <w:rPr>
          <w:rFonts w:ascii="Arial" w:eastAsia="Arial" w:hAnsi="Arial" w:cs="Arial"/>
          <w:color w:val="000000"/>
          <w:sz w:val="20"/>
        </w:rPr>
        <w:t> Before: BATCHELDER, BUSH, and DAVIS, Circuit Judges. DAVIS, J., delivered the opinion of the court in which BUSH, J., joined. BATCHELDER, J. (pp. 22-24), delivered a separate opinion concurring in part and in the judgment.</w:t>
      </w:r>
    </w:p>
    <w:p w:rsidR="00022B47" w:rsidRDefault="00000000">
      <w:pPr>
        <w:pStyle w:val="Normal11"/>
        <w:widowControl w:val="0"/>
        <w:spacing w:before="240" w:line="260" w:lineRule="atLeast"/>
      </w:pPr>
      <w:bookmarkStart w:id="2163" w:name="Opinion_by_5"/>
      <w:bookmarkEnd w:id="2163"/>
      <w:r>
        <w:rPr>
          <w:rFonts w:ascii="Arial" w:eastAsia="Arial" w:hAnsi="Arial" w:cs="Arial"/>
          <w:b/>
          <w:color w:val="000000"/>
          <w:sz w:val="20"/>
        </w:rPr>
        <w:t>Opinion by:</w:t>
      </w:r>
      <w:r>
        <w:rPr>
          <w:rFonts w:ascii="Arial" w:eastAsia="Arial" w:hAnsi="Arial" w:cs="Arial"/>
          <w:color w:val="000000"/>
          <w:sz w:val="20"/>
        </w:rPr>
        <w:t> DAVIS</w:t>
      </w:r>
    </w:p>
    <w:p w:rsidR="00022B47" w:rsidRDefault="00000000">
      <w:pPr>
        <w:pStyle w:val="Normal11"/>
        <w:keepNext/>
        <w:widowControl w:val="0"/>
        <w:spacing w:before="240" w:line="340" w:lineRule="atLeast"/>
      </w:pPr>
      <w:bookmarkStart w:id="2164" w:name="Opinion_10"/>
      <w:bookmarkEnd w:id="2164"/>
      <w:r>
        <w:rPr>
          <w:rFonts w:ascii="Arial" w:eastAsia="Arial" w:hAnsi="Arial" w:cs="Arial"/>
          <w:b/>
          <w:color w:val="000000"/>
          <w:sz w:val="28"/>
        </w:rPr>
        <w:t>Opinion</w:t>
      </w:r>
    </w:p>
    <w:p w:rsidR="00022B47" w:rsidRDefault="0025213E">
      <w:pPr>
        <w:pStyle w:val="Normal11"/>
        <w:spacing w:line="60" w:lineRule="exact"/>
      </w:pPr>
      <w:r>
        <w:rPr>
          <w:noProof/>
        </w:rPr>
        <mc:AlternateContent>
          <mc:Choice Requires="wps">
            <w:drawing>
              <wp:anchor distT="0" distB="0" distL="114300" distR="114300" simplePos="0" relativeHeight="25168076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623656118"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79D40" id="Line 24"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11"/>
      </w:pPr>
    </w:p>
    <w:p w:rsidR="00022B47" w:rsidRDefault="00000000">
      <w:pPr>
        <w:pStyle w:val="Normal11"/>
        <w:widowControl w:val="0"/>
        <w:spacing w:before="200" w:line="260" w:lineRule="atLeast"/>
        <w:jc w:val="both"/>
      </w:pPr>
      <w:bookmarkStart w:id="2165" w:name="Bookmark_para_4_10"/>
      <w:bookmarkEnd w:id="2165"/>
      <w:r>
        <w:rPr>
          <w:rFonts w:ascii="Arial" w:eastAsia="Arial" w:hAnsi="Arial" w:cs="Arial"/>
          <w:color w:val="000000"/>
          <w:sz w:val="20"/>
        </w:rPr>
        <w:t xml:space="preserve">DAVIS, Circuit Judge. Plaintiff Curt Tomlinson filed this employment-discrimination lawsuit against his former employer, Krauss-Maffei Corporation ("KMC") after resigning from the company. Tomlinson made claims for retaliation and failure to accommodate his post-traumatic stress disorder ("PTSD") in violation of the Americans with Disabilities Act ("ADA") and Kentucky's employment discrimination laws. The district court granted summary judgment to KMC on all of Tomlinson's claims, and he timely appealed. For the reasons stated below, we </w:t>
      </w:r>
      <w:r>
        <w:rPr>
          <w:rFonts w:ascii="Arial" w:eastAsia="Arial" w:hAnsi="Arial" w:cs="Arial"/>
          <w:b/>
          <w:color w:val="000000"/>
          <w:sz w:val="20"/>
        </w:rPr>
        <w:t>AFFIRM</w:t>
      </w:r>
      <w:r>
        <w:rPr>
          <w:rFonts w:ascii="Arial" w:eastAsia="Arial" w:hAnsi="Arial" w:cs="Arial"/>
          <w:color w:val="000000"/>
          <w:sz w:val="20"/>
        </w:rPr>
        <w:t>.</w:t>
      </w:r>
    </w:p>
    <w:p w:rsidR="00022B47" w:rsidRDefault="00000000">
      <w:pPr>
        <w:pStyle w:val="Normal11"/>
        <w:widowControl w:val="0"/>
        <w:spacing w:before="240" w:line="260" w:lineRule="atLeast"/>
      </w:pPr>
      <w:r>
        <w:br/>
      </w:r>
      <w:r>
        <w:rPr>
          <w:rFonts w:ascii="Arial" w:eastAsia="Arial" w:hAnsi="Arial" w:cs="Arial"/>
          <w:b/>
          <w:color w:val="000000"/>
          <w:sz w:val="20"/>
        </w:rPr>
        <w:t>I. FACTUAL BACKGROUND</w:t>
      </w:r>
    </w:p>
    <w:p w:rsidR="00022B47" w:rsidRDefault="00000000">
      <w:pPr>
        <w:pStyle w:val="Normal11"/>
        <w:widowControl w:val="0"/>
        <w:spacing w:before="200" w:line="260" w:lineRule="atLeast"/>
        <w:jc w:val="both"/>
      </w:pPr>
      <w:bookmarkStart w:id="2166" w:name="Bookmark_para_5_10"/>
      <w:bookmarkEnd w:id="2166"/>
      <w:r>
        <w:rPr>
          <w:rFonts w:ascii="Arial" w:eastAsia="Arial" w:hAnsi="Arial" w:cs="Arial"/>
          <w:color w:val="000000"/>
          <w:sz w:val="20"/>
        </w:rPr>
        <w:t>KMC, an international manufacturer of machinery and systems, produces and processes plastics and rubber. KMC employed Tomlinson as a [*2]  Field Service Engineer ("FSE") from May 2016 until he resigned on August 24, 2018. His job responsibilities included performing installations, service, and systems maintenance at customer sites. Aeric Bouza, a service coordinator, gave Tomlinson his work assignments and schedules. Bouza's job responsibilities also included directing FSEs from site to site, troubleshooting with FSEs and customers, and generally answering the FSEs' day-to-day questions. Tomlinson and Bouza both reported to the service manager, John Wiley. Wiley's responsibilities included tracking the FSEs' work performance, which he did by reviewing customer feedback and soliciting comments from senior service engineers and service coordinators. Wiley used this information to conduct annual performance reviews of the FSEs.</w:t>
      </w:r>
    </w:p>
    <w:p w:rsidR="00022B47" w:rsidRDefault="00000000">
      <w:pPr>
        <w:pStyle w:val="Normal11"/>
        <w:widowControl w:val="0"/>
        <w:spacing w:before="240" w:line="260" w:lineRule="atLeast"/>
      </w:pPr>
      <w:r>
        <w:br/>
      </w:r>
      <w:r>
        <w:rPr>
          <w:rFonts w:ascii="Arial" w:eastAsia="Arial" w:hAnsi="Arial" w:cs="Arial"/>
          <w:b/>
          <w:color w:val="000000"/>
          <w:sz w:val="20"/>
        </w:rPr>
        <w:t>A. Tomlinson Discloses His PTSD to Human Resources</w:t>
      </w:r>
    </w:p>
    <w:p w:rsidR="00022B47" w:rsidRDefault="00000000">
      <w:pPr>
        <w:pStyle w:val="Normal11"/>
        <w:widowControl w:val="0"/>
        <w:spacing w:before="200" w:line="260" w:lineRule="atLeast"/>
        <w:jc w:val="both"/>
      </w:pPr>
      <w:bookmarkStart w:id="2167" w:name="Bookmark_para_6_10"/>
      <w:bookmarkEnd w:id="2167"/>
      <w:r>
        <w:rPr>
          <w:rFonts w:ascii="Arial" w:eastAsia="Arial" w:hAnsi="Arial" w:cs="Arial"/>
          <w:color w:val="000000"/>
          <w:sz w:val="20"/>
        </w:rPr>
        <w:t>Tomlinson has suffered from PTSD since about 2013. He did not disclose this condition to KMC on his employment application or otherwise inform anyone at the company about it until February 17, 2017. On that day, Tomlinson sent an email to KMC's Director of Human Resources, Randy Hemmerle, and reported that another FSE, Mark Bigos, had been harassing [*3]  him. Tomlinson disclosed in this email that he had PTSD but explained that he does not like to mention it because he does not want to be treated differently. Hemmerle followed up on Tomlinson's email with a phone call, during which Tomlinson requested that KMC not schedule him to work with Bigos again. Hemmerle in turn informed Wiley that Tomlinson and Bigos did not have a good working relationship and asked that he not schedule them together. Wiley agreed not to do so, and Hemmerle never mentioned Tomlinson's PTSD to Wiley or anyone else at KMC</w:t>
      </w:r>
    </w:p>
    <w:p w:rsidR="00022B47" w:rsidRDefault="00000000">
      <w:pPr>
        <w:pStyle w:val="Normal11"/>
        <w:widowControl w:val="0"/>
        <w:spacing w:before="240" w:line="260" w:lineRule="atLeast"/>
      </w:pPr>
      <w:r>
        <w:br/>
      </w:r>
      <w:r>
        <w:rPr>
          <w:rFonts w:ascii="Arial" w:eastAsia="Arial" w:hAnsi="Arial" w:cs="Arial"/>
          <w:b/>
          <w:color w:val="000000"/>
          <w:sz w:val="20"/>
        </w:rPr>
        <w:t>B. Performance Review and Follow-Up Call</w:t>
      </w:r>
    </w:p>
    <w:p w:rsidR="00022B47" w:rsidRDefault="00000000">
      <w:pPr>
        <w:pStyle w:val="Normal11"/>
        <w:widowControl w:val="0"/>
        <w:spacing w:before="200" w:line="260" w:lineRule="atLeast"/>
        <w:jc w:val="both"/>
      </w:pPr>
      <w:bookmarkStart w:id="2168" w:name="Bookmark_para_7_10"/>
      <w:bookmarkEnd w:id="2168"/>
      <w:r>
        <w:rPr>
          <w:rFonts w:ascii="Arial" w:eastAsia="Arial" w:hAnsi="Arial" w:cs="Arial"/>
          <w:color w:val="000000"/>
          <w:sz w:val="20"/>
        </w:rPr>
        <w:t>On March 14, 2018, Wiley emailed Tomlinson his 2017 annual performance review, in which Wiley rated Tomlinson's overall performance as "not meet[ing] requirements." Wiley explained in the email that the review was "very difficult," and that Tomlinson had "a good deal" of training but was still having problems in many areas. Wiley noted that Tomlinson's training had "not produced the desired results and [KMC] need[ed] [Tomlinson's] help in moving forward." According to Tomlinson's deposition, the unexpected negative evaluation "really set . . . off" his PTSD. (R. 45, PageID: 322)</w:t>
      </w:r>
    </w:p>
    <w:p w:rsidR="00022B47" w:rsidRDefault="00000000">
      <w:pPr>
        <w:pStyle w:val="Normal11"/>
        <w:widowControl w:val="0"/>
        <w:spacing w:before="200" w:line="260" w:lineRule="atLeast"/>
        <w:jc w:val="both"/>
      </w:pPr>
      <w:bookmarkStart w:id="2169" w:name="Bookmark_para_8_10"/>
      <w:bookmarkEnd w:id="2169"/>
      <w:r>
        <w:rPr>
          <w:rFonts w:ascii="Arial" w:eastAsia="Arial" w:hAnsi="Arial" w:cs="Arial"/>
          <w:color w:val="000000"/>
          <w:sz w:val="20"/>
        </w:rPr>
        <w:t>Unhappy with Wiley's email, [*4]  Tomlinson called Hemmerle to discuss; Hemmerle in turn advised Tomlinson to call Wiley about any concerns with his evaluation. Tomlinson then called Wiley, who explained that the review was based on feedback from KMC customers and employees. For example, three of KMC's customers complained about Tomlinson's services and at least one requested that KMC not send Tomlinson back to their site. Tomlinson maintained that the review was unjust. Wiley ultimately declared that he and Tomlinson would have to "agree to disagree" because the contents of the review were accurate. Tomlinson perceived Wiley's tone during the call to be "threatening," "defensive," and "aggressive." Though Wiley did not threaten his employment.</w:t>
      </w:r>
    </w:p>
    <w:p w:rsidR="00022B47" w:rsidRDefault="00000000">
      <w:pPr>
        <w:pStyle w:val="Normal11"/>
        <w:widowControl w:val="0"/>
        <w:spacing w:before="200" w:line="260" w:lineRule="atLeast"/>
        <w:jc w:val="both"/>
      </w:pPr>
      <w:bookmarkStart w:id="2170" w:name="Bookmark_para_9_10"/>
      <w:bookmarkEnd w:id="2170"/>
      <w:r>
        <w:rPr>
          <w:rFonts w:ascii="Arial" w:eastAsia="Arial" w:hAnsi="Arial" w:cs="Arial"/>
          <w:color w:val="000000"/>
          <w:sz w:val="20"/>
        </w:rPr>
        <w:t>Following his call with Wiley, Tomlinson emailed KMC's general counsel, Jenny Beene-Skuban, expressing concerns about his review and stating that Wiley had been "threatening, harassing and . . . attack[ing his] PTSD." Beene-Skuban responded the next day via email, apologizing and requesting more details. Tomlinson did not respond to Beene-Skuban but emailed KMC's contract administrator nearly two weeks later to restate his complaint. Because the issue did not fall within her [*5]  authority, the contract administrator forwarded Tomlinson's email to Beene-Skuban, who reached out again—without response.</w:t>
      </w:r>
    </w:p>
    <w:p w:rsidR="00022B47" w:rsidRDefault="00000000">
      <w:pPr>
        <w:pStyle w:val="Normal11"/>
        <w:widowControl w:val="0"/>
        <w:spacing w:before="240" w:line="260" w:lineRule="atLeast"/>
      </w:pPr>
      <w:r>
        <w:br/>
      </w:r>
      <w:r>
        <w:rPr>
          <w:rFonts w:ascii="Arial" w:eastAsia="Arial" w:hAnsi="Arial" w:cs="Arial"/>
          <w:b/>
          <w:color w:val="000000"/>
          <w:sz w:val="20"/>
        </w:rPr>
        <w:t>C. Medical Leave</w:t>
      </w:r>
    </w:p>
    <w:p w:rsidR="00022B47" w:rsidRDefault="00000000">
      <w:pPr>
        <w:pStyle w:val="Normal11"/>
        <w:widowControl w:val="0"/>
        <w:spacing w:before="200" w:line="260" w:lineRule="atLeast"/>
        <w:jc w:val="both"/>
      </w:pPr>
      <w:bookmarkStart w:id="2171" w:name="Bookmark_para_10_10"/>
      <w:bookmarkEnd w:id="2171"/>
      <w:r>
        <w:rPr>
          <w:rFonts w:ascii="Arial" w:eastAsia="Arial" w:hAnsi="Arial" w:cs="Arial"/>
          <w:color w:val="000000"/>
          <w:sz w:val="20"/>
        </w:rPr>
        <w:t>The following month, Tomlinson took medical leave and applied for short-term disability benefits, which KMC approved. In support of his application for leave, Tomlinson submitted notes from health care providers confirming that he had PTSD and was not able to work until September 2018. While on leave, Tomlinson emailed KMC's president, Paul Caprio, restating his issue with his performance review and asserting that it had not been taken seriously. Caprio forwarded the email to Hemmerle, who then called Tomlinson the same day to discuss it and, when Tomlinson did not answer, left a voicemail requesting Tomlinson's availability for a call. Tomlinson replied via email three days later, apologizing for missing the call and stating that he needed advance notice before getting on a call, but Tomlinson still did not offer his availability. Hemmerle responded the same day, again requesting Tomlinson's availability.</w:t>
      </w:r>
    </w:p>
    <w:p w:rsidR="00022B47" w:rsidRDefault="00000000">
      <w:pPr>
        <w:pStyle w:val="Normal11"/>
        <w:widowControl w:val="0"/>
        <w:spacing w:before="200" w:line="260" w:lineRule="atLeast"/>
        <w:jc w:val="both"/>
      </w:pPr>
      <w:bookmarkStart w:id="2172" w:name="Bookmark_para_11_10"/>
      <w:bookmarkEnd w:id="2172"/>
      <w:r>
        <w:rPr>
          <w:rFonts w:ascii="Arial" w:eastAsia="Arial" w:hAnsi="Arial" w:cs="Arial"/>
          <w:color w:val="000000"/>
          <w:sz w:val="20"/>
        </w:rPr>
        <w:t>After two weeks of silence, Hemmerle followed up with Tomlinson by email on June 1, 2018. Tomlinson took several weeks to reply. On June 20, 2018, [*6]  Tomlinson explained that he had been having "a hard time wanting to call and talk . . . when [he did not] feel [that his] condition [was] taken seriously." Hemmerle responded the next day. In his email, Hemmerle explained that KMC would not take any action on Tomlinson's complaint based on the limited information provided, but he invited Tomlinson to offer details to help KMC address the issue.</w:t>
      </w:r>
    </w:p>
    <w:p w:rsidR="00022B47" w:rsidRDefault="00000000">
      <w:pPr>
        <w:pStyle w:val="Normal11"/>
        <w:widowControl w:val="0"/>
        <w:spacing w:before="200" w:line="260" w:lineRule="atLeast"/>
        <w:jc w:val="both"/>
      </w:pPr>
      <w:bookmarkStart w:id="2173" w:name="Bookmark_para_12_10"/>
      <w:bookmarkEnd w:id="2173"/>
      <w:r>
        <w:rPr>
          <w:rFonts w:ascii="Arial" w:eastAsia="Arial" w:hAnsi="Arial" w:cs="Arial"/>
          <w:color w:val="000000"/>
          <w:sz w:val="20"/>
        </w:rPr>
        <w:t>Tomlinson responded weeks later by email requesting that KMC speak with two employees who would confirm that Wiley's comments in the performance review were false. Beene-Skuban was on vacation at this time but emailed Tomlinson shortly after she returned, reiterating that KMC had not found any issue with Wiley's evaluation. She further inquired as to how KMC could address the issue while being sensitive to Tomlinson's PTSD. Instead of responding, Tomlinson again emailed Caprio, restating his complaints. Caprio replied two days later reassuring Tomlinson that KMC was taking his complaint seriously and stating that "I would like for you to come back to work when you are ready and we are very supportive of all of our employees . . . ."</w:t>
      </w:r>
    </w:p>
    <w:p w:rsidR="00022B47" w:rsidRDefault="00000000">
      <w:pPr>
        <w:pStyle w:val="Normal11"/>
        <w:widowControl w:val="0"/>
        <w:spacing w:before="240" w:line="260" w:lineRule="atLeast"/>
      </w:pPr>
      <w:r>
        <w:br/>
      </w:r>
      <w:r>
        <w:rPr>
          <w:rFonts w:ascii="Arial" w:eastAsia="Arial" w:hAnsi="Arial" w:cs="Arial"/>
          <w:b/>
          <w:color w:val="000000"/>
          <w:sz w:val="20"/>
        </w:rPr>
        <w:t>D. The Investigation and Accommodation Request</w:t>
      </w:r>
    </w:p>
    <w:p w:rsidR="00022B47" w:rsidRDefault="00000000">
      <w:pPr>
        <w:pStyle w:val="Normal11"/>
        <w:widowControl w:val="0"/>
        <w:spacing w:before="200" w:line="260" w:lineRule="atLeast"/>
        <w:jc w:val="both"/>
      </w:pPr>
      <w:bookmarkStart w:id="2174" w:name="Bookmark_para_13_10"/>
      <w:bookmarkEnd w:id="2174"/>
      <w:r>
        <w:rPr>
          <w:rFonts w:ascii="Arial" w:eastAsia="Arial" w:hAnsi="Arial" w:cs="Arial"/>
          <w:color w:val="000000"/>
          <w:sz w:val="20"/>
        </w:rPr>
        <w:t>Tomlinson finally [*7]  spoke with Beene-Skuban in late July 2018, requesting that KMC investigate his performance review, and allow him to report directly to Bouza instead of Wiley.</w:t>
      </w:r>
      <w:r>
        <w:rPr>
          <w:rFonts w:ascii="Arial" w:eastAsia="Arial" w:hAnsi="Arial" w:cs="Arial"/>
          <w:vertAlign w:val="superscript"/>
        </w:rPr>
        <w:footnoteReference w:customMarkFollows="1" w:id="43"/>
        <w:t>1</w:t>
      </w:r>
      <w:r>
        <w:rPr>
          <w:rFonts w:ascii="Arial" w:eastAsia="Arial" w:hAnsi="Arial" w:cs="Arial"/>
          <w:color w:val="000000"/>
          <w:sz w:val="20"/>
        </w:rPr>
        <w:t xml:space="preserve"> Beene-Skuban conducted an internal investigation of Tomlinson's claim from July 26 to August 13, 2018, which included speaking to several KMC employees and leadership.</w:t>
      </w:r>
    </w:p>
    <w:p w:rsidR="00022B47" w:rsidRDefault="00000000">
      <w:pPr>
        <w:pStyle w:val="Normal11"/>
        <w:widowControl w:val="0"/>
        <w:spacing w:before="200" w:line="260" w:lineRule="atLeast"/>
        <w:jc w:val="both"/>
      </w:pPr>
      <w:bookmarkStart w:id="2176" w:name="Bookmark_para_14_10"/>
      <w:bookmarkEnd w:id="2176"/>
      <w:r>
        <w:rPr>
          <w:rFonts w:ascii="Arial" w:eastAsia="Arial" w:hAnsi="Arial" w:cs="Arial"/>
          <w:color w:val="000000"/>
          <w:sz w:val="20"/>
        </w:rPr>
        <w:t>Beene-Skuban had calls and exchanged emails with Tomlinson during and after the investigation to keep him apprised of the team's progress. She also asked Hemmerle whether KMC could transfer Tomlinson to another comparable position that would allow him to report to a different manager. However, no such positions were available. On August 7, 2018, KMC denied Tomlinson's request to report to Bouza and on August 20, 2018 concluded that Wiley had not discriminated against him. In explaining KMC's reasoning on this point, Beene-Skuban testified that having FSEs report to service coordinators instead of service managers did not "seem" like an option because it was not a part of the company structure.</w:t>
      </w:r>
    </w:p>
    <w:p w:rsidR="00022B47" w:rsidRDefault="00000000">
      <w:pPr>
        <w:pStyle w:val="Normal11"/>
        <w:widowControl w:val="0"/>
        <w:spacing w:before="240" w:line="260" w:lineRule="atLeast"/>
      </w:pPr>
      <w:r>
        <w:br/>
      </w:r>
      <w:r>
        <w:rPr>
          <w:rFonts w:ascii="Arial" w:eastAsia="Arial" w:hAnsi="Arial" w:cs="Arial"/>
          <w:b/>
          <w:color w:val="000000"/>
          <w:sz w:val="20"/>
        </w:rPr>
        <w:t>E. Tomlinson Resigns and KMC Restructures Evaluation Process</w:t>
      </w:r>
    </w:p>
    <w:p w:rsidR="00022B47" w:rsidRDefault="00000000">
      <w:pPr>
        <w:pStyle w:val="Normal11"/>
        <w:widowControl w:val="0"/>
        <w:spacing w:before="200" w:line="260" w:lineRule="atLeast"/>
        <w:jc w:val="both"/>
      </w:pPr>
      <w:bookmarkStart w:id="2177" w:name="Bookmark_para_15_10"/>
      <w:bookmarkEnd w:id="2177"/>
      <w:r>
        <w:rPr>
          <w:rFonts w:ascii="Arial" w:eastAsia="Arial" w:hAnsi="Arial" w:cs="Arial"/>
          <w:color w:val="000000"/>
          <w:sz w:val="20"/>
        </w:rPr>
        <w:t>Meanwhile, during the investigation described above, KMC decided that it would re-evaluate its process for performance [*8]  reviews to consider lessening Wiley's workload by having service coordinators review the FSEs. This was because KMC had determined that Wiley was spread too thin. For example, when Wiley submitted the 2017 performance evaluations to Human Resources, Hemmerle noted seven instances where Wiley included the wrong FSE's name on their respective evaluation and asked that he correct the names before distributing. One such mistake was found in Tomlinson's evaluation where Wiley inserted another FSE's name instead of Tomlinson's. Further review showed that Wiley essentially duplicated the two performance reviews. According to Hemmerle, service coordinators were well-suited to evaluate the FSEs because they already had daily contact with FSEs and reported to service managers on the FSEs' job performances. In Hemmerle's view, service coordinators would need training but could formally evaluate FSEs in Wiley's place. Though the company had discussed this plan to re-evaluate its performance review process during the investigation, Beene-Skuban did not disclose the plan to Tomlinson when she denied his request to report to Bouza.</w:t>
      </w:r>
    </w:p>
    <w:p w:rsidR="00022B47" w:rsidRDefault="00000000">
      <w:pPr>
        <w:pStyle w:val="Normal11"/>
        <w:widowControl w:val="0"/>
        <w:spacing w:before="200" w:line="260" w:lineRule="atLeast"/>
        <w:jc w:val="both"/>
      </w:pPr>
      <w:bookmarkStart w:id="2178" w:name="Bookmark_para_16_10"/>
      <w:bookmarkEnd w:id="2178"/>
      <w:r>
        <w:rPr>
          <w:rFonts w:ascii="Arial" w:eastAsia="Arial" w:hAnsi="Arial" w:cs="Arial"/>
          <w:color w:val="000000"/>
          <w:sz w:val="20"/>
        </w:rPr>
        <w:t>On August 24, 2018, Tomlinson resigned from KMC. He began working [*9]  for another company three days later. Shortly thereafter, KMC changed its review process to allow service coordinators, like Bouza, to conduct performance reviews for FSEs—Tomlinson's former position—to begin with the next evaluation cycle in January 2019. Under this process, as described by Wiley, the coordinators would complete the performance evaluations and then send to managers who would then review and forward the reviews to Human Resources before circulating to the FSEs.</w:t>
      </w:r>
    </w:p>
    <w:p w:rsidR="00022B47" w:rsidRDefault="00000000">
      <w:pPr>
        <w:pStyle w:val="Normal11"/>
        <w:widowControl w:val="0"/>
        <w:spacing w:before="240" w:line="260" w:lineRule="atLeast"/>
      </w:pPr>
      <w:r>
        <w:br/>
      </w:r>
      <w:r>
        <w:rPr>
          <w:rFonts w:ascii="Arial" w:eastAsia="Arial" w:hAnsi="Arial" w:cs="Arial"/>
          <w:b/>
          <w:color w:val="000000"/>
          <w:sz w:val="20"/>
        </w:rPr>
        <w:t>II. PROCEDURAL HISTORY</w:t>
      </w:r>
    </w:p>
    <w:p w:rsidR="00022B47" w:rsidRDefault="00000000">
      <w:pPr>
        <w:pStyle w:val="Normal11"/>
        <w:widowControl w:val="0"/>
        <w:spacing w:before="200" w:line="260" w:lineRule="atLeast"/>
        <w:jc w:val="both"/>
      </w:pPr>
      <w:bookmarkStart w:id="2179" w:name="Bookmark_para_17_10"/>
      <w:bookmarkEnd w:id="2179"/>
      <w:r>
        <w:rPr>
          <w:rFonts w:ascii="Arial" w:eastAsia="Arial" w:hAnsi="Arial" w:cs="Arial"/>
          <w:color w:val="000000"/>
          <w:sz w:val="20"/>
        </w:rPr>
        <w:t xml:space="preserve">Tomlinson filed this lawsuit on May 31, 2019, alleging that KMC discriminated against him based on his PTSD. The Complaint includes claims of disability discrimination, failure to accommodate, and retaliation under the ADA and the Kentucky Civil Rights Act ("KCRA"), Ky. Rev. Stat. § 344.010 </w:t>
      </w:r>
      <w:r>
        <w:rPr>
          <w:rFonts w:ascii="Arial" w:eastAsia="Arial" w:hAnsi="Arial" w:cs="Arial"/>
          <w:i/>
          <w:color w:val="000000"/>
          <w:sz w:val="20"/>
        </w:rPr>
        <w:t>et seq.</w:t>
      </w:r>
      <w:r>
        <w:rPr>
          <w:rFonts w:ascii="Arial" w:eastAsia="Arial" w:hAnsi="Arial" w:cs="Arial"/>
          <w:color w:val="000000"/>
          <w:sz w:val="20"/>
        </w:rPr>
        <w:t xml:space="preserve"> KMC moved for summary judgment, which the court granted as to all of Tomlinson's claims. Tomlinson timely appealed.</w:t>
      </w:r>
    </w:p>
    <w:p w:rsidR="00022B47" w:rsidRDefault="00000000">
      <w:pPr>
        <w:pStyle w:val="Normal11"/>
        <w:widowControl w:val="0"/>
        <w:spacing w:before="240" w:line="260" w:lineRule="atLeast"/>
      </w:pPr>
      <w:r>
        <w:br/>
      </w:r>
      <w:r>
        <w:rPr>
          <w:rFonts w:ascii="Arial" w:eastAsia="Arial" w:hAnsi="Arial" w:cs="Arial"/>
          <w:b/>
          <w:color w:val="000000"/>
          <w:sz w:val="20"/>
        </w:rPr>
        <w:t>III. STANDARD OF REVIEW</w:t>
      </w:r>
    </w:p>
    <w:p w:rsidR="00022B47" w:rsidRDefault="00000000">
      <w:pPr>
        <w:pStyle w:val="Normal11"/>
        <w:widowControl w:val="0"/>
        <w:spacing w:before="200" w:line="260" w:lineRule="atLeast"/>
        <w:jc w:val="both"/>
      </w:pPr>
      <w:bookmarkStart w:id="2180" w:name="Bookmark_para_18_10"/>
      <w:bookmarkStart w:id="2181" w:name="Bookmark_I67H902C2HM6HP0020000400"/>
      <w:bookmarkStart w:id="2182" w:name="Bookmark_LNHNREFclscc1_9"/>
      <w:bookmarkEnd w:id="2180"/>
      <w:bookmarkEnd w:id="2181"/>
      <w:bookmarkEnd w:id="2182"/>
      <w:r>
        <w:rPr>
          <w:rFonts w:ascii="Arial" w:eastAsia="Arial" w:hAnsi="Arial" w:cs="Arial"/>
          <w:color w:val="000000"/>
          <w:sz w:val="20"/>
        </w:rPr>
        <w:t xml:space="preserve">We apply the de novo standard of review to district court orders granting summary judgment. </w:t>
      </w:r>
      <w:bookmarkStart w:id="2183" w:name="Bookmark_I67H902C2HM6HP0010000400"/>
      <w:bookmarkEnd w:id="2183"/>
      <w:r>
        <w:rPr>
          <w:rFonts w:ascii="Arial" w:eastAsia="Arial" w:hAnsi="Arial" w:cs="Arial"/>
          <w:i/>
          <w:color w:val="000000"/>
          <w:sz w:val="20"/>
        </w:rPr>
        <w:t>Kleiber v. Honda of Am. Mfg., Inc.</w:t>
      </w:r>
      <w:r>
        <w:rPr>
          <w:rFonts w:ascii="Arial" w:eastAsia="Arial" w:hAnsi="Arial" w:cs="Arial"/>
          <w:color w:val="000000"/>
          <w:sz w:val="20"/>
        </w:rPr>
        <w:t xml:space="preserve">, 485 F.3d 862, 868 (6th Cir. 2007). The court will affirm orders granting summary judgment "if the pleadings, depositions, answers to interrogatories, and admissions on file, together with the affidavits, if any, show that there is [*10]  no genuine issue as to any material fact and that the moving party is entitled to a judgment as a matter of law." </w:t>
      </w:r>
      <w:r>
        <w:rPr>
          <w:rFonts w:ascii="Arial" w:eastAsia="Arial" w:hAnsi="Arial" w:cs="Arial"/>
          <w:i/>
          <w:color w:val="000000"/>
          <w:sz w:val="20"/>
        </w:rPr>
        <w:t>Id.</w:t>
      </w:r>
      <w:r>
        <w:rPr>
          <w:rFonts w:ascii="Arial" w:eastAsia="Arial" w:hAnsi="Arial" w:cs="Arial"/>
          <w:color w:val="000000"/>
          <w:sz w:val="20"/>
        </w:rPr>
        <w:t xml:space="preserve"> (quoting </w:t>
      </w:r>
      <w:r>
        <w:rPr>
          <w:rFonts w:ascii="Arial" w:eastAsia="Arial" w:hAnsi="Arial" w:cs="Arial"/>
          <w:smallCaps/>
          <w:color w:val="000000"/>
          <w:sz w:val="20"/>
        </w:rPr>
        <w:t>Fed. R. Civ. P.</w:t>
      </w:r>
      <w:r>
        <w:rPr>
          <w:rFonts w:ascii="Arial" w:eastAsia="Arial" w:hAnsi="Arial" w:cs="Arial"/>
          <w:color w:val="000000"/>
          <w:sz w:val="20"/>
        </w:rPr>
        <w:t xml:space="preserve"> 56(c)).</w:t>
      </w:r>
    </w:p>
    <w:p w:rsidR="00022B47" w:rsidRDefault="00000000">
      <w:pPr>
        <w:pStyle w:val="Normal11"/>
        <w:widowControl w:val="0"/>
        <w:spacing w:before="240" w:line="260" w:lineRule="atLeast"/>
      </w:pPr>
      <w:r>
        <w:br/>
      </w:r>
      <w:r>
        <w:rPr>
          <w:rFonts w:ascii="Arial" w:eastAsia="Arial" w:hAnsi="Arial" w:cs="Arial"/>
          <w:b/>
          <w:color w:val="000000"/>
          <w:sz w:val="20"/>
        </w:rPr>
        <w:t>IV. ANALYSIS</w:t>
      </w:r>
    </w:p>
    <w:p w:rsidR="00022B47" w:rsidRDefault="00000000">
      <w:pPr>
        <w:pStyle w:val="Normal11"/>
        <w:widowControl w:val="0"/>
        <w:spacing w:before="200" w:line="260" w:lineRule="atLeast"/>
        <w:jc w:val="both"/>
      </w:pPr>
      <w:bookmarkStart w:id="2184" w:name="Bookmark_para_19_10"/>
      <w:bookmarkEnd w:id="2184"/>
      <w:r>
        <w:rPr>
          <w:rFonts w:ascii="Arial" w:eastAsia="Arial" w:hAnsi="Arial" w:cs="Arial"/>
          <w:color w:val="000000"/>
          <w:sz w:val="20"/>
        </w:rPr>
        <w:t xml:space="preserve">As a preliminary matter, the district court granted summary judgment to KMC on all of Tomlinson's claims including disability discrimination, failure to accommodate, and retaliation. However, in principal brief, Tomlinson only challenges the latter two findings. KMC thus argues that Tomlinson has waived his disability discrimination claim. Tomlinson makes no mention of disability discrimination as a separate claim in his reply brief, nor does he offer any analysis to support such a claim. </w:t>
      </w:r>
      <w:bookmarkStart w:id="2185" w:name="Bookmark_I67H902C2HM6HP0040000400"/>
      <w:bookmarkEnd w:id="2185"/>
      <w:r>
        <w:rPr>
          <w:rFonts w:ascii="Arial" w:eastAsia="Arial" w:hAnsi="Arial" w:cs="Arial"/>
          <w:color w:val="000000"/>
          <w:sz w:val="20"/>
        </w:rPr>
        <w:t xml:space="preserve">Instead, he only mentions "disability discrimination" once in the context of failure to accommodate. Accordingly, we limit our review to his failure-to-accommodate and retaliation claims, consistent with the parties' briefing. </w:t>
      </w:r>
      <w:r>
        <w:rPr>
          <w:rFonts w:ascii="Arial" w:eastAsia="Arial" w:hAnsi="Arial" w:cs="Arial"/>
          <w:i/>
          <w:color w:val="000000"/>
          <w:sz w:val="20"/>
        </w:rPr>
        <w:t xml:space="preserve">See </w:t>
      </w:r>
      <w:bookmarkStart w:id="2186" w:name="Bookmark_I67H902C2HM6HP0030000400"/>
      <w:bookmarkEnd w:id="2186"/>
      <w:r>
        <w:rPr>
          <w:rFonts w:ascii="Arial" w:eastAsia="Arial" w:hAnsi="Arial" w:cs="Arial"/>
          <w:i/>
          <w:color w:val="000000"/>
          <w:sz w:val="20"/>
        </w:rPr>
        <w:t>Doe v. Mich. State Univ.</w:t>
      </w:r>
      <w:r>
        <w:rPr>
          <w:rFonts w:ascii="Arial" w:eastAsia="Arial" w:hAnsi="Arial" w:cs="Arial"/>
          <w:color w:val="000000"/>
          <w:sz w:val="20"/>
        </w:rPr>
        <w:t>, 989 F.3d 418, 425 (6th Cir. 2021) ("Doe waived any appeal of the district court's decision regarding timeliness by failing to raise the issue in his initial brief.").</w:t>
      </w:r>
    </w:p>
    <w:p w:rsidR="00022B47" w:rsidRDefault="00000000">
      <w:pPr>
        <w:pStyle w:val="Normal11"/>
        <w:widowControl w:val="0"/>
        <w:spacing w:before="200" w:line="260" w:lineRule="atLeast"/>
        <w:jc w:val="both"/>
      </w:pPr>
      <w:bookmarkStart w:id="2187" w:name="Bookmark_para_20_10"/>
      <w:bookmarkEnd w:id="2187"/>
      <w:r>
        <w:rPr>
          <w:rFonts w:ascii="Arial" w:eastAsia="Arial" w:hAnsi="Arial" w:cs="Arial"/>
          <w:color w:val="000000"/>
          <w:sz w:val="20"/>
        </w:rPr>
        <w:t>Moving on to the issues before us, as explained below, Tomlinson's failure-to-accommodate claims cannot survive. While a jury could reasonably conclude that his request for a change in supervision was [*11]  reasonable, KMC was not required to approve Tomlinson's first proposal such that he was excused from participating in the interactive process—a process required to identify an accommodation to address the precise limitations of his PTSD. Additionally, his retaliation claims fail because there is no question of fact as to whether he suffered an adverse employment action as a threshold to such a claim. He did not.</w:t>
      </w:r>
    </w:p>
    <w:p w:rsidR="00022B47" w:rsidRDefault="00000000">
      <w:pPr>
        <w:pStyle w:val="Normal11"/>
        <w:widowControl w:val="0"/>
        <w:spacing w:before="240" w:line="260" w:lineRule="atLeast"/>
      </w:pPr>
      <w:r>
        <w:br/>
      </w:r>
      <w:r>
        <w:rPr>
          <w:rFonts w:ascii="Arial" w:eastAsia="Arial" w:hAnsi="Arial" w:cs="Arial"/>
          <w:b/>
          <w:color w:val="000000"/>
          <w:sz w:val="20"/>
        </w:rPr>
        <w:t>A. Failure to Accommodate</w:t>
      </w:r>
    </w:p>
    <w:p w:rsidR="00022B47" w:rsidRDefault="00000000">
      <w:pPr>
        <w:pStyle w:val="Normal11"/>
        <w:widowControl w:val="0"/>
        <w:spacing w:before="200" w:line="260" w:lineRule="atLeast"/>
        <w:jc w:val="both"/>
      </w:pPr>
      <w:bookmarkStart w:id="2188" w:name="Bookmark_para_21_10"/>
      <w:bookmarkEnd w:id="2188"/>
      <w:r>
        <w:rPr>
          <w:rFonts w:ascii="Arial" w:eastAsia="Arial" w:hAnsi="Arial" w:cs="Arial"/>
          <w:color w:val="000000"/>
          <w:sz w:val="20"/>
        </w:rPr>
        <w:t>The district court found that Tomlinson's failure-to-accommodate claim failed for two reasons. First, requests for a change in supervision are generally unreasonable. Second, he did not engage in the interactive process to reach a solution as required of both the employer and employee when an employee requests an accommodation. We agree with the second finding but not the first. As further explained below, a reasonable juror could find that Tomlinson's request for a change in supervision was reasonable. However, summary judgment is still proper because the evidence shows that KMC was persistent in trying to reach a resolution with Tomlinson but he terminated the interactive process through his resignation.</w:t>
      </w:r>
    </w:p>
    <w:p w:rsidR="00022B47" w:rsidRDefault="00000000">
      <w:pPr>
        <w:pStyle w:val="Normal11"/>
        <w:widowControl w:val="0"/>
        <w:spacing w:before="240" w:line="260" w:lineRule="atLeast"/>
      </w:pPr>
      <w:r>
        <w:br/>
      </w:r>
      <w:r>
        <w:rPr>
          <w:rFonts w:ascii="Arial" w:eastAsia="Arial" w:hAnsi="Arial" w:cs="Arial"/>
          <w:b/>
          <w:color w:val="000000"/>
          <w:sz w:val="20"/>
        </w:rPr>
        <w:t>1. Reasonable Accommodation</w:t>
      </w:r>
    </w:p>
    <w:p w:rsidR="00022B47" w:rsidRDefault="00000000">
      <w:pPr>
        <w:pStyle w:val="Normal11"/>
        <w:widowControl w:val="0"/>
        <w:spacing w:before="200" w:line="260" w:lineRule="atLeast"/>
        <w:jc w:val="both"/>
      </w:pPr>
      <w:bookmarkStart w:id="2189" w:name="Bookmark_para_22_9"/>
      <w:bookmarkStart w:id="2190" w:name="Bookmark_LNHNREFclscc2_9"/>
      <w:bookmarkEnd w:id="2189"/>
      <w:bookmarkEnd w:id="2190"/>
      <w:r>
        <w:rPr>
          <w:rFonts w:ascii="Arial" w:eastAsia="Arial" w:hAnsi="Arial" w:cs="Arial"/>
          <w:color w:val="000000"/>
          <w:sz w:val="20"/>
        </w:rPr>
        <w:t xml:space="preserve">The ADA prohibits [*12]  employers from "discriminat[ing] against a qualified individual on the basis of disability." 42 U.S.C.A. § 12112. This includes "not making reasonable accommodations to the known physical or mental limitations of an otherwise qualified individual with a disability." </w:t>
      </w:r>
      <w:r>
        <w:rPr>
          <w:rFonts w:ascii="Arial" w:eastAsia="Arial" w:hAnsi="Arial" w:cs="Arial"/>
          <w:i/>
          <w:color w:val="000000"/>
          <w:sz w:val="20"/>
        </w:rPr>
        <w:t>Id.</w:t>
      </w:r>
      <w:r>
        <w:rPr>
          <w:rFonts w:ascii="Arial" w:eastAsia="Arial" w:hAnsi="Arial" w:cs="Arial"/>
          <w:color w:val="000000"/>
          <w:sz w:val="20"/>
        </w:rPr>
        <w:t xml:space="preserve"> The Act defines "reasonable accommodation" to include:</w:t>
      </w:r>
    </w:p>
    <w:p w:rsidR="00022B47" w:rsidRDefault="00000000">
      <w:pPr>
        <w:pStyle w:val="Normal11"/>
        <w:widowControl w:val="0"/>
        <w:spacing w:line="260" w:lineRule="atLeast"/>
        <w:ind w:left="400"/>
        <w:jc w:val="both"/>
      </w:pPr>
      <w:bookmarkStart w:id="2191" w:name="Bookmark_para_23_8"/>
      <w:bookmarkEnd w:id="2191"/>
      <w:r>
        <w:rPr>
          <w:rFonts w:ascii="Arial" w:eastAsia="Arial" w:hAnsi="Arial" w:cs="Arial"/>
          <w:color w:val="000000"/>
          <w:sz w:val="20"/>
        </w:rPr>
        <w:t>[J]ob restructuring, part-time or modified work schedules, reassignment to a vacant position, acquisition or modification of equipment or devices, appropriate adjustment or modifications of examinations, training materials or policies, the provision of qualified readers or interpreters, and other similar accommodations for individuals with disabilities.</w:t>
      </w:r>
    </w:p>
    <w:p w:rsidR="00022B47" w:rsidRDefault="00000000">
      <w:pPr>
        <w:pStyle w:val="Normal11"/>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xml:space="preserve"> § 12111(9).</w:t>
      </w:r>
    </w:p>
    <w:p w:rsidR="00022B47" w:rsidRDefault="00000000">
      <w:pPr>
        <w:pStyle w:val="Normal11"/>
        <w:widowControl w:val="0"/>
        <w:spacing w:before="200" w:line="260" w:lineRule="atLeast"/>
        <w:jc w:val="both"/>
      </w:pPr>
      <w:bookmarkStart w:id="2192" w:name="Bookmark_para_24_8"/>
      <w:bookmarkStart w:id="2193" w:name="Bookmark_I67H902C2D6NHY0010000400"/>
      <w:bookmarkStart w:id="2194" w:name="Bookmark_LNHNREFclscc3_9"/>
      <w:bookmarkEnd w:id="2192"/>
      <w:bookmarkEnd w:id="2193"/>
      <w:bookmarkEnd w:id="2194"/>
      <w:r>
        <w:rPr>
          <w:rFonts w:ascii="Arial" w:eastAsia="Arial" w:hAnsi="Arial" w:cs="Arial"/>
          <w:color w:val="000000"/>
          <w:sz w:val="20"/>
        </w:rPr>
        <w:t xml:space="preserve">Where, as here, the plaintiff's claim is "premised upon an employer's failure to offer a reasonable accommodation," it "necessarily involve[s] direct evidence (the failure to accommodate) of discrimination." </w:t>
      </w:r>
      <w:bookmarkStart w:id="2195" w:name="Bookmark_I67H902C2HM6HP0050000400"/>
      <w:bookmarkEnd w:id="2195"/>
      <w:r>
        <w:rPr>
          <w:rFonts w:ascii="Arial" w:eastAsia="Arial" w:hAnsi="Arial" w:cs="Arial"/>
          <w:i/>
          <w:color w:val="000000"/>
          <w:sz w:val="20"/>
        </w:rPr>
        <w:t>Kleiber</w:t>
      </w:r>
      <w:r>
        <w:rPr>
          <w:rFonts w:ascii="Arial" w:eastAsia="Arial" w:hAnsi="Arial" w:cs="Arial"/>
          <w:color w:val="000000"/>
          <w:sz w:val="20"/>
        </w:rPr>
        <w:t xml:space="preserve">, 485 F.3d at 868. </w:t>
      </w:r>
      <w:bookmarkStart w:id="2196" w:name="Bookmark_I1XJF73960C000079RS0000G"/>
      <w:bookmarkStart w:id="2197" w:name="Bookmark_I67H902C2D6NHY0030000400"/>
      <w:bookmarkEnd w:id="2196"/>
      <w:bookmarkEnd w:id="2197"/>
      <w:r>
        <w:rPr>
          <w:rFonts w:ascii="Arial" w:eastAsia="Arial" w:hAnsi="Arial" w:cs="Arial"/>
          <w:color w:val="000000"/>
          <w:sz w:val="20"/>
        </w:rPr>
        <w:t xml:space="preserve">Accordingly, we substitute the </w:t>
      </w:r>
      <w:r>
        <w:rPr>
          <w:rFonts w:ascii="Arial" w:eastAsia="Arial" w:hAnsi="Arial" w:cs="Arial"/>
          <w:i/>
          <w:color w:val="000000"/>
          <w:sz w:val="20"/>
        </w:rPr>
        <w:t>McDonnell Douglas</w:t>
      </w:r>
      <w:r>
        <w:rPr>
          <w:rFonts w:ascii="Arial" w:eastAsia="Arial" w:hAnsi="Arial" w:cs="Arial"/>
          <w:color w:val="000000"/>
          <w:sz w:val="20"/>
        </w:rPr>
        <w:t xml:space="preserve"> framework that we typically employ for discrimination cases with the following:</w:t>
      </w:r>
    </w:p>
    <w:p w:rsidR="00022B47" w:rsidRDefault="00000000">
      <w:pPr>
        <w:pStyle w:val="Normal11"/>
        <w:widowControl w:val="0"/>
        <w:spacing w:before="200" w:line="260" w:lineRule="atLeast"/>
        <w:ind w:left="400"/>
        <w:jc w:val="both"/>
      </w:pPr>
      <w:bookmarkStart w:id="2198" w:name="Bookmark_para_25_8"/>
      <w:bookmarkStart w:id="2199" w:name="Bookmark_I67H902C2D6NHY0030000400_2"/>
      <w:bookmarkStart w:id="2200" w:name="Bookmark_I67H902C2D6NHY0010000400_2"/>
      <w:bookmarkEnd w:id="2198"/>
      <w:bookmarkEnd w:id="2199"/>
      <w:bookmarkEnd w:id="2200"/>
      <w:r>
        <w:rPr>
          <w:rFonts w:ascii="Arial" w:eastAsia="Arial" w:hAnsi="Arial" w:cs="Arial"/>
          <w:color w:val="000000"/>
          <w:sz w:val="20"/>
        </w:rPr>
        <w:t>[Tomlinson] must show that (1) [he] was disabled within the meaning of the ADA; (2) [he] was otherwise qualified for [his] position, with or without reasonable accommodation; (3) [KMC] knew or had [*13]  reason to know about [his] disability; (4) [he] requested an accommodation; and (5) [KMC] failed to provide the necessary accommodation.</w:t>
      </w:r>
    </w:p>
    <w:p w:rsidR="00022B47" w:rsidRDefault="00000000">
      <w:pPr>
        <w:pStyle w:val="Normal11"/>
        <w:widowControl w:val="0"/>
        <w:spacing w:before="200" w:line="260" w:lineRule="atLeast"/>
        <w:jc w:val="both"/>
      </w:pPr>
      <w:bookmarkStart w:id="2201" w:name="Bookmark_I67H902C2D6NHY0030000400_3"/>
      <w:bookmarkStart w:id="2202" w:name="Bookmark_I67H902C2SF8R90020000400"/>
      <w:bookmarkStart w:id="2203" w:name="Bookmark_I67H902C2D6NHY0020000400"/>
      <w:bookmarkEnd w:id="2201"/>
      <w:bookmarkEnd w:id="2202"/>
      <w:bookmarkEnd w:id="2203"/>
      <w:r>
        <w:rPr>
          <w:rFonts w:ascii="Arial" w:eastAsia="Arial" w:hAnsi="Arial" w:cs="Arial"/>
          <w:i/>
          <w:color w:val="000000"/>
          <w:sz w:val="20"/>
        </w:rPr>
        <w:t>Brumley v. United Parcel Serv., Inc.</w:t>
      </w:r>
      <w:r>
        <w:rPr>
          <w:rFonts w:ascii="Arial" w:eastAsia="Arial" w:hAnsi="Arial" w:cs="Arial"/>
          <w:color w:val="000000"/>
          <w:sz w:val="20"/>
        </w:rPr>
        <w:t xml:space="preserve">, 909 F.3d 834, 839 (6th Cir. 2018); </w:t>
      </w:r>
      <w:r>
        <w:rPr>
          <w:rFonts w:ascii="Arial" w:eastAsia="Arial" w:hAnsi="Arial" w:cs="Arial"/>
          <w:i/>
          <w:color w:val="000000"/>
          <w:sz w:val="20"/>
        </w:rPr>
        <w:t xml:space="preserve">see also </w:t>
      </w:r>
      <w:bookmarkStart w:id="2204" w:name="Bookmark_I67H902C2D6NHY0040000400"/>
      <w:bookmarkEnd w:id="2204"/>
      <w:r>
        <w:rPr>
          <w:rFonts w:ascii="Arial" w:eastAsia="Arial" w:hAnsi="Arial" w:cs="Arial"/>
          <w:i/>
          <w:color w:val="000000"/>
          <w:sz w:val="20"/>
        </w:rPr>
        <w:t>Kleiber</w:t>
      </w:r>
      <w:r>
        <w:rPr>
          <w:rFonts w:ascii="Arial" w:eastAsia="Arial" w:hAnsi="Arial" w:cs="Arial"/>
          <w:color w:val="000000"/>
          <w:sz w:val="20"/>
        </w:rPr>
        <w:t xml:space="preserve">, 485 F.3d at 868 (explaining why we use a different framework for failure-to-accommodate claims). </w:t>
      </w:r>
      <w:bookmarkStart w:id="2205" w:name="Bookmark_I67H902C2SF8R90020000400_2"/>
      <w:bookmarkEnd w:id="2205"/>
      <w:r>
        <w:rPr>
          <w:rFonts w:ascii="Arial" w:eastAsia="Arial" w:hAnsi="Arial" w:cs="Arial"/>
          <w:color w:val="000000"/>
          <w:sz w:val="20"/>
        </w:rPr>
        <w:t xml:space="preserve">Encompassed in the reasonableness prong of the above framework is a requirement that both parties communicate in good faith to reach an agreement on a reasonable accommodation. </w:t>
      </w:r>
      <w:bookmarkStart w:id="2206" w:name="Bookmark_I67H902C2SF8R90040000400"/>
      <w:bookmarkStart w:id="2207" w:name="Bookmark_I67H902C2SF8R90010000400"/>
      <w:bookmarkEnd w:id="2206"/>
      <w:bookmarkEnd w:id="2207"/>
      <w:r>
        <w:rPr>
          <w:rFonts w:ascii="Arial" w:eastAsia="Arial" w:hAnsi="Arial" w:cs="Arial"/>
          <w:i/>
          <w:color w:val="000000"/>
          <w:sz w:val="20"/>
        </w:rPr>
        <w:t>Talley v. Fam. Dollar Stores of Ohio, Inc.</w:t>
      </w:r>
      <w:r>
        <w:rPr>
          <w:rFonts w:ascii="Arial" w:eastAsia="Arial" w:hAnsi="Arial" w:cs="Arial"/>
          <w:color w:val="000000"/>
          <w:sz w:val="20"/>
        </w:rPr>
        <w:t xml:space="preserve">, 542 F.3d 1099, 1108 (6th Cir. 2008) ("We have found that the interactive process is mandatory and both parties have a duty to participate in good faith.") (internal quotation marks and citation omitted). </w:t>
      </w:r>
      <w:bookmarkStart w:id="2208" w:name="Bookmark_I67H902C2SF8R90040000400_2"/>
      <w:bookmarkEnd w:id="2208"/>
      <w:r>
        <w:rPr>
          <w:rFonts w:ascii="Arial" w:eastAsia="Arial" w:hAnsi="Arial" w:cs="Arial"/>
          <w:color w:val="000000"/>
          <w:sz w:val="20"/>
        </w:rPr>
        <w:t xml:space="preserve">Once Tomlinson shows that the accommodation was objectively reasonable (which includes the "interactive process" requirement), the burden shifts to KMC to show that the accommodation would impose an undue hardship. </w:t>
      </w:r>
      <w:bookmarkStart w:id="2209" w:name="Bookmark_I67H902C2SF8R90030000400"/>
      <w:bookmarkEnd w:id="2209"/>
      <w:r>
        <w:rPr>
          <w:rFonts w:ascii="Arial" w:eastAsia="Arial" w:hAnsi="Arial" w:cs="Arial"/>
          <w:i/>
          <w:color w:val="000000"/>
          <w:sz w:val="20"/>
        </w:rPr>
        <w:t>Id.</w:t>
      </w:r>
      <w:r>
        <w:rPr>
          <w:rFonts w:ascii="Arial" w:eastAsia="Arial" w:hAnsi="Arial" w:cs="Arial"/>
          <w:color w:val="000000"/>
          <w:sz w:val="20"/>
        </w:rPr>
        <w:t xml:space="preserve"> at 1110.</w:t>
      </w:r>
    </w:p>
    <w:p w:rsidR="00022B47" w:rsidRDefault="00000000">
      <w:pPr>
        <w:pStyle w:val="Normal11"/>
        <w:widowControl w:val="0"/>
        <w:spacing w:before="200" w:line="260" w:lineRule="atLeast"/>
        <w:jc w:val="both"/>
      </w:pPr>
      <w:bookmarkStart w:id="2210" w:name="Bookmark_para_26_7"/>
      <w:bookmarkEnd w:id="2210"/>
      <w:r>
        <w:rPr>
          <w:rFonts w:ascii="Arial" w:eastAsia="Arial" w:hAnsi="Arial" w:cs="Arial"/>
          <w:color w:val="000000"/>
          <w:sz w:val="20"/>
        </w:rPr>
        <w:t xml:space="preserve">We assume for purposes of this analysis that Tomlinson is disabled, he was otherwise qualified for the FSE position at KMC, and KMC knew that he had PTSD when he requested a change in supervision. </w:t>
      </w:r>
      <w:bookmarkStart w:id="2211" w:name="Bookmark_I67H902D2SF8RB0010000400"/>
      <w:bookmarkEnd w:id="2211"/>
      <w:r>
        <w:rPr>
          <w:rFonts w:ascii="Arial" w:eastAsia="Arial" w:hAnsi="Arial" w:cs="Arial"/>
          <w:color w:val="000000"/>
          <w:sz w:val="20"/>
        </w:rPr>
        <w:t xml:space="preserve">And the parties agree that KMC denied Tomlinson's request. That streamlines our inquiry to the second prong—i.e., whether Tomlinson's request was reasonable. </w:t>
      </w:r>
      <w:r>
        <w:rPr>
          <w:rFonts w:ascii="Arial" w:eastAsia="Arial" w:hAnsi="Arial" w:cs="Arial"/>
          <w:i/>
          <w:color w:val="000000"/>
          <w:sz w:val="20"/>
        </w:rPr>
        <w:t xml:space="preserve">See </w:t>
      </w:r>
      <w:bookmarkStart w:id="2212" w:name="Bookmark_I67H902C2SF8R90050000400"/>
      <w:bookmarkEnd w:id="2212"/>
      <w:r>
        <w:rPr>
          <w:rFonts w:ascii="Arial" w:eastAsia="Arial" w:hAnsi="Arial" w:cs="Arial"/>
          <w:i/>
          <w:color w:val="000000"/>
          <w:sz w:val="20"/>
        </w:rPr>
        <w:t>Kleiber</w:t>
      </w:r>
      <w:r>
        <w:rPr>
          <w:rFonts w:ascii="Arial" w:eastAsia="Arial" w:hAnsi="Arial" w:cs="Arial"/>
          <w:color w:val="000000"/>
          <w:sz w:val="20"/>
        </w:rPr>
        <w:t>, 485 F.3d at 870 (accommodation must be objectively reasonable).</w:t>
      </w:r>
    </w:p>
    <w:p w:rsidR="00022B47" w:rsidRDefault="00000000">
      <w:pPr>
        <w:pStyle w:val="Normal11"/>
        <w:widowControl w:val="0"/>
        <w:spacing w:before="200" w:line="260" w:lineRule="atLeast"/>
        <w:jc w:val="both"/>
      </w:pPr>
      <w:bookmarkStart w:id="2213" w:name="Bookmark_para_27_7"/>
      <w:bookmarkStart w:id="2214" w:name="Bookmark_I1XJF73BRGR000079RS0000X"/>
      <w:bookmarkStart w:id="2215" w:name="Bookmark_I1XJF73BW2B000079RS0000Y"/>
      <w:bookmarkStart w:id="2216" w:name="Bookmark_I1XJF73C0PM000079RS00010"/>
      <w:bookmarkStart w:id="2217" w:name="Bookmark_I1XJF73C4B5000079RS00011"/>
      <w:bookmarkStart w:id="2218" w:name="Bookmark_I67H902D2SF8RB0030000400"/>
      <w:bookmarkStart w:id="2219" w:name="Bookmark_I1XJF73BM1B000079RS0000W"/>
      <w:bookmarkStart w:id="2220" w:name="Bookmark_I67H902D2D6NJ50010000400"/>
      <w:bookmarkEnd w:id="2213"/>
      <w:bookmarkEnd w:id="2214"/>
      <w:bookmarkEnd w:id="2215"/>
      <w:bookmarkEnd w:id="2216"/>
      <w:bookmarkEnd w:id="2217"/>
      <w:bookmarkEnd w:id="2218"/>
      <w:bookmarkEnd w:id="2219"/>
      <w:bookmarkEnd w:id="2220"/>
      <w:r>
        <w:rPr>
          <w:rFonts w:ascii="Arial" w:eastAsia="Arial" w:hAnsi="Arial" w:cs="Arial"/>
          <w:color w:val="000000"/>
          <w:sz w:val="20"/>
        </w:rPr>
        <w:t xml:space="preserve">The [*14]  district court cited a footnote in an unpublished opinion, </w:t>
      </w:r>
      <w:bookmarkStart w:id="2221" w:name="Bookmark_I67H902D2SF8RB0020000400"/>
      <w:bookmarkEnd w:id="2221"/>
      <w:r>
        <w:rPr>
          <w:rFonts w:ascii="Arial" w:eastAsia="Arial" w:hAnsi="Arial" w:cs="Arial"/>
          <w:i/>
          <w:color w:val="000000"/>
          <w:sz w:val="20"/>
        </w:rPr>
        <w:t>Deister v. Auto Club Ins. Ass'n</w:t>
      </w:r>
      <w:r>
        <w:rPr>
          <w:rFonts w:ascii="Arial" w:eastAsia="Arial" w:hAnsi="Arial" w:cs="Arial"/>
          <w:color w:val="000000"/>
          <w:sz w:val="20"/>
        </w:rPr>
        <w:t xml:space="preserve">, 647 F. App'x 652, 658 (6th Cir. 2016), to conclude that "[t]he requested accommodation, </w:t>
      </w:r>
      <w:bookmarkStart w:id="2222" w:name="Bookmark_LNHNREFclscc4_9"/>
      <w:bookmarkEnd w:id="2222"/>
      <w:r>
        <w:rPr>
          <w:rFonts w:ascii="Arial" w:eastAsia="Arial" w:hAnsi="Arial" w:cs="Arial"/>
          <w:color w:val="000000"/>
          <w:sz w:val="20"/>
        </w:rPr>
        <w:t xml:space="preserve">a change of supervisor, is generally not considered 'reasonable' for purposes of an accommodation claim." While it may be true that such a request is </w:t>
      </w:r>
      <w:r>
        <w:rPr>
          <w:rFonts w:ascii="Arial" w:eastAsia="Arial" w:hAnsi="Arial" w:cs="Arial"/>
          <w:i/>
          <w:color w:val="000000"/>
          <w:sz w:val="20"/>
        </w:rPr>
        <w:t>generally</w:t>
      </w:r>
      <w:r>
        <w:rPr>
          <w:rFonts w:ascii="Arial" w:eastAsia="Arial" w:hAnsi="Arial" w:cs="Arial"/>
          <w:color w:val="000000"/>
          <w:sz w:val="20"/>
        </w:rPr>
        <w:t xml:space="preserve"> unreasonable, our precedent informs that presumptions regarding the reasonableness of an accommodation "eviscerate[] the individualized attention that the Supreme Court has deemed 'essential' in each disability claim." </w:t>
      </w:r>
      <w:bookmarkStart w:id="2223" w:name="Bookmark_I67H902D2SF8RB0040000400"/>
      <w:bookmarkEnd w:id="2223"/>
      <w:r>
        <w:rPr>
          <w:rFonts w:ascii="Arial" w:eastAsia="Arial" w:hAnsi="Arial" w:cs="Arial"/>
          <w:i/>
          <w:color w:val="000000"/>
          <w:sz w:val="20"/>
        </w:rPr>
        <w:t>Cehrs v. Ne. Ohio Alzheimer's Rsch. Ctr.</w:t>
      </w:r>
      <w:r>
        <w:rPr>
          <w:rFonts w:ascii="Arial" w:eastAsia="Arial" w:hAnsi="Arial" w:cs="Arial"/>
          <w:color w:val="000000"/>
          <w:sz w:val="20"/>
        </w:rPr>
        <w:t xml:space="preserve">, 155 F.3d 775, 782 (6th Cir. 1998) (quoting </w:t>
      </w:r>
      <w:bookmarkStart w:id="2224" w:name="Bookmark_I67H902D28T4CS0010000400"/>
      <w:bookmarkEnd w:id="2224"/>
      <w:r>
        <w:rPr>
          <w:rFonts w:ascii="Arial" w:eastAsia="Arial" w:hAnsi="Arial" w:cs="Arial"/>
          <w:i/>
          <w:color w:val="000000"/>
          <w:sz w:val="20"/>
        </w:rPr>
        <w:t>Sch. Bd. of Nassau Cnty. v. Arline</w:t>
      </w:r>
      <w:r>
        <w:rPr>
          <w:rFonts w:ascii="Arial" w:eastAsia="Arial" w:hAnsi="Arial" w:cs="Arial"/>
          <w:color w:val="000000"/>
          <w:sz w:val="20"/>
        </w:rPr>
        <w:t xml:space="preserve">, 480 U.S. 273, 287, 107 S. Ct. 1123, 94 L. Ed. 2d 307 (1987)); </w:t>
      </w:r>
      <w:r>
        <w:rPr>
          <w:rFonts w:ascii="Arial" w:eastAsia="Arial" w:hAnsi="Arial" w:cs="Arial"/>
          <w:i/>
          <w:color w:val="000000"/>
          <w:sz w:val="20"/>
        </w:rPr>
        <w:t xml:space="preserve">see also </w:t>
      </w:r>
      <w:bookmarkStart w:id="2225" w:name="Bookmark_I67H902D28T4CS0030000400"/>
      <w:bookmarkEnd w:id="2225"/>
      <w:r>
        <w:rPr>
          <w:rFonts w:ascii="Arial" w:eastAsia="Arial" w:hAnsi="Arial" w:cs="Arial"/>
          <w:i/>
          <w:color w:val="000000"/>
          <w:sz w:val="20"/>
        </w:rPr>
        <w:t>US Airways, Inc. v. Barnett</w:t>
      </w:r>
      <w:r>
        <w:rPr>
          <w:rFonts w:ascii="Arial" w:eastAsia="Arial" w:hAnsi="Arial" w:cs="Arial"/>
          <w:color w:val="000000"/>
          <w:sz w:val="20"/>
        </w:rPr>
        <w:t xml:space="preserve">, 535 U.S. 391, 405, 122 S. Ct. 1516, 152 L. Ed. 2d 589 (2002) (conducting individualized assessment even where the plaintiff's request ran afoul the employer's seniority system "(which the ADA may not trump in the run of cases)" "because special circumstances might [have] alter[ed] the important expectations" that justify protecting seniority systems). Importantly, in </w:t>
      </w:r>
      <w:r>
        <w:rPr>
          <w:rFonts w:ascii="Arial" w:eastAsia="Arial" w:hAnsi="Arial" w:cs="Arial"/>
          <w:i/>
          <w:color w:val="000000"/>
          <w:sz w:val="20"/>
        </w:rPr>
        <w:t>Deister</w:t>
      </w:r>
      <w:r>
        <w:rPr>
          <w:rFonts w:ascii="Arial" w:eastAsia="Arial" w:hAnsi="Arial" w:cs="Arial"/>
          <w:color w:val="000000"/>
          <w:sz w:val="20"/>
        </w:rPr>
        <w:t xml:space="preserve">, the case on which the district court rested its finding, we held that the plaintiff's failure to make the request for a change in supervision was fatal to his failure-to-accommodate claim. </w:t>
      </w:r>
      <w:bookmarkStart w:id="2226" w:name="Bookmark_I67H902D28T4CS0050000400"/>
      <w:bookmarkEnd w:id="2226"/>
      <w:r>
        <w:rPr>
          <w:rFonts w:ascii="Arial" w:eastAsia="Arial" w:hAnsi="Arial" w:cs="Arial"/>
          <w:color w:val="000000"/>
          <w:sz w:val="20"/>
        </w:rPr>
        <w:t xml:space="preserve">647 F. App'x at 658. Though the court disposed of the issue of whether a request for a change in supervisor can constitute a reasonable accommodation under the circumstances of that case, it did not provide [*15]  analysis on the issue presumably because it had resolved the plaintiff's claim on alternative grounds. </w:t>
      </w:r>
      <w:r>
        <w:rPr>
          <w:rFonts w:ascii="Arial" w:eastAsia="Arial" w:hAnsi="Arial" w:cs="Arial"/>
          <w:i/>
          <w:color w:val="000000"/>
          <w:sz w:val="20"/>
        </w:rPr>
        <w:t>Id.</w:t>
      </w:r>
    </w:p>
    <w:p w:rsidR="00022B47" w:rsidRDefault="00000000">
      <w:pPr>
        <w:pStyle w:val="Normal11"/>
        <w:widowControl w:val="0"/>
        <w:spacing w:before="200" w:line="260" w:lineRule="atLeast"/>
        <w:jc w:val="both"/>
      </w:pPr>
      <w:bookmarkStart w:id="2227" w:name="Bookmark_para_28_7"/>
      <w:bookmarkEnd w:id="2227"/>
      <w:r>
        <w:rPr>
          <w:rFonts w:ascii="Arial" w:eastAsia="Arial" w:hAnsi="Arial" w:cs="Arial"/>
          <w:color w:val="000000"/>
          <w:sz w:val="20"/>
        </w:rPr>
        <w:t xml:space="preserve">A fresh look at the record evinces that a reasonable juror could conclude that Tomlinson's request was reasonable. After all, Beene-Skuban testified that the reason KMC denied the request was because it did not "seem" like an option that would fit within the company's structure. Critically, however, Hemmerle testified that, during Beene-Skuban's investigation of Tomlinson's complaints regarding Wiley's delivery of his performance review, KMC's leadership actually discussed revamping the evaluation process in a way that would have satisfied Tomlinson's request. Indeed, KMC planned to explore the idea of having the service coordinators (Bouza's position) conduct the performance reviews for FSEs (Tomlinson's position), instead of service managers (Wiley's position). All things considered, a reasonable jury could discern that Tomlinson's request was reasonable because not only was KMC considering doing the very thing that Tomlinson requested </w:t>
      </w:r>
      <w:r>
        <w:rPr>
          <w:rFonts w:ascii="Arial" w:eastAsia="Arial" w:hAnsi="Arial" w:cs="Arial"/>
          <w:i/>
          <w:color w:val="000000"/>
          <w:sz w:val="20"/>
        </w:rPr>
        <w:t>even before</w:t>
      </w:r>
      <w:r>
        <w:rPr>
          <w:rFonts w:ascii="Arial" w:eastAsia="Arial" w:hAnsi="Arial" w:cs="Arial"/>
          <w:color w:val="000000"/>
          <w:sz w:val="20"/>
        </w:rPr>
        <w:t xml:space="preserve"> Beene-Skuban denied his request, but KMC further </w:t>
      </w:r>
      <w:r>
        <w:rPr>
          <w:rFonts w:ascii="Arial" w:eastAsia="Arial" w:hAnsi="Arial" w:cs="Arial"/>
          <w:i/>
          <w:color w:val="000000"/>
          <w:sz w:val="20"/>
        </w:rPr>
        <w:t>made and implemented</w:t>
      </w:r>
      <w:r>
        <w:rPr>
          <w:rFonts w:ascii="Arial" w:eastAsia="Arial" w:hAnsi="Arial" w:cs="Arial"/>
          <w:color w:val="000000"/>
          <w:sz w:val="20"/>
        </w:rPr>
        <w:t xml:space="preserve"> that change the following year.</w:t>
      </w:r>
    </w:p>
    <w:p w:rsidR="00022B47" w:rsidRDefault="00000000">
      <w:pPr>
        <w:pStyle w:val="Normal11"/>
        <w:widowControl w:val="0"/>
        <w:spacing w:before="200" w:line="260" w:lineRule="atLeast"/>
        <w:jc w:val="both"/>
      </w:pPr>
      <w:bookmarkStart w:id="2228" w:name="Bookmark_para_29_7"/>
      <w:bookmarkEnd w:id="2228"/>
      <w:r>
        <w:rPr>
          <w:rFonts w:ascii="Arial" w:eastAsia="Arial" w:hAnsi="Arial" w:cs="Arial"/>
          <w:color w:val="000000"/>
          <w:sz w:val="20"/>
        </w:rPr>
        <w:t>KMC cites Wiley's and Beene-Skuban's [*16]  testimony to argue that it ultimately did not modify the reporting structure but instead only delegated the initial draft of evaluations to service coordinators. Specifically, Wiley explained that he reviewed the evaluations prepared by the coordinators before forwarding to Human Resources, and Beene-Skuban testified that KMC leadership discussed easing Wiley's burden of conducting a disproportionate number of performance reviews. However, Hemmerle testified that "after some reorganization, [KMC] made a shift to how [it] handle[d] performance reviews;" namely, KMC "had the respective [service] coordinator for the group [of FSEs] provide the performance review to the employees that they were coordinating." Hemmerle did not indicate that the initial review was only cursory such that it would not amount to a change in KMC's reporting structure.</w:t>
      </w:r>
    </w:p>
    <w:p w:rsidR="00022B47" w:rsidRDefault="00000000">
      <w:pPr>
        <w:pStyle w:val="Normal11"/>
        <w:widowControl w:val="0"/>
        <w:spacing w:before="200" w:line="260" w:lineRule="atLeast"/>
        <w:jc w:val="both"/>
      </w:pPr>
      <w:bookmarkStart w:id="2229" w:name="Bookmark_para_30_7"/>
      <w:bookmarkEnd w:id="2229"/>
      <w:r>
        <w:rPr>
          <w:rFonts w:ascii="Arial" w:eastAsia="Arial" w:hAnsi="Arial" w:cs="Arial"/>
          <w:color w:val="000000"/>
          <w:sz w:val="20"/>
        </w:rPr>
        <w:t>As such, the question of reasonableness would be ripe for a jury if the inquiry were to end here. However, it does not. As we explain below, because Tomlinson failed to engage in the interactive process required by the ADA to reach a mutually agreeable reasonable accommodation, his failure-to-accommodate claim cannot survive.</w:t>
      </w:r>
    </w:p>
    <w:p w:rsidR="00022B47" w:rsidRDefault="00000000">
      <w:pPr>
        <w:pStyle w:val="Normal11"/>
        <w:widowControl w:val="0"/>
        <w:spacing w:before="240" w:line="260" w:lineRule="atLeast"/>
      </w:pPr>
      <w:r>
        <w:br/>
      </w:r>
      <w:r>
        <w:rPr>
          <w:rFonts w:ascii="Arial" w:eastAsia="Arial" w:hAnsi="Arial" w:cs="Arial"/>
          <w:b/>
          <w:color w:val="000000"/>
          <w:sz w:val="20"/>
        </w:rPr>
        <w:t>2. Interactive process</w:t>
      </w:r>
      <w:r>
        <w:rPr>
          <w:rFonts w:ascii="Arial" w:eastAsia="Arial" w:hAnsi="Arial" w:cs="Arial"/>
          <w:color w:val="000000"/>
          <w:sz w:val="20"/>
        </w:rPr>
        <w:t> [*17] </w:t>
      </w:r>
    </w:p>
    <w:p w:rsidR="00022B47" w:rsidRDefault="00000000">
      <w:pPr>
        <w:pStyle w:val="Normal11"/>
        <w:widowControl w:val="0"/>
        <w:spacing w:before="200" w:line="260" w:lineRule="atLeast"/>
        <w:jc w:val="both"/>
      </w:pPr>
      <w:bookmarkStart w:id="2230" w:name="Bookmark_para_31_7"/>
      <w:bookmarkStart w:id="2231" w:name="Bookmark_I67H902D2D6NJ50030000400"/>
      <w:bookmarkStart w:id="2232" w:name="Bookmark_I67H902D2D6NJ50050000400"/>
      <w:bookmarkStart w:id="2233" w:name="Bookmark_LNHNREFclscc5_9"/>
      <w:bookmarkEnd w:id="2230"/>
      <w:bookmarkEnd w:id="2231"/>
      <w:bookmarkEnd w:id="2232"/>
      <w:bookmarkEnd w:id="2233"/>
      <w:r>
        <w:rPr>
          <w:rFonts w:ascii="Arial" w:eastAsia="Arial" w:hAnsi="Arial" w:cs="Arial"/>
          <w:color w:val="000000"/>
          <w:sz w:val="20"/>
        </w:rPr>
        <w:t xml:space="preserve">The ADA does not oblige "employers to make on-the-spot accommodations of the employee's choosing." </w:t>
      </w:r>
      <w:bookmarkStart w:id="2234" w:name="Bookmark_I67H902D2D6NJ50020000400"/>
      <w:bookmarkEnd w:id="2234"/>
      <w:r>
        <w:rPr>
          <w:rFonts w:ascii="Arial" w:eastAsia="Arial" w:hAnsi="Arial" w:cs="Arial"/>
          <w:i/>
          <w:color w:val="000000"/>
          <w:sz w:val="20"/>
        </w:rPr>
        <w:t>Brumley</w:t>
      </w:r>
      <w:r>
        <w:rPr>
          <w:rFonts w:ascii="Arial" w:eastAsia="Arial" w:hAnsi="Arial" w:cs="Arial"/>
          <w:color w:val="000000"/>
          <w:sz w:val="20"/>
        </w:rPr>
        <w:t xml:space="preserve">, 909 F.3d at 840. Rather, the regulations acknowledge that determining the appropriate accommodation may require the employer "to initiate an informal, interactive process." 29 C.F.R. § 1630.2. </w:t>
      </w:r>
      <w:bookmarkStart w:id="2235" w:name="Bookmark_I67H902D28T4CV0020000400"/>
      <w:bookmarkEnd w:id="2235"/>
      <w:r>
        <w:rPr>
          <w:rFonts w:ascii="Arial" w:eastAsia="Arial" w:hAnsi="Arial" w:cs="Arial"/>
          <w:color w:val="000000"/>
          <w:sz w:val="20"/>
        </w:rPr>
        <w:t xml:space="preserve">This process functions to "identify the precise limitations resulting from the disability and potential reasonable accommodations that could overcome those limitations." </w:t>
      </w:r>
      <w:r>
        <w:rPr>
          <w:rFonts w:ascii="Arial" w:eastAsia="Arial" w:hAnsi="Arial" w:cs="Arial"/>
          <w:i/>
          <w:color w:val="000000"/>
          <w:sz w:val="20"/>
        </w:rPr>
        <w:t>Id.</w:t>
      </w:r>
      <w:r>
        <w:rPr>
          <w:rFonts w:ascii="Arial" w:eastAsia="Arial" w:hAnsi="Arial" w:cs="Arial"/>
          <w:color w:val="000000"/>
          <w:sz w:val="20"/>
        </w:rPr>
        <w:t xml:space="preserve"> And "[e]ven though the interactive process is not described in the statute's text, [it] is mandatory, and both parties have a duty to participate in good faith." </w:t>
      </w:r>
      <w:bookmarkStart w:id="2236" w:name="Bookmark_I67H902D2D6NJ50040000400"/>
      <w:bookmarkEnd w:id="2236"/>
      <w:r>
        <w:rPr>
          <w:rFonts w:ascii="Arial" w:eastAsia="Arial" w:hAnsi="Arial" w:cs="Arial"/>
          <w:i/>
          <w:color w:val="000000"/>
          <w:sz w:val="20"/>
        </w:rPr>
        <w:t>Kleiber</w:t>
      </w:r>
      <w:r>
        <w:rPr>
          <w:rFonts w:ascii="Arial" w:eastAsia="Arial" w:hAnsi="Arial" w:cs="Arial"/>
          <w:color w:val="000000"/>
          <w:sz w:val="20"/>
        </w:rPr>
        <w:t xml:space="preserve">, 485 F.3d at 871. </w:t>
      </w:r>
      <w:bookmarkStart w:id="2237" w:name="Bookmark_I67H902D28T4CV0020000400_2"/>
      <w:bookmarkStart w:id="2238" w:name="Bookmark_I67H902D28T4CV0040000400"/>
      <w:bookmarkEnd w:id="2237"/>
      <w:bookmarkEnd w:id="2238"/>
      <w:r>
        <w:rPr>
          <w:rFonts w:ascii="Arial" w:eastAsia="Arial" w:hAnsi="Arial" w:cs="Arial"/>
          <w:color w:val="000000"/>
          <w:sz w:val="20"/>
        </w:rPr>
        <w:t xml:space="preserve">Causing unnecessary delays, obstructing the process, and/or failing to adequately communicate or provide information during the process may evidence a party's bad faith. </w:t>
      </w:r>
      <w:bookmarkStart w:id="2239" w:name="Bookmark_I67H902D28T4CV0010000400"/>
      <w:bookmarkEnd w:id="2239"/>
      <w:r>
        <w:rPr>
          <w:rFonts w:ascii="Arial" w:eastAsia="Arial" w:hAnsi="Arial" w:cs="Arial"/>
          <w:i/>
          <w:color w:val="000000"/>
          <w:sz w:val="20"/>
        </w:rPr>
        <w:t>Brumley</w:t>
      </w:r>
      <w:r>
        <w:rPr>
          <w:rFonts w:ascii="Arial" w:eastAsia="Arial" w:hAnsi="Arial" w:cs="Arial"/>
          <w:color w:val="000000"/>
          <w:sz w:val="20"/>
        </w:rPr>
        <w:t xml:space="preserve">, 909 F.3d at 840. </w:t>
      </w:r>
      <w:bookmarkStart w:id="2240" w:name="Bookmark_I67H902D28T4CV0040000400_2"/>
      <w:bookmarkEnd w:id="2240"/>
      <w:r>
        <w:rPr>
          <w:rFonts w:ascii="Arial" w:eastAsia="Arial" w:hAnsi="Arial" w:cs="Arial"/>
          <w:color w:val="000000"/>
          <w:sz w:val="20"/>
        </w:rPr>
        <w:t xml:space="preserve">Where a party fails to participate in good faith, "courts should attempt to isolate the cause of the breakdown and then assign responsibility." </w:t>
      </w:r>
      <w:bookmarkStart w:id="2241" w:name="Bookmark_I67H902D28T4CV0030000400"/>
      <w:bookmarkEnd w:id="2241"/>
      <w:r>
        <w:rPr>
          <w:rFonts w:ascii="Arial" w:eastAsia="Arial" w:hAnsi="Arial" w:cs="Arial"/>
          <w:i/>
          <w:color w:val="000000"/>
          <w:sz w:val="20"/>
        </w:rPr>
        <w:t>Kleiber</w:t>
      </w:r>
      <w:r>
        <w:rPr>
          <w:rFonts w:ascii="Arial" w:eastAsia="Arial" w:hAnsi="Arial" w:cs="Arial"/>
          <w:color w:val="000000"/>
          <w:sz w:val="20"/>
        </w:rPr>
        <w:t>, 485 F.3d at 871.</w:t>
      </w:r>
    </w:p>
    <w:p w:rsidR="00022B47" w:rsidRDefault="00000000">
      <w:pPr>
        <w:pStyle w:val="Normal11"/>
        <w:widowControl w:val="0"/>
        <w:spacing w:before="200" w:line="260" w:lineRule="atLeast"/>
        <w:jc w:val="both"/>
      </w:pPr>
      <w:bookmarkStart w:id="2242" w:name="Bookmark_para_32_7"/>
      <w:bookmarkStart w:id="2243" w:name="Bookmark_I1XJF73BG75000079RS0000V"/>
      <w:bookmarkStart w:id="2244" w:name="Bookmark_I67H902D2SF8RG0010000400"/>
      <w:bookmarkEnd w:id="2242"/>
      <w:bookmarkEnd w:id="2243"/>
      <w:bookmarkEnd w:id="2244"/>
      <w:r>
        <w:rPr>
          <w:rFonts w:ascii="Arial" w:eastAsia="Arial" w:hAnsi="Arial" w:cs="Arial"/>
          <w:color w:val="000000"/>
          <w:sz w:val="20"/>
        </w:rPr>
        <w:t xml:space="preserve">For example, the plaintiff in </w:t>
      </w:r>
      <w:bookmarkStart w:id="2245" w:name="Bookmark_I67H902D28T4CV0050000400"/>
      <w:bookmarkEnd w:id="2245"/>
      <w:r>
        <w:rPr>
          <w:rFonts w:ascii="Arial" w:eastAsia="Arial" w:hAnsi="Arial" w:cs="Arial"/>
          <w:i/>
          <w:color w:val="000000"/>
          <w:sz w:val="20"/>
        </w:rPr>
        <w:t>Brumley</w:t>
      </w:r>
      <w:r>
        <w:rPr>
          <w:rFonts w:ascii="Arial" w:eastAsia="Arial" w:hAnsi="Arial" w:cs="Arial"/>
          <w:color w:val="000000"/>
          <w:sz w:val="20"/>
        </w:rPr>
        <w:t xml:space="preserve"> worked as a sorter and driver for United Parcel Service, Inc. ("UPS") and injured her back on the job. </w:t>
      </w:r>
      <w:bookmarkStart w:id="2246" w:name="Bookmark_I67H902D2SF8RG0020000400"/>
      <w:bookmarkEnd w:id="2246"/>
      <w:r>
        <w:rPr>
          <w:rFonts w:ascii="Arial" w:eastAsia="Arial" w:hAnsi="Arial" w:cs="Arial"/>
          <w:color w:val="000000"/>
          <w:sz w:val="20"/>
        </w:rPr>
        <w:t xml:space="preserve">909 F.3d at 836. She took a leave of absence. </w:t>
      </w:r>
      <w:bookmarkStart w:id="2247" w:name="Bookmark_I67H902D2SF8RG0050000400"/>
      <w:bookmarkEnd w:id="2247"/>
      <w:r>
        <w:rPr>
          <w:rFonts w:ascii="Arial" w:eastAsia="Arial" w:hAnsi="Arial" w:cs="Arial"/>
          <w:i/>
          <w:color w:val="000000"/>
          <w:sz w:val="20"/>
        </w:rPr>
        <w:t>Id.</w:t>
      </w:r>
      <w:r>
        <w:rPr>
          <w:rFonts w:ascii="Arial" w:eastAsia="Arial" w:hAnsi="Arial" w:cs="Arial"/>
          <w:color w:val="000000"/>
          <w:sz w:val="20"/>
        </w:rPr>
        <w:t xml:space="preserve"> The day she returned, the plaintiff gave UPS a doctor's note indicating that she could only work in "local sort," a subset [*18]  of her sorter position. </w:t>
      </w:r>
      <w:r>
        <w:rPr>
          <w:rFonts w:ascii="Arial" w:eastAsia="Arial" w:hAnsi="Arial" w:cs="Arial"/>
          <w:i/>
          <w:color w:val="000000"/>
          <w:sz w:val="20"/>
        </w:rPr>
        <w:t>Id.</w:t>
      </w:r>
      <w:r>
        <w:rPr>
          <w:rFonts w:ascii="Arial" w:eastAsia="Arial" w:hAnsi="Arial" w:cs="Arial"/>
          <w:color w:val="000000"/>
          <w:sz w:val="20"/>
        </w:rPr>
        <w:t xml:space="preserve"> UPS did not approve her request that day, but instead sent her home and initiated the interactive process to identify the appropriate accommodation. </w:t>
      </w:r>
      <w:bookmarkStart w:id="2248" w:name="Bookmark_I67H902D2N1PRG0020000400"/>
      <w:bookmarkStart w:id="2249" w:name="Bookmark_I67H902D2SF8RG0040000400"/>
      <w:bookmarkEnd w:id="2248"/>
      <w:bookmarkEnd w:id="2249"/>
      <w:r>
        <w:rPr>
          <w:rFonts w:ascii="Arial" w:eastAsia="Arial" w:hAnsi="Arial" w:cs="Arial"/>
          <w:i/>
          <w:color w:val="000000"/>
          <w:sz w:val="20"/>
        </w:rPr>
        <w:t>Id.</w:t>
      </w:r>
      <w:r>
        <w:rPr>
          <w:rFonts w:ascii="Arial" w:eastAsia="Arial" w:hAnsi="Arial" w:cs="Arial"/>
          <w:color w:val="000000"/>
          <w:sz w:val="20"/>
        </w:rPr>
        <w:t xml:space="preserve"> at 837-38. </w:t>
      </w:r>
      <w:bookmarkStart w:id="2250" w:name="Bookmark_I67H902D2N1PRG0020000400_2"/>
      <w:bookmarkEnd w:id="2250"/>
      <w:r>
        <w:rPr>
          <w:rFonts w:ascii="Arial" w:eastAsia="Arial" w:hAnsi="Arial" w:cs="Arial"/>
          <w:color w:val="000000"/>
          <w:sz w:val="20"/>
        </w:rPr>
        <w:t xml:space="preserve">UPS sent the plaintiff three letters that she did not answer until nearly a month later, finally sending the requested information and coordinating time for a meeting. </w:t>
      </w:r>
      <w:bookmarkStart w:id="2251" w:name="Bookmark_I67H902D2N1PRG0040000400"/>
      <w:bookmarkStart w:id="2252" w:name="Bookmark_I67H902D2N1PRG0010000400"/>
      <w:bookmarkEnd w:id="2251"/>
      <w:bookmarkEnd w:id="2252"/>
      <w:r>
        <w:rPr>
          <w:rFonts w:ascii="Arial" w:eastAsia="Arial" w:hAnsi="Arial" w:cs="Arial"/>
          <w:i/>
          <w:color w:val="000000"/>
          <w:sz w:val="20"/>
        </w:rPr>
        <w:t>Id.</w:t>
      </w:r>
      <w:r>
        <w:rPr>
          <w:rFonts w:ascii="Arial" w:eastAsia="Arial" w:hAnsi="Arial" w:cs="Arial"/>
          <w:color w:val="000000"/>
          <w:sz w:val="20"/>
        </w:rPr>
        <w:t xml:space="preserve"> at 838. </w:t>
      </w:r>
      <w:bookmarkStart w:id="2253" w:name="Bookmark_I67H902D2N1PRG0040000400_2"/>
      <w:bookmarkEnd w:id="2253"/>
      <w:r>
        <w:rPr>
          <w:rFonts w:ascii="Arial" w:eastAsia="Arial" w:hAnsi="Arial" w:cs="Arial"/>
          <w:color w:val="000000"/>
          <w:sz w:val="20"/>
        </w:rPr>
        <w:t xml:space="preserve">When UPS explained at the meeting that the company would try to find a reasonable accommodation based on the plaintiff's restrictions, she stated that she would instead ask her doctor to remove her restrictions and return to work, effectively discontinuing the interactive process. </w:t>
      </w:r>
      <w:r>
        <w:rPr>
          <w:rFonts w:ascii="Arial" w:eastAsia="Arial" w:hAnsi="Arial" w:cs="Arial"/>
          <w:i/>
          <w:color w:val="000000"/>
          <w:sz w:val="20"/>
        </w:rPr>
        <w:t>Id.</w:t>
      </w:r>
      <w:r>
        <w:rPr>
          <w:rFonts w:ascii="Arial" w:eastAsia="Arial" w:hAnsi="Arial" w:cs="Arial"/>
          <w:color w:val="000000"/>
          <w:sz w:val="20"/>
        </w:rPr>
        <w:t xml:space="preserve"> </w:t>
      </w:r>
      <w:bookmarkStart w:id="2254" w:name="Bookmark_LNHNREFclscc6_8"/>
      <w:bookmarkEnd w:id="2254"/>
      <w:r>
        <w:rPr>
          <w:rFonts w:ascii="Arial" w:eastAsia="Arial" w:hAnsi="Arial" w:cs="Arial"/>
          <w:color w:val="000000"/>
          <w:sz w:val="20"/>
        </w:rPr>
        <w:t xml:space="preserve">When the plaintiff later sued UPS for failure to accommodate her disability, we explained that "[a]n employer's refusal to provide an accommodation to the position of the employee's choice immediately upon the employee's request is not, in and of itself, a failure to accommodate under the ADA." </w:t>
      </w:r>
      <w:bookmarkStart w:id="2255" w:name="Bookmark_I67H902D2N1PRG0030000400"/>
      <w:bookmarkEnd w:id="2255"/>
      <w:r>
        <w:rPr>
          <w:rFonts w:ascii="Arial" w:eastAsia="Arial" w:hAnsi="Arial" w:cs="Arial"/>
          <w:i/>
          <w:color w:val="000000"/>
          <w:sz w:val="20"/>
        </w:rPr>
        <w:t>Id.</w:t>
      </w:r>
      <w:r>
        <w:rPr>
          <w:rFonts w:ascii="Arial" w:eastAsia="Arial" w:hAnsi="Arial" w:cs="Arial"/>
          <w:color w:val="000000"/>
          <w:sz w:val="20"/>
        </w:rPr>
        <w:t xml:space="preserve"> at 840. Rather, "UPS had discretion to provide a reasonable accommodation as identified through the interactive process." </w:t>
      </w:r>
      <w:r>
        <w:rPr>
          <w:rFonts w:ascii="Arial" w:eastAsia="Arial" w:hAnsi="Arial" w:cs="Arial"/>
          <w:i/>
          <w:color w:val="000000"/>
          <w:sz w:val="20"/>
        </w:rPr>
        <w:t>Id.</w:t>
      </w:r>
      <w:r>
        <w:rPr>
          <w:rFonts w:ascii="Arial" w:eastAsia="Arial" w:hAnsi="Arial" w:cs="Arial"/>
          <w:color w:val="000000"/>
          <w:sz w:val="20"/>
        </w:rPr>
        <w:t xml:space="preserve"> But because the plaintiff "voluntarily abandoned the process, UPS [was] not liable for failing to provide a reasonable accommodation." </w:t>
      </w:r>
      <w:r>
        <w:rPr>
          <w:rFonts w:ascii="Arial" w:eastAsia="Arial" w:hAnsi="Arial" w:cs="Arial"/>
          <w:i/>
          <w:color w:val="000000"/>
          <w:sz w:val="20"/>
        </w:rPr>
        <w:t>Id.</w:t>
      </w:r>
    </w:p>
    <w:p w:rsidR="00022B47" w:rsidRDefault="00000000">
      <w:pPr>
        <w:pStyle w:val="Normal11"/>
        <w:widowControl w:val="0"/>
        <w:spacing w:before="200" w:line="260" w:lineRule="atLeast"/>
        <w:jc w:val="both"/>
      </w:pPr>
      <w:bookmarkStart w:id="2256" w:name="Bookmark_para_33_6"/>
      <w:bookmarkEnd w:id="2256"/>
      <w:r>
        <w:rPr>
          <w:rFonts w:ascii="Arial" w:eastAsia="Arial" w:hAnsi="Arial" w:cs="Arial"/>
          <w:color w:val="000000"/>
          <w:sz w:val="20"/>
        </w:rPr>
        <w:t xml:space="preserve">Here, the district [*19]  court found that Tomlinson failed to engage in the interactive process. We agree. </w:t>
      </w:r>
      <w:bookmarkStart w:id="2257" w:name="Bookmark_I67H902D2D6NJ60010000400"/>
      <w:bookmarkEnd w:id="2257"/>
      <w:r>
        <w:rPr>
          <w:rFonts w:ascii="Arial" w:eastAsia="Arial" w:hAnsi="Arial" w:cs="Arial"/>
          <w:color w:val="000000"/>
          <w:sz w:val="20"/>
        </w:rPr>
        <w:t xml:space="preserve">Tomlinson contends that he only failed to communicate as a result of his PTSD, and that the lag in communication occurred before the interactive process was triggered. </w:t>
      </w:r>
      <w:bookmarkStart w:id="2258" w:name="Bookmark_LNHNREFclscc7_7"/>
      <w:bookmarkEnd w:id="2258"/>
      <w:r>
        <w:rPr>
          <w:rFonts w:ascii="Arial" w:eastAsia="Arial" w:hAnsi="Arial" w:cs="Arial"/>
          <w:color w:val="000000"/>
          <w:sz w:val="20"/>
        </w:rPr>
        <w:t xml:space="preserve">To begin, our precedent does not require employees to recite any particular buzz words for us to find that an accommodation was requested. </w:t>
      </w:r>
      <w:r>
        <w:rPr>
          <w:rFonts w:ascii="Arial" w:eastAsia="Arial" w:hAnsi="Arial" w:cs="Arial"/>
          <w:i/>
          <w:color w:val="000000"/>
          <w:sz w:val="20"/>
        </w:rPr>
        <w:t xml:space="preserve">See </w:t>
      </w:r>
      <w:bookmarkStart w:id="2259" w:name="Bookmark_I67H902D2N1PRG0050000400"/>
      <w:bookmarkEnd w:id="2259"/>
      <w:r>
        <w:rPr>
          <w:rFonts w:ascii="Arial" w:eastAsia="Arial" w:hAnsi="Arial" w:cs="Arial"/>
          <w:i/>
          <w:color w:val="000000"/>
          <w:sz w:val="20"/>
        </w:rPr>
        <w:t>Smith v. Henderson</w:t>
      </w:r>
      <w:r>
        <w:rPr>
          <w:rFonts w:ascii="Arial" w:eastAsia="Arial" w:hAnsi="Arial" w:cs="Arial"/>
          <w:color w:val="000000"/>
          <w:sz w:val="20"/>
        </w:rPr>
        <w:t>, 376 F.3d 529, 535 (6th Cir. 2004) ("The context in which the letter was written permits an inference that [the employer] knew or should have known that [the employee] sought to delegate her accounting duties in order to make her job conform with her medical restrictions."). The record supports that Tomlinson made clear that he wished to be accommodated based on his disability even before he made the specific request for a change in supervision. Starting with his first call to Hemmerle after receiving his written performance review, until the moment that he resigned, Tomlinson made clear that he had an issue with Wiley and wanted KMC to take some sort of action. For instance, in his first communication to the company's general counsel, Beene-Skuban, Tomlinson indicated that Wiley made threatening and harassing comments which Tomlinson [*20]  felt were an attack on his PTSD. He later followed up with the president of the company stating that the only request he had made thus far was to not "deal with bullying or harassment." Though he did not state specifically that he wanted to report to Bouza instead of Wiley, KMC should have reasonably inferred that he had an issue working with Wiley such that it was appropriate to initiate an interactive process to reach a resolution, which is exactly what it did. KMC repeatedly attempted to initiate a discussion with Tomlinson to hear more about his concerns and Beene-Skuban explicitly stated in one of the emails that she wanted to be "sensitive to" Tomlinson's PTSD.</w:t>
      </w:r>
    </w:p>
    <w:p w:rsidR="00022B47" w:rsidRDefault="00000000">
      <w:pPr>
        <w:pStyle w:val="Normal11"/>
        <w:widowControl w:val="0"/>
        <w:spacing w:before="200" w:line="260" w:lineRule="atLeast"/>
        <w:jc w:val="both"/>
      </w:pPr>
      <w:bookmarkStart w:id="2260" w:name="Bookmark_para_34_6"/>
      <w:bookmarkEnd w:id="2260"/>
      <w:r>
        <w:rPr>
          <w:rFonts w:ascii="Arial" w:eastAsia="Arial" w:hAnsi="Arial" w:cs="Arial"/>
          <w:color w:val="000000"/>
          <w:sz w:val="20"/>
        </w:rPr>
        <w:t xml:space="preserve">But after Tomlinson took medical leave, he became largely unresponsive, demanding that KMC give him advanced notice before contacting him, yet neglecting to provide the company with his availability. In this vein, Tomlinson's argument that he could not participate in the process on account of his PTSD is unpersuasive. </w:t>
      </w:r>
      <w:bookmarkStart w:id="2261" w:name="Bookmark_I67H902D2D6NJ60030000400"/>
      <w:bookmarkEnd w:id="2261"/>
      <w:r>
        <w:rPr>
          <w:rFonts w:ascii="Arial" w:eastAsia="Arial" w:hAnsi="Arial" w:cs="Arial"/>
          <w:color w:val="000000"/>
          <w:sz w:val="20"/>
        </w:rPr>
        <w:t xml:space="preserve">KMC offered him the option to set up a phone call or continue discussing through email, and it also welcomed him to suggest other means of communication more amenable to him. For example, Hemmerle stated in [*21]  one of his several emails that he and Beene-Skuban attempted multiple times to discuss Tomlinson's concerns with him to no avail, and that "if phone calls [were] detrimental to [Tomlinson's] condition then [Hemmerle was] happy to continue using email." And, though she did not inform Tomlinson, Beene-Skuban even reached out to Human Resources during her investigation to determine whether KMC could transfer Tomlinson to another position so that he could report to a different manager. However, there were no openings. The record suggests that Tomlinson is to blame for the breakdown of the interactive process, not KMC. </w:t>
      </w:r>
      <w:r>
        <w:rPr>
          <w:rFonts w:ascii="Arial" w:eastAsia="Arial" w:hAnsi="Arial" w:cs="Arial"/>
          <w:i/>
          <w:color w:val="000000"/>
          <w:sz w:val="20"/>
        </w:rPr>
        <w:t xml:space="preserve">See </w:t>
      </w:r>
      <w:bookmarkStart w:id="2262" w:name="Bookmark_I67H902D2D6NJ60020000400"/>
      <w:bookmarkEnd w:id="2262"/>
      <w:r>
        <w:rPr>
          <w:rFonts w:ascii="Arial" w:eastAsia="Arial" w:hAnsi="Arial" w:cs="Arial"/>
          <w:i/>
          <w:color w:val="000000"/>
          <w:sz w:val="20"/>
        </w:rPr>
        <w:t>Kleiber</w:t>
      </w:r>
      <w:r>
        <w:rPr>
          <w:rFonts w:ascii="Arial" w:eastAsia="Arial" w:hAnsi="Arial" w:cs="Arial"/>
          <w:color w:val="000000"/>
          <w:sz w:val="20"/>
        </w:rPr>
        <w:t>, 485 F.3d at 871.</w:t>
      </w:r>
    </w:p>
    <w:p w:rsidR="00022B47" w:rsidRDefault="00000000">
      <w:pPr>
        <w:pStyle w:val="Normal11"/>
        <w:widowControl w:val="0"/>
        <w:spacing w:before="200" w:line="260" w:lineRule="atLeast"/>
        <w:jc w:val="both"/>
      </w:pPr>
      <w:bookmarkStart w:id="2263" w:name="Bookmark_para_35_6"/>
      <w:bookmarkEnd w:id="2263"/>
      <w:r>
        <w:rPr>
          <w:rFonts w:ascii="Arial" w:eastAsia="Arial" w:hAnsi="Arial" w:cs="Arial"/>
          <w:color w:val="000000"/>
          <w:sz w:val="20"/>
        </w:rPr>
        <w:t xml:space="preserve">Moreover, even assuming that the interactive process was not triggered until Tomlinson made the request to report to Bouza instead of Wiley, a reasonable juror cannot conclude that he engaged in the mandatory interactive process in good faith. Tomlinson argues that KMC "completely sidestep[ped]" the process by failing to explore alternatives to his request. The record tells a different story. </w:t>
      </w:r>
      <w:bookmarkStart w:id="2264" w:name="Bookmark_I1XJF73B6YX000079RS0000S"/>
      <w:bookmarkStart w:id="2265" w:name="Bookmark_I67H902D2D6NJ60050000400"/>
      <w:bookmarkEnd w:id="2264"/>
      <w:bookmarkEnd w:id="2265"/>
      <w:r>
        <w:rPr>
          <w:rFonts w:ascii="Arial" w:eastAsia="Arial" w:hAnsi="Arial" w:cs="Arial"/>
          <w:color w:val="000000"/>
          <w:sz w:val="20"/>
        </w:rPr>
        <w:t xml:space="preserve">Tomlinson terminated the interactive process by resigning when KMC rejected his specific accommodation, even after the company made clear from the start of Tomlinson's complaint [*22]  that it wanted to work with him to identify a reasonable accommodation. And after KMC rejected Tomlinson's request, KMC advised him in writing that it intended to have a "face-to-face meeting" upon his return to further discuss next steps. </w:t>
      </w:r>
      <w:bookmarkStart w:id="2266" w:name="Bookmark_I67H902D2N1PRK0020000400"/>
      <w:bookmarkEnd w:id="2266"/>
      <w:r>
        <w:rPr>
          <w:rFonts w:ascii="Arial" w:eastAsia="Arial" w:hAnsi="Arial" w:cs="Arial"/>
          <w:color w:val="000000"/>
          <w:sz w:val="20"/>
        </w:rPr>
        <w:t xml:space="preserve">Just like the employee in </w:t>
      </w:r>
      <w:bookmarkStart w:id="2267" w:name="Bookmark_I67H902D2N1PRK0020000400_2"/>
      <w:bookmarkStart w:id="2268" w:name="Bookmark_I67H902D2D6NJ60050000400_2"/>
      <w:bookmarkStart w:id="2269" w:name="Bookmark_I67H902D2D6NJ60040000400"/>
      <w:bookmarkEnd w:id="2267"/>
      <w:bookmarkEnd w:id="2268"/>
      <w:bookmarkEnd w:id="2269"/>
      <w:r>
        <w:rPr>
          <w:rFonts w:ascii="Arial" w:eastAsia="Arial" w:hAnsi="Arial" w:cs="Arial"/>
          <w:i/>
          <w:color w:val="000000"/>
          <w:sz w:val="20"/>
        </w:rPr>
        <w:t>Brumley</w:t>
      </w:r>
      <w:r>
        <w:rPr>
          <w:rFonts w:ascii="Arial" w:eastAsia="Arial" w:hAnsi="Arial" w:cs="Arial"/>
          <w:color w:val="000000"/>
          <w:sz w:val="20"/>
        </w:rPr>
        <w:t xml:space="preserve"> who terminated the process before the parties could agree on a reasonable accommodation, so did Tomlinson when he resigned instead of discussing alternative accommodations with KMC—a discussion that KMC tried several times to foster. </w:t>
      </w:r>
      <w:r>
        <w:rPr>
          <w:rFonts w:ascii="Arial" w:eastAsia="Arial" w:hAnsi="Arial" w:cs="Arial"/>
          <w:i/>
          <w:color w:val="000000"/>
          <w:sz w:val="20"/>
        </w:rPr>
        <w:t>See</w:t>
      </w:r>
      <w:r>
        <w:rPr>
          <w:rFonts w:ascii="Arial" w:eastAsia="Arial" w:hAnsi="Arial" w:cs="Arial"/>
          <w:color w:val="000000"/>
          <w:sz w:val="20"/>
        </w:rPr>
        <w:t xml:space="preserve"> </w:t>
      </w:r>
      <w:bookmarkStart w:id="2270" w:name="Bookmark_I67H902D2N1PRK0010000400"/>
      <w:bookmarkEnd w:id="2270"/>
      <w:r>
        <w:rPr>
          <w:rFonts w:ascii="Arial" w:eastAsia="Arial" w:hAnsi="Arial" w:cs="Arial"/>
          <w:color w:val="000000"/>
          <w:sz w:val="20"/>
        </w:rPr>
        <w:t xml:space="preserve">909 F.3d at 840; </w:t>
      </w:r>
      <w:r>
        <w:rPr>
          <w:rFonts w:ascii="Arial" w:eastAsia="Arial" w:hAnsi="Arial" w:cs="Arial"/>
          <w:i/>
          <w:color w:val="000000"/>
          <w:sz w:val="20"/>
        </w:rPr>
        <w:t xml:space="preserve">see also </w:t>
      </w:r>
      <w:bookmarkStart w:id="2271" w:name="Bookmark_I67H902D2N1PRK0030000400"/>
      <w:bookmarkEnd w:id="2271"/>
      <w:r>
        <w:rPr>
          <w:rFonts w:ascii="Arial" w:eastAsia="Arial" w:hAnsi="Arial" w:cs="Arial"/>
          <w:i/>
          <w:color w:val="000000"/>
          <w:sz w:val="20"/>
        </w:rPr>
        <w:t>Arndt v. Ford Motor Co.</w:t>
      </w:r>
      <w:r>
        <w:rPr>
          <w:rFonts w:ascii="Arial" w:eastAsia="Arial" w:hAnsi="Arial" w:cs="Arial"/>
          <w:color w:val="000000"/>
          <w:sz w:val="20"/>
        </w:rPr>
        <w:t>, 716 F. App'x 519, 528 (6th Cir. 2017) (affirming summary judgment where employee terminated interactive process by resigning).</w:t>
      </w:r>
    </w:p>
    <w:p w:rsidR="00022B47" w:rsidRDefault="00000000">
      <w:pPr>
        <w:pStyle w:val="Normal11"/>
        <w:widowControl w:val="0"/>
        <w:spacing w:before="200" w:line="260" w:lineRule="atLeast"/>
        <w:jc w:val="both"/>
      </w:pPr>
      <w:bookmarkStart w:id="2272" w:name="Bookmark_para_36_6"/>
      <w:bookmarkEnd w:id="2272"/>
      <w:r>
        <w:rPr>
          <w:rFonts w:ascii="Arial" w:eastAsia="Arial" w:hAnsi="Arial" w:cs="Arial"/>
          <w:color w:val="000000"/>
          <w:sz w:val="20"/>
        </w:rPr>
        <w:t xml:space="preserve">Of note, though unclear from the briefing, it appears that Tomlinson argues that he requested a pre-return phone call as an accommodation to support his failure-to-accommodate claim. </w:t>
      </w:r>
      <w:bookmarkStart w:id="2273" w:name="Bookmark_I67H902F2HM6J30010000400"/>
      <w:bookmarkEnd w:id="2273"/>
      <w:r>
        <w:rPr>
          <w:rFonts w:ascii="Arial" w:eastAsia="Arial" w:hAnsi="Arial" w:cs="Arial"/>
          <w:color w:val="000000"/>
          <w:sz w:val="20"/>
        </w:rPr>
        <w:t xml:space="preserve">This claim fails as well. KMC attempted several times throughout the course of Tomlinson's medical leave to schedule a call and ultimately offered to set up an in-person meeting upon his return from medical leave. Assuming Tomlinson made this request, he is not entitled to cherry-pick the accommodation of his liking among reasonable alternatives. </w:t>
      </w:r>
      <w:r>
        <w:rPr>
          <w:rFonts w:ascii="Arial" w:eastAsia="Arial" w:hAnsi="Arial" w:cs="Arial"/>
          <w:i/>
          <w:color w:val="000000"/>
          <w:sz w:val="20"/>
        </w:rPr>
        <w:t xml:space="preserve">See </w:t>
      </w:r>
      <w:bookmarkStart w:id="2274" w:name="Bookmark_I67H902D2N1PRK0050000400"/>
      <w:bookmarkEnd w:id="2274"/>
      <w:r>
        <w:rPr>
          <w:rFonts w:ascii="Arial" w:eastAsia="Arial" w:hAnsi="Arial" w:cs="Arial"/>
          <w:i/>
          <w:color w:val="000000"/>
          <w:sz w:val="20"/>
        </w:rPr>
        <w:t>Brumley</w:t>
      </w:r>
      <w:r>
        <w:rPr>
          <w:rFonts w:ascii="Arial" w:eastAsia="Arial" w:hAnsi="Arial" w:cs="Arial"/>
          <w:color w:val="000000"/>
          <w:sz w:val="20"/>
        </w:rPr>
        <w:t xml:space="preserve">, 909 F.3d at 840 ("[Employer] had discretion to provide a reasonable accommodation [*23]  as identified through the interactive process."). </w:t>
      </w:r>
      <w:bookmarkStart w:id="2275" w:name="Bookmark_I67H902F2HM6J30030000400"/>
      <w:bookmarkEnd w:id="2275"/>
      <w:r>
        <w:rPr>
          <w:rFonts w:ascii="Arial" w:eastAsia="Arial" w:hAnsi="Arial" w:cs="Arial"/>
          <w:color w:val="000000"/>
          <w:sz w:val="20"/>
        </w:rPr>
        <w:t xml:space="preserve">Tomlinson cites no case law or evidence to support that KMC's offer to discuss upon his return was insufficient. Notwithstanding, we are satisfied that the record does not support that Tomlinson made such a request. Indeed, while he is not required to say any particular buzz words if the context of his complaints suggests that he is attempting to make a request for an accommodation, </w:t>
      </w:r>
      <w:r>
        <w:rPr>
          <w:rFonts w:ascii="Arial" w:eastAsia="Arial" w:hAnsi="Arial" w:cs="Arial"/>
          <w:i/>
          <w:color w:val="000000"/>
          <w:sz w:val="20"/>
        </w:rPr>
        <w:t xml:space="preserve">see </w:t>
      </w:r>
      <w:bookmarkStart w:id="2276" w:name="Bookmark_I67H902F2HM6J30020000400"/>
      <w:bookmarkEnd w:id="2276"/>
      <w:r>
        <w:rPr>
          <w:rFonts w:ascii="Arial" w:eastAsia="Arial" w:hAnsi="Arial" w:cs="Arial"/>
          <w:i/>
          <w:color w:val="000000"/>
          <w:sz w:val="20"/>
        </w:rPr>
        <w:t>Smith</w:t>
      </w:r>
      <w:r>
        <w:rPr>
          <w:rFonts w:ascii="Arial" w:eastAsia="Arial" w:hAnsi="Arial" w:cs="Arial"/>
          <w:color w:val="000000"/>
          <w:sz w:val="20"/>
        </w:rPr>
        <w:t xml:space="preserve"> 376 F.3d at 535, he testified that the </w:t>
      </w:r>
      <w:r>
        <w:rPr>
          <w:rFonts w:ascii="Arial" w:eastAsia="Arial" w:hAnsi="Arial" w:cs="Arial"/>
          <w:i/>
          <w:color w:val="000000"/>
          <w:sz w:val="20"/>
        </w:rPr>
        <w:t>only</w:t>
      </w:r>
      <w:r>
        <w:rPr>
          <w:rFonts w:ascii="Arial" w:eastAsia="Arial" w:hAnsi="Arial" w:cs="Arial"/>
          <w:color w:val="000000"/>
          <w:sz w:val="20"/>
        </w:rPr>
        <w:t xml:space="preserve"> accommodation request he made was for a change in supervision. A finding contrary to this testimony would not be sound, as it dissolves any dispute as to whether he made the request.</w:t>
      </w:r>
    </w:p>
    <w:p w:rsidR="00022B47" w:rsidRDefault="00000000">
      <w:pPr>
        <w:pStyle w:val="Normal11"/>
        <w:widowControl w:val="0"/>
        <w:spacing w:before="200" w:line="260" w:lineRule="atLeast"/>
        <w:jc w:val="both"/>
      </w:pPr>
      <w:bookmarkStart w:id="2277" w:name="Bookmark_para_37_4"/>
      <w:bookmarkEnd w:id="2277"/>
      <w:r>
        <w:rPr>
          <w:rFonts w:ascii="Arial" w:eastAsia="Arial" w:hAnsi="Arial" w:cs="Arial"/>
          <w:color w:val="000000"/>
          <w:sz w:val="20"/>
        </w:rPr>
        <w:t>Accordingly, the district court correctly held that Tomlinson's failure-to-accommodate claim ends here, negating the need to analyze whether Tomlinson's request would have imposed an undue hardship on KMC.</w:t>
      </w:r>
    </w:p>
    <w:p w:rsidR="00022B47" w:rsidRDefault="00000000">
      <w:pPr>
        <w:pStyle w:val="Normal11"/>
        <w:widowControl w:val="0"/>
        <w:spacing w:before="240" w:line="260" w:lineRule="atLeast"/>
      </w:pPr>
      <w:r>
        <w:br/>
      </w:r>
      <w:r>
        <w:rPr>
          <w:rFonts w:ascii="Arial" w:eastAsia="Arial" w:hAnsi="Arial" w:cs="Arial"/>
          <w:b/>
          <w:color w:val="000000"/>
          <w:sz w:val="20"/>
        </w:rPr>
        <w:t>B. Retaliation</w:t>
      </w:r>
    </w:p>
    <w:p w:rsidR="00022B47" w:rsidRDefault="00000000">
      <w:pPr>
        <w:pStyle w:val="Normal11"/>
        <w:widowControl w:val="0"/>
        <w:spacing w:before="200" w:line="260" w:lineRule="atLeast"/>
        <w:jc w:val="both"/>
      </w:pPr>
      <w:bookmarkStart w:id="2278" w:name="Bookmark_para_38_4"/>
      <w:bookmarkEnd w:id="2278"/>
      <w:r>
        <w:rPr>
          <w:rFonts w:ascii="Arial" w:eastAsia="Arial" w:hAnsi="Arial" w:cs="Arial"/>
          <w:color w:val="000000"/>
          <w:sz w:val="20"/>
        </w:rPr>
        <w:t>The district court found that Tomlinson's retaliation claim failed because he could not establish a genuine dispute of material fact as to whether he faced an adverse employment action. The record leads us to the same conclusion.</w:t>
      </w:r>
    </w:p>
    <w:p w:rsidR="00022B47" w:rsidRDefault="00000000">
      <w:pPr>
        <w:pStyle w:val="Normal11"/>
        <w:widowControl w:val="0"/>
        <w:spacing w:before="200" w:line="260" w:lineRule="atLeast"/>
        <w:jc w:val="both"/>
      </w:pPr>
      <w:bookmarkStart w:id="2279" w:name="Bookmark_para_39_3"/>
      <w:bookmarkStart w:id="2280" w:name="Bookmark_LNHNREFclscc8_7"/>
      <w:bookmarkEnd w:id="2279"/>
      <w:bookmarkEnd w:id="2280"/>
      <w:r>
        <w:rPr>
          <w:rFonts w:ascii="Arial" w:eastAsia="Arial" w:hAnsi="Arial" w:cs="Arial"/>
          <w:color w:val="000000"/>
          <w:sz w:val="20"/>
        </w:rPr>
        <w:t xml:space="preserve">The ADA prohibits discrimination against an individual based on his opposition to certain unlawful acts [*24]  or practices. 42 U.S.C. § 12203(a). </w:t>
      </w:r>
      <w:bookmarkStart w:id="2281" w:name="Bookmark_I1XJF73886P000079RS00007"/>
      <w:bookmarkStart w:id="2282" w:name="Bookmark_I67H902F2HM6J30050000400"/>
      <w:bookmarkEnd w:id="2281"/>
      <w:bookmarkEnd w:id="2282"/>
      <w:r>
        <w:rPr>
          <w:rFonts w:ascii="Arial" w:eastAsia="Arial" w:hAnsi="Arial" w:cs="Arial"/>
          <w:color w:val="000000"/>
          <w:sz w:val="20"/>
        </w:rPr>
        <w:t xml:space="preserve">Where, as here, the plaintiff relies on indirect evidence to establish retaliation, we analyze his claim under the </w:t>
      </w:r>
      <w:r>
        <w:rPr>
          <w:rFonts w:ascii="Arial" w:eastAsia="Arial" w:hAnsi="Arial" w:cs="Arial"/>
          <w:i/>
          <w:color w:val="000000"/>
          <w:sz w:val="20"/>
        </w:rPr>
        <w:t>McDonnell Douglas</w:t>
      </w:r>
      <w:r>
        <w:rPr>
          <w:rFonts w:ascii="Arial" w:eastAsia="Arial" w:hAnsi="Arial" w:cs="Arial"/>
          <w:color w:val="000000"/>
          <w:sz w:val="20"/>
        </w:rPr>
        <w:t xml:space="preserve"> burden-shifting approach:</w:t>
      </w:r>
    </w:p>
    <w:p w:rsidR="00022B47" w:rsidRDefault="00000000">
      <w:pPr>
        <w:pStyle w:val="Normal11"/>
        <w:widowControl w:val="0"/>
        <w:spacing w:before="200" w:line="260" w:lineRule="atLeast"/>
        <w:ind w:left="400"/>
        <w:jc w:val="both"/>
      </w:pPr>
      <w:bookmarkStart w:id="2283" w:name="Bookmark_para_40_3"/>
      <w:bookmarkStart w:id="2284" w:name="Bookmark_I67H902F2HM6J30050000400_2"/>
      <w:bookmarkEnd w:id="2283"/>
      <w:bookmarkEnd w:id="2284"/>
      <w:r>
        <w:rPr>
          <w:rFonts w:ascii="Arial" w:eastAsia="Arial" w:hAnsi="Arial" w:cs="Arial"/>
          <w:color w:val="000000"/>
          <w:sz w:val="20"/>
        </w:rPr>
        <w:t>The plaintiff bears the initial burden to establish a prima facie case of retaliation, which requires a showing that (1) the plaintiff engaged in activity protected under the ADA; (2) the employer knew of that activity; (3) the employer took an adverse action against plaintiff; and (4) there was a causal connection between the protected activity and the adverse action.</w:t>
      </w:r>
    </w:p>
    <w:p w:rsidR="00022B47" w:rsidRDefault="00000000">
      <w:pPr>
        <w:pStyle w:val="Normal11"/>
        <w:widowControl w:val="0"/>
        <w:spacing w:before="200" w:line="260" w:lineRule="atLeast"/>
        <w:jc w:val="both"/>
      </w:pPr>
      <w:bookmarkStart w:id="2285" w:name="Bookmark_I67H902F2HM6J30050000400_3"/>
      <w:bookmarkStart w:id="2286" w:name="Bookmark_I67H902F2HM6J30040000400"/>
      <w:bookmarkEnd w:id="2285"/>
      <w:bookmarkEnd w:id="2286"/>
      <w:r>
        <w:rPr>
          <w:rFonts w:ascii="Arial" w:eastAsia="Arial" w:hAnsi="Arial" w:cs="Arial"/>
          <w:i/>
          <w:color w:val="000000"/>
          <w:sz w:val="20"/>
        </w:rPr>
        <w:t>Rorrer v. City of Stow</w:t>
      </w:r>
      <w:r>
        <w:rPr>
          <w:rFonts w:ascii="Arial" w:eastAsia="Arial" w:hAnsi="Arial" w:cs="Arial"/>
          <w:color w:val="000000"/>
          <w:sz w:val="20"/>
        </w:rPr>
        <w:t xml:space="preserve">, 743 F.3d 1025, 1046 (6th Cir. 2014). Relevant to our analysis is the third prong, as the record does not establish that KMC took any adverse employment action. </w:t>
      </w:r>
      <w:bookmarkStart w:id="2287" w:name="Bookmark_I67H902F2SF8RN0020000400"/>
      <w:bookmarkEnd w:id="2287"/>
      <w:r>
        <w:rPr>
          <w:rFonts w:ascii="Arial" w:eastAsia="Arial" w:hAnsi="Arial" w:cs="Arial"/>
          <w:color w:val="000000"/>
          <w:sz w:val="20"/>
        </w:rPr>
        <w:t xml:space="preserve">For his part, Tomlinson maintains that KMC's failure to accommodate him regarding his requests for a change in supervision and a pre-return call amounted to adverse actions. </w:t>
      </w:r>
      <w:bookmarkStart w:id="2288" w:name="Bookmark_LNHNREFclscc9_7"/>
      <w:bookmarkEnd w:id="2288"/>
      <w:r>
        <w:rPr>
          <w:rFonts w:ascii="Arial" w:eastAsia="Arial" w:hAnsi="Arial" w:cs="Arial"/>
          <w:color w:val="000000"/>
          <w:sz w:val="20"/>
        </w:rPr>
        <w:t xml:space="preserve">It is possible for an employee to establish constructive discharge through a showing of the employer's complete failure to accommodate. </w:t>
      </w:r>
      <w:r>
        <w:rPr>
          <w:rFonts w:ascii="Arial" w:eastAsia="Arial" w:hAnsi="Arial" w:cs="Arial"/>
          <w:i/>
          <w:color w:val="000000"/>
          <w:sz w:val="20"/>
        </w:rPr>
        <w:t xml:space="preserve">See </w:t>
      </w:r>
      <w:bookmarkStart w:id="2289" w:name="Bookmark_I67H902F2SF8RN0010000400"/>
      <w:bookmarkEnd w:id="2289"/>
      <w:r>
        <w:rPr>
          <w:rFonts w:ascii="Arial" w:eastAsia="Arial" w:hAnsi="Arial" w:cs="Arial"/>
          <w:i/>
          <w:color w:val="000000"/>
          <w:sz w:val="20"/>
        </w:rPr>
        <w:t>Talley</w:t>
      </w:r>
      <w:r>
        <w:rPr>
          <w:rFonts w:ascii="Arial" w:eastAsia="Arial" w:hAnsi="Arial" w:cs="Arial"/>
          <w:color w:val="000000"/>
          <w:sz w:val="20"/>
        </w:rPr>
        <w:t>, 542 F.3d at 1109 ("a complete failure to accommodate, in the face of repeated requests, might suffice as evidence to show the deliberateness necessary for constructive discharge.") (quotation marks omitted). Tomlinson's argument, however, [*25]  is premised on claims that we have already established are fatal and accordingly fails at the gate. As explained above, KMC did not fail to accommodate Tomlinson.</w:t>
      </w:r>
    </w:p>
    <w:p w:rsidR="00022B47" w:rsidRDefault="00000000">
      <w:pPr>
        <w:pStyle w:val="Normal11"/>
        <w:widowControl w:val="0"/>
        <w:spacing w:before="200" w:line="260" w:lineRule="atLeast"/>
        <w:jc w:val="both"/>
      </w:pPr>
      <w:bookmarkStart w:id="2290" w:name="Bookmark_para_41_3"/>
      <w:bookmarkStart w:id="2291" w:name="Bookmark_I67H902F2SF8RN0040000400"/>
      <w:bookmarkStart w:id="2292" w:name="Bookmark_I67H902F2N1PRR0010000400"/>
      <w:bookmarkEnd w:id="2290"/>
      <w:bookmarkEnd w:id="2291"/>
      <w:bookmarkEnd w:id="2292"/>
      <w:r>
        <w:rPr>
          <w:rFonts w:ascii="Arial" w:eastAsia="Arial" w:hAnsi="Arial" w:cs="Arial"/>
          <w:color w:val="000000"/>
          <w:sz w:val="20"/>
        </w:rPr>
        <w:t xml:space="preserve">Tomlinson next points to a theory of constructive discharge to establish that KMC took an adverse action against him. </w:t>
      </w:r>
      <w:bookmarkStart w:id="2293" w:name="Bookmark_LNHNREFclscc10_7"/>
      <w:bookmarkEnd w:id="2293"/>
      <w:r>
        <w:rPr>
          <w:rFonts w:ascii="Arial" w:eastAsia="Arial" w:hAnsi="Arial" w:cs="Arial"/>
          <w:color w:val="000000"/>
          <w:sz w:val="20"/>
        </w:rPr>
        <w:t xml:space="preserve">As the district court correctly noted, constructive discharge can satisfy the adverse action element of employment discrimination claims. </w:t>
      </w:r>
      <w:bookmarkStart w:id="2294" w:name="Bookmark_I67H902F2N1PRR0030000400"/>
      <w:bookmarkEnd w:id="2294"/>
      <w:r>
        <w:rPr>
          <w:rFonts w:ascii="Arial" w:eastAsia="Arial" w:hAnsi="Arial" w:cs="Arial"/>
          <w:i/>
          <w:color w:val="000000"/>
          <w:sz w:val="20"/>
        </w:rPr>
        <w:t xml:space="preserve">See </w:t>
      </w:r>
      <w:bookmarkStart w:id="2295" w:name="Bookmark_I67H902F2SF8RN0030000400"/>
      <w:bookmarkEnd w:id="2295"/>
      <w:r>
        <w:rPr>
          <w:rFonts w:ascii="Arial" w:eastAsia="Arial" w:hAnsi="Arial" w:cs="Arial"/>
          <w:i/>
          <w:color w:val="000000"/>
          <w:sz w:val="20"/>
        </w:rPr>
        <w:t>Saroli v. Automation &amp; Modular Components, Inc.</w:t>
      </w:r>
      <w:r>
        <w:rPr>
          <w:rFonts w:ascii="Arial" w:eastAsia="Arial" w:hAnsi="Arial" w:cs="Arial"/>
          <w:color w:val="000000"/>
          <w:sz w:val="20"/>
        </w:rPr>
        <w:t>, 405 F.3d 446, 451 (6th Cir. 2005).</w:t>
      </w:r>
      <w:r>
        <w:rPr>
          <w:rFonts w:ascii="Arial" w:eastAsia="Arial" w:hAnsi="Arial" w:cs="Arial"/>
          <w:vertAlign w:val="superscript"/>
        </w:rPr>
        <w:footnoteReference w:customMarkFollows="1" w:id="44"/>
        <w:t>2</w:t>
      </w:r>
      <w:r>
        <w:rPr>
          <w:rFonts w:ascii="Arial" w:eastAsia="Arial" w:hAnsi="Arial" w:cs="Arial"/>
          <w:color w:val="000000"/>
          <w:sz w:val="20"/>
        </w:rPr>
        <w:t xml:space="preserve"> We have described constructive discharge as "a tough row to hoe" as such claims are not easy to prove. </w:t>
      </w:r>
      <w:bookmarkStart w:id="2306" w:name="Bookmark_I67H902F2SF8RN0050000400"/>
      <w:bookmarkEnd w:id="2306"/>
      <w:r>
        <w:rPr>
          <w:rFonts w:ascii="Arial" w:eastAsia="Arial" w:hAnsi="Arial" w:cs="Arial"/>
          <w:i/>
          <w:color w:val="000000"/>
          <w:sz w:val="20"/>
        </w:rPr>
        <w:t>Groening v. Glen Lake Cmty. Sch.</w:t>
      </w:r>
      <w:r>
        <w:rPr>
          <w:rFonts w:ascii="Arial" w:eastAsia="Arial" w:hAnsi="Arial" w:cs="Arial"/>
          <w:color w:val="000000"/>
          <w:sz w:val="20"/>
        </w:rPr>
        <w:t xml:space="preserve">, 884 F.3d 626, 630 (6th Cir. 2018). </w:t>
      </w:r>
      <w:bookmarkStart w:id="2307" w:name="Bookmark_I67H902F2N1PRR0030000400_2"/>
      <w:bookmarkStart w:id="2308" w:name="Bookmark_I67H902F2N1PRS0020000400"/>
      <w:bookmarkEnd w:id="2307"/>
      <w:bookmarkEnd w:id="2308"/>
      <w:r>
        <w:rPr>
          <w:rFonts w:ascii="Arial" w:eastAsia="Arial" w:hAnsi="Arial" w:cs="Arial"/>
          <w:color w:val="000000"/>
          <w:sz w:val="20"/>
        </w:rPr>
        <w:t xml:space="preserve">"A constructive discharge occurs when 'working conditions would have been so difficult or unpleasant that a reasonable person in the employee's shoes would have felt compelled to resign.'" </w:t>
      </w:r>
      <w:bookmarkStart w:id="2309" w:name="Bookmark_I67H902F2N1PRR0020000400"/>
      <w:bookmarkEnd w:id="2309"/>
      <w:r>
        <w:rPr>
          <w:rFonts w:ascii="Arial" w:eastAsia="Arial" w:hAnsi="Arial" w:cs="Arial"/>
          <w:i/>
          <w:color w:val="000000"/>
          <w:sz w:val="20"/>
        </w:rPr>
        <w:t>Tchankpa v. Ascena Retail Grp., Inc.</w:t>
      </w:r>
      <w:r>
        <w:rPr>
          <w:rFonts w:ascii="Arial" w:eastAsia="Arial" w:hAnsi="Arial" w:cs="Arial"/>
          <w:color w:val="000000"/>
          <w:sz w:val="20"/>
        </w:rPr>
        <w:t xml:space="preserve">, 951 F.3d 805, 814 (6th Cir. 2020) (quoting </w:t>
      </w:r>
      <w:bookmarkStart w:id="2310" w:name="Bookmark_I67H902F2N1PRR0040000400"/>
      <w:bookmarkEnd w:id="2310"/>
      <w:r>
        <w:rPr>
          <w:rFonts w:ascii="Arial" w:eastAsia="Arial" w:hAnsi="Arial" w:cs="Arial"/>
          <w:i/>
          <w:color w:val="000000"/>
          <w:sz w:val="20"/>
        </w:rPr>
        <w:t>Talley</w:t>
      </w:r>
      <w:r>
        <w:rPr>
          <w:rFonts w:ascii="Arial" w:eastAsia="Arial" w:hAnsi="Arial" w:cs="Arial"/>
          <w:color w:val="000000"/>
          <w:sz w:val="20"/>
        </w:rPr>
        <w:t xml:space="preserve">, 542 F.3d at 1107). </w:t>
      </w:r>
      <w:bookmarkStart w:id="2311" w:name="Bookmark_I67H902F2N1PRS0020000400_2"/>
      <w:bookmarkEnd w:id="2311"/>
      <w:r>
        <w:rPr>
          <w:rFonts w:ascii="Arial" w:eastAsia="Arial" w:hAnsi="Arial" w:cs="Arial"/>
          <w:color w:val="000000"/>
          <w:sz w:val="20"/>
        </w:rPr>
        <w:t xml:space="preserve">More specifically, "the employer must have created an objectively intolerable work environment to deliberately force a disabled employee to resign." </w:t>
      </w:r>
      <w:r>
        <w:rPr>
          <w:rFonts w:ascii="Arial" w:eastAsia="Arial" w:hAnsi="Arial" w:cs="Arial"/>
          <w:i/>
          <w:color w:val="000000"/>
          <w:sz w:val="20"/>
        </w:rPr>
        <w:t>Id.</w:t>
      </w:r>
      <w:r>
        <w:rPr>
          <w:rFonts w:ascii="Arial" w:eastAsia="Arial" w:hAnsi="Arial" w:cs="Arial"/>
          <w:color w:val="000000"/>
          <w:sz w:val="20"/>
        </w:rPr>
        <w:t xml:space="preserve"> Employees who leave "in apprehension that conditions may deteriorate later" will not prevail. </w:t>
      </w:r>
      <w:r>
        <w:rPr>
          <w:rFonts w:ascii="Arial" w:eastAsia="Arial" w:hAnsi="Arial" w:cs="Arial"/>
          <w:i/>
          <w:color w:val="000000"/>
          <w:sz w:val="20"/>
        </w:rPr>
        <w:t>Id.</w:t>
      </w:r>
      <w:r>
        <w:rPr>
          <w:rFonts w:ascii="Arial" w:eastAsia="Arial" w:hAnsi="Arial" w:cs="Arial"/>
          <w:color w:val="000000"/>
          <w:sz w:val="20"/>
        </w:rPr>
        <w:t xml:space="preserve"> (quoting </w:t>
      </w:r>
      <w:bookmarkStart w:id="2312" w:name="Bookmark_I67H902F2N1PRS0010000400"/>
      <w:bookmarkEnd w:id="2312"/>
      <w:r>
        <w:rPr>
          <w:rFonts w:ascii="Arial" w:eastAsia="Arial" w:hAnsi="Arial" w:cs="Arial"/>
          <w:i/>
          <w:color w:val="000000"/>
          <w:sz w:val="20"/>
        </w:rPr>
        <w:t>Agnew v. BASF Corp.</w:t>
      </w:r>
      <w:r>
        <w:rPr>
          <w:rFonts w:ascii="Arial" w:eastAsia="Arial" w:hAnsi="Arial" w:cs="Arial"/>
          <w:color w:val="000000"/>
          <w:sz w:val="20"/>
        </w:rPr>
        <w:t xml:space="preserve">, 286 F.3d 307, 310 (6th Cir. 2002)). That is, if other forms of relief are available to employees, they are expected to try to resolve the issue instead of resigning. </w:t>
      </w:r>
      <w:r>
        <w:rPr>
          <w:rFonts w:ascii="Arial" w:eastAsia="Arial" w:hAnsi="Arial" w:cs="Arial"/>
          <w:i/>
          <w:color w:val="000000"/>
          <w:sz w:val="20"/>
        </w:rPr>
        <w:t>Id.</w:t>
      </w:r>
    </w:p>
    <w:p w:rsidR="00022B47" w:rsidRDefault="00000000">
      <w:pPr>
        <w:pStyle w:val="Normal11"/>
        <w:widowControl w:val="0"/>
        <w:spacing w:before="200" w:line="260" w:lineRule="atLeast"/>
        <w:jc w:val="both"/>
      </w:pPr>
      <w:bookmarkStart w:id="2313" w:name="Bookmark_para_42_3"/>
      <w:bookmarkStart w:id="2314" w:name="Bookmark_I1XJF737RRM000079RS00003"/>
      <w:bookmarkStart w:id="2315" w:name="Bookmark_I67H902G28T4D70020000400"/>
      <w:bookmarkStart w:id="2316" w:name="Bookmark_I1XJF737C0D000079RS00001"/>
      <w:bookmarkStart w:id="2317" w:name="Bookmark_I67H902G28T4D70040000400"/>
      <w:bookmarkStart w:id="2318" w:name="Bookmark_I67H902G28T4D80010000400"/>
      <w:bookmarkEnd w:id="2313"/>
      <w:bookmarkEnd w:id="2314"/>
      <w:bookmarkEnd w:id="2315"/>
      <w:bookmarkEnd w:id="2316"/>
      <w:bookmarkEnd w:id="2317"/>
      <w:bookmarkEnd w:id="2318"/>
      <w:r>
        <w:rPr>
          <w:rFonts w:ascii="Arial" w:eastAsia="Arial" w:hAnsi="Arial" w:cs="Arial"/>
          <w:color w:val="000000"/>
          <w:sz w:val="20"/>
        </w:rPr>
        <w:t xml:space="preserve">For instance, in </w:t>
      </w:r>
      <w:r>
        <w:rPr>
          <w:rFonts w:ascii="Arial" w:eastAsia="Arial" w:hAnsi="Arial" w:cs="Arial"/>
          <w:i/>
          <w:color w:val="000000"/>
          <w:sz w:val="20"/>
        </w:rPr>
        <w:t>Goening</w:t>
      </w:r>
      <w:r>
        <w:rPr>
          <w:rFonts w:ascii="Arial" w:eastAsia="Arial" w:hAnsi="Arial" w:cs="Arial"/>
          <w:color w:val="000000"/>
          <w:sz w:val="20"/>
        </w:rPr>
        <w:t xml:space="preserve">, we held that the plaintiff could not use [*26]  her employer's criticism of her decision to take protected leave to establish that her work conditions were intolerable. </w:t>
      </w:r>
      <w:bookmarkStart w:id="2319" w:name="Bookmark_I67H902G28T4D70010000400"/>
      <w:bookmarkEnd w:id="2319"/>
      <w:r>
        <w:rPr>
          <w:rFonts w:ascii="Arial" w:eastAsia="Arial" w:hAnsi="Arial" w:cs="Arial"/>
          <w:color w:val="000000"/>
          <w:sz w:val="20"/>
        </w:rPr>
        <w:t xml:space="preserve">884 F.3d at 631. We reasoned in part that "this circuit has repeatedly held that an employer's criticism of an employee does not amount to constructive discharge—especially when the employer's criticism is limited to a few isolated incidents." </w:t>
      </w:r>
      <w:r>
        <w:rPr>
          <w:rFonts w:ascii="Arial" w:eastAsia="Arial" w:hAnsi="Arial" w:cs="Arial"/>
          <w:i/>
          <w:color w:val="000000"/>
          <w:sz w:val="20"/>
        </w:rPr>
        <w:t>Id.</w:t>
      </w:r>
      <w:r>
        <w:rPr>
          <w:rFonts w:ascii="Arial" w:eastAsia="Arial" w:hAnsi="Arial" w:cs="Arial"/>
          <w:color w:val="000000"/>
          <w:sz w:val="20"/>
        </w:rPr>
        <w:t xml:space="preserve"> We reached the same conclusion in </w:t>
      </w:r>
      <w:r>
        <w:rPr>
          <w:rFonts w:ascii="Arial" w:eastAsia="Arial" w:hAnsi="Arial" w:cs="Arial"/>
          <w:i/>
          <w:color w:val="000000"/>
          <w:sz w:val="20"/>
        </w:rPr>
        <w:t>Savage v. Gee</w:t>
      </w:r>
      <w:r>
        <w:rPr>
          <w:rFonts w:ascii="Arial" w:eastAsia="Arial" w:hAnsi="Arial" w:cs="Arial"/>
          <w:color w:val="000000"/>
          <w:sz w:val="20"/>
        </w:rPr>
        <w:t xml:space="preserve">, where the record showed that the faculty members of a university were critical of the plaintiff librarian's book suggestions, were uncomfortable with his research skills and publicly challenged his professionalism. </w:t>
      </w:r>
      <w:bookmarkStart w:id="2320" w:name="Bookmark_I67H902G28T4D70030000400"/>
      <w:bookmarkEnd w:id="2320"/>
      <w:r>
        <w:rPr>
          <w:rFonts w:ascii="Arial" w:eastAsia="Arial" w:hAnsi="Arial" w:cs="Arial"/>
          <w:color w:val="000000"/>
          <w:sz w:val="20"/>
        </w:rPr>
        <w:t xml:space="preserve">665 F.3d 732, 739 (6th Cir. 2012). We reached this conclusion again in </w:t>
      </w:r>
      <w:bookmarkStart w:id="2321" w:name="Bookmark_I67H902G28T4D80010000400_2"/>
      <w:bookmarkStart w:id="2322" w:name="Bookmark_I67H902G28T4D70040000400_2"/>
      <w:bookmarkStart w:id="2323" w:name="Bookmark_I67H902G28T4D70020000400_2"/>
      <w:bookmarkStart w:id="2324" w:name="Bookmark_I67H902G28T4D70050000400"/>
      <w:bookmarkEnd w:id="2321"/>
      <w:bookmarkEnd w:id="2322"/>
      <w:bookmarkEnd w:id="2323"/>
      <w:bookmarkEnd w:id="2324"/>
      <w:r>
        <w:rPr>
          <w:rFonts w:ascii="Arial" w:eastAsia="Arial" w:hAnsi="Arial" w:cs="Arial"/>
          <w:i/>
          <w:color w:val="000000"/>
          <w:sz w:val="20"/>
        </w:rPr>
        <w:t>Arndt</w:t>
      </w:r>
      <w:r>
        <w:rPr>
          <w:rFonts w:ascii="Arial" w:eastAsia="Arial" w:hAnsi="Arial" w:cs="Arial"/>
          <w:color w:val="000000"/>
          <w:sz w:val="20"/>
        </w:rPr>
        <w:t xml:space="preserve">, where we acknowledged that the plaintiff may have felt that the employer badgered and disrespected him about his PTSD, but the employer considered both of his requests for accommodation and placed him on medical leave while the second request was being considered. </w:t>
      </w:r>
      <w:bookmarkStart w:id="2325" w:name="Bookmark_I67H902G28T4D80020000400"/>
      <w:bookmarkEnd w:id="2325"/>
      <w:r>
        <w:rPr>
          <w:rFonts w:ascii="Arial" w:eastAsia="Arial" w:hAnsi="Arial" w:cs="Arial"/>
          <w:color w:val="000000"/>
          <w:sz w:val="20"/>
        </w:rPr>
        <w:t>716 F. App'x at 530.</w:t>
      </w:r>
    </w:p>
    <w:p w:rsidR="00022B47" w:rsidRDefault="00000000">
      <w:pPr>
        <w:pStyle w:val="Normal11"/>
        <w:widowControl w:val="0"/>
        <w:spacing w:before="200" w:line="260" w:lineRule="atLeast"/>
        <w:jc w:val="both"/>
      </w:pPr>
      <w:bookmarkStart w:id="2326" w:name="Bookmark_para_43_3"/>
      <w:bookmarkEnd w:id="2326"/>
      <w:r>
        <w:rPr>
          <w:rFonts w:ascii="Arial" w:eastAsia="Arial" w:hAnsi="Arial" w:cs="Arial"/>
          <w:color w:val="000000"/>
          <w:sz w:val="20"/>
        </w:rPr>
        <w:t>Tomlinson points to the following facts to make his case: (1) the information in the review was inaccurate and intended for another FSE, as evidenced by Wiley's inadvertent inclusion of the wrong name on the first draft; (2) Wiley used a "defensive, hostile, and threatening" [*27]  tone when Tomlinson tried to discuss the review; and (3) Tomlinson was concerned that further interactions with Wiley would trigger his PTSD symptoms.</w:t>
      </w:r>
    </w:p>
    <w:p w:rsidR="00022B47" w:rsidRDefault="00000000">
      <w:pPr>
        <w:pStyle w:val="Normal11"/>
        <w:widowControl w:val="0"/>
        <w:spacing w:before="200" w:line="260" w:lineRule="atLeast"/>
        <w:jc w:val="both"/>
      </w:pPr>
      <w:bookmarkStart w:id="2327" w:name="Bookmark_para_44_3"/>
      <w:bookmarkStart w:id="2328" w:name="Bookmark_I67H902G28T4D80050000400"/>
      <w:bookmarkEnd w:id="2327"/>
      <w:bookmarkEnd w:id="2328"/>
      <w:r>
        <w:rPr>
          <w:rFonts w:ascii="Arial" w:eastAsia="Arial" w:hAnsi="Arial" w:cs="Arial"/>
          <w:color w:val="000000"/>
          <w:sz w:val="20"/>
        </w:rPr>
        <w:t xml:space="preserve">Beginning with the first point, we agree that Wiley's mistake, along with the identical evaluations, may suggest that the review was inaccurate and hastily prepared. </w:t>
      </w:r>
      <w:bookmarkStart w:id="2329" w:name="Bookmark_LNHNREFclscc11_6"/>
      <w:bookmarkEnd w:id="2329"/>
      <w:r>
        <w:rPr>
          <w:rFonts w:ascii="Arial" w:eastAsia="Arial" w:hAnsi="Arial" w:cs="Arial"/>
          <w:color w:val="000000"/>
          <w:sz w:val="20"/>
        </w:rPr>
        <w:t xml:space="preserve">But it is well established that "a court does not sit as a 'super-personnel department,' second-guessing management decisions." </w:t>
      </w:r>
      <w:bookmarkStart w:id="2330" w:name="Bookmark_I67H902G28T4D80040000400"/>
      <w:bookmarkEnd w:id="2330"/>
      <w:r>
        <w:rPr>
          <w:rFonts w:ascii="Arial" w:eastAsia="Arial" w:hAnsi="Arial" w:cs="Arial"/>
          <w:i/>
          <w:color w:val="000000"/>
          <w:sz w:val="20"/>
        </w:rPr>
        <w:t>Hardesty v. Kroger Co.</w:t>
      </w:r>
      <w:r>
        <w:rPr>
          <w:rFonts w:ascii="Arial" w:eastAsia="Arial" w:hAnsi="Arial" w:cs="Arial"/>
          <w:color w:val="000000"/>
          <w:sz w:val="20"/>
        </w:rPr>
        <w:t xml:space="preserve">, 758 F. App'x 490, 496 (6th Cir. 2019) (citing </w:t>
      </w:r>
      <w:bookmarkStart w:id="2331" w:name="Bookmark_I67H902G2D6NJM0010000400"/>
      <w:bookmarkEnd w:id="2331"/>
      <w:r>
        <w:rPr>
          <w:rFonts w:ascii="Arial" w:eastAsia="Arial" w:hAnsi="Arial" w:cs="Arial"/>
          <w:i/>
          <w:color w:val="000000"/>
          <w:sz w:val="20"/>
        </w:rPr>
        <w:t>Krenik v. County of Le Sueur</w:t>
      </w:r>
      <w:r>
        <w:rPr>
          <w:rFonts w:ascii="Arial" w:eastAsia="Arial" w:hAnsi="Arial" w:cs="Arial"/>
          <w:color w:val="000000"/>
          <w:sz w:val="20"/>
        </w:rPr>
        <w:t xml:space="preserve">, 47 F.3d 953, 960 (8th Cir. 1995)); </w:t>
      </w:r>
      <w:r>
        <w:rPr>
          <w:rFonts w:ascii="Arial" w:eastAsia="Arial" w:hAnsi="Arial" w:cs="Arial"/>
          <w:i/>
          <w:color w:val="000000"/>
          <w:sz w:val="20"/>
        </w:rPr>
        <w:t xml:space="preserve">see also </w:t>
      </w:r>
      <w:bookmarkStart w:id="2332" w:name="Bookmark_I67H902G2D6NJM0030000400"/>
      <w:bookmarkEnd w:id="2332"/>
      <w:r>
        <w:rPr>
          <w:rFonts w:ascii="Arial" w:eastAsia="Arial" w:hAnsi="Arial" w:cs="Arial"/>
          <w:i/>
          <w:color w:val="000000"/>
          <w:sz w:val="20"/>
        </w:rPr>
        <w:t>Holmes v. Potter</w:t>
      </w:r>
      <w:r>
        <w:rPr>
          <w:rFonts w:ascii="Arial" w:eastAsia="Arial" w:hAnsi="Arial" w:cs="Arial"/>
          <w:color w:val="000000"/>
          <w:sz w:val="20"/>
        </w:rPr>
        <w:t>, 384 F.3d 356, 361 (7th Cir. 2004). Wiley made the same mistake on the initial reviews for seven employees, not just Tomlinson. We are not inclined to conclude that an employee can establish constructive discharge by proving that his manager made careless mistakes or included inaccurate information on one of his performance reviews.</w:t>
      </w:r>
    </w:p>
    <w:p w:rsidR="00022B47" w:rsidRDefault="00000000">
      <w:pPr>
        <w:pStyle w:val="Normal11"/>
        <w:widowControl w:val="0"/>
        <w:spacing w:before="200" w:line="260" w:lineRule="atLeast"/>
        <w:jc w:val="both"/>
      </w:pPr>
      <w:bookmarkStart w:id="2333" w:name="Bookmark_para_45_3"/>
      <w:bookmarkStart w:id="2334" w:name="Bookmark_I67H902G2HM6JJ0010000400"/>
      <w:bookmarkEnd w:id="2333"/>
      <w:bookmarkEnd w:id="2334"/>
      <w:r>
        <w:rPr>
          <w:rFonts w:ascii="Arial" w:eastAsia="Arial" w:hAnsi="Arial" w:cs="Arial"/>
          <w:color w:val="000000"/>
          <w:sz w:val="20"/>
        </w:rPr>
        <w:t xml:space="preserve">Tomlinson's second and third points are similarly unpersuasive. A plaintiff's testimony that an employer used a threatening tone, without more, is not enough under the circumstances of this case. </w:t>
      </w:r>
      <w:r>
        <w:rPr>
          <w:rFonts w:ascii="Arial" w:eastAsia="Arial" w:hAnsi="Arial" w:cs="Arial"/>
          <w:i/>
          <w:color w:val="000000"/>
          <w:sz w:val="20"/>
        </w:rPr>
        <w:t xml:space="preserve">See </w:t>
      </w:r>
      <w:bookmarkStart w:id="2335" w:name="Bookmark_I67H902G2D6NJM0050000400"/>
      <w:bookmarkEnd w:id="2335"/>
      <w:r>
        <w:rPr>
          <w:rFonts w:ascii="Arial" w:eastAsia="Arial" w:hAnsi="Arial" w:cs="Arial"/>
          <w:i/>
          <w:color w:val="000000"/>
          <w:sz w:val="20"/>
        </w:rPr>
        <w:t>Brister v. Mich. Bell Tel. Co.</w:t>
      </w:r>
      <w:r>
        <w:rPr>
          <w:rFonts w:ascii="Arial" w:eastAsia="Arial" w:hAnsi="Arial" w:cs="Arial"/>
          <w:color w:val="000000"/>
          <w:sz w:val="20"/>
        </w:rPr>
        <w:t xml:space="preserve">, 705 F. App'x 356, 360 (6th Cir. 2017) (evidence of "humiliation and criticism," and evidence that the plaintiff was called "stupid" and told that she should "seek psychological help," was not enough absent evidence that the harassment "manifested in a demotion, reduction [*28]  in salary, or reduction in job responsibilities"); </w:t>
      </w:r>
      <w:bookmarkStart w:id="2336" w:name="Bookmark_I67H902G2HM6JJ0020000400"/>
      <w:bookmarkEnd w:id="2336"/>
      <w:r>
        <w:rPr>
          <w:rFonts w:ascii="Arial" w:eastAsia="Arial" w:hAnsi="Arial" w:cs="Arial"/>
          <w:i/>
          <w:color w:val="000000"/>
          <w:sz w:val="20"/>
        </w:rPr>
        <w:t>Goening</w:t>
      </w:r>
      <w:r>
        <w:rPr>
          <w:rFonts w:ascii="Arial" w:eastAsia="Arial" w:hAnsi="Arial" w:cs="Arial"/>
          <w:color w:val="000000"/>
          <w:sz w:val="20"/>
        </w:rPr>
        <w:t xml:space="preserve">, 884 F.3d at 631 (holding the plaintiff could not use her employer's criticism of her decision to take protected leave to establish that her work conditions were intolerable). Even assuming Wiley did use a threatening tone during the review, Wiley testified that he only interacted with Tomlinson about twice a year and Tomlinson corroborated this testimony in his briefing. </w:t>
      </w:r>
      <w:r>
        <w:rPr>
          <w:rFonts w:ascii="Arial" w:eastAsia="Arial" w:hAnsi="Arial" w:cs="Arial"/>
          <w:i/>
          <w:color w:val="000000"/>
          <w:sz w:val="20"/>
        </w:rPr>
        <w:t>See id.</w:t>
      </w:r>
      <w:r>
        <w:rPr>
          <w:rFonts w:ascii="Arial" w:eastAsia="Arial" w:hAnsi="Arial" w:cs="Arial"/>
          <w:color w:val="000000"/>
          <w:sz w:val="20"/>
        </w:rPr>
        <w:t xml:space="preserve"> ("[T]his circuit has repeatedly held that an employer's criticism of an employee does not amount to constructive discharge—especially when the employer's criticism is limited to a few isolated incidents."). Further, Tomlinson was on medical leave at the time he resigned, lessening his chance of encountering Wiley at the time of his resignation even more. And the record supports that KMC offered to set up a meeting with Tomlinson upon his return to ensure that Tomlinson felt heard, evidencing KMC's efforts to make the working conditions tolerable for everyone.</w:t>
      </w:r>
    </w:p>
    <w:p w:rsidR="00022B47" w:rsidRDefault="00000000">
      <w:pPr>
        <w:pStyle w:val="Normal11"/>
        <w:widowControl w:val="0"/>
        <w:spacing w:before="200" w:line="260" w:lineRule="atLeast"/>
        <w:jc w:val="both"/>
      </w:pPr>
      <w:bookmarkStart w:id="2337" w:name="Bookmark_para_46_3"/>
      <w:bookmarkStart w:id="2338" w:name="Bookmark_I1XJF738MPR000079RS0000B"/>
      <w:bookmarkStart w:id="2339" w:name="Bookmark_I1XJF738X9C000079RS0000D"/>
      <w:bookmarkStart w:id="2340" w:name="Bookmark_I67H902G2HM6JJ0050000400"/>
      <w:bookmarkStart w:id="2341" w:name="Bookmark_I67H902H2N1PS20040000400"/>
      <w:bookmarkEnd w:id="2337"/>
      <w:bookmarkEnd w:id="2338"/>
      <w:bookmarkEnd w:id="2339"/>
      <w:bookmarkEnd w:id="2340"/>
      <w:bookmarkEnd w:id="2341"/>
      <w:r>
        <w:rPr>
          <w:rFonts w:ascii="Arial" w:eastAsia="Arial" w:hAnsi="Arial" w:cs="Arial"/>
          <w:color w:val="000000"/>
          <w:sz w:val="20"/>
        </w:rPr>
        <w:t xml:space="preserve">Tomlinson principally relies on two cases to resist this finding: </w:t>
      </w:r>
      <w:bookmarkStart w:id="2342" w:name="Bookmark_I67H902G2HM6JJ0040000400"/>
      <w:bookmarkEnd w:id="2342"/>
      <w:r>
        <w:rPr>
          <w:rFonts w:ascii="Arial" w:eastAsia="Arial" w:hAnsi="Arial" w:cs="Arial"/>
          <w:i/>
          <w:color w:val="000000"/>
          <w:sz w:val="20"/>
        </w:rPr>
        <w:t>Smith</w:t>
      </w:r>
      <w:r>
        <w:rPr>
          <w:rFonts w:ascii="Arial" w:eastAsia="Arial" w:hAnsi="Arial" w:cs="Arial"/>
          <w:color w:val="000000"/>
          <w:sz w:val="20"/>
        </w:rPr>
        <w:t xml:space="preserve">, 376 F.3d 529, and </w:t>
      </w:r>
      <w:bookmarkStart w:id="2343" w:name="Bookmark_I67H902H2N1PS20010000400"/>
      <w:bookmarkEnd w:id="2343"/>
      <w:r>
        <w:rPr>
          <w:rFonts w:ascii="Arial" w:eastAsia="Arial" w:hAnsi="Arial" w:cs="Arial"/>
          <w:i/>
          <w:color w:val="000000"/>
          <w:sz w:val="20"/>
        </w:rPr>
        <w:t>Talley</w:t>
      </w:r>
      <w:r>
        <w:rPr>
          <w:rFonts w:ascii="Arial" w:eastAsia="Arial" w:hAnsi="Arial" w:cs="Arial"/>
          <w:color w:val="000000"/>
          <w:sz w:val="20"/>
        </w:rPr>
        <w:t xml:space="preserve">, 542 F.3d 1099. However, we are not persuaded that these cases warrant the opposite conclusion. </w:t>
      </w:r>
      <w:bookmarkStart w:id="2344" w:name="Bookmark_I67H902H2HM6JK0010000400"/>
      <w:bookmarkEnd w:id="2344"/>
      <w:r>
        <w:rPr>
          <w:rFonts w:ascii="Arial" w:eastAsia="Arial" w:hAnsi="Arial" w:cs="Arial"/>
          <w:color w:val="000000"/>
          <w:sz w:val="20"/>
        </w:rPr>
        <w:t xml:space="preserve">First, the plaintiff in </w:t>
      </w:r>
      <w:bookmarkStart w:id="2345" w:name="Bookmark_I67H902H2HM6JK0010000400_2"/>
      <w:bookmarkStart w:id="2346" w:name="Bookmark_I67H902H2N1PS20040000400_2"/>
      <w:bookmarkStart w:id="2347" w:name="Bookmark_I67H902G2HM6JJ0050000400_2"/>
      <w:bookmarkStart w:id="2348" w:name="Bookmark_I67H902H2N1PS20030000400"/>
      <w:bookmarkEnd w:id="2345"/>
      <w:bookmarkEnd w:id="2346"/>
      <w:bookmarkEnd w:id="2347"/>
      <w:bookmarkEnd w:id="2348"/>
      <w:r>
        <w:rPr>
          <w:rFonts w:ascii="Arial" w:eastAsia="Arial" w:hAnsi="Arial" w:cs="Arial"/>
          <w:i/>
          <w:color w:val="000000"/>
          <w:sz w:val="20"/>
        </w:rPr>
        <w:t>Smith</w:t>
      </w:r>
      <w:r>
        <w:rPr>
          <w:rFonts w:ascii="Arial" w:eastAsia="Arial" w:hAnsi="Arial" w:cs="Arial"/>
          <w:color w:val="000000"/>
          <w:sz w:val="20"/>
        </w:rPr>
        <w:t xml:space="preserve"> succeeded on her constructive discharge [*29]  claim because she established a dispute of fact regarding her failure-to-accommodate claim. </w:t>
      </w:r>
      <w:bookmarkStart w:id="2349" w:name="Bookmark_I67H902H2HM6JK0030000400"/>
      <w:bookmarkEnd w:id="2349"/>
      <w:r>
        <w:rPr>
          <w:rFonts w:ascii="Arial" w:eastAsia="Arial" w:hAnsi="Arial" w:cs="Arial"/>
          <w:i/>
          <w:color w:val="000000"/>
          <w:sz w:val="20"/>
        </w:rPr>
        <w:t>See</w:t>
      </w:r>
      <w:r>
        <w:rPr>
          <w:rFonts w:ascii="Arial" w:eastAsia="Arial" w:hAnsi="Arial" w:cs="Arial"/>
          <w:color w:val="000000"/>
          <w:sz w:val="20"/>
        </w:rPr>
        <w:t xml:space="preserve"> </w:t>
      </w:r>
      <w:bookmarkStart w:id="2350" w:name="Bookmark_I67H902H2N1PS20050000400"/>
      <w:bookmarkEnd w:id="2350"/>
      <w:r>
        <w:rPr>
          <w:rFonts w:ascii="Arial" w:eastAsia="Arial" w:hAnsi="Arial" w:cs="Arial"/>
          <w:color w:val="000000"/>
          <w:sz w:val="20"/>
        </w:rPr>
        <w:t xml:space="preserve">376 F.3d at 537 ("Assuming that [the employee] was denied a reasonable accommodation . . . a jury reasonably could infer that [her employer] knew that [the employee's] working conditions would become intolerable to a reasonable person suffering from her particular disability."). </w:t>
      </w:r>
      <w:bookmarkStart w:id="2351" w:name="Bookmark_I67H902H2HM6JK0030000400_2"/>
      <w:bookmarkEnd w:id="2351"/>
      <w:r>
        <w:rPr>
          <w:rFonts w:ascii="Arial" w:eastAsia="Arial" w:hAnsi="Arial" w:cs="Arial"/>
          <w:color w:val="000000"/>
          <w:sz w:val="20"/>
        </w:rPr>
        <w:t xml:space="preserve">The same is not true for Tomlinson, as we have already explained above why his failure-to-accommodate claims fail and accordingly cannot serve as the basis for his constructive discharge claim. </w:t>
      </w:r>
      <w:bookmarkStart w:id="2352" w:name="Bookmark_I67H902H2D6NJR0020000400"/>
      <w:bookmarkStart w:id="2353" w:name="Bookmark_LNHNREFclscc12_5"/>
      <w:bookmarkEnd w:id="2352"/>
      <w:bookmarkEnd w:id="2353"/>
      <w:r>
        <w:rPr>
          <w:rFonts w:ascii="Arial" w:eastAsia="Arial" w:hAnsi="Arial" w:cs="Arial"/>
          <w:color w:val="000000"/>
          <w:sz w:val="20"/>
        </w:rPr>
        <w:t xml:space="preserve">Consistent with our holding today, we specifically noted in </w:t>
      </w:r>
      <w:bookmarkStart w:id="2354" w:name="Bookmark_I67H902H2D6NJR0020000400_2"/>
      <w:bookmarkStart w:id="2355" w:name="Bookmark_I67H902H2HM6JK0030000400_3"/>
      <w:bookmarkStart w:id="2356" w:name="Bookmark_I67H902H2HM6JK0020000400"/>
      <w:bookmarkEnd w:id="2354"/>
      <w:bookmarkEnd w:id="2355"/>
      <w:bookmarkEnd w:id="2356"/>
      <w:r>
        <w:rPr>
          <w:rFonts w:ascii="Arial" w:eastAsia="Arial" w:hAnsi="Arial" w:cs="Arial"/>
          <w:i/>
          <w:color w:val="000000"/>
          <w:sz w:val="20"/>
        </w:rPr>
        <w:t>Smith</w:t>
      </w:r>
      <w:r>
        <w:rPr>
          <w:rFonts w:ascii="Arial" w:eastAsia="Arial" w:hAnsi="Arial" w:cs="Arial"/>
          <w:color w:val="000000"/>
          <w:sz w:val="20"/>
        </w:rPr>
        <w:t xml:space="preserve"> that the way an employer supervises and/or criticizes an employee's job performance and assigns job duties are actions that "</w:t>
      </w:r>
      <w:r>
        <w:rPr>
          <w:rFonts w:ascii="Arial" w:eastAsia="Arial" w:hAnsi="Arial" w:cs="Arial"/>
          <w:i/>
          <w:color w:val="000000"/>
          <w:sz w:val="20"/>
        </w:rPr>
        <w:t>normally</w:t>
      </w:r>
      <w:r>
        <w:rPr>
          <w:rFonts w:ascii="Arial" w:eastAsia="Arial" w:hAnsi="Arial" w:cs="Arial"/>
          <w:color w:val="000000"/>
          <w:sz w:val="20"/>
        </w:rPr>
        <w:t xml:space="preserve"> are insufficient to establish a constructive discharge." </w:t>
      </w:r>
      <w:bookmarkStart w:id="2357" w:name="Bookmark_I67H902H2HM6JK0040000400"/>
      <w:bookmarkEnd w:id="2357"/>
      <w:r>
        <w:rPr>
          <w:rFonts w:ascii="Arial" w:eastAsia="Arial" w:hAnsi="Arial" w:cs="Arial"/>
          <w:i/>
          <w:color w:val="000000"/>
          <w:sz w:val="20"/>
        </w:rPr>
        <w:t>Id.</w:t>
      </w:r>
      <w:r>
        <w:rPr>
          <w:rFonts w:ascii="Arial" w:eastAsia="Arial" w:hAnsi="Arial" w:cs="Arial"/>
          <w:color w:val="000000"/>
          <w:sz w:val="20"/>
        </w:rPr>
        <w:t xml:space="preserve"> at 534 (emphasis added). We only departed from the norm in </w:t>
      </w:r>
      <w:bookmarkStart w:id="2358" w:name="Bookmark_I67H902H2D6NJR0020000400_3"/>
      <w:bookmarkStart w:id="2359" w:name="Bookmark_I67H902H2D6NJR0010000400"/>
      <w:bookmarkEnd w:id="2358"/>
      <w:bookmarkEnd w:id="2359"/>
      <w:r>
        <w:rPr>
          <w:rFonts w:ascii="Arial" w:eastAsia="Arial" w:hAnsi="Arial" w:cs="Arial"/>
          <w:i/>
          <w:color w:val="000000"/>
          <w:sz w:val="20"/>
        </w:rPr>
        <w:t>Smith</w:t>
      </w:r>
      <w:r>
        <w:rPr>
          <w:rFonts w:ascii="Arial" w:eastAsia="Arial" w:hAnsi="Arial" w:cs="Arial"/>
          <w:color w:val="000000"/>
          <w:sz w:val="20"/>
        </w:rPr>
        <w:t xml:space="preserve"> because that plaintiff established her failure-to-accommodate claim. </w:t>
      </w:r>
      <w:r>
        <w:rPr>
          <w:rFonts w:ascii="Arial" w:eastAsia="Arial" w:hAnsi="Arial" w:cs="Arial"/>
          <w:i/>
          <w:color w:val="000000"/>
          <w:sz w:val="20"/>
        </w:rPr>
        <w:t>See id.</w:t>
      </w:r>
    </w:p>
    <w:p w:rsidR="00022B47" w:rsidRDefault="00000000">
      <w:pPr>
        <w:pStyle w:val="Normal11"/>
        <w:widowControl w:val="0"/>
        <w:spacing w:before="200" w:line="260" w:lineRule="atLeast"/>
        <w:jc w:val="both"/>
      </w:pPr>
      <w:bookmarkStart w:id="2360" w:name="Bookmark_para_47_3"/>
      <w:bookmarkStart w:id="2361" w:name="Bookmark_I67H902H2D6NJR0040000400"/>
      <w:bookmarkStart w:id="2362" w:name="Bookmark_I1XJF73C7TS000079RS00012"/>
      <w:bookmarkStart w:id="2363" w:name="Bookmark_I67H902H28T4DD0010000400"/>
      <w:bookmarkStart w:id="2364" w:name="Bookmark_LNHNREFclscc13_4"/>
      <w:bookmarkEnd w:id="2360"/>
      <w:bookmarkEnd w:id="2361"/>
      <w:bookmarkEnd w:id="2362"/>
      <w:bookmarkEnd w:id="2363"/>
      <w:bookmarkEnd w:id="2364"/>
      <w:r>
        <w:rPr>
          <w:rFonts w:ascii="Arial" w:eastAsia="Arial" w:hAnsi="Arial" w:cs="Arial"/>
          <w:color w:val="000000"/>
          <w:sz w:val="20"/>
        </w:rPr>
        <w:t xml:space="preserve">Turning to </w:t>
      </w:r>
      <w:r>
        <w:rPr>
          <w:rFonts w:ascii="Arial" w:eastAsia="Arial" w:hAnsi="Arial" w:cs="Arial"/>
          <w:i/>
          <w:color w:val="000000"/>
          <w:sz w:val="20"/>
        </w:rPr>
        <w:t>Talley</w:t>
      </w:r>
      <w:r>
        <w:rPr>
          <w:rFonts w:ascii="Arial" w:eastAsia="Arial" w:hAnsi="Arial" w:cs="Arial"/>
          <w:color w:val="000000"/>
          <w:sz w:val="20"/>
        </w:rPr>
        <w:t xml:space="preserve">, we held that "when an employee makes a repeated request for an accommodation and that request is both denied and no other reasonable alternative is offered, a jury may conclude that the employee's resignation was both intended and foreseeable." [*30]  </w:t>
      </w:r>
      <w:bookmarkStart w:id="2365" w:name="Bookmark_I67H902H2D6NJR0030000400"/>
      <w:bookmarkEnd w:id="2365"/>
      <w:r>
        <w:rPr>
          <w:rFonts w:ascii="Arial" w:eastAsia="Arial" w:hAnsi="Arial" w:cs="Arial"/>
          <w:color w:val="000000"/>
          <w:sz w:val="20"/>
        </w:rPr>
        <w:t xml:space="preserve">542 F.3d at 1109. </w:t>
      </w:r>
      <w:bookmarkStart w:id="2366" w:name="Bookmark_I67H902H28T4DD0030000400"/>
      <w:bookmarkEnd w:id="2366"/>
      <w:r>
        <w:rPr>
          <w:rFonts w:ascii="Arial" w:eastAsia="Arial" w:hAnsi="Arial" w:cs="Arial"/>
          <w:color w:val="000000"/>
          <w:sz w:val="20"/>
        </w:rPr>
        <w:t xml:space="preserve">Tomlinson's reliance on </w:t>
      </w:r>
      <w:bookmarkStart w:id="2367" w:name="Bookmark_I67H902H2D6NJR0050000400"/>
      <w:bookmarkEnd w:id="2367"/>
      <w:r>
        <w:rPr>
          <w:rFonts w:ascii="Arial" w:eastAsia="Arial" w:hAnsi="Arial" w:cs="Arial"/>
          <w:i/>
          <w:color w:val="000000"/>
          <w:sz w:val="20"/>
        </w:rPr>
        <w:t>Talley</w:t>
      </w:r>
      <w:r>
        <w:rPr>
          <w:rFonts w:ascii="Arial" w:eastAsia="Arial" w:hAnsi="Arial" w:cs="Arial"/>
          <w:color w:val="000000"/>
          <w:sz w:val="20"/>
        </w:rPr>
        <w:t xml:space="preserve"> is similarly unconvincing. There, we "emphasize[d] that our holding [did] not pave the way for an employee to assert a claim for constructive discharge every time an employer fails to accommodate her disability." </w:t>
      </w:r>
      <w:r>
        <w:rPr>
          <w:rFonts w:ascii="Arial" w:eastAsia="Arial" w:hAnsi="Arial" w:cs="Arial"/>
          <w:i/>
          <w:color w:val="000000"/>
          <w:sz w:val="20"/>
        </w:rPr>
        <w:t>Id.</w:t>
      </w:r>
      <w:r>
        <w:rPr>
          <w:rFonts w:ascii="Arial" w:eastAsia="Arial" w:hAnsi="Arial" w:cs="Arial"/>
          <w:color w:val="000000"/>
          <w:sz w:val="20"/>
        </w:rPr>
        <w:t xml:space="preserve"> To be sure, we reiterated the importance of the ADA's requirement that both parties participate in an interactive process to reach an agreed reasonable accommodation. </w:t>
      </w:r>
      <w:bookmarkStart w:id="2368" w:name="Bookmark_I67H902H28T4DD0030000400_2"/>
      <w:bookmarkStart w:id="2369" w:name="Bookmark_I67H902H28T4DD0020000400"/>
      <w:bookmarkEnd w:id="2368"/>
      <w:bookmarkEnd w:id="2369"/>
      <w:r>
        <w:rPr>
          <w:rFonts w:ascii="Arial" w:eastAsia="Arial" w:hAnsi="Arial" w:cs="Arial"/>
          <w:i/>
          <w:color w:val="000000"/>
          <w:sz w:val="20"/>
        </w:rPr>
        <w:t>Id.</w:t>
      </w:r>
      <w:r>
        <w:rPr>
          <w:rFonts w:ascii="Arial" w:eastAsia="Arial" w:hAnsi="Arial" w:cs="Arial"/>
          <w:color w:val="000000"/>
          <w:sz w:val="20"/>
        </w:rPr>
        <w:t xml:space="preserve"> at 1110. But as we explain above, the record establishes that Tomlinson terminated the process, thereby precluding him from using his failure-to-accommodate claim as a gateway to a constructive discharge claim.</w:t>
      </w:r>
    </w:p>
    <w:p w:rsidR="00022B47" w:rsidRDefault="00000000">
      <w:pPr>
        <w:pStyle w:val="Normal11"/>
        <w:widowControl w:val="0"/>
        <w:spacing w:before="200" w:line="260" w:lineRule="atLeast"/>
        <w:jc w:val="both"/>
      </w:pPr>
      <w:bookmarkStart w:id="2370" w:name="Bookmark_para_48_3"/>
      <w:bookmarkStart w:id="2371" w:name="Bookmark_I67H902H28T4DD0050000400"/>
      <w:bookmarkStart w:id="2372" w:name="Bookmark_LNHNREFclscc14_4"/>
      <w:bookmarkEnd w:id="2370"/>
      <w:bookmarkEnd w:id="2371"/>
      <w:bookmarkEnd w:id="2372"/>
      <w:r>
        <w:rPr>
          <w:rFonts w:ascii="Arial" w:eastAsia="Arial" w:hAnsi="Arial" w:cs="Arial"/>
          <w:color w:val="000000"/>
          <w:sz w:val="20"/>
        </w:rPr>
        <w:t xml:space="preserve">Notably, this circuit has interpreted constructive discharge to include an element of intent. </w:t>
      </w:r>
      <w:r>
        <w:rPr>
          <w:rFonts w:ascii="Arial" w:eastAsia="Arial" w:hAnsi="Arial" w:cs="Arial"/>
          <w:i/>
          <w:color w:val="000000"/>
          <w:sz w:val="20"/>
        </w:rPr>
        <w:t xml:space="preserve">See </w:t>
      </w:r>
      <w:bookmarkStart w:id="2373" w:name="Bookmark_I67H902H28T4DD0040000400"/>
      <w:bookmarkEnd w:id="2373"/>
      <w:r>
        <w:rPr>
          <w:rFonts w:ascii="Arial" w:eastAsia="Arial" w:hAnsi="Arial" w:cs="Arial"/>
          <w:i/>
          <w:color w:val="000000"/>
          <w:sz w:val="20"/>
        </w:rPr>
        <w:t>Talley</w:t>
      </w:r>
      <w:r>
        <w:rPr>
          <w:rFonts w:ascii="Arial" w:eastAsia="Arial" w:hAnsi="Arial" w:cs="Arial"/>
          <w:color w:val="000000"/>
          <w:sz w:val="20"/>
        </w:rPr>
        <w:t xml:space="preserve">, 542 F.3d at1107 ("A constructive discharge claim . . . requires an inquiry into the intent of the employer") (quoting </w:t>
      </w:r>
      <w:bookmarkStart w:id="2374" w:name="Bookmark_I67H902H2SF8S20010000400"/>
      <w:bookmarkEnd w:id="2374"/>
      <w:r>
        <w:rPr>
          <w:rFonts w:ascii="Arial" w:eastAsia="Arial" w:hAnsi="Arial" w:cs="Arial"/>
          <w:i/>
          <w:color w:val="000000"/>
          <w:sz w:val="20"/>
        </w:rPr>
        <w:t>Smith</w:t>
      </w:r>
      <w:r>
        <w:rPr>
          <w:rFonts w:ascii="Arial" w:eastAsia="Arial" w:hAnsi="Arial" w:cs="Arial"/>
          <w:color w:val="000000"/>
          <w:sz w:val="20"/>
        </w:rPr>
        <w:t xml:space="preserve">, 376 F.3d at 533). </w:t>
      </w:r>
      <w:bookmarkStart w:id="2375" w:name="Bookmark_I67H902H2SF8S20040000400"/>
      <w:bookmarkEnd w:id="2375"/>
      <w:r>
        <w:rPr>
          <w:rFonts w:ascii="Arial" w:eastAsia="Arial" w:hAnsi="Arial" w:cs="Arial"/>
          <w:color w:val="000000"/>
          <w:sz w:val="20"/>
        </w:rPr>
        <w:t>However, the Supreme Court raised a question as to whether intent was properly considered as an element in constructive discharge claims when it stated:</w:t>
      </w:r>
    </w:p>
    <w:p w:rsidR="00022B47" w:rsidRDefault="00000000">
      <w:pPr>
        <w:pStyle w:val="Normal11"/>
        <w:widowControl w:val="0"/>
        <w:spacing w:before="200" w:line="260" w:lineRule="atLeast"/>
        <w:ind w:left="400"/>
        <w:jc w:val="both"/>
      </w:pPr>
      <w:bookmarkStart w:id="2376" w:name="Bookmark_para_49_3"/>
      <w:bookmarkStart w:id="2377" w:name="Bookmark_I67H902H2SF8S20040000400_2"/>
      <w:bookmarkStart w:id="2378" w:name="Bookmark_I67H902H2SF8S30010000400"/>
      <w:bookmarkStart w:id="2379" w:name="Bookmark_LNHNREFclscc15_4"/>
      <w:bookmarkEnd w:id="2376"/>
      <w:bookmarkEnd w:id="2377"/>
      <w:bookmarkEnd w:id="2378"/>
      <w:bookmarkEnd w:id="2379"/>
      <w:r>
        <w:rPr>
          <w:rFonts w:ascii="Arial" w:eastAsia="Arial" w:hAnsi="Arial" w:cs="Arial"/>
          <w:color w:val="000000"/>
          <w:sz w:val="20"/>
        </w:rPr>
        <w:t>The whole point of allowing an employee to claim "constructive" discharge is that in circumstances of discrimination so intolerable that a reasonable person would resign, we treat the employee's resignation as though the employer [*31]  actually fired him. We do not also require an employee to come forward with proof—proof that would often be difficult to allege plausibly—that not only was the discrimination so bad that he had to quit, but also that his quitting was his employer's plan all along.</w:t>
      </w:r>
    </w:p>
    <w:p w:rsidR="00022B47" w:rsidRDefault="00000000">
      <w:pPr>
        <w:pStyle w:val="Normal11"/>
        <w:widowControl w:val="0"/>
        <w:spacing w:before="200" w:line="260" w:lineRule="atLeast"/>
        <w:jc w:val="both"/>
      </w:pPr>
      <w:bookmarkStart w:id="2380" w:name="Bookmark_I67H902H2SF8S30010000400_2"/>
      <w:bookmarkStart w:id="2381" w:name="Bookmark_I67H902H2SF8S20040000400_3"/>
      <w:bookmarkStart w:id="2382" w:name="Bookmark_I67H902H2SF8S20030000400"/>
      <w:bookmarkEnd w:id="2380"/>
      <w:bookmarkEnd w:id="2381"/>
      <w:bookmarkEnd w:id="2382"/>
      <w:r>
        <w:rPr>
          <w:rFonts w:ascii="Arial" w:eastAsia="Arial" w:hAnsi="Arial" w:cs="Arial"/>
          <w:i/>
          <w:color w:val="000000"/>
          <w:sz w:val="20"/>
        </w:rPr>
        <w:t>Green v. Brennan</w:t>
      </w:r>
      <w:r>
        <w:rPr>
          <w:rFonts w:ascii="Arial" w:eastAsia="Arial" w:hAnsi="Arial" w:cs="Arial"/>
          <w:color w:val="000000"/>
          <w:sz w:val="20"/>
        </w:rPr>
        <w:t xml:space="preserve">, 578 U.S. 547, 560, 136 S. Ct. 1769, 195 L. Ed. 2d 44 (2016) (citation omitted). We acknowledged this issue in </w:t>
      </w:r>
      <w:bookmarkStart w:id="2383" w:name="Bookmark_I67H902H2SF8S30010000400_3"/>
      <w:bookmarkStart w:id="2384" w:name="Bookmark_I67H902H2SF8S20050000400"/>
      <w:bookmarkEnd w:id="2383"/>
      <w:bookmarkEnd w:id="2384"/>
      <w:r>
        <w:rPr>
          <w:rFonts w:ascii="Arial" w:eastAsia="Arial" w:hAnsi="Arial" w:cs="Arial"/>
          <w:i/>
          <w:color w:val="000000"/>
          <w:sz w:val="20"/>
        </w:rPr>
        <w:t>Tchankpa</w:t>
      </w:r>
      <w:bookmarkStart w:id="2385" w:name="Bookmark_I67H902H2SF8S30050000400"/>
      <w:bookmarkEnd w:id="2385"/>
      <w:r>
        <w:rPr>
          <w:rFonts w:ascii="Arial" w:eastAsia="Arial" w:hAnsi="Arial" w:cs="Arial"/>
          <w:color w:val="000000"/>
          <w:sz w:val="20"/>
        </w:rPr>
        <w:t xml:space="preserve"> but found no reason to resolve it in that case because the plaintiff had not shown that his workplace was objectively intolerable. </w:t>
      </w:r>
      <w:bookmarkStart w:id="2386" w:name="Bookmark_I67H902H2SF8S30020000400"/>
      <w:bookmarkEnd w:id="2386"/>
      <w:r>
        <w:rPr>
          <w:rFonts w:ascii="Arial" w:eastAsia="Arial" w:hAnsi="Arial" w:cs="Arial"/>
          <w:color w:val="000000"/>
          <w:sz w:val="20"/>
        </w:rPr>
        <w:t xml:space="preserve">951 F.3d at 815-16. We reach the same conclusion here and accordingly see no need to answer the question today. </w:t>
      </w:r>
      <w:r>
        <w:rPr>
          <w:rFonts w:ascii="Arial" w:eastAsia="Arial" w:hAnsi="Arial" w:cs="Arial"/>
          <w:i/>
          <w:color w:val="000000"/>
          <w:sz w:val="20"/>
        </w:rPr>
        <w:t>See id.</w:t>
      </w:r>
      <w:r>
        <w:rPr>
          <w:rFonts w:ascii="Arial" w:eastAsia="Arial" w:hAnsi="Arial" w:cs="Arial"/>
          <w:color w:val="000000"/>
          <w:sz w:val="20"/>
        </w:rPr>
        <w:t xml:space="preserve"> (declining to answer this "question of first impression" but acknowledging that </w:t>
      </w:r>
      <w:bookmarkStart w:id="2387" w:name="Bookmark_I67H902H2SF8S30050000400_2"/>
      <w:bookmarkStart w:id="2388" w:name="Bookmark_I67H902H2SF8S30040000400"/>
      <w:bookmarkEnd w:id="2387"/>
      <w:bookmarkEnd w:id="2388"/>
      <w:r>
        <w:rPr>
          <w:rFonts w:ascii="Arial" w:eastAsia="Arial" w:hAnsi="Arial" w:cs="Arial"/>
          <w:i/>
          <w:color w:val="000000"/>
          <w:sz w:val="20"/>
        </w:rPr>
        <w:t>Green</w:t>
      </w:r>
      <w:r>
        <w:rPr>
          <w:rFonts w:ascii="Arial" w:eastAsia="Arial" w:hAnsi="Arial" w:cs="Arial"/>
          <w:color w:val="000000"/>
          <w:sz w:val="20"/>
        </w:rPr>
        <w:t xml:space="preserve"> "arguably" dispensed of the intent component). Accordingly, Tomlinson's retaliation claim fails.</w:t>
      </w:r>
    </w:p>
    <w:p w:rsidR="00022B47" w:rsidRDefault="00000000">
      <w:pPr>
        <w:pStyle w:val="Normal11"/>
        <w:widowControl w:val="0"/>
        <w:spacing w:before="240" w:line="260" w:lineRule="atLeast"/>
      </w:pPr>
      <w:r>
        <w:br/>
      </w:r>
      <w:r>
        <w:rPr>
          <w:rFonts w:ascii="Arial" w:eastAsia="Arial" w:hAnsi="Arial" w:cs="Arial"/>
          <w:b/>
          <w:color w:val="000000"/>
          <w:sz w:val="20"/>
        </w:rPr>
        <w:t>V. CONCLUSION</w:t>
      </w:r>
    </w:p>
    <w:p w:rsidR="00022B47" w:rsidRDefault="00000000">
      <w:pPr>
        <w:pStyle w:val="Normal11"/>
        <w:widowControl w:val="0"/>
        <w:spacing w:before="200" w:line="260" w:lineRule="atLeast"/>
        <w:jc w:val="both"/>
      </w:pPr>
      <w:bookmarkStart w:id="2389" w:name="Bookmark_para_50_3"/>
      <w:bookmarkEnd w:id="2389"/>
      <w:r>
        <w:rPr>
          <w:rFonts w:ascii="Arial" w:eastAsia="Arial" w:hAnsi="Arial" w:cs="Arial"/>
          <w:color w:val="000000"/>
          <w:sz w:val="20"/>
        </w:rPr>
        <w:t xml:space="preserve">For the reasons set forth above, we </w:t>
      </w:r>
      <w:r>
        <w:rPr>
          <w:rFonts w:ascii="Arial" w:eastAsia="Arial" w:hAnsi="Arial" w:cs="Arial"/>
          <w:b/>
          <w:color w:val="000000"/>
          <w:sz w:val="20"/>
        </w:rPr>
        <w:t>AFFIRM</w:t>
      </w:r>
      <w:r>
        <w:rPr>
          <w:rFonts w:ascii="Arial" w:eastAsia="Arial" w:hAnsi="Arial" w:cs="Arial"/>
          <w:color w:val="000000"/>
          <w:sz w:val="20"/>
        </w:rPr>
        <w:t xml:space="preserve"> the judgment of the district court.</w:t>
      </w:r>
    </w:p>
    <w:p w:rsidR="00022B47" w:rsidRDefault="00000000">
      <w:pPr>
        <w:pStyle w:val="Normal11"/>
        <w:widowControl w:val="0"/>
        <w:spacing w:before="240" w:line="260" w:lineRule="atLeast"/>
      </w:pPr>
      <w:bookmarkStart w:id="2390" w:name="Concur_by"/>
      <w:bookmarkEnd w:id="2390"/>
      <w:r>
        <w:rPr>
          <w:rFonts w:ascii="Arial" w:eastAsia="Arial" w:hAnsi="Arial" w:cs="Arial"/>
          <w:b/>
          <w:color w:val="000000"/>
          <w:sz w:val="20"/>
        </w:rPr>
        <w:t>Concur by:</w:t>
      </w:r>
      <w:r>
        <w:rPr>
          <w:rFonts w:ascii="Arial" w:eastAsia="Arial" w:hAnsi="Arial" w:cs="Arial"/>
          <w:color w:val="000000"/>
          <w:sz w:val="20"/>
        </w:rPr>
        <w:t> ALICE M. BATCHELDER</w:t>
      </w:r>
    </w:p>
    <w:p w:rsidR="00022B47" w:rsidRDefault="00000000">
      <w:pPr>
        <w:pStyle w:val="Normal11"/>
        <w:keepNext/>
        <w:widowControl w:val="0"/>
        <w:spacing w:before="240" w:line="340" w:lineRule="atLeast"/>
      </w:pPr>
      <w:bookmarkStart w:id="2391" w:name="Concur"/>
      <w:bookmarkEnd w:id="2391"/>
      <w:r>
        <w:rPr>
          <w:rFonts w:ascii="Arial" w:eastAsia="Arial" w:hAnsi="Arial" w:cs="Arial"/>
          <w:b/>
          <w:color w:val="000000"/>
          <w:sz w:val="28"/>
        </w:rPr>
        <w:t>Concur</w:t>
      </w:r>
    </w:p>
    <w:p w:rsidR="00022B47" w:rsidRDefault="0025213E">
      <w:pPr>
        <w:pStyle w:val="Normal11"/>
        <w:spacing w:line="60" w:lineRule="exact"/>
      </w:pPr>
      <w:r>
        <w:rPr>
          <w:noProof/>
        </w:rPr>
        <mc:AlternateContent>
          <mc:Choice Requires="wps">
            <w:drawing>
              <wp:anchor distT="0" distB="0" distL="114300" distR="114300" simplePos="0" relativeHeight="251681792"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845752046"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C08814" id="Line 25"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11"/>
      </w:pPr>
    </w:p>
    <w:p w:rsidR="00022B47" w:rsidRDefault="00000000">
      <w:pPr>
        <w:pStyle w:val="Normal11"/>
        <w:widowControl w:val="0"/>
        <w:spacing w:before="200" w:line="260" w:lineRule="atLeast"/>
        <w:jc w:val="both"/>
      </w:pPr>
      <w:bookmarkStart w:id="2392" w:name="Bookmark_para_51_3"/>
      <w:bookmarkEnd w:id="2392"/>
      <w:r>
        <w:rPr>
          <w:rFonts w:ascii="Arial" w:eastAsia="Arial" w:hAnsi="Arial" w:cs="Arial"/>
          <w:b/>
          <w:color w:val="000000"/>
          <w:sz w:val="20"/>
        </w:rPr>
        <w:t>ALICE M. BATCHELDER, Circuit Judge, concurring</w:t>
      </w:r>
      <w:r>
        <w:rPr>
          <w:rFonts w:ascii="Arial" w:eastAsia="Arial" w:hAnsi="Arial" w:cs="Arial"/>
          <w:color w:val="000000"/>
          <w:sz w:val="20"/>
        </w:rPr>
        <w:t>. I concur in the judgment and part of the analysis that leads to that judgment. I do not agree that a reasonable jury could conclude that Tomlinson requested an objectively reasonable accommodation.</w:t>
      </w:r>
    </w:p>
    <w:p w:rsidR="00022B47" w:rsidRDefault="00000000">
      <w:pPr>
        <w:pStyle w:val="Normal11"/>
        <w:widowControl w:val="0"/>
        <w:spacing w:before="200" w:line="260" w:lineRule="atLeast"/>
        <w:jc w:val="both"/>
      </w:pPr>
      <w:bookmarkStart w:id="2393" w:name="Bookmark_para_52_3"/>
      <w:bookmarkEnd w:id="2393"/>
      <w:r>
        <w:rPr>
          <w:rFonts w:ascii="Arial" w:eastAsia="Arial" w:hAnsi="Arial" w:cs="Arial"/>
          <w:color w:val="000000"/>
          <w:sz w:val="20"/>
        </w:rPr>
        <w:t>Tomlinson alleges that KMC discussed its plan to re-evaluate its performance review process during the investigation of [*32]  his discrimination claim. He also alleges that Beene-Skuban failed to disclose this plan when she denied Tomlinson's request to report to Bouza. These claims, however, are not supported by the record.</w:t>
      </w:r>
    </w:p>
    <w:p w:rsidR="00022B47" w:rsidRDefault="00000000">
      <w:pPr>
        <w:pStyle w:val="Normal11"/>
        <w:widowControl w:val="0"/>
        <w:spacing w:before="200" w:line="260" w:lineRule="atLeast"/>
        <w:jc w:val="both"/>
      </w:pPr>
      <w:bookmarkStart w:id="2394" w:name="Bookmark_para_53_2"/>
      <w:bookmarkEnd w:id="2394"/>
      <w:r>
        <w:rPr>
          <w:rFonts w:ascii="Arial" w:eastAsia="Arial" w:hAnsi="Arial" w:cs="Arial"/>
          <w:color w:val="000000"/>
          <w:sz w:val="20"/>
        </w:rPr>
        <w:t>For ease of understanding, I will consider Tomlinson's question about whether he could report to Bouza instead of Wiley as a request for an accommodation. But not only is it questionable whether this should be considered as such a request, the record contains no other evidence that Tomlinson ever made such a request. Nor can I find any evidence that Beene-Skuban ever denied any such request. Indeed, Tomlinson walked back his request to work with Bouza, saying that he could still work with Wiley because he did not have much contact with him.</w:t>
      </w:r>
    </w:p>
    <w:p w:rsidR="00022B47" w:rsidRDefault="00000000">
      <w:pPr>
        <w:pStyle w:val="Normal11"/>
        <w:widowControl w:val="0"/>
        <w:spacing w:before="200" w:line="260" w:lineRule="atLeast"/>
        <w:jc w:val="both"/>
      </w:pPr>
      <w:bookmarkStart w:id="2395" w:name="Bookmark_para_54_2"/>
      <w:bookmarkEnd w:id="2395"/>
      <w:r>
        <w:rPr>
          <w:rFonts w:ascii="Arial" w:eastAsia="Arial" w:hAnsi="Arial" w:cs="Arial"/>
          <w:color w:val="000000"/>
          <w:sz w:val="20"/>
        </w:rPr>
        <w:t>The record also reflects that KMC issued its report of the investigation on August 20, 2018. The report did not discuss any accommodation request, nor did it deny any request. It simply informed Tomlinson that no discrimination occurred and that KMC wanted to meet with him upon his return to work to discuss a path forward. The following day (August 21, 2018), Beene-Skuban, Hemmerle, and Caprio met to discuss lessons learned from the investigation. At [*33]  the meeting, KMC decided to re-evaluate its performance-review process because of Wiley's heavy workload. Part of this discussion included having employees in Bouza's position conduct the initial performance evaluation for Wiley, who would then review the evaluation and send it to Human Resources for final approval. The service coordinators did not become supervisors or managers because of this change. This change was implemented several months after Tomlinson resigned.</w:t>
      </w:r>
    </w:p>
    <w:p w:rsidR="00022B47" w:rsidRDefault="00000000">
      <w:pPr>
        <w:pStyle w:val="Normal11"/>
        <w:widowControl w:val="0"/>
        <w:spacing w:before="200" w:line="260" w:lineRule="atLeast"/>
        <w:jc w:val="both"/>
      </w:pPr>
      <w:bookmarkStart w:id="2396" w:name="Bookmark_para_55_2"/>
      <w:bookmarkStart w:id="2397" w:name="Bookmark_I1XJF73B3DX000079RS0000R"/>
      <w:bookmarkStart w:id="2398" w:name="Bookmark_I67H902H28T4DG0020000400"/>
      <w:bookmarkEnd w:id="2396"/>
      <w:bookmarkEnd w:id="2397"/>
      <w:bookmarkEnd w:id="2398"/>
      <w:r>
        <w:rPr>
          <w:rFonts w:ascii="Arial" w:eastAsia="Arial" w:hAnsi="Arial" w:cs="Arial"/>
          <w:color w:val="000000"/>
          <w:sz w:val="20"/>
        </w:rPr>
        <w:t xml:space="preserve">With these facts in mind, I cannot find that a reasonable jury could conclude that Tomlinson requested a reasonable accommodation. </w:t>
      </w:r>
      <w:bookmarkStart w:id="2399" w:name="Bookmark_I1XJF739K1Y000079RS0000K"/>
      <w:bookmarkStart w:id="2400" w:name="Bookmark_I1XJF739VD7000079RS0000N"/>
      <w:bookmarkStart w:id="2401" w:name="Bookmark_I67H902H28T4DG0040000400"/>
      <w:bookmarkEnd w:id="2399"/>
      <w:bookmarkEnd w:id="2400"/>
      <w:bookmarkEnd w:id="2401"/>
      <w:r>
        <w:rPr>
          <w:rFonts w:ascii="Arial" w:eastAsia="Arial" w:hAnsi="Arial" w:cs="Arial"/>
          <w:color w:val="000000"/>
          <w:sz w:val="20"/>
        </w:rPr>
        <w:t xml:space="preserve">To make a claim that KMC failed to accommodate his disability, Tomlinson must show that he requested an objectively reasonable accommodation. </w:t>
      </w:r>
      <w:bookmarkStart w:id="2402" w:name="Bookmark_I67H902H28T4DG0010000400"/>
      <w:bookmarkEnd w:id="2402"/>
      <w:r>
        <w:rPr>
          <w:rFonts w:ascii="Arial" w:eastAsia="Arial" w:hAnsi="Arial" w:cs="Arial"/>
          <w:i/>
          <w:color w:val="000000"/>
          <w:sz w:val="20"/>
        </w:rPr>
        <w:t>Talley v. Fam. Dollar Stores of Ohio, Inc.</w:t>
      </w:r>
      <w:r>
        <w:rPr>
          <w:rFonts w:ascii="Arial" w:eastAsia="Arial" w:hAnsi="Arial" w:cs="Arial"/>
          <w:color w:val="000000"/>
          <w:sz w:val="20"/>
        </w:rPr>
        <w:t xml:space="preserve">, 542 F.3d 1099, 1110. </w:t>
      </w:r>
      <w:bookmarkStart w:id="2403" w:name="Bookmark_I67H902H28T4DG0040000400_2"/>
      <w:bookmarkEnd w:id="2403"/>
      <w:r>
        <w:rPr>
          <w:rFonts w:ascii="Arial" w:eastAsia="Arial" w:hAnsi="Arial" w:cs="Arial"/>
          <w:color w:val="000000"/>
          <w:sz w:val="20"/>
        </w:rPr>
        <w:t xml:space="preserve">Here, if Tomlinson made a request, it was a request for a change in his supervision; a change in supervision is not generally considered a reasonable request but must be individually considered in each case. </w:t>
      </w:r>
      <w:r>
        <w:rPr>
          <w:rFonts w:ascii="Arial" w:eastAsia="Arial" w:hAnsi="Arial" w:cs="Arial"/>
          <w:i/>
          <w:color w:val="000000"/>
          <w:sz w:val="20"/>
        </w:rPr>
        <w:t xml:space="preserve">See, e.g., </w:t>
      </w:r>
      <w:bookmarkStart w:id="2404" w:name="Bookmark_I67H902H28T4DG0030000400"/>
      <w:bookmarkEnd w:id="2404"/>
      <w:r>
        <w:rPr>
          <w:rFonts w:ascii="Arial" w:eastAsia="Arial" w:hAnsi="Arial" w:cs="Arial"/>
          <w:i/>
          <w:color w:val="000000"/>
          <w:sz w:val="20"/>
        </w:rPr>
        <w:t>US Airways, Inc. v. Barnett</w:t>
      </w:r>
      <w:r>
        <w:rPr>
          <w:rFonts w:ascii="Arial" w:eastAsia="Arial" w:hAnsi="Arial" w:cs="Arial"/>
          <w:color w:val="000000"/>
          <w:sz w:val="20"/>
        </w:rPr>
        <w:t xml:space="preserve">, 535 U.S. 391, 405, 122 S. Ct. 1516, 152 L. Ed. 2d 589 (2002); </w:t>
      </w:r>
      <w:bookmarkStart w:id="2405" w:name="Bookmark_I67H902H28T4DG0050000400"/>
      <w:bookmarkEnd w:id="2405"/>
      <w:r>
        <w:rPr>
          <w:rFonts w:ascii="Arial" w:eastAsia="Arial" w:hAnsi="Arial" w:cs="Arial"/>
          <w:i/>
          <w:color w:val="000000"/>
          <w:sz w:val="20"/>
        </w:rPr>
        <w:t>Deister v. Auto Club Ins. Ass'n</w:t>
      </w:r>
      <w:r>
        <w:rPr>
          <w:rFonts w:ascii="Arial" w:eastAsia="Arial" w:hAnsi="Arial" w:cs="Arial"/>
          <w:color w:val="000000"/>
          <w:sz w:val="20"/>
        </w:rPr>
        <w:t>, 647 F. App'x 652, 658 n.2 (6th Cir. 2016); EEOC Enforcement Guidance, Reasonable Accommodation and Undue Hardship, No. 915.002, Answer to Question 33 ("An employer does not have to provide an employee with a new supervisor as a reasonable accommodation," but "the ADA may [*34]  require that supervisory methods be altered as a form of reasonable accommodation." ).</w:t>
      </w:r>
    </w:p>
    <w:p w:rsidR="00022B47" w:rsidRDefault="00000000">
      <w:pPr>
        <w:pStyle w:val="Normal11"/>
        <w:widowControl w:val="0"/>
        <w:spacing w:before="200" w:line="260" w:lineRule="atLeast"/>
        <w:jc w:val="both"/>
      </w:pPr>
      <w:bookmarkStart w:id="2406" w:name="Bookmark_para_56_2"/>
      <w:bookmarkEnd w:id="2406"/>
      <w:r>
        <w:rPr>
          <w:rFonts w:ascii="Arial" w:eastAsia="Arial" w:hAnsi="Arial" w:cs="Arial"/>
          <w:color w:val="000000"/>
          <w:sz w:val="20"/>
        </w:rPr>
        <w:t>Tomlinson argues that his request to report to Bouza was an objectively reasonable accommodation because KMC changed its performance evaluation process after he resigned. However, Tomlinson did not request that Bouza complete his performance evaluation instead of Wiley. He asked for Bouza to be his supervisor instead of Wiley. Not only is a change-in-supervision request generally not reasonable, but the facts show that it was objectively unreasonable here. Bouza was not a supervisor or manager. Instead, Bouza also reported to Wiley and continued to report to Wiley after the evaluation process was changed. A company does not have to change its reporting structure to accommodate an employee's disability.</w:t>
      </w:r>
    </w:p>
    <w:p w:rsidR="00022B47" w:rsidRDefault="00000000">
      <w:pPr>
        <w:pStyle w:val="Normal11"/>
        <w:widowControl w:val="0"/>
        <w:spacing w:before="200" w:line="260" w:lineRule="atLeast"/>
        <w:jc w:val="both"/>
      </w:pPr>
      <w:bookmarkStart w:id="2407" w:name="Bookmark_para_57_2"/>
      <w:bookmarkEnd w:id="2407"/>
      <w:r>
        <w:rPr>
          <w:rFonts w:ascii="Arial" w:eastAsia="Arial" w:hAnsi="Arial" w:cs="Arial"/>
          <w:color w:val="000000"/>
          <w:sz w:val="20"/>
        </w:rPr>
        <w:t xml:space="preserve">Furthermore, KMC did not begin discussing the idea of changing who initially drafts performance reviews until </w:t>
      </w:r>
      <w:r>
        <w:rPr>
          <w:rFonts w:ascii="Arial" w:eastAsia="Arial" w:hAnsi="Arial" w:cs="Arial"/>
          <w:i/>
          <w:color w:val="000000"/>
          <w:sz w:val="20"/>
        </w:rPr>
        <w:t>after</w:t>
      </w:r>
      <w:r>
        <w:rPr>
          <w:rFonts w:ascii="Arial" w:eastAsia="Arial" w:hAnsi="Arial" w:cs="Arial"/>
          <w:color w:val="000000"/>
          <w:sz w:val="20"/>
        </w:rPr>
        <w:t xml:space="preserve"> it informed Tomlinson that no discrimination had occurred. And the record reflects that KMC intended to discuss accommodations with Tomlinson upon his return. The fact that KMC made and implemented a change afterwards, even though the change might have accommodated Tomlinson, is not a basis [*35]  for a jury to find that Tomlinson's request was objectively reasonable, especially when the change KMC made was not the accommodation Tomlinson requested.</w:t>
      </w:r>
    </w:p>
    <w:p w:rsidR="00022B47" w:rsidRDefault="00000000">
      <w:pPr>
        <w:pStyle w:val="Normal11"/>
        <w:widowControl w:val="0"/>
        <w:spacing w:before="200" w:line="260" w:lineRule="atLeast"/>
        <w:jc w:val="both"/>
      </w:pPr>
      <w:bookmarkStart w:id="2408" w:name="Bookmark_para_58_2"/>
      <w:bookmarkEnd w:id="2408"/>
      <w:r>
        <w:rPr>
          <w:rFonts w:ascii="Arial" w:eastAsia="Arial" w:hAnsi="Arial" w:cs="Arial"/>
          <w:color w:val="000000"/>
          <w:sz w:val="20"/>
        </w:rPr>
        <w:t>Therefore, I cannot not conclude that Tomlinson's request was objectively reasonable. But, I certainly agree with the majority that Tomlinson's failure-to-accommodate claim cannot survive because Tomlinson failed to engage in the interactive process, as required by the ADA. I concur.</w:t>
      </w:r>
    </w:p>
    <w:p w:rsidR="00022B47" w:rsidRDefault="00022B47">
      <w:pPr>
        <w:pStyle w:val="Normal11"/>
      </w:pPr>
    </w:p>
    <w:p w:rsidR="00022B47" w:rsidRDefault="00000000">
      <w:pPr>
        <w:pStyle w:val="Normal11"/>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682816"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207895739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357967" id="Line 26"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12"/>
        <w:sectPr w:rsidR="00022B47">
          <w:headerReference w:type="even" r:id="rId79"/>
          <w:headerReference w:type="default" r:id="rId80"/>
          <w:footerReference w:type="even" r:id="rId81"/>
          <w:footerReference w:type="default" r:id="rId82"/>
          <w:headerReference w:type="first" r:id="rId83"/>
          <w:footerReference w:type="first" r:id="rId84"/>
          <w:pgSz w:w="12240" w:h="15840"/>
          <w:pgMar w:top="840" w:right="1000" w:bottom="840" w:left="1000" w:header="400" w:footer="400" w:gutter="0"/>
          <w:cols w:space="720"/>
          <w:titlePg/>
        </w:sectPr>
      </w:pPr>
    </w:p>
    <w:p w:rsidR="00022B47" w:rsidRDefault="00022B47">
      <w:pPr>
        <w:pStyle w:val="Normal12"/>
      </w:pPr>
    </w:p>
    <w:p w:rsidR="00022B47" w:rsidRDefault="00000000">
      <w:pPr>
        <w:pStyle w:val="Heading111"/>
        <w:keepNext w:val="0"/>
        <w:widowControl w:val="0"/>
        <w:spacing w:after="200" w:line="340" w:lineRule="atLeast"/>
        <w:jc w:val="center"/>
      </w:pPr>
      <w:r>
        <w:rPr>
          <w:rFonts w:eastAsia="Arial"/>
          <w:color w:val="000000"/>
          <w:sz w:val="28"/>
        </w:rPr>
        <w:t>Antolini v. Thurman</w:t>
      </w:r>
    </w:p>
    <w:p w:rsidR="00022B47" w:rsidRDefault="00000000">
      <w:pPr>
        <w:pStyle w:val="Normal12"/>
        <w:widowControl w:val="0"/>
        <w:spacing w:before="120" w:line="260" w:lineRule="atLeast"/>
        <w:jc w:val="center"/>
      </w:pPr>
      <w:r>
        <w:rPr>
          <w:rFonts w:ascii="Arial" w:eastAsia="Arial" w:hAnsi="Arial" w:cs="Arial"/>
          <w:color w:val="000000"/>
          <w:sz w:val="20"/>
        </w:rPr>
        <w:t>United States Court of Appeals for the Second Circuit</w:t>
      </w:r>
    </w:p>
    <w:p w:rsidR="00022B47" w:rsidRDefault="00000000">
      <w:pPr>
        <w:pStyle w:val="Normal12"/>
        <w:widowControl w:val="0"/>
        <w:spacing w:before="120" w:line="260" w:lineRule="atLeast"/>
        <w:jc w:val="center"/>
      </w:pPr>
      <w:r>
        <w:rPr>
          <w:rFonts w:ascii="Arial" w:eastAsia="Arial" w:hAnsi="Arial" w:cs="Arial"/>
          <w:color w:val="000000"/>
          <w:sz w:val="20"/>
        </w:rPr>
        <w:t>January 31, 2023, Decided</w:t>
      </w:r>
    </w:p>
    <w:p w:rsidR="00022B47" w:rsidRDefault="00000000">
      <w:pPr>
        <w:pStyle w:val="Normal12"/>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21-2028-cv</w:t>
      </w:r>
    </w:p>
    <w:p w:rsidR="00022B47" w:rsidRDefault="00022B47">
      <w:pPr>
        <w:pStyle w:val="Normal12"/>
        <w:widowControl w:val="0"/>
        <w:spacing w:line="240" w:lineRule="atLeast"/>
        <w:jc w:val="both"/>
      </w:pPr>
      <w:bookmarkStart w:id="2409" w:name="Bookmark_13"/>
      <w:bookmarkEnd w:id="2409"/>
    </w:p>
    <w:p w:rsidR="00022B47" w:rsidRDefault="00000000">
      <w:pPr>
        <w:pStyle w:val="Normal12"/>
        <w:widowControl w:val="0"/>
        <w:spacing w:before="200" w:line="240" w:lineRule="atLeast"/>
      </w:pPr>
      <w:bookmarkStart w:id="2410" w:name="Reporter_11"/>
      <w:bookmarkEnd w:id="2410"/>
      <w:r>
        <w:rPr>
          <w:rFonts w:ascii="Arial" w:eastAsia="Arial" w:hAnsi="Arial" w:cs="Arial"/>
          <w:b/>
          <w:color w:val="000000"/>
          <w:sz w:val="18"/>
        </w:rPr>
        <w:t>Reporter</w:t>
      </w:r>
    </w:p>
    <w:p w:rsidR="00022B47" w:rsidRDefault="00000000">
      <w:pPr>
        <w:pStyle w:val="Normal12"/>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2023 U.S. App. LEXIS 2419 *; 2023 WL 1113535</w:t>
      </w:r>
    </w:p>
    <w:p w:rsidR="00022B47" w:rsidRDefault="00000000">
      <w:pPr>
        <w:pStyle w:val="Normal12"/>
        <w:widowControl w:val="0"/>
        <w:spacing w:before="120" w:line="260" w:lineRule="atLeast"/>
      </w:pPr>
      <w:r>
        <w:rPr>
          <w:rFonts w:ascii="Arial" w:eastAsia="Arial" w:hAnsi="Arial" w:cs="Arial"/>
          <w:color w:val="000000"/>
          <w:sz w:val="20"/>
        </w:rPr>
        <w:t>DINO ANTOLINI, Plaintiff-Counter-Defendant-Appellant, v. BRAD THURMAN, 33 BRE INC., Defendants-Counter-Claimants-Appellees, HAROLD THURMAN, Defendant-Counter-Claimant.</w:t>
      </w:r>
    </w:p>
    <w:p w:rsidR="00022B47" w:rsidRDefault="00000000">
      <w:pPr>
        <w:pStyle w:val="Normal12"/>
        <w:widowControl w:val="0"/>
        <w:spacing w:before="240" w:line="260" w:lineRule="atLeast"/>
        <w:jc w:val="both"/>
      </w:pPr>
      <w:bookmarkStart w:id="2411" w:name="Notice_4"/>
      <w:bookmarkEnd w:id="2411"/>
      <w:r>
        <w:rPr>
          <w:rFonts w:ascii="Arial" w:eastAsia="Arial" w:hAnsi="Arial" w:cs="Arial"/>
          <w:b/>
          <w:color w:val="000000"/>
          <w:sz w:val="20"/>
        </w:rPr>
        <w:t>Notice:</w:t>
      </w:r>
      <w:r>
        <w:rPr>
          <w:rFonts w:ascii="Arial" w:eastAsia="Arial" w:hAnsi="Arial" w:cs="Arial"/>
          <w:color w:val="000000"/>
          <w:sz w:val="20"/>
        </w:rPr>
        <w:t> </w:t>
      </w:r>
      <w:bookmarkStart w:id="2412" w:name="Bookmark_para_1_11"/>
      <w:bookmarkEnd w:id="2412"/>
      <w:r>
        <w:rPr>
          <w:rFonts w:ascii="Arial" w:eastAsia="Arial" w:hAnsi="Arial" w:cs="Arial"/>
          <w:color w:val="000000"/>
          <w:sz w:val="20"/>
        </w:rPr>
        <w:t>PLEASE REFER TO FEDERAL RULES OF APPELLATE PROCEDURE RULE 32.1 GOVERNING THE CITATION TO UNPUBLISHED OPINIONS.</w:t>
      </w:r>
    </w:p>
    <w:p w:rsidR="00022B47" w:rsidRDefault="00000000">
      <w:pPr>
        <w:pStyle w:val="Normal12"/>
        <w:widowControl w:val="0"/>
        <w:spacing w:before="240" w:line="260" w:lineRule="atLeast"/>
        <w:jc w:val="both"/>
      </w:pPr>
      <w:bookmarkStart w:id="2413" w:name="Prior_History_11"/>
      <w:bookmarkEnd w:id="2413"/>
      <w:r>
        <w:rPr>
          <w:rFonts w:ascii="Arial" w:eastAsia="Arial" w:hAnsi="Arial" w:cs="Arial"/>
          <w:b/>
          <w:color w:val="000000"/>
          <w:sz w:val="20"/>
        </w:rPr>
        <w:t>Prior History:</w:t>
      </w:r>
      <w:r>
        <w:rPr>
          <w:rFonts w:ascii="Arial" w:eastAsia="Arial" w:hAnsi="Arial" w:cs="Arial"/>
          <w:color w:val="000000"/>
          <w:sz w:val="20"/>
        </w:rPr>
        <w:t> </w:t>
      </w:r>
      <w:bookmarkStart w:id="2414" w:name="Bookmark_para_2_11"/>
      <w:bookmarkEnd w:id="2414"/>
      <w:r>
        <w:rPr>
          <w:rFonts w:ascii="Arial" w:eastAsia="Arial" w:hAnsi="Arial" w:cs="Arial"/>
          <w:color w:val="000000"/>
          <w:sz w:val="20"/>
        </w:rPr>
        <w:t> [*1] Appeal from a judgment of the United States District Court for the Southern District of New York. (Jesse M. Furman, Judge).</w:t>
      </w:r>
    </w:p>
    <w:p w:rsidR="00022B47" w:rsidRDefault="00000000">
      <w:pPr>
        <w:pStyle w:val="Normal12"/>
        <w:widowControl w:val="0"/>
        <w:spacing w:before="120" w:line="260" w:lineRule="atLeast"/>
      </w:pPr>
      <w:r>
        <w:rPr>
          <w:rFonts w:ascii="Arial" w:eastAsia="Arial" w:hAnsi="Arial" w:cs="Arial"/>
          <w:color w:val="000000"/>
          <w:sz w:val="20"/>
        </w:rPr>
        <w:t>Antolini v. Thurman, 2021 U.S. Dist. LEXIS 135989, 2021 WL 3115169 (S.D.N.Y., July 21, 2021)</w:t>
      </w:r>
    </w:p>
    <w:p w:rsidR="00022B47" w:rsidRDefault="00000000">
      <w:pPr>
        <w:pStyle w:val="Normal12"/>
        <w:widowControl w:val="0"/>
        <w:spacing w:before="240" w:line="260" w:lineRule="atLeast"/>
      </w:pPr>
      <w:bookmarkStart w:id="2415" w:name="Counsel_11"/>
      <w:bookmarkEnd w:id="2415"/>
      <w:r>
        <w:rPr>
          <w:rFonts w:ascii="Arial" w:eastAsia="Arial" w:hAnsi="Arial" w:cs="Arial"/>
          <w:b/>
          <w:color w:val="000000"/>
          <w:sz w:val="20"/>
        </w:rPr>
        <w:t>Counsel:</w:t>
      </w:r>
      <w:r>
        <w:rPr>
          <w:rFonts w:ascii="Arial" w:eastAsia="Arial" w:hAnsi="Arial" w:cs="Arial"/>
          <w:color w:val="000000"/>
          <w:sz w:val="20"/>
        </w:rPr>
        <w:t> FOR PLAINTIFF-COUNTER-DEFENDANT-APPELLANT: Stuart H. Finkelstein, Finkelstein Law Group, Syosset, NY.</w:t>
      </w:r>
    </w:p>
    <w:p w:rsidR="00022B47" w:rsidRDefault="00000000">
      <w:pPr>
        <w:pStyle w:val="Normal12"/>
        <w:widowControl w:val="0"/>
        <w:spacing w:before="120" w:line="260" w:lineRule="atLeast"/>
      </w:pPr>
      <w:r>
        <w:rPr>
          <w:rFonts w:ascii="Arial" w:eastAsia="Arial" w:hAnsi="Arial" w:cs="Arial"/>
          <w:color w:val="000000"/>
          <w:sz w:val="20"/>
        </w:rPr>
        <w:t>FOR DEFENDANTS-COUNTER-CLAIMANTS-APPELLEES: Robert Silversmith, Silversmith &amp; Associates Law Firm, PLLC, New York, NY.</w:t>
      </w:r>
    </w:p>
    <w:p w:rsidR="00022B47" w:rsidRDefault="00000000">
      <w:pPr>
        <w:pStyle w:val="Normal12"/>
        <w:widowControl w:val="0"/>
        <w:spacing w:before="240" w:line="260" w:lineRule="atLeast"/>
      </w:pPr>
      <w:bookmarkStart w:id="2416" w:name="Judges_11"/>
      <w:bookmarkEnd w:id="2416"/>
      <w:r>
        <w:rPr>
          <w:rFonts w:ascii="Arial" w:eastAsia="Arial" w:hAnsi="Arial" w:cs="Arial"/>
          <w:b/>
          <w:color w:val="000000"/>
          <w:sz w:val="20"/>
        </w:rPr>
        <w:t>Judges:</w:t>
      </w:r>
      <w:r>
        <w:rPr>
          <w:rFonts w:ascii="Arial" w:eastAsia="Arial" w:hAnsi="Arial" w:cs="Arial"/>
          <w:color w:val="000000"/>
          <w:sz w:val="20"/>
        </w:rPr>
        <w:t> PRESENT: JOSÉ A. CABRANES, ROSEMARY S. POOLER, RAYMOND J. LOHIER, JR., Circuit Judges.</w:t>
      </w:r>
    </w:p>
    <w:p w:rsidR="00022B47" w:rsidRDefault="00000000">
      <w:pPr>
        <w:pStyle w:val="Normal12"/>
        <w:keepNext/>
        <w:widowControl w:val="0"/>
        <w:spacing w:before="240" w:line="340" w:lineRule="atLeast"/>
      </w:pPr>
      <w:bookmarkStart w:id="2417" w:name="Opinion_11"/>
      <w:bookmarkEnd w:id="2417"/>
      <w:r>
        <w:rPr>
          <w:rFonts w:ascii="Arial" w:eastAsia="Arial" w:hAnsi="Arial" w:cs="Arial"/>
          <w:b/>
          <w:color w:val="000000"/>
          <w:sz w:val="28"/>
        </w:rPr>
        <w:t>Opinion</w:t>
      </w:r>
    </w:p>
    <w:p w:rsidR="00022B47" w:rsidRDefault="0025213E">
      <w:pPr>
        <w:pStyle w:val="Normal12"/>
        <w:spacing w:line="60" w:lineRule="exact"/>
      </w:pPr>
      <w:r>
        <w:rPr>
          <w:noProof/>
        </w:rPr>
        <mc:AlternateContent>
          <mc:Choice Requires="wps">
            <w:drawing>
              <wp:anchor distT="0" distB="0" distL="114300" distR="114300" simplePos="0" relativeHeight="25168384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48244865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672761" id="Line 27"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12"/>
        <w:spacing w:line="120" w:lineRule="exact"/>
      </w:pPr>
    </w:p>
    <w:p w:rsidR="00022B47" w:rsidRDefault="00000000">
      <w:pPr>
        <w:pStyle w:val="Normal12"/>
        <w:widowControl w:val="0"/>
        <w:spacing w:before="240" w:line="260" w:lineRule="atLeast"/>
      </w:pPr>
      <w:r>
        <w:br/>
      </w:r>
      <w:r>
        <w:rPr>
          <w:rFonts w:ascii="Arial" w:eastAsia="Arial" w:hAnsi="Arial" w:cs="Arial"/>
          <w:b/>
          <w:color w:val="000000"/>
          <w:sz w:val="20"/>
        </w:rPr>
        <w:t>SUMMARY ORDER</w:t>
      </w:r>
    </w:p>
    <w:p w:rsidR="00022B47" w:rsidRDefault="00000000">
      <w:pPr>
        <w:pStyle w:val="Normal12"/>
        <w:widowControl w:val="0"/>
        <w:spacing w:before="200" w:line="260" w:lineRule="atLeast"/>
        <w:jc w:val="both"/>
      </w:pPr>
      <w:bookmarkStart w:id="2418" w:name="Bookmark_para_3_11"/>
      <w:bookmarkEnd w:id="2418"/>
      <w:r>
        <w:rPr>
          <w:rFonts w:ascii="Arial" w:eastAsia="Arial" w:hAnsi="Arial" w:cs="Arial"/>
          <w:b/>
          <w:color w:val="000000"/>
          <w:sz w:val="20"/>
        </w:rPr>
        <w:t>UPON DUE CONSIDERATION WHEREOF, IT IS HEREBY ORDERED, ADJUDGED, AND DECREED</w:t>
      </w:r>
      <w:r>
        <w:rPr>
          <w:rFonts w:ascii="Arial" w:eastAsia="Arial" w:hAnsi="Arial" w:cs="Arial"/>
          <w:color w:val="000000"/>
          <w:sz w:val="20"/>
        </w:rPr>
        <w:t xml:space="preserve"> that the judgment of the District Court be and hereby is </w:t>
      </w:r>
      <w:r>
        <w:rPr>
          <w:rFonts w:ascii="Arial" w:eastAsia="Arial" w:hAnsi="Arial" w:cs="Arial"/>
          <w:b/>
          <w:color w:val="000000"/>
          <w:sz w:val="20"/>
        </w:rPr>
        <w:t>AFFIRMED</w:t>
      </w:r>
      <w:r>
        <w:rPr>
          <w:rFonts w:ascii="Arial" w:eastAsia="Arial" w:hAnsi="Arial" w:cs="Arial"/>
          <w:color w:val="000000"/>
          <w:sz w:val="20"/>
        </w:rPr>
        <w:t>.</w:t>
      </w:r>
    </w:p>
    <w:p w:rsidR="00022B47" w:rsidRDefault="00000000">
      <w:pPr>
        <w:pStyle w:val="Normal12"/>
        <w:widowControl w:val="0"/>
        <w:spacing w:before="200" w:line="260" w:lineRule="atLeast"/>
        <w:jc w:val="both"/>
      </w:pPr>
      <w:bookmarkStart w:id="2419" w:name="Bookmark_para_4_11"/>
      <w:bookmarkEnd w:id="2419"/>
      <w:r>
        <w:rPr>
          <w:rFonts w:ascii="Arial" w:eastAsia="Arial" w:hAnsi="Arial" w:cs="Arial"/>
          <w:color w:val="000000"/>
          <w:sz w:val="20"/>
        </w:rPr>
        <w:t>Plaintiff-Appellant Dino Antolini ("Plaintiff") appeals from the July 23, 2021 judgment of the District Court granting a motion for summary judgment for Brad Thurman and 33 Bre Inc. ("Defendants") as to Plaintiff's Americans with Disabilities Act ("ADA") and New York law claims pertaining to wheelchair accessibility at 82-88 Fulton Street in Manhattan. We assume the parties' familiarity with the underlying facts, the procedural history of the case, and the issues on appeal.</w:t>
      </w:r>
    </w:p>
    <w:p w:rsidR="00022B47" w:rsidRDefault="00000000">
      <w:pPr>
        <w:pStyle w:val="Normal12"/>
        <w:widowControl w:val="0"/>
        <w:spacing w:before="200" w:line="260" w:lineRule="atLeast"/>
        <w:jc w:val="both"/>
      </w:pPr>
      <w:bookmarkStart w:id="2420" w:name="Bookmark_para_5_11"/>
      <w:bookmarkStart w:id="2421" w:name="Bookmark_LNHNREFclscc1_10"/>
      <w:bookmarkStart w:id="2422" w:name="Bookmark_I67GN34J2SF8DP0020000400"/>
      <w:bookmarkStart w:id="2423" w:name="Bookmark_I67GN34J2SF8DP0040000400"/>
      <w:bookmarkEnd w:id="2420"/>
      <w:bookmarkEnd w:id="2421"/>
      <w:bookmarkEnd w:id="2422"/>
      <w:bookmarkEnd w:id="2423"/>
      <w:r>
        <w:rPr>
          <w:rFonts w:ascii="Arial" w:eastAsia="Arial" w:hAnsi="Arial" w:cs="Arial"/>
          <w:color w:val="000000"/>
          <w:sz w:val="20"/>
        </w:rPr>
        <w:t xml:space="preserve">We review a grant of summary judgment de novo, "resolv[ing] all ambiguities and draw[ing] all inferences against the moving party." </w:t>
      </w:r>
      <w:bookmarkStart w:id="2424" w:name="Bookmark_I67GN34J2SF8DP0010000400"/>
      <w:bookmarkEnd w:id="2424"/>
      <w:r>
        <w:rPr>
          <w:rFonts w:ascii="Arial" w:eastAsia="Arial" w:hAnsi="Arial" w:cs="Arial"/>
          <w:i/>
          <w:color w:val="000000"/>
          <w:sz w:val="20"/>
        </w:rPr>
        <w:t>Garcia v. Hartford Police Dep't</w:t>
      </w:r>
      <w:r>
        <w:rPr>
          <w:rFonts w:ascii="Arial" w:eastAsia="Arial" w:hAnsi="Arial" w:cs="Arial"/>
          <w:color w:val="000000"/>
          <w:sz w:val="20"/>
        </w:rPr>
        <w:t xml:space="preserve">, 706 F.3d 120, 126-27 (2d Cir. 2013). "Summary [*2]  judgment is proper only when, construing the evidence in the light most favorable to the non-movant, 'there is no genuine dispute as to any material fact and the movant is entitled to judgment as a matter of law.'" </w:t>
      </w:r>
      <w:bookmarkStart w:id="2425" w:name="Bookmark_I67GN34J2SF8DP0030000400"/>
      <w:bookmarkEnd w:id="2425"/>
      <w:r>
        <w:rPr>
          <w:rFonts w:ascii="Arial" w:eastAsia="Arial" w:hAnsi="Arial" w:cs="Arial"/>
          <w:i/>
          <w:color w:val="000000"/>
          <w:sz w:val="20"/>
        </w:rPr>
        <w:t>Doninger v. Niehoff</w:t>
      </w:r>
      <w:r>
        <w:rPr>
          <w:rFonts w:ascii="Arial" w:eastAsia="Arial" w:hAnsi="Arial" w:cs="Arial"/>
          <w:color w:val="000000"/>
          <w:sz w:val="20"/>
        </w:rPr>
        <w:t>, 642 F.3d 334, 344 (2d Cir. 2011) (quoting Fed. R. Civ. P. 56(a)).</w:t>
      </w:r>
    </w:p>
    <w:p w:rsidR="00022B47" w:rsidRDefault="00000000">
      <w:pPr>
        <w:pStyle w:val="Normal12"/>
        <w:widowControl w:val="0"/>
        <w:spacing w:before="240" w:line="260" w:lineRule="atLeast"/>
      </w:pPr>
      <w:r>
        <w:br/>
      </w:r>
      <w:r>
        <w:rPr>
          <w:rFonts w:ascii="Arial" w:eastAsia="Arial" w:hAnsi="Arial" w:cs="Arial"/>
          <w:b/>
          <w:color w:val="000000"/>
          <w:sz w:val="20"/>
        </w:rPr>
        <w:t>I. Americans with Disabilities Act Claim</w:t>
      </w:r>
    </w:p>
    <w:p w:rsidR="00022B47" w:rsidRDefault="00000000">
      <w:pPr>
        <w:pStyle w:val="Normal12"/>
        <w:widowControl w:val="0"/>
        <w:spacing w:before="200" w:line="260" w:lineRule="atLeast"/>
        <w:jc w:val="both"/>
      </w:pPr>
      <w:bookmarkStart w:id="2426" w:name="Bookmark_para_6_11"/>
      <w:bookmarkStart w:id="2427" w:name="Bookmark_LNHNREFclscc2_10"/>
      <w:bookmarkStart w:id="2428" w:name="Bookmark_I1YND0S4GHF00006T7M00009"/>
      <w:bookmarkStart w:id="2429" w:name="Bookmark_I67GN34K28T43D0010000400"/>
      <w:bookmarkStart w:id="2430" w:name="Bookmark_I67GN34K28T43D0030000400"/>
      <w:bookmarkEnd w:id="2426"/>
      <w:bookmarkEnd w:id="2427"/>
      <w:bookmarkEnd w:id="2428"/>
      <w:bookmarkEnd w:id="2429"/>
      <w:bookmarkEnd w:id="2430"/>
      <w:r>
        <w:rPr>
          <w:rFonts w:ascii="Arial" w:eastAsia="Arial" w:hAnsi="Arial" w:cs="Arial"/>
          <w:color w:val="000000"/>
          <w:sz w:val="20"/>
        </w:rPr>
        <w:t xml:space="preserve">ADA Title III "prohibits discrimination against individuals 'on the basis of disability in the full and equal enjoyment of the goods, services, facilities, privileges, advantages, or accommodations of any place of public accommodation . . . .'" </w:t>
      </w:r>
      <w:bookmarkStart w:id="2431" w:name="Bookmark_I67GN34J2SF8DP0050000400"/>
      <w:bookmarkEnd w:id="2431"/>
      <w:r>
        <w:rPr>
          <w:rFonts w:ascii="Arial" w:eastAsia="Arial" w:hAnsi="Arial" w:cs="Arial"/>
          <w:i/>
          <w:color w:val="000000"/>
          <w:sz w:val="20"/>
        </w:rPr>
        <w:t>Roberts v. Royal Atl. Corp.</w:t>
      </w:r>
      <w:r>
        <w:rPr>
          <w:rFonts w:ascii="Arial" w:eastAsia="Arial" w:hAnsi="Arial" w:cs="Arial"/>
          <w:color w:val="000000"/>
          <w:sz w:val="20"/>
        </w:rPr>
        <w:t xml:space="preserve">, 542 F.3d 363, 368 (2d Cir. 2008) (quoting 42 U.S.C. § 12182(a)). We have held that a plaintiff's Title III claim must establish that "(1) he or she is disabled within the meaning of the ADA; (2) that the defendants own, lease, or operate a place of public accommodation; and (3) that the defendants discriminated against the plaintiff within the meaning of the ADA." </w:t>
      </w:r>
      <w:r>
        <w:rPr>
          <w:rFonts w:ascii="Arial" w:eastAsia="Arial" w:hAnsi="Arial" w:cs="Arial"/>
          <w:i/>
          <w:color w:val="000000"/>
          <w:sz w:val="20"/>
        </w:rPr>
        <w:t>Id.</w:t>
      </w:r>
      <w:r>
        <w:rPr>
          <w:rFonts w:ascii="Arial" w:eastAsia="Arial" w:hAnsi="Arial" w:cs="Arial"/>
          <w:color w:val="000000"/>
          <w:sz w:val="20"/>
        </w:rPr>
        <w:t xml:space="preserve"> Under the third requirement, a defendant can discriminate against a plaintiff in two ways: (1) by altering its facility "in a manner that affects or could affect [its] usability" and failing to ensure that the affected area is "readily accessible to and usable by individuals with disabilities . . . to the maximum extent feasible," </w:t>
      </w:r>
      <w:bookmarkStart w:id="2432" w:name="Bookmark_I67GN34K28T43D0020000400"/>
      <w:bookmarkEnd w:id="2432"/>
      <w:r>
        <w:rPr>
          <w:rFonts w:ascii="Arial" w:eastAsia="Arial" w:hAnsi="Arial" w:cs="Arial"/>
          <w:i/>
          <w:color w:val="000000"/>
          <w:sz w:val="20"/>
        </w:rPr>
        <w:t>id.</w:t>
      </w:r>
      <w:r>
        <w:rPr>
          <w:rFonts w:ascii="Arial" w:eastAsia="Arial" w:hAnsi="Arial" w:cs="Arial"/>
          <w:color w:val="000000"/>
          <w:sz w:val="20"/>
        </w:rPr>
        <w:t xml:space="preserve"> at 368 (emphasis omitted) (quoting 42 U.S.C. § 12183(a)(2)); and (2) in the absence of ADA alterations, [*3]  by failing to remove architectural barriers "where such removal is readily achievable," </w:t>
      </w:r>
      <w:bookmarkStart w:id="2433" w:name="Bookmark_I67GN34K28T43D0040000400"/>
      <w:bookmarkEnd w:id="2433"/>
      <w:r>
        <w:rPr>
          <w:rFonts w:ascii="Arial" w:eastAsia="Arial" w:hAnsi="Arial" w:cs="Arial"/>
          <w:i/>
          <w:color w:val="000000"/>
          <w:sz w:val="20"/>
        </w:rPr>
        <w:t>id.</w:t>
      </w:r>
      <w:r>
        <w:rPr>
          <w:rFonts w:ascii="Arial" w:eastAsia="Arial" w:hAnsi="Arial" w:cs="Arial"/>
          <w:color w:val="000000"/>
          <w:sz w:val="20"/>
        </w:rPr>
        <w:t xml:space="preserve"> at 371-72 (quoting 42 U.S.C. § 12182(b)(2)(A)(iv)). Here, the parties do not dispute that the first two requirements are met but contest whether wheelchair inaccessibility at 82-88 Fulton Street constitutes discrimination.</w:t>
      </w:r>
    </w:p>
    <w:p w:rsidR="00022B47" w:rsidRDefault="00000000">
      <w:pPr>
        <w:pStyle w:val="Normal12"/>
        <w:widowControl w:val="0"/>
        <w:spacing w:before="240" w:line="260" w:lineRule="atLeast"/>
      </w:pPr>
      <w:r>
        <w:br/>
      </w:r>
      <w:r>
        <w:rPr>
          <w:rFonts w:ascii="Arial" w:eastAsia="Arial" w:hAnsi="Arial" w:cs="Arial"/>
          <w:b/>
          <w:color w:val="000000"/>
          <w:sz w:val="20"/>
        </w:rPr>
        <w:t>II. Alterations Affecting Usability</w:t>
      </w:r>
    </w:p>
    <w:p w:rsidR="00022B47" w:rsidRDefault="00000000">
      <w:pPr>
        <w:pStyle w:val="Normal12"/>
        <w:widowControl w:val="0"/>
        <w:spacing w:before="200" w:line="260" w:lineRule="atLeast"/>
        <w:jc w:val="both"/>
      </w:pPr>
      <w:bookmarkStart w:id="2434" w:name="Bookmark_para_7_11"/>
      <w:bookmarkEnd w:id="2434"/>
      <w:r>
        <w:rPr>
          <w:rFonts w:ascii="Arial" w:eastAsia="Arial" w:hAnsi="Arial" w:cs="Arial"/>
          <w:color w:val="000000"/>
          <w:sz w:val="20"/>
        </w:rPr>
        <w:t>Antolini argues that both external and internal work at 82-88 Fulton Street qualified as alterations under the ADA. We are not persuaded.</w:t>
      </w:r>
    </w:p>
    <w:p w:rsidR="00022B47" w:rsidRDefault="00000000">
      <w:pPr>
        <w:pStyle w:val="Normal12"/>
        <w:widowControl w:val="0"/>
        <w:spacing w:before="200" w:line="260" w:lineRule="atLeast"/>
        <w:jc w:val="both"/>
      </w:pPr>
      <w:bookmarkStart w:id="2435" w:name="Bookmark_para_8_11"/>
      <w:bookmarkStart w:id="2436" w:name="Bookmark_I67GN34M2N1RR00020000400"/>
      <w:bookmarkStart w:id="2437" w:name="Bookmark_I67GN34M2SF8F80010000400"/>
      <w:bookmarkEnd w:id="2435"/>
      <w:bookmarkEnd w:id="2436"/>
      <w:bookmarkEnd w:id="2437"/>
      <w:r>
        <w:rPr>
          <w:rFonts w:ascii="Arial" w:eastAsia="Arial" w:hAnsi="Arial" w:cs="Arial"/>
          <w:color w:val="000000"/>
          <w:sz w:val="20"/>
        </w:rPr>
        <w:t xml:space="preserve">In </w:t>
      </w:r>
      <w:bookmarkStart w:id="2438" w:name="Bookmark_I67GN34M2N1RR00010000400"/>
      <w:bookmarkEnd w:id="2438"/>
      <w:r>
        <w:rPr>
          <w:rFonts w:ascii="Arial" w:eastAsia="Arial" w:hAnsi="Arial" w:cs="Arial"/>
          <w:i/>
          <w:color w:val="000000"/>
          <w:sz w:val="20"/>
        </w:rPr>
        <w:t>Roberts</w:t>
      </w:r>
      <w:r>
        <w:rPr>
          <w:rFonts w:ascii="Arial" w:eastAsia="Arial" w:hAnsi="Arial" w:cs="Arial"/>
          <w:color w:val="000000"/>
          <w:sz w:val="20"/>
        </w:rPr>
        <w:t xml:space="preserve">, on appeal after a bench trial, </w:t>
      </w:r>
      <w:bookmarkStart w:id="2439" w:name="Bookmark_LNHNREFclscc3_10"/>
      <w:bookmarkEnd w:id="2439"/>
      <w:r>
        <w:rPr>
          <w:rFonts w:ascii="Arial" w:eastAsia="Arial" w:hAnsi="Arial" w:cs="Arial"/>
          <w:color w:val="000000"/>
          <w:sz w:val="20"/>
        </w:rPr>
        <w:t xml:space="preserve">we held that a burden-shifting framework governs whether an alteration has taken place for purposes of the ADA. </w:t>
      </w:r>
      <w:bookmarkStart w:id="2440" w:name="Bookmark_I67GN34M2N1RR00030000400"/>
      <w:bookmarkEnd w:id="2440"/>
      <w:r>
        <w:rPr>
          <w:rFonts w:ascii="Arial" w:eastAsia="Arial" w:hAnsi="Arial" w:cs="Arial"/>
          <w:i/>
          <w:color w:val="000000"/>
          <w:sz w:val="20"/>
        </w:rPr>
        <w:t>Id.</w:t>
      </w:r>
      <w:r>
        <w:rPr>
          <w:rFonts w:ascii="Arial" w:eastAsia="Arial" w:hAnsi="Arial" w:cs="Arial"/>
          <w:color w:val="000000"/>
          <w:sz w:val="20"/>
        </w:rPr>
        <w:t xml:space="preserve"> at 371. First, "a plaintiff fulfills his or her initial burden of production by identifying a modification to a facility and by making a facially plausible demonstration that the modification is an alteration under the ADA." </w:t>
      </w:r>
      <w:r>
        <w:rPr>
          <w:rFonts w:ascii="Arial" w:eastAsia="Arial" w:hAnsi="Arial" w:cs="Arial"/>
          <w:i/>
          <w:color w:val="000000"/>
          <w:sz w:val="20"/>
        </w:rPr>
        <w:t>Id.</w:t>
      </w:r>
      <w:r>
        <w:rPr>
          <w:rFonts w:ascii="Arial" w:eastAsia="Arial" w:hAnsi="Arial" w:cs="Arial"/>
          <w:color w:val="000000"/>
          <w:sz w:val="20"/>
        </w:rPr>
        <w:t xml:space="preserve"> Second, if the plaintiff has met the initial burden, "[t]he defendant then bears the burden of persuasion to establish that the modification is in fact not an alteration." </w:t>
      </w:r>
      <w:r>
        <w:rPr>
          <w:rFonts w:ascii="Arial" w:eastAsia="Arial" w:hAnsi="Arial" w:cs="Arial"/>
          <w:i/>
          <w:color w:val="000000"/>
          <w:sz w:val="20"/>
        </w:rPr>
        <w:t>Id.</w:t>
      </w:r>
      <w:r>
        <w:rPr>
          <w:rFonts w:ascii="Arial" w:eastAsia="Arial" w:hAnsi="Arial" w:cs="Arial"/>
          <w:color w:val="000000"/>
          <w:sz w:val="20"/>
        </w:rPr>
        <w:t xml:space="preserve"> Considerations include, but are not limited to, (1) the overall cost of the modification, (2) the scope of the modification, (3) "the reason for the modification (including whether the goal is maintenance or improvement, [*4]  and whether it is to change the purpose of function of the facility)," and (4) "[w]hether the modification affects only the facility's surfaces or also structural attachments and fixtures that are part of the realty." </w:t>
      </w:r>
      <w:bookmarkStart w:id="2441" w:name="Bookmark_I67GN34M2N1RR00050000400"/>
      <w:bookmarkEnd w:id="2441"/>
      <w:r>
        <w:rPr>
          <w:rFonts w:ascii="Arial" w:eastAsia="Arial" w:hAnsi="Arial" w:cs="Arial"/>
          <w:i/>
          <w:color w:val="000000"/>
          <w:sz w:val="20"/>
        </w:rPr>
        <w:t>Id.</w:t>
      </w:r>
      <w:r>
        <w:rPr>
          <w:rFonts w:ascii="Arial" w:eastAsia="Arial" w:hAnsi="Arial" w:cs="Arial"/>
          <w:color w:val="000000"/>
          <w:sz w:val="20"/>
        </w:rPr>
        <w:t xml:space="preserve"> at 370.</w:t>
      </w:r>
    </w:p>
    <w:p w:rsidR="00022B47" w:rsidRDefault="00000000">
      <w:pPr>
        <w:pStyle w:val="Normal12"/>
        <w:widowControl w:val="0"/>
        <w:spacing w:before="200" w:line="260" w:lineRule="atLeast"/>
        <w:jc w:val="both"/>
      </w:pPr>
      <w:bookmarkStart w:id="2442" w:name="Bookmark_para_9_11"/>
      <w:bookmarkStart w:id="2443" w:name="Bookmark_LNHNREFclscc4_10"/>
      <w:bookmarkStart w:id="2444" w:name="Bookmark_I67GN34M2SF8F80030000400"/>
      <w:bookmarkStart w:id="2445" w:name="Bookmark_I67GN34M2D6N800020000400"/>
      <w:bookmarkStart w:id="2446" w:name="Bookmark_I67GN34M2D6N800040000400"/>
      <w:bookmarkEnd w:id="2442"/>
      <w:bookmarkEnd w:id="2443"/>
      <w:bookmarkEnd w:id="2444"/>
      <w:bookmarkEnd w:id="2445"/>
      <w:bookmarkEnd w:id="2446"/>
      <w:r>
        <w:rPr>
          <w:rFonts w:ascii="Arial" w:eastAsia="Arial" w:hAnsi="Arial" w:cs="Arial"/>
          <w:color w:val="000000"/>
          <w:sz w:val="20"/>
        </w:rPr>
        <w:t xml:space="preserve">In the context of a defendant's motion for summary judgment, a movant can prevail in showing no alteration in one of two ways. In the motion papers, the movant can either "point to an absence of evidence" to show that the plaintiff could not fulfill the "initial burden of production" at trial to "identify[] a modification to a facility and [to] mak[e] a facially plausible demonstration that the modification is an alteration under the ADA." </w:t>
      </w:r>
      <w:bookmarkStart w:id="2447" w:name="Bookmark_I67GN34M2SF8F80020000400"/>
      <w:bookmarkEnd w:id="2447"/>
      <w:r>
        <w:rPr>
          <w:rFonts w:ascii="Arial" w:eastAsia="Arial" w:hAnsi="Arial" w:cs="Arial"/>
          <w:i/>
          <w:color w:val="000000"/>
          <w:sz w:val="20"/>
        </w:rPr>
        <w:t>Goenaga v. Mar. of Dimes Birth Defects Found.</w:t>
      </w:r>
      <w:r>
        <w:rPr>
          <w:rFonts w:ascii="Arial" w:eastAsia="Arial" w:hAnsi="Arial" w:cs="Arial"/>
          <w:color w:val="000000"/>
          <w:sz w:val="20"/>
        </w:rPr>
        <w:t xml:space="preserve">, 51 F.3d 14, 18 (2d Cir. 1995); </w:t>
      </w:r>
      <w:bookmarkStart w:id="2448" w:name="Bookmark_I67GN34M2SF8F80040000400"/>
      <w:bookmarkEnd w:id="2448"/>
      <w:r>
        <w:rPr>
          <w:rFonts w:ascii="Arial" w:eastAsia="Arial" w:hAnsi="Arial" w:cs="Arial"/>
          <w:i/>
          <w:color w:val="000000"/>
          <w:sz w:val="20"/>
        </w:rPr>
        <w:t>Roberts</w:t>
      </w:r>
      <w:r>
        <w:rPr>
          <w:rFonts w:ascii="Arial" w:eastAsia="Arial" w:hAnsi="Arial" w:cs="Arial"/>
          <w:color w:val="000000"/>
          <w:sz w:val="20"/>
        </w:rPr>
        <w:t xml:space="preserve">, 542 F.3d at 371. Or the movant can show that "there is no genuine dispute as to any material fact," Fed. R. Civ. P. 56(a), as to whether the movant would meet, at trial, the "burden of persuasion to establish that the modification is in fact not an alteration," </w:t>
      </w:r>
      <w:bookmarkStart w:id="2449" w:name="Bookmark_I67GN34M2D6N800010000400"/>
      <w:bookmarkEnd w:id="2449"/>
      <w:r>
        <w:rPr>
          <w:rFonts w:ascii="Arial" w:eastAsia="Arial" w:hAnsi="Arial" w:cs="Arial"/>
          <w:i/>
          <w:color w:val="000000"/>
          <w:sz w:val="20"/>
        </w:rPr>
        <w:t>Roberts</w:t>
      </w:r>
      <w:r>
        <w:rPr>
          <w:rFonts w:ascii="Arial" w:eastAsia="Arial" w:hAnsi="Arial" w:cs="Arial"/>
          <w:color w:val="000000"/>
          <w:sz w:val="20"/>
        </w:rPr>
        <w:t xml:space="preserve">, 542 F.3d at 371. If the movant makes either of these two showings, then "the nonmoving party must 'come forward with evidence that would be sufficient to support a jury verdict in its favor.'" </w:t>
      </w:r>
      <w:bookmarkStart w:id="2450" w:name="Bookmark_I67GN34M2D6N800030000400"/>
      <w:bookmarkEnd w:id="2450"/>
      <w:r>
        <w:rPr>
          <w:rFonts w:ascii="Arial" w:eastAsia="Arial" w:hAnsi="Arial" w:cs="Arial"/>
          <w:i/>
          <w:color w:val="000000"/>
          <w:sz w:val="20"/>
        </w:rPr>
        <w:t>McKinney v. City of Middletown</w:t>
      </w:r>
      <w:r>
        <w:rPr>
          <w:rFonts w:ascii="Arial" w:eastAsia="Arial" w:hAnsi="Arial" w:cs="Arial"/>
          <w:color w:val="000000"/>
          <w:sz w:val="20"/>
        </w:rPr>
        <w:t xml:space="preserve">, 49 F.4th 730, 738 (2d Cir. 2022) (quoting </w:t>
      </w:r>
      <w:bookmarkStart w:id="2451" w:name="Bookmark_I67GN34M2D6N800050000400"/>
      <w:bookmarkEnd w:id="2451"/>
      <w:r>
        <w:rPr>
          <w:rFonts w:ascii="Arial" w:eastAsia="Arial" w:hAnsi="Arial" w:cs="Arial"/>
          <w:i/>
          <w:color w:val="000000"/>
          <w:sz w:val="20"/>
        </w:rPr>
        <w:t>Burt Rigid Box, Inc. v. Travelers Prop. Cas. Corp.</w:t>
      </w:r>
      <w:r>
        <w:rPr>
          <w:rFonts w:ascii="Arial" w:eastAsia="Arial" w:hAnsi="Arial" w:cs="Arial"/>
          <w:color w:val="000000"/>
          <w:sz w:val="20"/>
        </w:rPr>
        <w:t>, 302 F.3d 83, 91 (2d Cir. 2002)).</w:t>
      </w:r>
    </w:p>
    <w:p w:rsidR="00022B47" w:rsidRDefault="00000000">
      <w:pPr>
        <w:pStyle w:val="Normal12"/>
        <w:widowControl w:val="0"/>
        <w:spacing w:before="200" w:line="260" w:lineRule="atLeast"/>
        <w:jc w:val="both"/>
      </w:pPr>
      <w:bookmarkStart w:id="2452" w:name="Bookmark_para_10_11"/>
      <w:bookmarkStart w:id="2453" w:name="Bookmark_I67GN34M2D6N820030000400"/>
      <w:bookmarkEnd w:id="2452"/>
      <w:bookmarkEnd w:id="2453"/>
      <w:r>
        <w:rPr>
          <w:rFonts w:ascii="Arial" w:eastAsia="Arial" w:hAnsi="Arial" w:cs="Arial"/>
          <w:color w:val="000000"/>
          <w:sz w:val="20"/>
        </w:rPr>
        <w:t>Upon our de novo review of the record, we agree with the District Court that there was no evidence that any post-ADA enactment [*5]  exterior work at 82-88 Fulton Street qualified as an "alteration" under the ADA.</w:t>
      </w:r>
      <w:r>
        <w:rPr>
          <w:rFonts w:ascii="Arial" w:eastAsia="Arial" w:hAnsi="Arial" w:cs="Arial"/>
          <w:vertAlign w:val="superscript"/>
        </w:rPr>
        <w:footnoteReference w:customMarkFollows="1" w:id="45"/>
        <w:t>1</w:t>
      </w:r>
      <w:r>
        <w:rPr>
          <w:rFonts w:ascii="Arial" w:eastAsia="Arial" w:hAnsi="Arial" w:cs="Arial"/>
          <w:color w:val="000000"/>
          <w:sz w:val="20"/>
        </w:rPr>
        <w:t xml:space="preserve"> Special App'x 48, 48 n.2 (regarding the exterior of 82-88 Fulton, "Antolini does not point to any modifications that could qualify as 'alterations' for purposes of 42 U.S.C. § 12183"). And we need not address whether any internal modifications were alterations, because, even under the more rigorous standard that applies where defendants have altered their facilities, we conclude that Plaintiff failed to show that he could meet his trial burden of "identifying some manner in which the alteration could be, or could have been, made 'readily accessible [to] and usable by individuals with disabilities.'" </w:t>
      </w:r>
      <w:bookmarkStart w:id="2455" w:name="Bookmark_I67GN34M2D6N820020000400"/>
      <w:bookmarkEnd w:id="2455"/>
      <w:r>
        <w:rPr>
          <w:rFonts w:ascii="Arial" w:eastAsia="Arial" w:hAnsi="Arial" w:cs="Arial"/>
          <w:i/>
          <w:color w:val="000000"/>
          <w:sz w:val="20"/>
        </w:rPr>
        <w:t>Roberts</w:t>
      </w:r>
      <w:r>
        <w:rPr>
          <w:rFonts w:ascii="Arial" w:eastAsia="Arial" w:hAnsi="Arial" w:cs="Arial"/>
          <w:color w:val="000000"/>
          <w:sz w:val="20"/>
        </w:rPr>
        <w:t>, 542 F.3d at 372 (quoting 42 U.S.C. § 12183(a)(2)).</w:t>
      </w:r>
    </w:p>
    <w:p w:rsidR="00022B47" w:rsidRDefault="00000000">
      <w:pPr>
        <w:pStyle w:val="Normal12"/>
        <w:widowControl w:val="0"/>
        <w:spacing w:before="240" w:line="260" w:lineRule="atLeast"/>
      </w:pPr>
      <w:r>
        <w:br/>
      </w:r>
      <w:r>
        <w:rPr>
          <w:rFonts w:ascii="Arial" w:eastAsia="Arial" w:hAnsi="Arial" w:cs="Arial"/>
          <w:b/>
          <w:color w:val="000000"/>
          <w:sz w:val="20"/>
        </w:rPr>
        <w:t>III. Readily Achievable Removals</w:t>
      </w:r>
    </w:p>
    <w:p w:rsidR="00022B47" w:rsidRDefault="00000000">
      <w:pPr>
        <w:pStyle w:val="Normal12"/>
        <w:widowControl w:val="0"/>
        <w:spacing w:before="200" w:line="260" w:lineRule="atLeast"/>
        <w:jc w:val="both"/>
      </w:pPr>
      <w:bookmarkStart w:id="2456" w:name="Bookmark_para_11_11"/>
      <w:bookmarkStart w:id="2457" w:name="Bookmark_LNHNREFclscc5_10"/>
      <w:bookmarkStart w:id="2458" w:name="Bookmark_I67GN34M2D6N820050000400"/>
      <w:bookmarkStart w:id="2459" w:name="Bookmark_I67GN34N2HM67X0020000400"/>
      <w:bookmarkEnd w:id="2456"/>
      <w:bookmarkEnd w:id="2457"/>
      <w:bookmarkEnd w:id="2458"/>
      <w:bookmarkEnd w:id="2459"/>
      <w:r>
        <w:rPr>
          <w:rFonts w:ascii="Arial" w:eastAsia="Arial" w:hAnsi="Arial" w:cs="Arial"/>
          <w:color w:val="000000"/>
          <w:sz w:val="20"/>
        </w:rPr>
        <w:t xml:space="preserve">In the absence of alterations, "'discrimination' includes 'a failure to remove architectural barriers . . . where such removal is readily achievable.'" </w:t>
      </w:r>
      <w:bookmarkStart w:id="2460" w:name="Bookmark_I67GN34M2D6N820040000400"/>
      <w:bookmarkEnd w:id="2460"/>
      <w:r>
        <w:rPr>
          <w:rFonts w:ascii="Arial" w:eastAsia="Arial" w:hAnsi="Arial" w:cs="Arial"/>
          <w:i/>
          <w:color w:val="000000"/>
          <w:sz w:val="20"/>
        </w:rPr>
        <w:t>Roberts</w:t>
      </w:r>
      <w:r>
        <w:rPr>
          <w:rFonts w:ascii="Arial" w:eastAsia="Arial" w:hAnsi="Arial" w:cs="Arial"/>
          <w:color w:val="000000"/>
          <w:sz w:val="20"/>
        </w:rPr>
        <w:t xml:space="preserve">, 542 F.3d at 368-69 (quoting 42 U.S.C. § 12182(b)(2)(A)(iv)). </w:t>
      </w:r>
      <w:bookmarkStart w:id="2461" w:name="Bookmark_I67GN34N2HM67X0040000400"/>
      <w:bookmarkEnd w:id="2461"/>
      <w:r>
        <w:rPr>
          <w:rFonts w:ascii="Arial" w:eastAsia="Arial" w:hAnsi="Arial" w:cs="Arial"/>
          <w:color w:val="000000"/>
          <w:sz w:val="20"/>
        </w:rPr>
        <w:t xml:space="preserve">As the District Court correctly noted, in order to demonstrate that the removal of a barrier is "readily achievable," Plaintiff needed to "articulate a plausible proposal for barrier removal, the costs of which, facially, do not clearly exceed its benefits." Special App'x 48 (quoting </w:t>
      </w:r>
      <w:bookmarkStart w:id="2462" w:name="Bookmark_I67GN34N2HM67X0010000400"/>
      <w:bookmarkEnd w:id="2462"/>
      <w:r>
        <w:rPr>
          <w:rFonts w:ascii="Arial" w:eastAsia="Arial" w:hAnsi="Arial" w:cs="Arial"/>
          <w:i/>
          <w:color w:val="000000"/>
          <w:sz w:val="20"/>
        </w:rPr>
        <w:t>Roberts</w:t>
      </w:r>
      <w:r>
        <w:rPr>
          <w:rFonts w:ascii="Arial" w:eastAsia="Arial" w:hAnsi="Arial" w:cs="Arial"/>
          <w:color w:val="000000"/>
          <w:sz w:val="20"/>
        </w:rPr>
        <w:t xml:space="preserve">, 542 F.3d at 373). The District Court concluded [*6]  that Plaintiff could not meet his burden at trial for showing such a proposal. </w:t>
      </w:r>
      <w:bookmarkStart w:id="2463" w:name="Bookmark_I67GN34N2HM67X0040000400_2"/>
      <w:bookmarkStart w:id="2464" w:name="Bookmark_I67GN34N2HM67X0030000400"/>
      <w:bookmarkEnd w:id="2463"/>
      <w:bookmarkEnd w:id="2464"/>
      <w:r>
        <w:rPr>
          <w:rFonts w:ascii="Arial" w:eastAsia="Arial" w:hAnsi="Arial" w:cs="Arial"/>
          <w:i/>
          <w:color w:val="000000"/>
          <w:sz w:val="20"/>
        </w:rPr>
        <w:t>Id.</w:t>
      </w:r>
      <w:r>
        <w:rPr>
          <w:rFonts w:ascii="Arial" w:eastAsia="Arial" w:hAnsi="Arial" w:cs="Arial"/>
          <w:color w:val="000000"/>
          <w:sz w:val="20"/>
        </w:rPr>
        <w:t xml:space="preserve"> at 50-51. On appeal, Plaintiff argues that the District Court employed a heightened standard that should have been reserved for the trial and did not properly consider the entirety of the record. Pl. Br. 31. We disagree that the District Court applied a heightened standard and observe that the District Court evaluated the full record. </w:t>
      </w:r>
      <w:r>
        <w:rPr>
          <w:rFonts w:ascii="Arial" w:eastAsia="Arial" w:hAnsi="Arial" w:cs="Arial"/>
          <w:i/>
          <w:color w:val="000000"/>
          <w:sz w:val="20"/>
        </w:rPr>
        <w:t>See, e.g.</w:t>
      </w:r>
      <w:r>
        <w:rPr>
          <w:rFonts w:ascii="Arial" w:eastAsia="Arial" w:hAnsi="Arial" w:cs="Arial"/>
          <w:color w:val="000000"/>
          <w:sz w:val="20"/>
        </w:rPr>
        <w:t>, Special App'x 49 n.3. Upon our de novo review of the record, we conclude that Plaintiff could not meet his burden to demonstrate a "readily achievable" removal at trial and that summary judgment was warranted.</w:t>
      </w:r>
    </w:p>
    <w:p w:rsidR="00022B47" w:rsidRDefault="00000000">
      <w:pPr>
        <w:pStyle w:val="Normal12"/>
        <w:widowControl w:val="0"/>
        <w:spacing w:before="240" w:line="260" w:lineRule="atLeast"/>
      </w:pPr>
      <w:r>
        <w:br/>
      </w:r>
      <w:r>
        <w:rPr>
          <w:rFonts w:ascii="Arial" w:eastAsia="Arial" w:hAnsi="Arial" w:cs="Arial"/>
          <w:b/>
          <w:color w:val="000000"/>
          <w:sz w:val="20"/>
        </w:rPr>
        <w:t>IV. Conclusion</w:t>
      </w:r>
    </w:p>
    <w:p w:rsidR="00022B47" w:rsidRDefault="00000000">
      <w:pPr>
        <w:pStyle w:val="Normal12"/>
        <w:widowControl w:val="0"/>
        <w:spacing w:before="200" w:line="260" w:lineRule="atLeast"/>
        <w:jc w:val="both"/>
      </w:pPr>
      <w:bookmarkStart w:id="2465" w:name="Bookmark_para_12_11"/>
      <w:bookmarkStart w:id="2466" w:name="Bookmark_I67GN34N2D6N840010000400"/>
      <w:bookmarkEnd w:id="2465"/>
      <w:bookmarkEnd w:id="2466"/>
      <w:r>
        <w:rPr>
          <w:rFonts w:ascii="Arial" w:eastAsia="Arial" w:hAnsi="Arial" w:cs="Arial"/>
          <w:color w:val="000000"/>
          <w:sz w:val="20"/>
        </w:rPr>
        <w:t>To summarize, we conclude the following:</w:t>
      </w:r>
    </w:p>
    <w:p w:rsidR="00022B47" w:rsidRDefault="00000000">
      <w:pPr>
        <w:pStyle w:val="Normal12"/>
        <w:widowControl w:val="0"/>
        <w:spacing w:line="260" w:lineRule="atLeast"/>
        <w:ind w:left="400"/>
        <w:jc w:val="both"/>
      </w:pPr>
      <w:bookmarkStart w:id="2467" w:name="Bookmark_para_13_11"/>
      <w:bookmarkStart w:id="2468" w:name="Bookmark_I67GN34N2D6N840010000400_2"/>
      <w:bookmarkStart w:id="2469" w:name="Bookmark_I67GN34N2D6N840030000400"/>
      <w:bookmarkEnd w:id="2467"/>
      <w:bookmarkEnd w:id="2468"/>
      <w:bookmarkEnd w:id="2469"/>
      <w:r>
        <w:rPr>
          <w:rFonts w:ascii="Arial" w:eastAsia="Arial" w:hAnsi="Arial" w:cs="Arial"/>
          <w:color w:val="000000"/>
          <w:sz w:val="20"/>
        </w:rPr>
        <w:t>(1) Plaintiff could not demonstrate that exterior modifications at 82-88 Fulton Street were "alterations" under 42 U.S.C. § 12183(a)(2).</w:t>
      </w:r>
    </w:p>
    <w:p w:rsidR="00022B47" w:rsidRDefault="00000000">
      <w:pPr>
        <w:pStyle w:val="Normal12"/>
        <w:widowControl w:val="0"/>
        <w:spacing w:before="200" w:line="260" w:lineRule="atLeast"/>
        <w:ind w:left="400"/>
        <w:jc w:val="both"/>
      </w:pPr>
      <w:bookmarkStart w:id="2470" w:name="Bookmark_para_14_11"/>
      <w:bookmarkStart w:id="2471" w:name="Bookmark_I67GN34N2D6N840030000400_2"/>
      <w:bookmarkStart w:id="2472" w:name="Bookmark_I67GN34N2D6N840010000400_3"/>
      <w:bookmarkEnd w:id="2470"/>
      <w:bookmarkEnd w:id="2471"/>
      <w:bookmarkEnd w:id="2472"/>
      <w:r>
        <w:rPr>
          <w:rFonts w:ascii="Arial" w:eastAsia="Arial" w:hAnsi="Arial" w:cs="Arial"/>
          <w:color w:val="000000"/>
          <w:sz w:val="20"/>
        </w:rPr>
        <w:t xml:space="preserve">(2) The record demonstrates that Plaintiff would be unable, at trial, to "articulate a plausible proposal for barrier removal, the costs of which facially do not clearly exceed its benefits." </w:t>
      </w:r>
      <w:bookmarkStart w:id="2473" w:name="Bookmark_I67GN34N2HM67X0050000400"/>
      <w:bookmarkEnd w:id="2473"/>
      <w:r>
        <w:rPr>
          <w:rFonts w:ascii="Arial" w:eastAsia="Arial" w:hAnsi="Arial" w:cs="Arial"/>
          <w:i/>
          <w:color w:val="000000"/>
          <w:sz w:val="20"/>
        </w:rPr>
        <w:t>Roberts</w:t>
      </w:r>
      <w:r>
        <w:rPr>
          <w:rFonts w:ascii="Arial" w:eastAsia="Arial" w:hAnsi="Arial" w:cs="Arial"/>
          <w:color w:val="000000"/>
          <w:sz w:val="20"/>
        </w:rPr>
        <w:t>, 542 F.3d at 373.</w:t>
      </w:r>
    </w:p>
    <w:p w:rsidR="00022B47" w:rsidRDefault="00000000">
      <w:pPr>
        <w:pStyle w:val="Normal12"/>
        <w:widowControl w:val="0"/>
        <w:spacing w:before="200" w:line="260" w:lineRule="atLeast"/>
        <w:ind w:left="400"/>
        <w:jc w:val="both"/>
      </w:pPr>
      <w:bookmarkStart w:id="2474" w:name="Bookmark_para_15_11"/>
      <w:bookmarkStart w:id="2475" w:name="Bookmark_I67GN34N2D6N840030000400_3"/>
      <w:bookmarkEnd w:id="2474"/>
      <w:bookmarkEnd w:id="2475"/>
      <w:r>
        <w:rPr>
          <w:rFonts w:ascii="Arial" w:eastAsia="Arial" w:hAnsi="Arial" w:cs="Arial"/>
          <w:color w:val="000000"/>
          <w:sz w:val="20"/>
        </w:rPr>
        <w:t xml:space="preserve">(3) Even assuming that the more rigorous post-alteration standard would apply to the interior of 82-88 Fulton Street, the record demonstrates that Plaintiff could not show, at trial, "some manner in which the alteration [*7]  could be, or could have been, made 'readily accessible [to] and usable by individuals with disabilities.'" </w:t>
      </w:r>
      <w:bookmarkStart w:id="2476" w:name="Bookmark_I67GN34N2D6N840020000400"/>
      <w:bookmarkEnd w:id="2476"/>
      <w:r>
        <w:rPr>
          <w:rFonts w:ascii="Arial" w:eastAsia="Arial" w:hAnsi="Arial" w:cs="Arial"/>
          <w:i/>
          <w:color w:val="000000"/>
          <w:sz w:val="20"/>
        </w:rPr>
        <w:t>Roberts</w:t>
      </w:r>
      <w:r>
        <w:rPr>
          <w:rFonts w:ascii="Arial" w:eastAsia="Arial" w:hAnsi="Arial" w:cs="Arial"/>
          <w:color w:val="000000"/>
          <w:sz w:val="20"/>
        </w:rPr>
        <w:t>, 542 F.3d at 372 (quoting 42 U.S.C. § 12183(a)(2)).</w:t>
      </w:r>
    </w:p>
    <w:p w:rsidR="00022B47" w:rsidRDefault="00000000">
      <w:pPr>
        <w:pStyle w:val="Normal12"/>
        <w:widowControl w:val="0"/>
        <w:spacing w:before="200" w:line="260" w:lineRule="atLeast"/>
        <w:jc w:val="both"/>
      </w:pPr>
      <w:bookmarkStart w:id="2477" w:name="Bookmark_para_16_11"/>
      <w:bookmarkEnd w:id="2477"/>
      <w:r>
        <w:rPr>
          <w:rFonts w:ascii="Arial" w:eastAsia="Arial" w:hAnsi="Arial" w:cs="Arial"/>
          <w:color w:val="000000"/>
          <w:sz w:val="20"/>
        </w:rPr>
        <w:t xml:space="preserve">We have reviewed all of the remaining arguments raised by Plaintiff on appeal and find them to be without merit. For the foregoing reasons, we </w:t>
      </w:r>
      <w:r>
        <w:rPr>
          <w:rFonts w:ascii="Arial" w:eastAsia="Arial" w:hAnsi="Arial" w:cs="Arial"/>
          <w:b/>
          <w:color w:val="000000"/>
          <w:sz w:val="20"/>
        </w:rPr>
        <w:t>AFFIRM</w:t>
      </w:r>
      <w:r>
        <w:rPr>
          <w:rFonts w:ascii="Arial" w:eastAsia="Arial" w:hAnsi="Arial" w:cs="Arial"/>
          <w:color w:val="000000"/>
          <w:sz w:val="20"/>
        </w:rPr>
        <w:t xml:space="preserve"> the July 23, 2021 judgment of the District Court.</w:t>
      </w:r>
    </w:p>
    <w:p w:rsidR="00022B47" w:rsidRDefault="00022B47">
      <w:pPr>
        <w:pStyle w:val="Normal12"/>
      </w:pPr>
    </w:p>
    <w:p w:rsidR="00022B47" w:rsidRDefault="00000000">
      <w:pPr>
        <w:pStyle w:val="Normal12"/>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68486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152504023"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3B6408" id="Line 28"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13"/>
        <w:sectPr w:rsidR="00022B47">
          <w:headerReference w:type="even" r:id="rId85"/>
          <w:headerReference w:type="default" r:id="rId86"/>
          <w:footerReference w:type="even" r:id="rId87"/>
          <w:footerReference w:type="default" r:id="rId88"/>
          <w:headerReference w:type="first" r:id="rId89"/>
          <w:footerReference w:type="first" r:id="rId90"/>
          <w:pgSz w:w="12240" w:h="15840"/>
          <w:pgMar w:top="840" w:right="1000" w:bottom="840" w:left="1000" w:header="400" w:footer="400" w:gutter="0"/>
          <w:cols w:space="720"/>
          <w:titlePg/>
        </w:sectPr>
      </w:pPr>
    </w:p>
    <w:p w:rsidR="00022B47" w:rsidRDefault="00022B47">
      <w:pPr>
        <w:pStyle w:val="Normal13"/>
      </w:pPr>
    </w:p>
    <w:p w:rsidR="00022B47" w:rsidRDefault="00000000">
      <w:pPr>
        <w:pStyle w:val="Heading112"/>
        <w:keepNext w:val="0"/>
        <w:widowControl w:val="0"/>
        <w:spacing w:after="200" w:line="340" w:lineRule="atLeast"/>
        <w:jc w:val="center"/>
      </w:pPr>
      <w:r>
        <w:rPr>
          <w:rFonts w:eastAsia="Arial"/>
          <w:color w:val="000000"/>
          <w:sz w:val="28"/>
        </w:rPr>
        <w:t>Hernandez v. Hunger</w:t>
      </w:r>
    </w:p>
    <w:p w:rsidR="00022B47" w:rsidRDefault="00000000">
      <w:pPr>
        <w:pStyle w:val="Normal13"/>
        <w:widowControl w:val="0"/>
        <w:spacing w:before="120" w:line="260" w:lineRule="atLeast"/>
        <w:jc w:val="center"/>
      </w:pPr>
      <w:r>
        <w:rPr>
          <w:rFonts w:ascii="Arial" w:eastAsia="Arial" w:hAnsi="Arial" w:cs="Arial"/>
          <w:color w:val="000000"/>
          <w:sz w:val="20"/>
        </w:rPr>
        <w:t>United States Court of Appeals for the Fifth Circuit</w:t>
      </w:r>
    </w:p>
    <w:p w:rsidR="00022B47" w:rsidRDefault="00000000">
      <w:pPr>
        <w:pStyle w:val="Normal13"/>
        <w:widowControl w:val="0"/>
        <w:spacing w:before="120" w:line="260" w:lineRule="atLeast"/>
        <w:jc w:val="center"/>
      </w:pPr>
      <w:r>
        <w:rPr>
          <w:rFonts w:ascii="Arial" w:eastAsia="Arial" w:hAnsi="Arial" w:cs="Arial"/>
          <w:color w:val="000000"/>
          <w:sz w:val="20"/>
        </w:rPr>
        <w:t>December 30, 2022, Filed</w:t>
      </w:r>
    </w:p>
    <w:p w:rsidR="00022B47" w:rsidRDefault="00000000">
      <w:pPr>
        <w:pStyle w:val="Normal13"/>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22-50240</w:t>
      </w:r>
    </w:p>
    <w:p w:rsidR="00022B47" w:rsidRDefault="00022B47">
      <w:pPr>
        <w:pStyle w:val="Normal13"/>
        <w:widowControl w:val="0"/>
        <w:spacing w:line="240" w:lineRule="atLeast"/>
        <w:jc w:val="both"/>
      </w:pPr>
      <w:bookmarkStart w:id="2478" w:name="Bookmark_14"/>
      <w:bookmarkEnd w:id="2478"/>
    </w:p>
    <w:p w:rsidR="00022B47" w:rsidRDefault="00000000">
      <w:pPr>
        <w:pStyle w:val="Normal13"/>
        <w:widowControl w:val="0"/>
        <w:spacing w:before="200" w:line="240" w:lineRule="atLeast"/>
      </w:pPr>
      <w:bookmarkStart w:id="2479" w:name="Reporter_12"/>
      <w:bookmarkEnd w:id="2479"/>
      <w:r>
        <w:rPr>
          <w:rFonts w:ascii="Arial" w:eastAsia="Arial" w:hAnsi="Arial" w:cs="Arial"/>
          <w:b/>
          <w:color w:val="000000"/>
          <w:sz w:val="18"/>
        </w:rPr>
        <w:t>Reporter</w:t>
      </w:r>
    </w:p>
    <w:p w:rsidR="00022B47" w:rsidRDefault="00000000">
      <w:pPr>
        <w:pStyle w:val="Normal13"/>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2022 U.S. App. LEXIS 36000 *; 2022 WL 18019437</w:t>
      </w:r>
    </w:p>
    <w:p w:rsidR="00022B47" w:rsidRDefault="00000000">
      <w:pPr>
        <w:pStyle w:val="Normal13"/>
        <w:widowControl w:val="0"/>
        <w:spacing w:before="120" w:line="260" w:lineRule="atLeast"/>
      </w:pPr>
      <w:r>
        <w:rPr>
          <w:rFonts w:ascii="Arial" w:eastAsia="Arial" w:hAnsi="Arial" w:cs="Arial"/>
          <w:color w:val="000000"/>
          <w:sz w:val="20"/>
        </w:rPr>
        <w:t>ALEJANDRO HERNANDEZ, Plaintiff—Appellant, versus EL PASOANS FIGHTING HUNGER; JOSE "ABE" GONZALEZ; SUSAN E. GOODALL, Defendants—Appellees.</w:t>
      </w:r>
    </w:p>
    <w:p w:rsidR="00022B47" w:rsidRDefault="00000000">
      <w:pPr>
        <w:pStyle w:val="Normal13"/>
        <w:widowControl w:val="0"/>
        <w:spacing w:before="240" w:line="260" w:lineRule="atLeast"/>
        <w:jc w:val="both"/>
      </w:pPr>
      <w:bookmarkStart w:id="2480" w:name="Notice_5"/>
      <w:bookmarkEnd w:id="2480"/>
      <w:r>
        <w:rPr>
          <w:rFonts w:ascii="Arial" w:eastAsia="Arial" w:hAnsi="Arial" w:cs="Arial"/>
          <w:b/>
          <w:color w:val="000000"/>
          <w:sz w:val="20"/>
        </w:rPr>
        <w:t>Notice:</w:t>
      </w:r>
      <w:r>
        <w:rPr>
          <w:rFonts w:ascii="Arial" w:eastAsia="Arial" w:hAnsi="Arial" w:cs="Arial"/>
          <w:color w:val="000000"/>
          <w:sz w:val="20"/>
        </w:rPr>
        <w:t> </w:t>
      </w:r>
      <w:bookmarkStart w:id="2481" w:name="Bookmark_para_1_12"/>
      <w:bookmarkEnd w:id="2481"/>
      <w:r>
        <w:rPr>
          <w:rFonts w:ascii="Arial" w:eastAsia="Arial" w:hAnsi="Arial" w:cs="Arial"/>
          <w:color w:val="000000"/>
          <w:sz w:val="20"/>
        </w:rPr>
        <w:t>PLEASE REFER TO FEDERAL RULES OF APPELLATE PROCEDURE RULE 32.1 GOVERNING THE CITATION TO UNPUBLISHED OPINIONS.</w:t>
      </w:r>
    </w:p>
    <w:p w:rsidR="00022B47" w:rsidRDefault="00000000">
      <w:pPr>
        <w:pStyle w:val="Normal13"/>
        <w:widowControl w:val="0"/>
        <w:spacing w:before="240" w:line="260" w:lineRule="atLeast"/>
        <w:jc w:val="both"/>
      </w:pPr>
      <w:bookmarkStart w:id="2482" w:name="Prior_History_12"/>
      <w:bookmarkEnd w:id="2482"/>
      <w:r>
        <w:rPr>
          <w:rFonts w:ascii="Arial" w:eastAsia="Arial" w:hAnsi="Arial" w:cs="Arial"/>
          <w:b/>
          <w:color w:val="000000"/>
          <w:sz w:val="20"/>
        </w:rPr>
        <w:t>Prior History:</w:t>
      </w:r>
      <w:r>
        <w:rPr>
          <w:rFonts w:ascii="Arial" w:eastAsia="Arial" w:hAnsi="Arial" w:cs="Arial"/>
          <w:color w:val="000000"/>
          <w:sz w:val="20"/>
        </w:rPr>
        <w:t> </w:t>
      </w:r>
      <w:bookmarkStart w:id="2483" w:name="Bookmark_para_2_12"/>
      <w:bookmarkEnd w:id="2483"/>
      <w:r>
        <w:rPr>
          <w:rFonts w:ascii="Arial" w:eastAsia="Arial" w:hAnsi="Arial" w:cs="Arial"/>
          <w:color w:val="000000"/>
          <w:sz w:val="20"/>
        </w:rPr>
        <w:t> [*1] Appeal from the United States District Court for the Western District of Texas. USDC No. 3:21-CV-55.</w:t>
      </w:r>
    </w:p>
    <w:p w:rsidR="00022B47" w:rsidRDefault="00000000">
      <w:pPr>
        <w:pStyle w:val="Normal13"/>
        <w:widowControl w:val="0"/>
        <w:spacing w:before="120" w:line="260" w:lineRule="atLeast"/>
      </w:pPr>
      <w:r>
        <w:rPr>
          <w:rFonts w:ascii="Arial" w:eastAsia="Arial" w:hAnsi="Arial" w:cs="Arial"/>
          <w:color w:val="000000"/>
          <w:sz w:val="20"/>
        </w:rPr>
        <w:t>Hernandez v. El Pasoans Fighting Hunger, 2021 U.S. Dist. LEXIS 124078, 2021 WL 2763827 (W.D. Tex., July 1, 2021)</w:t>
      </w:r>
    </w:p>
    <w:p w:rsidR="00022B47" w:rsidRDefault="00000000">
      <w:pPr>
        <w:pStyle w:val="Normal13"/>
        <w:widowControl w:val="0"/>
        <w:spacing w:before="240" w:line="260" w:lineRule="atLeast"/>
      </w:pPr>
      <w:bookmarkStart w:id="2484" w:name="Counsel_12"/>
      <w:bookmarkEnd w:id="2484"/>
      <w:r>
        <w:rPr>
          <w:rFonts w:ascii="Arial" w:eastAsia="Arial" w:hAnsi="Arial" w:cs="Arial"/>
          <w:b/>
          <w:color w:val="000000"/>
          <w:sz w:val="20"/>
        </w:rPr>
        <w:t>Counsel:</w:t>
      </w:r>
      <w:r>
        <w:rPr>
          <w:rFonts w:ascii="Arial" w:eastAsia="Arial" w:hAnsi="Arial" w:cs="Arial"/>
          <w:color w:val="000000"/>
          <w:sz w:val="20"/>
        </w:rPr>
        <w:t> Alejandro Hernandez, Plaintiff - Appellant, Pro se, El Paso, TX.</w:t>
      </w:r>
    </w:p>
    <w:p w:rsidR="00022B47" w:rsidRDefault="00000000">
      <w:pPr>
        <w:pStyle w:val="Normal13"/>
        <w:widowControl w:val="0"/>
        <w:spacing w:before="240" w:line="260" w:lineRule="atLeast"/>
      </w:pPr>
      <w:bookmarkStart w:id="2485" w:name="Judges_12"/>
      <w:bookmarkEnd w:id="2485"/>
      <w:r>
        <w:rPr>
          <w:rFonts w:ascii="Arial" w:eastAsia="Arial" w:hAnsi="Arial" w:cs="Arial"/>
          <w:b/>
          <w:color w:val="000000"/>
          <w:sz w:val="20"/>
        </w:rPr>
        <w:t>Judges:</w:t>
      </w:r>
      <w:r>
        <w:rPr>
          <w:rFonts w:ascii="Arial" w:eastAsia="Arial" w:hAnsi="Arial" w:cs="Arial"/>
          <w:color w:val="000000"/>
          <w:sz w:val="20"/>
        </w:rPr>
        <w:t> Before KING, STEWART, and HAYNES, Circuit Judges.</w:t>
      </w:r>
      <w:r>
        <w:rPr>
          <w:rFonts w:ascii="Arial" w:eastAsia="Arial" w:hAnsi="Arial" w:cs="Arial"/>
          <w:vertAlign w:val="superscript"/>
        </w:rPr>
        <w:footnoteReference w:customMarkFollows="1" w:id="46"/>
        <w:t>*</w:t>
      </w:r>
    </w:p>
    <w:p w:rsidR="00022B47" w:rsidRDefault="00000000">
      <w:pPr>
        <w:pStyle w:val="Normal13"/>
        <w:keepNext/>
        <w:widowControl w:val="0"/>
        <w:spacing w:before="240" w:line="340" w:lineRule="atLeast"/>
      </w:pPr>
      <w:bookmarkStart w:id="2487" w:name="Opinion_12"/>
      <w:bookmarkEnd w:id="2487"/>
      <w:r>
        <w:rPr>
          <w:rFonts w:ascii="Arial" w:eastAsia="Arial" w:hAnsi="Arial" w:cs="Arial"/>
          <w:b/>
          <w:color w:val="000000"/>
          <w:sz w:val="28"/>
        </w:rPr>
        <w:t>Opinion</w:t>
      </w:r>
    </w:p>
    <w:p w:rsidR="00022B47" w:rsidRDefault="0025213E">
      <w:pPr>
        <w:pStyle w:val="Normal13"/>
        <w:spacing w:line="60" w:lineRule="exact"/>
      </w:pPr>
      <w:r>
        <w:rPr>
          <w:noProof/>
        </w:rPr>
        <mc:AlternateContent>
          <mc:Choice Requires="wps">
            <w:drawing>
              <wp:anchor distT="0" distB="0" distL="114300" distR="114300" simplePos="0" relativeHeight="25168588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643284911"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70F64A" id="Line 29"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13"/>
      </w:pPr>
    </w:p>
    <w:p w:rsidR="00022B47" w:rsidRDefault="00000000">
      <w:pPr>
        <w:pStyle w:val="Normal13"/>
        <w:widowControl w:val="0"/>
        <w:spacing w:before="200" w:line="260" w:lineRule="atLeast"/>
        <w:jc w:val="both"/>
      </w:pPr>
      <w:bookmarkStart w:id="2488" w:name="Bookmark_para_3_12"/>
      <w:bookmarkEnd w:id="2488"/>
      <w:r>
        <w:rPr>
          <w:rFonts w:ascii="Arial" w:eastAsia="Arial" w:hAnsi="Arial" w:cs="Arial"/>
          <w:smallCaps/>
          <w:color w:val="000000"/>
          <w:sz w:val="20"/>
        </w:rPr>
        <w:t>Per Curiam</w:t>
      </w:r>
      <w:r>
        <w:rPr>
          <w:rFonts w:ascii="Arial" w:eastAsia="Arial" w:hAnsi="Arial" w:cs="Arial"/>
          <w:color w:val="000000"/>
          <w:sz w:val="20"/>
        </w:rPr>
        <w:t>:</w:t>
      </w:r>
      <w:r>
        <w:rPr>
          <w:rFonts w:ascii="Arial" w:eastAsia="Arial" w:hAnsi="Arial" w:cs="Arial"/>
          <w:vertAlign w:val="superscript"/>
        </w:rPr>
        <w:footnoteReference w:customMarkFollows="1" w:id="47"/>
        <w:t>**</w:t>
      </w:r>
    </w:p>
    <w:p w:rsidR="00022B47" w:rsidRDefault="00000000">
      <w:pPr>
        <w:pStyle w:val="Normal13"/>
        <w:widowControl w:val="0"/>
        <w:spacing w:before="200" w:line="260" w:lineRule="atLeast"/>
        <w:jc w:val="both"/>
      </w:pPr>
      <w:bookmarkStart w:id="2490" w:name="Bookmark_para_4_12"/>
      <w:bookmarkStart w:id="2491" w:name="Bookmark_I677TW802D6MS50010000400"/>
      <w:bookmarkEnd w:id="2490"/>
      <w:bookmarkEnd w:id="2491"/>
      <w:r>
        <w:rPr>
          <w:rFonts w:ascii="Arial" w:eastAsia="Arial" w:hAnsi="Arial" w:cs="Arial"/>
          <w:color w:val="000000"/>
          <w:sz w:val="20"/>
        </w:rPr>
        <w:t xml:space="preserve">Alejandro Hernandez, proceeding </w:t>
      </w:r>
      <w:r>
        <w:rPr>
          <w:rFonts w:ascii="Arial" w:eastAsia="Arial" w:hAnsi="Arial" w:cs="Arial"/>
          <w:i/>
          <w:color w:val="000000"/>
          <w:sz w:val="20"/>
        </w:rPr>
        <w:t>pro se</w:t>
      </w:r>
      <w:r>
        <w:rPr>
          <w:rFonts w:ascii="Arial" w:eastAsia="Arial" w:hAnsi="Arial" w:cs="Arial"/>
          <w:color w:val="000000"/>
          <w:sz w:val="20"/>
        </w:rPr>
        <w:t xml:space="preserve"> and </w:t>
      </w:r>
      <w:r>
        <w:rPr>
          <w:rFonts w:ascii="Arial" w:eastAsia="Arial" w:hAnsi="Arial" w:cs="Arial"/>
          <w:i/>
          <w:color w:val="000000"/>
          <w:sz w:val="20"/>
        </w:rPr>
        <w:t>in forma pauperis</w:t>
      </w:r>
      <w:r>
        <w:rPr>
          <w:rFonts w:ascii="Arial" w:eastAsia="Arial" w:hAnsi="Arial" w:cs="Arial"/>
          <w:color w:val="000000"/>
          <w:sz w:val="20"/>
        </w:rPr>
        <w:t>, appeals the dismissal of his complaint with prejudice. For the following reasons, we AFFIRM in part, REVERSE in part, and REMAND for further proceedings.</w:t>
      </w:r>
    </w:p>
    <w:p w:rsidR="00022B47" w:rsidRDefault="00000000">
      <w:pPr>
        <w:pStyle w:val="Normal13"/>
        <w:widowControl w:val="0"/>
        <w:spacing w:before="240" w:line="260" w:lineRule="atLeast"/>
      </w:pPr>
      <w:r>
        <w:br/>
      </w:r>
      <w:r>
        <w:rPr>
          <w:rFonts w:ascii="Arial" w:eastAsia="Arial" w:hAnsi="Arial" w:cs="Arial"/>
          <w:b/>
          <w:color w:val="000000"/>
          <w:sz w:val="20"/>
        </w:rPr>
        <w:t>I</w:t>
      </w:r>
      <w:r>
        <w:rPr>
          <w:rFonts w:ascii="Arial" w:eastAsia="Arial" w:hAnsi="Arial" w:cs="Arial"/>
          <w:color w:val="000000"/>
          <w:sz w:val="20"/>
        </w:rPr>
        <w:t>.</w:t>
      </w:r>
    </w:p>
    <w:p w:rsidR="00022B47" w:rsidRDefault="00000000">
      <w:pPr>
        <w:pStyle w:val="Normal13"/>
        <w:widowControl w:val="0"/>
        <w:spacing w:before="200" w:line="260" w:lineRule="atLeast"/>
        <w:jc w:val="both"/>
      </w:pPr>
      <w:bookmarkStart w:id="2492" w:name="Bookmark_para_5_12"/>
      <w:bookmarkEnd w:id="2492"/>
      <w:r>
        <w:rPr>
          <w:rFonts w:ascii="Arial" w:eastAsia="Arial" w:hAnsi="Arial" w:cs="Arial"/>
          <w:color w:val="000000"/>
          <w:sz w:val="20"/>
        </w:rPr>
        <w:t xml:space="preserve">In March 2021, Plaintiff-Appellant Alejandro Hernandez, proceeding </w:t>
      </w:r>
      <w:r>
        <w:rPr>
          <w:rFonts w:ascii="Arial" w:eastAsia="Arial" w:hAnsi="Arial" w:cs="Arial"/>
          <w:i/>
          <w:color w:val="000000"/>
          <w:sz w:val="20"/>
        </w:rPr>
        <w:t>pro se</w:t>
      </w:r>
      <w:r>
        <w:rPr>
          <w:rFonts w:ascii="Arial" w:eastAsia="Arial" w:hAnsi="Arial" w:cs="Arial"/>
          <w:color w:val="000000"/>
          <w:sz w:val="20"/>
        </w:rPr>
        <w:t xml:space="preserve">, filed a single-count complaint against Defendants-Appellees seeking injunctive relief for violations of the Americans with Disabilities Act ("ADA"). After Hernandez filed an application to proceed </w:t>
      </w:r>
      <w:r>
        <w:rPr>
          <w:rFonts w:ascii="Arial" w:eastAsia="Arial" w:hAnsi="Arial" w:cs="Arial"/>
          <w:i/>
          <w:color w:val="000000"/>
          <w:sz w:val="20"/>
        </w:rPr>
        <w:t>in forma pauperis</w:t>
      </w:r>
      <w:r>
        <w:rPr>
          <w:rFonts w:ascii="Arial" w:eastAsia="Arial" w:hAnsi="Arial" w:cs="Arial"/>
          <w:color w:val="000000"/>
          <w:sz w:val="20"/>
        </w:rPr>
        <w:t xml:space="preserve">, the district court referred the application to a magistrate judge. The district court also directed the magistrate judge to consider whether Hernandez's action should be dismissed under the </w:t>
      </w:r>
      <w:r>
        <w:rPr>
          <w:rFonts w:ascii="Arial" w:eastAsia="Arial" w:hAnsi="Arial" w:cs="Arial"/>
          <w:i/>
          <w:color w:val="000000"/>
          <w:sz w:val="20"/>
        </w:rPr>
        <w:t>in forma pauperis</w:t>
      </w:r>
      <w:r>
        <w:rPr>
          <w:rFonts w:ascii="Arial" w:eastAsia="Arial" w:hAnsi="Arial" w:cs="Arial"/>
          <w:color w:val="000000"/>
          <w:sz w:val="20"/>
        </w:rPr>
        <w:t xml:space="preserve"> statute, 28 U.S.C. § 1915. Hernandez subsequently amended his complaint (as amended, the "Complaint") after his application to proceed </w:t>
      </w:r>
      <w:r>
        <w:rPr>
          <w:rFonts w:ascii="Arial" w:eastAsia="Arial" w:hAnsi="Arial" w:cs="Arial"/>
          <w:i/>
          <w:color w:val="000000"/>
          <w:sz w:val="20"/>
        </w:rPr>
        <w:t>in forma pauperis</w:t>
      </w:r>
      <w:r>
        <w:rPr>
          <w:rFonts w:ascii="Arial" w:eastAsia="Arial" w:hAnsi="Arial" w:cs="Arial"/>
          <w:color w:val="000000"/>
          <w:sz w:val="20"/>
        </w:rPr>
        <w:t xml:space="preserve"> was granted. In his Complaint, Hernandez alleges that he suffers from asthma exacerbated by breathing difficulties caused by a deviated septum in addition to severe [*2]  PTSD, chronic anxiety, and "panic triggers" that "hinder breathing abruptly" and disrupt "other normal daily functions," all of which "substantially limit most major life activities with distress." Hernandez alleges that he is unable to wear a face covering for "medical reasons," </w:t>
      </w:r>
      <w:r>
        <w:rPr>
          <w:rFonts w:ascii="Arial" w:eastAsia="Arial" w:hAnsi="Arial" w:cs="Arial"/>
          <w:i/>
          <w:color w:val="000000"/>
          <w:sz w:val="20"/>
        </w:rPr>
        <w:t>i.e.</w:t>
      </w:r>
      <w:r>
        <w:rPr>
          <w:rFonts w:ascii="Arial" w:eastAsia="Arial" w:hAnsi="Arial" w:cs="Arial"/>
          <w:color w:val="000000"/>
          <w:sz w:val="20"/>
        </w:rPr>
        <w:t>, due to his disabilities. Defendants-Appellees are a food bank, El Pasoans Fighting Hunger ("EPFH"), and two of its employees, Jose "Abe" Gonzalez and Susan E. Goodall (collectively, the "Defendants").</w:t>
      </w:r>
    </w:p>
    <w:p w:rsidR="00022B47" w:rsidRDefault="00000000">
      <w:pPr>
        <w:pStyle w:val="Normal13"/>
        <w:widowControl w:val="0"/>
        <w:spacing w:before="200" w:line="260" w:lineRule="atLeast"/>
        <w:jc w:val="both"/>
      </w:pPr>
      <w:bookmarkStart w:id="2493" w:name="Bookmark_para_6_12"/>
      <w:bookmarkEnd w:id="2493"/>
      <w:r>
        <w:rPr>
          <w:rFonts w:ascii="Arial" w:eastAsia="Arial" w:hAnsi="Arial" w:cs="Arial"/>
          <w:color w:val="000000"/>
          <w:sz w:val="20"/>
        </w:rPr>
        <w:t>EPFH operates "walk-up locations" where it distributes food to those who are in need. During the COVID-19 pandemic, EPFH had a policy requiring all food recipients to wear a face covering while at a walk-up location. On January 13, 2021, Hernandez alleges that he went to one of EPFH's walk-up locations in El Paso, Texas without wearing a mask. According to Hernandez, he was "pushed by an attendant working for the Defendants, experienced shaming in the form of name calling," and was publicly "labeled with demeaning, humiliating and degrading language and treatment" while attempting to receive food at the El Paso walk-up location. Hernandez also alleges that he had been previously "physically pushed out of [*3]  the building by a male staff member" at the El Paso walk-up location on or about January 10, 2021. Accordingly, Hernandez asserts that Defendants have prevented him from accessing their food services by denying him entry to walk-up locations.</w:t>
      </w:r>
    </w:p>
    <w:p w:rsidR="00022B47" w:rsidRDefault="00000000">
      <w:pPr>
        <w:pStyle w:val="Normal13"/>
        <w:widowControl w:val="0"/>
        <w:spacing w:before="200" w:line="260" w:lineRule="atLeast"/>
        <w:jc w:val="both"/>
      </w:pPr>
      <w:bookmarkStart w:id="2494" w:name="Bookmark_para_7_12"/>
      <w:bookmarkEnd w:id="2494"/>
      <w:r>
        <w:rPr>
          <w:rFonts w:ascii="Arial" w:eastAsia="Arial" w:hAnsi="Arial" w:cs="Arial"/>
          <w:color w:val="000000"/>
          <w:sz w:val="20"/>
        </w:rPr>
        <w:t>The Complaint also describes Hernandez's "good faith effort[s]" to resolve this dispute with Defendants. Hernandez spoke to numerous EPFH employees on multiple occasions, including Goodall and Gonzalez, explaining the nature of his disability; Gonzalez, however, denied any wrongdoing. Instead, Hernandez alleges that Gonzalez "violated [Hernandez's] privacy by making public searches about [him] to determine whether he was the property owner of the residence where he lives" and whether Hernandez owned a vehicle as well. Hernandez also alleges that EPFH's website "provides no information on reasonable accommodations for persons who cannot wear face covering[s]." Hernandez, however, admits that he "was told that he could register for home delivery as a reasonable accommodation." But he alleges that he only received food via home delivery once after registering for the service in November 2020. According to Hernandez, he brought this issue to Defendants' [*4]  attention and requested that he alternatively be allowed to receive "curb side service" beside a walk-up location but that Defendants refused, citing the current home delivery accommodation as good enough.</w:t>
      </w:r>
    </w:p>
    <w:p w:rsidR="00022B47" w:rsidRDefault="00000000">
      <w:pPr>
        <w:pStyle w:val="Normal13"/>
        <w:widowControl w:val="0"/>
        <w:spacing w:before="200" w:line="260" w:lineRule="atLeast"/>
        <w:jc w:val="both"/>
      </w:pPr>
      <w:bookmarkStart w:id="2495" w:name="Bookmark_para_8_12"/>
      <w:bookmarkEnd w:id="2495"/>
      <w:r>
        <w:rPr>
          <w:rFonts w:ascii="Arial" w:eastAsia="Arial" w:hAnsi="Arial" w:cs="Arial"/>
          <w:color w:val="000000"/>
          <w:sz w:val="20"/>
        </w:rPr>
        <w:t>Hernandez seeks an injunction requiring Defendants to allow him to benefit from their food services without wearing a face covering. Additionally, Hernandez requests that the court "provide clear protocols" to Defendants, if necessary, and direct Defendants to "train their staff about its legal obligations and to post and disseminate notice to . . . all pertinent staff regarding their legal obligations under the ADA."</w:t>
      </w:r>
    </w:p>
    <w:p w:rsidR="00022B47" w:rsidRDefault="00000000">
      <w:pPr>
        <w:pStyle w:val="Normal13"/>
        <w:widowControl w:val="0"/>
        <w:spacing w:before="200" w:line="260" w:lineRule="atLeast"/>
        <w:jc w:val="both"/>
      </w:pPr>
      <w:bookmarkStart w:id="2496" w:name="Bookmark_para_9_12"/>
      <w:bookmarkEnd w:id="2496"/>
      <w:r>
        <w:rPr>
          <w:rFonts w:ascii="Arial" w:eastAsia="Arial" w:hAnsi="Arial" w:cs="Arial"/>
          <w:color w:val="000000"/>
          <w:sz w:val="20"/>
        </w:rPr>
        <w:t>On March 10, 2021, the district court referred Hernandez's Complaint to the magistrate judge to determine if the Complaint should be dismissed under 28 U.S.C. § 1915(e). On April 23, 2021, the magistrate judge issued his report and recommendations, recommending that the Complaint be dismissed without prejudice as frivolous and for failing to state a claim. The magistrate judge reasoned that while Hernandez was able to sufficiently allege the first two prongs of his ADA claim—that he has a disability and that "food banks are places of public accommodation under the ADA"—the Complaint failed [*5]  to demonstrate that Defendants took adverse action against him because of his disability. The magistrate judge explained that because the law does not require a business to "modify or alter the goods and services that it offers in order to avoid violating" the ADA, Defendants were under no obligation to alter their masking policy.</w:t>
      </w:r>
    </w:p>
    <w:p w:rsidR="00022B47" w:rsidRDefault="00000000">
      <w:pPr>
        <w:pStyle w:val="Normal13"/>
        <w:widowControl w:val="0"/>
        <w:spacing w:before="200" w:line="260" w:lineRule="atLeast"/>
        <w:jc w:val="both"/>
      </w:pPr>
      <w:bookmarkStart w:id="2497" w:name="Bookmark_para_10_12"/>
      <w:bookmarkEnd w:id="2497"/>
      <w:r>
        <w:rPr>
          <w:rFonts w:ascii="Arial" w:eastAsia="Arial" w:hAnsi="Arial" w:cs="Arial"/>
          <w:color w:val="000000"/>
          <w:sz w:val="20"/>
        </w:rPr>
        <w:t xml:space="preserve">On July 1, 2021, the district court issued an order, accepting in part and rejecting in part the magistrate judge's report and recommendations. First, the court explained that the Complaint did not sufficiently allege how Defendants failed to provide Hernandez with a reasonable accommodation. Specifically, the court pointed to the paucity of facts surrounding Defendants' response to Hernandez's complaints that he had not been receiving food deliveries. Rather, the court determined that the Complaint merely stated in a conclusory manner that Defendants failed to provide a reasonable accommodation to Hernandez. The court also found that EPFH's website showed that, in addition to home delivery, EPFH offered a "Mobile Pantry" service where "people can alternatively pick [food] up via a 'drive thru' without the need to enter [EPFH's] facilities," further refuting [*6]  Hernandez's contention that Defendants failed to provide reasonable accommodations. The court noted that although Hernandez is entitled to a reasonable accommodation, this is not necessarily commensurate with his preferred accommodation, </w:t>
      </w:r>
      <w:r>
        <w:rPr>
          <w:rFonts w:ascii="Arial" w:eastAsia="Arial" w:hAnsi="Arial" w:cs="Arial"/>
          <w:i/>
          <w:color w:val="000000"/>
          <w:sz w:val="20"/>
        </w:rPr>
        <w:t>i.e.</w:t>
      </w:r>
      <w:r>
        <w:rPr>
          <w:rFonts w:ascii="Arial" w:eastAsia="Arial" w:hAnsi="Arial" w:cs="Arial"/>
          <w:color w:val="000000"/>
          <w:sz w:val="20"/>
        </w:rPr>
        <w:t>, curb side service. The court also ruled that the magistrate judge was correct in that the law does not require Defendants to alter their masking policy for Hernandez.</w:t>
      </w:r>
    </w:p>
    <w:p w:rsidR="00022B47" w:rsidRDefault="00000000">
      <w:pPr>
        <w:pStyle w:val="Normal13"/>
        <w:widowControl w:val="0"/>
        <w:spacing w:before="200" w:line="260" w:lineRule="atLeast"/>
        <w:jc w:val="both"/>
      </w:pPr>
      <w:bookmarkStart w:id="2498" w:name="Bookmark_para_11_12"/>
      <w:bookmarkEnd w:id="2498"/>
      <w:r>
        <w:rPr>
          <w:rFonts w:ascii="Arial" w:eastAsia="Arial" w:hAnsi="Arial" w:cs="Arial"/>
          <w:color w:val="000000"/>
          <w:sz w:val="20"/>
        </w:rPr>
        <w:t xml:space="preserve">Second, and after already holding that the Complaint failed to state a claim, the court also determined that Hernandez failed to establish that he had Article III standing to bring his claim. The court held that Hernandez could not show that there was a threat of future discrimination, </w:t>
      </w:r>
      <w:r>
        <w:rPr>
          <w:rFonts w:ascii="Arial" w:eastAsia="Arial" w:hAnsi="Arial" w:cs="Arial"/>
          <w:i/>
          <w:color w:val="000000"/>
          <w:sz w:val="20"/>
        </w:rPr>
        <w:t>i.e.</w:t>
      </w:r>
      <w:r>
        <w:rPr>
          <w:rFonts w:ascii="Arial" w:eastAsia="Arial" w:hAnsi="Arial" w:cs="Arial"/>
          <w:color w:val="000000"/>
          <w:sz w:val="20"/>
        </w:rPr>
        <w:t>, an injury-in-fact, relying on the same information from EPFH's website—the Mobile Pantry service—that it had used to refute the Complaint's allegations that Defendants failed to provide a reasonable accommodation. The court also ruled that the accommodations listed on EPFH's website mooted Hernandez's claim for injunctive relief. The court thus dismissed the Complaint as frivolous but deviated from the magistrate judge's recommendation by ordering that the Complaint be dismissed with prejudice. [*7]  The court reasoned that there is a presumption to dismiss frivolous cases with prejudice unless the court provides an explanation as to why an exception is warranted. The court declined to provide such an explanation, noting that the magistrate judge did not do so as well.</w:t>
      </w:r>
    </w:p>
    <w:p w:rsidR="00022B47" w:rsidRDefault="00000000">
      <w:pPr>
        <w:pStyle w:val="Normal13"/>
        <w:widowControl w:val="0"/>
        <w:spacing w:before="200" w:line="260" w:lineRule="atLeast"/>
        <w:jc w:val="both"/>
      </w:pPr>
      <w:bookmarkStart w:id="2499" w:name="Bookmark_para_12_12"/>
      <w:bookmarkEnd w:id="2499"/>
      <w:r>
        <w:rPr>
          <w:rFonts w:ascii="Arial" w:eastAsia="Arial" w:hAnsi="Arial" w:cs="Arial"/>
          <w:color w:val="000000"/>
          <w:sz w:val="20"/>
        </w:rPr>
        <w:t>On appeal, Hernandez asserts that his Complaint states a claim and is not frivolous, and that the district court erred when it took judicial notice of EPFH's website to refute the Complaint's allegations.</w:t>
      </w:r>
    </w:p>
    <w:p w:rsidR="00022B47" w:rsidRDefault="00000000">
      <w:pPr>
        <w:pStyle w:val="Normal13"/>
        <w:widowControl w:val="0"/>
        <w:spacing w:before="240" w:line="260" w:lineRule="atLeast"/>
      </w:pPr>
      <w:r>
        <w:br/>
      </w:r>
      <w:r>
        <w:rPr>
          <w:rFonts w:ascii="Arial" w:eastAsia="Arial" w:hAnsi="Arial" w:cs="Arial"/>
          <w:b/>
          <w:color w:val="000000"/>
          <w:sz w:val="20"/>
        </w:rPr>
        <w:t>II</w:t>
      </w:r>
      <w:r>
        <w:rPr>
          <w:rFonts w:ascii="Arial" w:eastAsia="Arial" w:hAnsi="Arial" w:cs="Arial"/>
          <w:color w:val="000000"/>
          <w:sz w:val="20"/>
        </w:rPr>
        <w:t>.</w:t>
      </w:r>
    </w:p>
    <w:p w:rsidR="00022B47" w:rsidRDefault="00000000">
      <w:pPr>
        <w:pStyle w:val="Normal13"/>
        <w:widowControl w:val="0"/>
        <w:spacing w:before="200" w:line="260" w:lineRule="atLeast"/>
        <w:jc w:val="both"/>
      </w:pPr>
      <w:bookmarkStart w:id="2500" w:name="Bookmark_para_13_12"/>
      <w:bookmarkStart w:id="2501" w:name="Bookmark_I6781YN528T4060020000400"/>
      <w:bookmarkStart w:id="2502" w:name="Bookmark_LNHNREFclscc1_11"/>
      <w:bookmarkEnd w:id="2500"/>
      <w:bookmarkEnd w:id="2501"/>
      <w:bookmarkEnd w:id="2502"/>
      <w:r>
        <w:rPr>
          <w:rFonts w:ascii="Arial" w:eastAsia="Arial" w:hAnsi="Arial" w:cs="Arial"/>
          <w:color w:val="000000"/>
          <w:sz w:val="20"/>
        </w:rPr>
        <w:t xml:space="preserve">A court may dismiss a complaint filed by a plaintiff proceeding </w:t>
      </w:r>
      <w:r>
        <w:rPr>
          <w:rFonts w:ascii="Arial" w:eastAsia="Arial" w:hAnsi="Arial" w:cs="Arial"/>
          <w:i/>
          <w:color w:val="000000"/>
          <w:sz w:val="20"/>
        </w:rPr>
        <w:t>in forma pauperis</w:t>
      </w:r>
      <w:r>
        <w:rPr>
          <w:rFonts w:ascii="Arial" w:eastAsia="Arial" w:hAnsi="Arial" w:cs="Arial"/>
          <w:color w:val="000000"/>
          <w:sz w:val="20"/>
        </w:rPr>
        <w:t xml:space="preserve"> "at any time" if it determines, </w:t>
      </w:r>
      <w:r>
        <w:rPr>
          <w:rFonts w:ascii="Arial" w:eastAsia="Arial" w:hAnsi="Arial" w:cs="Arial"/>
          <w:i/>
          <w:color w:val="000000"/>
          <w:sz w:val="20"/>
        </w:rPr>
        <w:t>inter alia</w:t>
      </w:r>
      <w:r>
        <w:rPr>
          <w:rFonts w:ascii="Arial" w:eastAsia="Arial" w:hAnsi="Arial" w:cs="Arial"/>
          <w:color w:val="000000"/>
          <w:sz w:val="20"/>
        </w:rPr>
        <w:t xml:space="preserve">, that the action is frivolous or the complaint fails to state a claim on which relief may be granted. 28 U.S.C. § 1915(e)(2)(B). Accordingly, a court may examine the frivolity of such a suit before service of process has been effectuated. </w:t>
      </w:r>
      <w:bookmarkStart w:id="2503" w:name="Bookmark_I6781YN528T4060040000400"/>
      <w:bookmarkStart w:id="2504" w:name="Bookmark_I6781YN528T4060010000400"/>
      <w:bookmarkEnd w:id="2503"/>
      <w:bookmarkEnd w:id="2504"/>
      <w:r>
        <w:rPr>
          <w:rFonts w:ascii="Arial" w:eastAsia="Arial" w:hAnsi="Arial" w:cs="Arial"/>
          <w:i/>
          <w:color w:val="000000"/>
          <w:sz w:val="20"/>
        </w:rPr>
        <w:t>Green v. McKaskle</w:t>
      </w:r>
      <w:r>
        <w:rPr>
          <w:rFonts w:ascii="Arial" w:eastAsia="Arial" w:hAnsi="Arial" w:cs="Arial"/>
          <w:color w:val="000000"/>
          <w:sz w:val="20"/>
        </w:rPr>
        <w:t xml:space="preserve">, 788 F.2d 1116, 1119 (5th Cir. 1986). </w:t>
      </w:r>
      <w:bookmarkStart w:id="2505" w:name="Bookmark_I6781YN528T4060040000400_2"/>
      <w:bookmarkEnd w:id="2505"/>
      <w:r>
        <w:rPr>
          <w:rFonts w:ascii="Arial" w:eastAsia="Arial" w:hAnsi="Arial" w:cs="Arial"/>
          <w:color w:val="000000"/>
          <w:sz w:val="20"/>
        </w:rPr>
        <w:t xml:space="preserve">This is one of those cases; here, the magistrate judge ordered that service of process should not issue until he determined whether Hernandez's Complaint had merit. </w:t>
      </w:r>
      <w:bookmarkStart w:id="2506" w:name="Bookmark_LNHNREFclscc2_11"/>
      <w:bookmarkEnd w:id="2506"/>
      <w:r>
        <w:rPr>
          <w:rFonts w:ascii="Arial" w:eastAsia="Arial" w:hAnsi="Arial" w:cs="Arial"/>
          <w:color w:val="000000"/>
          <w:sz w:val="20"/>
        </w:rPr>
        <w:t xml:space="preserve">In these cases, "[d]ismissal is 'often made </w:t>
      </w:r>
      <w:r>
        <w:rPr>
          <w:rFonts w:ascii="Arial" w:eastAsia="Arial" w:hAnsi="Arial" w:cs="Arial"/>
          <w:i/>
          <w:color w:val="000000"/>
          <w:sz w:val="20"/>
        </w:rPr>
        <w:t>sua sponte</w:t>
      </w:r>
      <w:r>
        <w:rPr>
          <w:rFonts w:ascii="Arial" w:eastAsia="Arial" w:hAnsi="Arial" w:cs="Arial"/>
          <w:color w:val="000000"/>
          <w:sz w:val="20"/>
        </w:rPr>
        <w:t xml:space="preserve"> prior to the issuance of process, so as to spare prospective defendants the inconvenience and expense of answering such complaints.'" </w:t>
      </w:r>
      <w:bookmarkStart w:id="2507" w:name="Bookmark_I6781YN528T4060030000400"/>
      <w:bookmarkEnd w:id="2507"/>
      <w:r>
        <w:rPr>
          <w:rFonts w:ascii="Arial" w:eastAsia="Arial" w:hAnsi="Arial" w:cs="Arial"/>
          <w:i/>
          <w:color w:val="000000"/>
          <w:sz w:val="20"/>
        </w:rPr>
        <w:t>Wilson v. Barrientos</w:t>
      </w:r>
      <w:r>
        <w:rPr>
          <w:rFonts w:ascii="Arial" w:eastAsia="Arial" w:hAnsi="Arial" w:cs="Arial"/>
          <w:color w:val="000000"/>
          <w:sz w:val="20"/>
        </w:rPr>
        <w:t xml:space="preserve">, 926 F.2d 480, 482 (5th Cir. 1991) (quoting </w:t>
      </w:r>
      <w:bookmarkStart w:id="2508" w:name="Bookmark_I6781YN528T4060050000400"/>
      <w:bookmarkEnd w:id="2508"/>
      <w:r>
        <w:rPr>
          <w:rFonts w:ascii="Arial" w:eastAsia="Arial" w:hAnsi="Arial" w:cs="Arial"/>
          <w:i/>
          <w:color w:val="000000"/>
          <w:sz w:val="20"/>
        </w:rPr>
        <w:t>Neitzke v. Williams</w:t>
      </w:r>
      <w:r>
        <w:rPr>
          <w:rFonts w:ascii="Arial" w:eastAsia="Arial" w:hAnsi="Arial" w:cs="Arial"/>
          <w:color w:val="000000"/>
          <w:sz w:val="20"/>
        </w:rPr>
        <w:t>, 490 U.S. 319, 324, 109 S. Ct. 1827, 104 L. Ed. 2d 338 (1989)).</w:t>
      </w:r>
    </w:p>
    <w:p w:rsidR="00022B47" w:rsidRDefault="00000000">
      <w:pPr>
        <w:pStyle w:val="Normal13"/>
        <w:widowControl w:val="0"/>
        <w:spacing w:before="200" w:line="260" w:lineRule="atLeast"/>
        <w:jc w:val="both"/>
      </w:pPr>
      <w:bookmarkStart w:id="2509" w:name="Bookmark_para_14_12"/>
      <w:bookmarkStart w:id="2510" w:name="Bookmark_I6781YN52N1R9F0030000400"/>
      <w:bookmarkStart w:id="2511" w:name="Bookmark_LNHNREFclscc3_11"/>
      <w:bookmarkEnd w:id="2509"/>
      <w:bookmarkEnd w:id="2510"/>
      <w:bookmarkEnd w:id="2511"/>
      <w:r>
        <w:rPr>
          <w:rFonts w:ascii="Arial" w:eastAsia="Arial" w:hAnsi="Arial" w:cs="Arial"/>
          <w:color w:val="000000"/>
          <w:sz w:val="20"/>
        </w:rPr>
        <w:t xml:space="preserve">Under Title III of the ADA ("Title [*8]  III"), "[n]o individual shall be discriminated against on the basis of disability in the full and equal enjoyment of the goods, services, facilities, privileges, advantages, or accommodations of any place of public accommodation by any person who owns, leases (or leases to), or operates a place of public accommodation." 42 U.S.C. § 12182(a). A successful claim under this provision must satisfy three elements: (1) the plaintiff has a disability; (2) the defendant owns, leases, or operates a place of public accommodation; and (3) the defendant discriminates against the plaintiff in connection with that public accommodation based on the plaintiff's disability. </w:t>
      </w:r>
      <w:r>
        <w:rPr>
          <w:rFonts w:ascii="Arial" w:eastAsia="Arial" w:hAnsi="Arial" w:cs="Arial"/>
          <w:i/>
          <w:color w:val="000000"/>
          <w:sz w:val="20"/>
        </w:rPr>
        <w:t xml:space="preserve">Accord </w:t>
      </w:r>
      <w:bookmarkStart w:id="2512" w:name="Bookmark_I6781YN52N1R9F0020000400"/>
      <w:bookmarkEnd w:id="2512"/>
      <w:r>
        <w:rPr>
          <w:rFonts w:ascii="Arial" w:eastAsia="Arial" w:hAnsi="Arial" w:cs="Arial"/>
          <w:i/>
          <w:color w:val="000000"/>
          <w:sz w:val="20"/>
        </w:rPr>
        <w:t>Molski v. M.J. Cable, Inc.</w:t>
      </w:r>
      <w:r>
        <w:rPr>
          <w:rFonts w:ascii="Arial" w:eastAsia="Arial" w:hAnsi="Arial" w:cs="Arial"/>
          <w:color w:val="000000"/>
          <w:sz w:val="20"/>
        </w:rPr>
        <w:t xml:space="preserve">, 481 F.3d 724, 730 (9th Cir. 2007); </w:t>
      </w:r>
      <w:bookmarkStart w:id="2513" w:name="Bookmark_I6781YN52N1R9F0040000400"/>
      <w:bookmarkEnd w:id="2513"/>
      <w:r>
        <w:rPr>
          <w:rFonts w:ascii="Arial" w:eastAsia="Arial" w:hAnsi="Arial" w:cs="Arial"/>
          <w:i/>
          <w:color w:val="000000"/>
          <w:sz w:val="20"/>
        </w:rPr>
        <w:t>Mershon v. St. Louis Univ.</w:t>
      </w:r>
      <w:r>
        <w:rPr>
          <w:rFonts w:ascii="Arial" w:eastAsia="Arial" w:hAnsi="Arial" w:cs="Arial"/>
          <w:color w:val="000000"/>
          <w:sz w:val="20"/>
        </w:rPr>
        <w:t xml:space="preserve">, 442 F.3d 1069, 1076 (8th Cir. 2006); </w:t>
      </w:r>
      <w:bookmarkStart w:id="2514" w:name="Bookmark_I6781YN52SF81W0010000400"/>
      <w:bookmarkEnd w:id="2514"/>
      <w:r>
        <w:rPr>
          <w:rFonts w:ascii="Arial" w:eastAsia="Arial" w:hAnsi="Arial" w:cs="Arial"/>
          <w:i/>
          <w:color w:val="000000"/>
          <w:sz w:val="20"/>
        </w:rPr>
        <w:t>Kennedy v. Floridian Hotel, Inc.</w:t>
      </w:r>
      <w:r>
        <w:rPr>
          <w:rFonts w:ascii="Arial" w:eastAsia="Arial" w:hAnsi="Arial" w:cs="Arial"/>
          <w:color w:val="000000"/>
          <w:sz w:val="20"/>
        </w:rPr>
        <w:t xml:space="preserve">, 998 F.3d 1221, 1231 (11th Cir. 2021); </w:t>
      </w:r>
      <w:r>
        <w:rPr>
          <w:rFonts w:ascii="Arial" w:eastAsia="Arial" w:hAnsi="Arial" w:cs="Arial"/>
          <w:i/>
          <w:color w:val="000000"/>
          <w:sz w:val="20"/>
        </w:rPr>
        <w:t xml:space="preserve">see </w:t>
      </w:r>
      <w:bookmarkStart w:id="2515" w:name="Bookmark_I6781YN52SF81W0030000400"/>
      <w:bookmarkEnd w:id="2515"/>
      <w:r>
        <w:rPr>
          <w:rFonts w:ascii="Arial" w:eastAsia="Arial" w:hAnsi="Arial" w:cs="Arial"/>
          <w:i/>
          <w:color w:val="000000"/>
          <w:sz w:val="20"/>
        </w:rPr>
        <w:t>McNeil v. Time Ins. Co.</w:t>
      </w:r>
      <w:r>
        <w:rPr>
          <w:rFonts w:ascii="Arial" w:eastAsia="Arial" w:hAnsi="Arial" w:cs="Arial"/>
          <w:color w:val="000000"/>
          <w:sz w:val="20"/>
        </w:rPr>
        <w:t>, 205 F.3d 179, 186 (5th Cir. 2000). The district court held that Hernandez adequately pleaded the first and second elements of his claim. At issue on appeal is the court's determination that the Complaint was deficient in pleading the third element. But the court's analysis went beyond the sufficiency of the Complaint's factual allegations; it also dismissed the Complaint for lack of subject matter jurisdiction.</w:t>
      </w:r>
    </w:p>
    <w:p w:rsidR="00022B47" w:rsidRDefault="00000000">
      <w:pPr>
        <w:pStyle w:val="Normal13"/>
        <w:widowControl w:val="0"/>
        <w:spacing w:before="200" w:line="260" w:lineRule="atLeast"/>
        <w:jc w:val="both"/>
      </w:pPr>
      <w:bookmarkStart w:id="2516" w:name="Bookmark_para_15_12"/>
      <w:bookmarkStart w:id="2517" w:name="Bookmark_I6781YN62SF8210010000400"/>
      <w:bookmarkStart w:id="2518" w:name="Bookmark_LNHNREFclscc4_11"/>
      <w:bookmarkEnd w:id="2516"/>
      <w:bookmarkEnd w:id="2517"/>
      <w:bookmarkEnd w:id="2518"/>
      <w:r>
        <w:rPr>
          <w:rFonts w:ascii="Arial" w:eastAsia="Arial" w:hAnsi="Arial" w:cs="Arial"/>
          <w:color w:val="000000"/>
          <w:sz w:val="20"/>
        </w:rPr>
        <w:t xml:space="preserve">"[W]hen the issue of jurisdiction is intertwined with the merits, district courts should deal with the objection as a direct attack on the merits of the plaintiff's [*9]  case under . . . [Federal Rule of Civil Procedure] 12(b)(6)." </w:t>
      </w:r>
      <w:bookmarkStart w:id="2519" w:name="Bookmark_I6781YN52SF81W0050000400"/>
      <w:bookmarkEnd w:id="2519"/>
      <w:r>
        <w:rPr>
          <w:rFonts w:ascii="Arial" w:eastAsia="Arial" w:hAnsi="Arial" w:cs="Arial"/>
          <w:i/>
          <w:color w:val="000000"/>
          <w:sz w:val="20"/>
        </w:rPr>
        <w:t>In re S. Recycling, L.L.C.</w:t>
      </w:r>
      <w:r>
        <w:rPr>
          <w:rFonts w:ascii="Arial" w:eastAsia="Arial" w:hAnsi="Arial" w:cs="Arial"/>
          <w:color w:val="000000"/>
          <w:sz w:val="20"/>
        </w:rPr>
        <w:t xml:space="preserve">, 982 F.3d 374, 379 (5th Cir. 2020) (internal quotations omitted); </w:t>
      </w:r>
      <w:bookmarkStart w:id="2520" w:name="Bookmark_I6781YN62SF8210020000400"/>
      <w:bookmarkEnd w:id="2520"/>
      <w:r>
        <w:rPr>
          <w:rFonts w:ascii="Arial" w:eastAsia="Arial" w:hAnsi="Arial" w:cs="Arial"/>
          <w:i/>
          <w:color w:val="000000"/>
          <w:sz w:val="20"/>
        </w:rPr>
        <w:t>Pickett v. Texas Tech Univ. Health Scis. Ctr.</w:t>
      </w:r>
      <w:r>
        <w:rPr>
          <w:rFonts w:ascii="Arial" w:eastAsia="Arial" w:hAnsi="Arial" w:cs="Arial"/>
          <w:color w:val="000000"/>
          <w:sz w:val="20"/>
        </w:rPr>
        <w:t xml:space="preserve">, 37 F.4th 1013, 1019 (5th Cir. 2022); </w:t>
      </w:r>
      <w:bookmarkStart w:id="2521" w:name="Bookmark_I6781YN62SF8210040000400"/>
      <w:bookmarkEnd w:id="2521"/>
      <w:r>
        <w:rPr>
          <w:rFonts w:ascii="Arial" w:eastAsia="Arial" w:hAnsi="Arial" w:cs="Arial"/>
          <w:i/>
          <w:color w:val="000000"/>
          <w:sz w:val="20"/>
        </w:rPr>
        <w:t>Williamson v. Tucker</w:t>
      </w:r>
      <w:r>
        <w:rPr>
          <w:rFonts w:ascii="Arial" w:eastAsia="Arial" w:hAnsi="Arial" w:cs="Arial"/>
          <w:color w:val="000000"/>
          <w:sz w:val="20"/>
        </w:rPr>
        <w:t xml:space="preserve">, 645 F.2d 404, 415 (5th Cir. 1981). Here, the district court held that the Complaint failed to state a claim for the same reason that it held Article III standing was wanting—the factual allegations were insufficient to show that Defendants failed to provide a reasonable accommodation. Additionally, those holdings relied on the same facts—which the court found on EPFH's website—to refute the Complaint's allegations. The court did not address, however, whether the jurisdictional and merits issues should be dealt with simultaneously. Without explanation, the court began its analysis by addressing the Complaint's failure to state a claim. </w:t>
      </w:r>
      <w:bookmarkStart w:id="2522" w:name="Bookmark_I6781YN62HM5VJ0020000400"/>
      <w:bookmarkEnd w:id="2522"/>
      <w:r>
        <w:rPr>
          <w:rFonts w:ascii="Arial" w:eastAsia="Arial" w:hAnsi="Arial" w:cs="Arial"/>
          <w:color w:val="000000"/>
          <w:sz w:val="20"/>
        </w:rPr>
        <w:t xml:space="preserve">Only after completing its 12(b)(6) analysis did the court turn to Hernandez's standing. If these two issues are distinct, the court should have addressed them in reverse order: first, the court should have ruled on whether it had subject matter jurisdiction, and then, only if it had ruled in the affirmative, should it have assessed whether the Complaint failed to state a claim. </w:t>
      </w:r>
      <w:r>
        <w:rPr>
          <w:rFonts w:ascii="Arial" w:eastAsia="Arial" w:hAnsi="Arial" w:cs="Arial"/>
          <w:i/>
          <w:color w:val="000000"/>
          <w:sz w:val="20"/>
        </w:rPr>
        <w:t xml:space="preserve">See </w:t>
      </w:r>
      <w:bookmarkStart w:id="2523" w:name="Bookmark_I6781YN62HM5VJ0010000400"/>
      <w:bookmarkEnd w:id="2523"/>
      <w:r>
        <w:rPr>
          <w:rFonts w:ascii="Arial" w:eastAsia="Arial" w:hAnsi="Arial" w:cs="Arial"/>
          <w:i/>
          <w:color w:val="000000"/>
          <w:sz w:val="20"/>
        </w:rPr>
        <w:t>Steel Co. v. Citizens for a Better Env't</w:t>
      </w:r>
      <w:r>
        <w:rPr>
          <w:rFonts w:ascii="Arial" w:eastAsia="Arial" w:hAnsi="Arial" w:cs="Arial"/>
          <w:color w:val="000000"/>
          <w:sz w:val="20"/>
        </w:rPr>
        <w:t xml:space="preserve">, 523 U.S. 83, 94-95, 118 S. Ct. 1003, 140 L. Ed. 2d 210 (1998) ("The requirement that jurisdiction be established as a threshold matter springs from the nature and limits of the judicial power of the United States and is inflexible [*10]  and without exception." (internal quotations omitted)); </w:t>
      </w:r>
      <w:r>
        <w:rPr>
          <w:rFonts w:ascii="Arial" w:eastAsia="Arial" w:hAnsi="Arial" w:cs="Arial"/>
          <w:i/>
          <w:color w:val="000000"/>
          <w:sz w:val="20"/>
        </w:rPr>
        <w:t xml:space="preserve">see e.g., </w:t>
      </w:r>
      <w:bookmarkStart w:id="2524" w:name="Bookmark_I6781YN62HM5VJ0030000400"/>
      <w:bookmarkEnd w:id="2524"/>
      <w:r>
        <w:rPr>
          <w:rFonts w:ascii="Arial" w:eastAsia="Arial" w:hAnsi="Arial" w:cs="Arial"/>
          <w:i/>
          <w:color w:val="000000"/>
          <w:sz w:val="20"/>
        </w:rPr>
        <w:t>Crane v. Johnson</w:t>
      </w:r>
      <w:r>
        <w:rPr>
          <w:rFonts w:ascii="Arial" w:eastAsia="Arial" w:hAnsi="Arial" w:cs="Arial"/>
          <w:color w:val="000000"/>
          <w:sz w:val="20"/>
        </w:rPr>
        <w:t>, 783 F.3d 244, 251 (5th Cir. 2015) ("We must first consider the threshold question of jurisdiction.").</w:t>
      </w:r>
    </w:p>
    <w:p w:rsidR="00022B47" w:rsidRDefault="00000000">
      <w:pPr>
        <w:pStyle w:val="Normal13"/>
        <w:widowControl w:val="0"/>
        <w:spacing w:before="200" w:line="260" w:lineRule="atLeast"/>
        <w:jc w:val="both"/>
      </w:pPr>
      <w:bookmarkStart w:id="2525" w:name="Bookmark_para_16_12"/>
      <w:bookmarkStart w:id="2526" w:name="Bookmark_I6781YN72HM5VN0010000400"/>
      <w:bookmarkStart w:id="2527" w:name="Bookmark_I6781YN72HM5VN0030000400"/>
      <w:bookmarkEnd w:id="2525"/>
      <w:bookmarkEnd w:id="2526"/>
      <w:bookmarkEnd w:id="2527"/>
      <w:r>
        <w:rPr>
          <w:rFonts w:ascii="Arial" w:eastAsia="Arial" w:hAnsi="Arial" w:cs="Arial"/>
          <w:color w:val="000000"/>
          <w:sz w:val="20"/>
        </w:rPr>
        <w:t xml:space="preserve">Yet, despite this apparent oversight, an accessible offramp is in reach. </w:t>
      </w:r>
      <w:bookmarkStart w:id="2528" w:name="Bookmark_I6781YN72HM5VN0050000400"/>
      <w:bookmarkStart w:id="2529" w:name="Bookmark_LNHNREFclscc5_11"/>
      <w:bookmarkEnd w:id="2528"/>
      <w:bookmarkEnd w:id="2529"/>
      <w:r>
        <w:rPr>
          <w:rFonts w:ascii="Arial" w:eastAsia="Arial" w:hAnsi="Arial" w:cs="Arial"/>
          <w:color w:val="000000"/>
          <w:sz w:val="20"/>
        </w:rPr>
        <w:t xml:space="preserve">On a typical motion to dismiss for failure to state a claim, a complaint's factual allegations are taken as true. </w:t>
      </w:r>
      <w:bookmarkStart w:id="2530" w:name="Bookmark_I6781YN62HM5VJ0050000400"/>
      <w:bookmarkEnd w:id="2530"/>
      <w:r>
        <w:rPr>
          <w:rFonts w:ascii="Arial" w:eastAsia="Arial" w:hAnsi="Arial" w:cs="Arial"/>
          <w:i/>
          <w:color w:val="000000"/>
          <w:sz w:val="20"/>
        </w:rPr>
        <w:t>Ashcroft v. Iqbal</w:t>
      </w:r>
      <w:r>
        <w:rPr>
          <w:rFonts w:ascii="Arial" w:eastAsia="Arial" w:hAnsi="Arial" w:cs="Arial"/>
          <w:color w:val="000000"/>
          <w:sz w:val="20"/>
        </w:rPr>
        <w:t xml:space="preserve">, 556 U.S. 662, 678, 129 S. Ct. 1937, 173 L. Ed. 2d 868 (2009). At this stage of the proceedings, a court is confined to a limited factual universe: "(1) the facts set forth in the complaint, (2) documents attached to the complaint, and (3) matters of which judicial notice may be taken under Federal Rule of Evidence 201." </w:t>
      </w:r>
      <w:bookmarkStart w:id="2531" w:name="Bookmark_I6781YN72HM5VN0020000400"/>
      <w:bookmarkEnd w:id="2531"/>
      <w:r>
        <w:rPr>
          <w:rFonts w:ascii="Arial" w:eastAsia="Arial" w:hAnsi="Arial" w:cs="Arial"/>
          <w:i/>
          <w:color w:val="000000"/>
          <w:sz w:val="20"/>
        </w:rPr>
        <w:t>Walker v. Beaumont Indep. Sch. Dist.</w:t>
      </w:r>
      <w:r>
        <w:rPr>
          <w:rFonts w:ascii="Arial" w:eastAsia="Arial" w:hAnsi="Arial" w:cs="Arial"/>
          <w:color w:val="000000"/>
          <w:sz w:val="20"/>
        </w:rPr>
        <w:t xml:space="preserve">, 938 F.3d 724, 735 (5th Cir. 2019). </w:t>
      </w:r>
      <w:bookmarkStart w:id="2532" w:name="Bookmark_I6781YN72HM5VN0050000400_2"/>
      <w:bookmarkEnd w:id="2532"/>
      <w:r>
        <w:rPr>
          <w:rFonts w:ascii="Arial" w:eastAsia="Arial" w:hAnsi="Arial" w:cs="Arial"/>
          <w:color w:val="000000"/>
          <w:sz w:val="20"/>
        </w:rPr>
        <w:t xml:space="preserve">A court may also consider "[d]ocuments that a defendant attaches to a motion to dismiss," which "are considered part of the pleadings if they are referred to in the plaintiff's complaint and are central to her claim." </w:t>
      </w:r>
      <w:bookmarkStart w:id="2533" w:name="Bookmark_I6781YN72HM5VN0040000400"/>
      <w:bookmarkEnd w:id="2533"/>
      <w:r>
        <w:rPr>
          <w:rFonts w:ascii="Arial" w:eastAsia="Arial" w:hAnsi="Arial" w:cs="Arial"/>
          <w:i/>
          <w:color w:val="000000"/>
          <w:sz w:val="20"/>
        </w:rPr>
        <w:t>Causey v. Sewell Cadillac-Chevrolet</w:t>
      </w:r>
      <w:r>
        <w:rPr>
          <w:rFonts w:ascii="Arial" w:eastAsia="Arial" w:hAnsi="Arial" w:cs="Arial"/>
          <w:color w:val="000000"/>
          <w:sz w:val="20"/>
        </w:rPr>
        <w:t xml:space="preserve">, </w:t>
      </w:r>
      <w:r>
        <w:rPr>
          <w:rFonts w:ascii="Arial" w:eastAsia="Arial" w:hAnsi="Arial" w:cs="Arial"/>
          <w:i/>
          <w:color w:val="000000"/>
          <w:sz w:val="20"/>
        </w:rPr>
        <w:t>Inc.</w:t>
      </w:r>
      <w:r>
        <w:rPr>
          <w:rFonts w:ascii="Arial" w:eastAsia="Arial" w:hAnsi="Arial" w:cs="Arial"/>
          <w:color w:val="000000"/>
          <w:sz w:val="20"/>
        </w:rPr>
        <w:t xml:space="preserve">, 394 F.3d 285, 288 (5th Cir. 2004) (quoting </w:t>
      </w:r>
      <w:bookmarkStart w:id="2534" w:name="Bookmark_I6781YN72SF82C0010000400"/>
      <w:bookmarkEnd w:id="2534"/>
      <w:r>
        <w:rPr>
          <w:rFonts w:ascii="Arial" w:eastAsia="Arial" w:hAnsi="Arial" w:cs="Arial"/>
          <w:i/>
          <w:color w:val="000000"/>
          <w:sz w:val="20"/>
        </w:rPr>
        <w:t>Collins v. Morgan Stanley Dean Witter</w:t>
      </w:r>
      <w:r>
        <w:rPr>
          <w:rFonts w:ascii="Arial" w:eastAsia="Arial" w:hAnsi="Arial" w:cs="Arial"/>
          <w:color w:val="000000"/>
          <w:sz w:val="20"/>
        </w:rPr>
        <w:t>, 224 F.3d 496, 498-99 (5th Cir. 2000)). Citing this last exception, the district court made findings of fact based on information it found on EPFH's website, implying that it considered the website central to Hernandez's claim. The entirety of the district court's standing and mootness analyses is dependent on these factual findings. Likewise, much of the court's analysis concerning whether the Complaint states a claim relies on these findings as well. [*11] </w:t>
      </w:r>
    </w:p>
    <w:p w:rsidR="00022B47" w:rsidRDefault="00000000">
      <w:pPr>
        <w:pStyle w:val="Normal13"/>
        <w:widowControl w:val="0"/>
        <w:spacing w:before="200" w:line="260" w:lineRule="atLeast"/>
        <w:jc w:val="both"/>
      </w:pPr>
      <w:bookmarkStart w:id="2535" w:name="Bookmark_para_17_11"/>
      <w:bookmarkEnd w:id="2535"/>
      <w:r>
        <w:rPr>
          <w:rFonts w:ascii="Arial" w:eastAsia="Arial" w:hAnsi="Arial" w:cs="Arial"/>
          <w:color w:val="000000"/>
          <w:sz w:val="20"/>
        </w:rPr>
        <w:t xml:space="preserve">Hernandez now argues that it was improper for the court to make these findings. If Hernandez is correct, then he would indeed have standing, his case would not be moot, and the remaining issue would be whether the Complaint states a claim. </w:t>
      </w:r>
      <w:bookmarkStart w:id="2536" w:name="Bookmark_I6781YN72SF82C0040000400"/>
      <w:bookmarkEnd w:id="2536"/>
      <w:r>
        <w:rPr>
          <w:rFonts w:ascii="Arial" w:eastAsia="Arial" w:hAnsi="Arial" w:cs="Arial"/>
          <w:color w:val="000000"/>
          <w:sz w:val="20"/>
        </w:rPr>
        <w:t xml:space="preserve">Accordingly, we will first consider whether the district court was permitted to rely on its factual findings. If not, we need not determine whether "the issue of jurisdiction is intertwined with the merits" (nor whether this action is moot). </w:t>
      </w:r>
      <w:bookmarkStart w:id="2537" w:name="Bookmark_I6781YN72SF82C0030000400"/>
      <w:bookmarkEnd w:id="2537"/>
      <w:r>
        <w:rPr>
          <w:rFonts w:ascii="Arial" w:eastAsia="Arial" w:hAnsi="Arial" w:cs="Arial"/>
          <w:i/>
          <w:color w:val="000000"/>
          <w:sz w:val="20"/>
        </w:rPr>
        <w:t>S. Recycling</w:t>
      </w:r>
      <w:r>
        <w:rPr>
          <w:rFonts w:ascii="Arial" w:eastAsia="Arial" w:hAnsi="Arial" w:cs="Arial"/>
          <w:color w:val="000000"/>
          <w:sz w:val="20"/>
        </w:rPr>
        <w:t>, 982 F.3d at 379 (internal quotations omitted).</w:t>
      </w:r>
    </w:p>
    <w:p w:rsidR="00022B47" w:rsidRDefault="00000000">
      <w:pPr>
        <w:pStyle w:val="Normal13"/>
        <w:widowControl w:val="0"/>
        <w:spacing w:before="240" w:line="260" w:lineRule="atLeast"/>
      </w:pPr>
      <w:r>
        <w:br/>
      </w:r>
      <w:r>
        <w:rPr>
          <w:rFonts w:ascii="Arial" w:eastAsia="Arial" w:hAnsi="Arial" w:cs="Arial"/>
          <w:b/>
          <w:color w:val="000000"/>
          <w:sz w:val="20"/>
        </w:rPr>
        <w:t>A</w:t>
      </w:r>
      <w:r>
        <w:rPr>
          <w:rFonts w:ascii="Arial" w:eastAsia="Arial" w:hAnsi="Arial" w:cs="Arial"/>
          <w:color w:val="000000"/>
          <w:sz w:val="20"/>
        </w:rPr>
        <w:t>.</w:t>
      </w:r>
    </w:p>
    <w:p w:rsidR="00022B47" w:rsidRDefault="00000000">
      <w:pPr>
        <w:pStyle w:val="Normal13"/>
        <w:widowControl w:val="0"/>
        <w:spacing w:before="200" w:line="260" w:lineRule="atLeast"/>
        <w:jc w:val="both"/>
      </w:pPr>
      <w:bookmarkStart w:id="2538" w:name="Bookmark_para_18_11"/>
      <w:bookmarkEnd w:id="2538"/>
      <w:r>
        <w:rPr>
          <w:rFonts w:ascii="Arial" w:eastAsia="Arial" w:hAnsi="Arial" w:cs="Arial"/>
          <w:color w:val="000000"/>
          <w:sz w:val="20"/>
        </w:rPr>
        <w:t>Hernandez argues that EPFH's website is not central to his Complaint, and therefore, the district court should not have incorporated it into its analysis. The Complaint states that "EPFH operates a website which provides no information on reasonable accommodations for persons who cannot wear face covering [</w:t>
      </w:r>
      <w:r>
        <w:rPr>
          <w:rFonts w:ascii="Arial" w:eastAsia="Arial" w:hAnsi="Arial" w:cs="Arial"/>
          <w:i/>
          <w:color w:val="000000"/>
          <w:sz w:val="20"/>
        </w:rPr>
        <w:t>sic</w:t>
      </w:r>
      <w:r>
        <w:rPr>
          <w:rFonts w:ascii="Arial" w:eastAsia="Arial" w:hAnsi="Arial" w:cs="Arial"/>
          <w:color w:val="000000"/>
          <w:sz w:val="20"/>
        </w:rPr>
        <w:t xml:space="preserve">]." This fact forms part of the basis for Hernandez's argument that Defendants failed to provide him with a reasonable accommodation. If EPFH's website contradicts the Complaint's allegations, the remaining allegations supporting his claim cannot stand. The Complaint recounts Hernandez's communications with EPFH's staff. According to the Complaint, Defendants told Hernandez [*12]  that he could register for home delivery, but the Complaint alleges that this was not a reasonable accommodation. But Hernandez admits that he is familiar with EPFH's website. </w:t>
      </w:r>
      <w:bookmarkStart w:id="2539" w:name="Bookmark_I6781YN82HM5VT0010000400"/>
      <w:bookmarkEnd w:id="2539"/>
      <w:r>
        <w:rPr>
          <w:rFonts w:ascii="Arial" w:eastAsia="Arial" w:hAnsi="Arial" w:cs="Arial"/>
          <w:color w:val="000000"/>
          <w:sz w:val="20"/>
        </w:rPr>
        <w:t xml:space="preserve">And the Complaint alleges that Hernandez checked the website for reasonable accommodations. Therefore, if a reasonable accommodation was listed on the website, Hernandez would be expected to inquire as to its availability when communicating with EPFH staff. </w:t>
      </w:r>
      <w:r>
        <w:rPr>
          <w:rFonts w:ascii="Arial" w:eastAsia="Arial" w:hAnsi="Arial" w:cs="Arial"/>
          <w:i/>
          <w:color w:val="000000"/>
          <w:sz w:val="20"/>
        </w:rPr>
        <w:t xml:space="preserve">See </w:t>
      </w:r>
      <w:bookmarkStart w:id="2540" w:name="Bookmark_I6781YN72SF82C0050000400"/>
      <w:bookmarkEnd w:id="2540"/>
      <w:r>
        <w:rPr>
          <w:rFonts w:ascii="Arial" w:eastAsia="Arial" w:hAnsi="Arial" w:cs="Arial"/>
          <w:i/>
          <w:color w:val="000000"/>
          <w:sz w:val="20"/>
        </w:rPr>
        <w:t>Johnson v. Gambrinus Co./Spoetzl Brewery</w:t>
      </w:r>
      <w:r>
        <w:rPr>
          <w:rFonts w:ascii="Arial" w:eastAsia="Arial" w:hAnsi="Arial" w:cs="Arial"/>
          <w:color w:val="000000"/>
          <w:sz w:val="20"/>
        </w:rPr>
        <w:t>, 116 F.3d 1052, 1059 (5th Cir. 1997) ("The plaintiff has the burden of proving that a modification was requested and that the requested modification is reasonable."). There can be no Title III claim if the Complaint cannot show that Hernandez met his burden. Accordingly, EPFH's website is central to the Complaint because the veracity of the relevant factual allegations depends on Hernandez's knowledge of the website.</w:t>
      </w:r>
    </w:p>
    <w:p w:rsidR="00022B47" w:rsidRDefault="00000000">
      <w:pPr>
        <w:pStyle w:val="Normal13"/>
        <w:widowControl w:val="0"/>
        <w:spacing w:before="200" w:line="260" w:lineRule="atLeast"/>
        <w:jc w:val="both"/>
      </w:pPr>
      <w:bookmarkStart w:id="2541" w:name="Bookmark_para_19_11"/>
      <w:bookmarkEnd w:id="2541"/>
      <w:r>
        <w:rPr>
          <w:rFonts w:ascii="Arial" w:eastAsia="Arial" w:hAnsi="Arial" w:cs="Arial"/>
          <w:color w:val="000000"/>
          <w:sz w:val="20"/>
        </w:rPr>
        <w:t>What is troubling, however, is that we cannot locate the information the district court cited on EPFH's website. The court held that Defendants offered individuals like Hernandez reasonable accommodations because "their website indeed shows that due to COVID-19, Defendants do offer services such as . . . a 'Mobile Pantry' program in which people can alternatively pick [food] [*13]  up via a 'drive thru' without the need to enter [Defendants'] facilities," in addition to the home delivery program.</w:t>
      </w:r>
      <w:r>
        <w:rPr>
          <w:rFonts w:ascii="Arial" w:eastAsia="Arial" w:hAnsi="Arial" w:cs="Arial"/>
          <w:vertAlign w:val="superscript"/>
        </w:rPr>
        <w:footnoteReference w:customMarkFollows="1" w:id="48"/>
        <w:t>1</w:t>
      </w:r>
      <w:r>
        <w:rPr>
          <w:rFonts w:ascii="Arial" w:eastAsia="Arial" w:hAnsi="Arial" w:cs="Arial"/>
          <w:color w:val="000000"/>
          <w:sz w:val="20"/>
        </w:rPr>
        <w:t xml:space="preserve"> Hernandez asserts that the link cited by the court does not mention the availability of the Mobile Pantry program. We agree. The article does not refer to the Mobile Pantry program by name, nor does it describe a similar initiative. Therefore, the district court erred in considering these proffered facts.</w:t>
      </w:r>
    </w:p>
    <w:p w:rsidR="00022B47" w:rsidRDefault="00000000">
      <w:pPr>
        <w:pStyle w:val="Normal13"/>
        <w:widowControl w:val="0"/>
        <w:spacing w:before="200" w:line="260" w:lineRule="atLeast"/>
        <w:jc w:val="both"/>
      </w:pPr>
      <w:bookmarkStart w:id="2543" w:name="Bookmark_para_20_11"/>
      <w:bookmarkEnd w:id="2543"/>
      <w:r>
        <w:rPr>
          <w:rFonts w:ascii="Arial" w:eastAsia="Arial" w:hAnsi="Arial" w:cs="Arial"/>
          <w:color w:val="000000"/>
          <w:sz w:val="20"/>
        </w:rPr>
        <w:t>The entirety of the district court's standing and mootness analyses relied on its factual findings from EPFH's website. As we have determined that those factual findings were unsupported, we reverse the court's order to the extent it depends on either analysis. We accordingly turn to the court's decision to dismiss the Complaint for failure to state a claim.</w:t>
      </w:r>
    </w:p>
    <w:p w:rsidR="00022B47" w:rsidRDefault="00000000">
      <w:pPr>
        <w:pStyle w:val="Normal13"/>
        <w:widowControl w:val="0"/>
        <w:spacing w:before="240" w:line="260" w:lineRule="atLeast"/>
      </w:pPr>
      <w:r>
        <w:br/>
      </w:r>
      <w:r>
        <w:rPr>
          <w:rFonts w:ascii="Arial" w:eastAsia="Arial" w:hAnsi="Arial" w:cs="Arial"/>
          <w:b/>
          <w:color w:val="000000"/>
          <w:sz w:val="20"/>
        </w:rPr>
        <w:t>B</w:t>
      </w:r>
      <w:r>
        <w:rPr>
          <w:rFonts w:ascii="Arial" w:eastAsia="Arial" w:hAnsi="Arial" w:cs="Arial"/>
          <w:color w:val="000000"/>
          <w:sz w:val="20"/>
        </w:rPr>
        <w:t>.</w:t>
      </w:r>
    </w:p>
    <w:p w:rsidR="00022B47" w:rsidRDefault="00000000">
      <w:pPr>
        <w:pStyle w:val="Normal13"/>
        <w:widowControl w:val="0"/>
        <w:spacing w:before="200" w:line="260" w:lineRule="atLeast"/>
        <w:jc w:val="both"/>
      </w:pPr>
      <w:bookmarkStart w:id="2544" w:name="Bookmark_para_21_11"/>
      <w:bookmarkStart w:id="2545" w:name="Bookmark_I6781YN82HM5VT0030000400"/>
      <w:bookmarkStart w:id="2546" w:name="Bookmark_I6781YN82N1RB80020000400"/>
      <w:bookmarkStart w:id="2547" w:name="Bookmark_LNHNREFclscc6_9"/>
      <w:bookmarkEnd w:id="2544"/>
      <w:bookmarkEnd w:id="2545"/>
      <w:bookmarkEnd w:id="2546"/>
      <w:bookmarkEnd w:id="2547"/>
      <w:r>
        <w:rPr>
          <w:rFonts w:ascii="Arial" w:eastAsia="Arial" w:hAnsi="Arial" w:cs="Arial"/>
          <w:color w:val="000000"/>
          <w:sz w:val="20"/>
        </w:rPr>
        <w:t xml:space="preserve">We review a § 1915(e)(2)(B)(ii) dismissal for failure to state a claim </w:t>
      </w:r>
      <w:r>
        <w:rPr>
          <w:rFonts w:ascii="Arial" w:eastAsia="Arial" w:hAnsi="Arial" w:cs="Arial"/>
          <w:i/>
          <w:color w:val="000000"/>
          <w:sz w:val="20"/>
        </w:rPr>
        <w:t>de novo</w:t>
      </w:r>
      <w:r>
        <w:rPr>
          <w:rFonts w:ascii="Arial" w:eastAsia="Arial" w:hAnsi="Arial" w:cs="Arial"/>
          <w:color w:val="000000"/>
          <w:sz w:val="20"/>
        </w:rPr>
        <w:t xml:space="preserve"> using the standard applicable to Rule 12(b)(6) dismissals. </w:t>
      </w:r>
      <w:bookmarkStart w:id="2548" w:name="Bookmark_I6781YN82N1RB80040000400"/>
      <w:bookmarkStart w:id="2549" w:name="Bookmark_I6781YN82HM5VT0020000400"/>
      <w:bookmarkEnd w:id="2548"/>
      <w:bookmarkEnd w:id="2549"/>
      <w:r>
        <w:rPr>
          <w:rFonts w:ascii="Arial" w:eastAsia="Arial" w:hAnsi="Arial" w:cs="Arial"/>
          <w:i/>
          <w:color w:val="000000"/>
          <w:sz w:val="20"/>
        </w:rPr>
        <w:t>Butler v. S. Porter</w:t>
      </w:r>
      <w:r>
        <w:rPr>
          <w:rFonts w:ascii="Arial" w:eastAsia="Arial" w:hAnsi="Arial" w:cs="Arial"/>
          <w:color w:val="000000"/>
          <w:sz w:val="20"/>
        </w:rPr>
        <w:t xml:space="preserve">, 999 F.3d 287, 292 (5th Cir. 2021), </w:t>
      </w:r>
      <w:r>
        <w:rPr>
          <w:rFonts w:ascii="Arial" w:eastAsia="Arial" w:hAnsi="Arial" w:cs="Arial"/>
          <w:i/>
          <w:color w:val="000000"/>
          <w:sz w:val="20"/>
        </w:rPr>
        <w:t xml:space="preserve">cert. denied sub nom. </w:t>
      </w:r>
      <w:bookmarkStart w:id="2550" w:name="Bookmark_I6781YN82HM5VT0040000400"/>
      <w:bookmarkEnd w:id="2550"/>
      <w:r>
        <w:rPr>
          <w:rFonts w:ascii="Arial" w:eastAsia="Arial" w:hAnsi="Arial" w:cs="Arial"/>
          <w:i/>
          <w:color w:val="000000"/>
          <w:sz w:val="20"/>
        </w:rPr>
        <w:t>Butler v. Porter</w:t>
      </w:r>
      <w:r>
        <w:rPr>
          <w:rFonts w:ascii="Arial" w:eastAsia="Arial" w:hAnsi="Arial" w:cs="Arial"/>
          <w:color w:val="000000"/>
          <w:sz w:val="20"/>
        </w:rPr>
        <w:t xml:space="preserve">, 142 S. Ct. 766, 211 L. Ed. 2d 480 (2022), </w:t>
      </w:r>
      <w:r>
        <w:rPr>
          <w:rFonts w:ascii="Arial" w:eastAsia="Arial" w:hAnsi="Arial" w:cs="Arial"/>
          <w:i/>
          <w:color w:val="000000"/>
          <w:sz w:val="20"/>
        </w:rPr>
        <w:t>reh'g denied</w:t>
      </w:r>
      <w:r>
        <w:rPr>
          <w:rFonts w:ascii="Arial" w:eastAsia="Arial" w:hAnsi="Arial" w:cs="Arial"/>
          <w:color w:val="000000"/>
          <w:sz w:val="20"/>
        </w:rPr>
        <w:t xml:space="preserve">, 142 S. Ct. 1224, 212 L. Ed. 2d 231 (2022). </w:t>
      </w:r>
      <w:bookmarkStart w:id="2551" w:name="Bookmark_I6781YN828T4170010000400"/>
      <w:bookmarkEnd w:id="2551"/>
      <w:r>
        <w:rPr>
          <w:rFonts w:ascii="Arial" w:eastAsia="Arial" w:hAnsi="Arial" w:cs="Arial"/>
          <w:color w:val="000000"/>
          <w:sz w:val="20"/>
        </w:rPr>
        <w:t xml:space="preserve">To overcome a motion to dismiss, a complaint must allege enough facts, accepted as true, "to state a claim to relief that is plausible on its face." </w:t>
      </w:r>
      <w:bookmarkStart w:id="2552" w:name="Bookmark_I6781YN82N1RB80010000400"/>
      <w:bookmarkEnd w:id="2552"/>
      <w:r>
        <w:rPr>
          <w:rFonts w:ascii="Arial" w:eastAsia="Arial" w:hAnsi="Arial" w:cs="Arial"/>
          <w:i/>
          <w:color w:val="000000"/>
          <w:sz w:val="20"/>
        </w:rPr>
        <w:t>Bell Atl. Corp. v. Twombly</w:t>
      </w:r>
      <w:r>
        <w:rPr>
          <w:rFonts w:ascii="Arial" w:eastAsia="Arial" w:hAnsi="Arial" w:cs="Arial"/>
          <w:color w:val="000000"/>
          <w:sz w:val="20"/>
        </w:rPr>
        <w:t xml:space="preserve">, 550 U.S. 544, 570, 127 S. Ct. 1955, 167 L. Ed. 2d 929 (2007). </w:t>
      </w:r>
      <w:bookmarkStart w:id="2553" w:name="Bookmark_I6781YN828T4170010000400_2"/>
      <w:bookmarkStart w:id="2554" w:name="Bookmark_I6781YN82N1RB80040000400_2"/>
      <w:bookmarkEnd w:id="2553"/>
      <w:bookmarkEnd w:id="2554"/>
      <w:r>
        <w:rPr>
          <w:rFonts w:ascii="Arial" w:eastAsia="Arial" w:hAnsi="Arial" w:cs="Arial"/>
          <w:color w:val="000000"/>
          <w:sz w:val="20"/>
        </w:rPr>
        <w:t xml:space="preserve">"A claim has facial plausibility when the [*14]  plaintiff pleads factual content that allows the court to draw the reasonable inference that the defendant is liable for the misconduct alleged." </w:t>
      </w:r>
      <w:bookmarkStart w:id="2555" w:name="Bookmark_I6781YN82N1RB80030000400"/>
      <w:bookmarkEnd w:id="2555"/>
      <w:r>
        <w:rPr>
          <w:rFonts w:ascii="Arial" w:eastAsia="Arial" w:hAnsi="Arial" w:cs="Arial"/>
          <w:i/>
          <w:color w:val="000000"/>
          <w:sz w:val="20"/>
        </w:rPr>
        <w:t>Iqbal</w:t>
      </w:r>
      <w:r>
        <w:rPr>
          <w:rFonts w:ascii="Arial" w:eastAsia="Arial" w:hAnsi="Arial" w:cs="Arial"/>
          <w:color w:val="000000"/>
          <w:sz w:val="20"/>
        </w:rPr>
        <w:t xml:space="preserve">, 556 U.S. at 678. </w:t>
      </w:r>
      <w:bookmarkStart w:id="2556" w:name="Bookmark_I6781YN828T4170050000400"/>
      <w:bookmarkEnd w:id="2556"/>
      <w:r>
        <w:rPr>
          <w:rFonts w:ascii="Arial" w:eastAsia="Arial" w:hAnsi="Arial" w:cs="Arial"/>
          <w:color w:val="000000"/>
          <w:sz w:val="20"/>
        </w:rPr>
        <w:t xml:space="preserve">Although "detailed factual allegations" are not required, the complaint must include "factual allegations that when assumed to be true 'raise a right to relief above the speculative level.'" </w:t>
      </w:r>
      <w:bookmarkStart w:id="2557" w:name="Bookmark_I6781YN82N1RB80050000400"/>
      <w:bookmarkEnd w:id="2557"/>
      <w:r>
        <w:rPr>
          <w:rFonts w:ascii="Arial" w:eastAsia="Arial" w:hAnsi="Arial" w:cs="Arial"/>
          <w:i/>
          <w:color w:val="000000"/>
          <w:sz w:val="20"/>
        </w:rPr>
        <w:t>Cuvillier v. Sullivan</w:t>
      </w:r>
      <w:r>
        <w:rPr>
          <w:rFonts w:ascii="Arial" w:eastAsia="Arial" w:hAnsi="Arial" w:cs="Arial"/>
          <w:color w:val="000000"/>
          <w:sz w:val="20"/>
        </w:rPr>
        <w:t xml:space="preserve">, 503 F.3d 397, 401 (5th Cir. 2007) (quoting </w:t>
      </w:r>
      <w:bookmarkStart w:id="2558" w:name="Bookmark_I6781YN828T4170020000400"/>
      <w:bookmarkEnd w:id="2558"/>
      <w:r>
        <w:rPr>
          <w:rFonts w:ascii="Arial" w:eastAsia="Arial" w:hAnsi="Arial" w:cs="Arial"/>
          <w:i/>
          <w:color w:val="000000"/>
          <w:sz w:val="20"/>
        </w:rPr>
        <w:t>Twombly</w:t>
      </w:r>
      <w:r>
        <w:rPr>
          <w:rFonts w:ascii="Arial" w:eastAsia="Arial" w:hAnsi="Arial" w:cs="Arial"/>
          <w:color w:val="000000"/>
          <w:sz w:val="20"/>
        </w:rPr>
        <w:t xml:space="preserve">, 550 U.S. at 555). </w:t>
      </w:r>
      <w:bookmarkStart w:id="2559" w:name="Bookmark_I6781YN828T4170050000400_2"/>
      <w:bookmarkEnd w:id="2559"/>
      <w:r>
        <w:rPr>
          <w:rFonts w:ascii="Arial" w:eastAsia="Arial" w:hAnsi="Arial" w:cs="Arial"/>
          <w:color w:val="000000"/>
          <w:sz w:val="20"/>
        </w:rPr>
        <w:t xml:space="preserve">Conclusory statements or "'naked assertion[s]' devoid of 'further factual enhancement'" are insufficient. </w:t>
      </w:r>
      <w:bookmarkStart w:id="2560" w:name="Bookmark_I6781YN82D6MW90040000400"/>
      <w:bookmarkStart w:id="2561" w:name="Bookmark_I6781YN828T4170040000400"/>
      <w:bookmarkEnd w:id="2560"/>
      <w:bookmarkEnd w:id="2561"/>
      <w:r>
        <w:rPr>
          <w:rFonts w:ascii="Arial" w:eastAsia="Arial" w:hAnsi="Arial" w:cs="Arial"/>
          <w:i/>
          <w:color w:val="000000"/>
          <w:sz w:val="20"/>
        </w:rPr>
        <w:t>Iqbal</w:t>
      </w:r>
      <w:r>
        <w:rPr>
          <w:rFonts w:ascii="Arial" w:eastAsia="Arial" w:hAnsi="Arial" w:cs="Arial"/>
          <w:color w:val="000000"/>
          <w:sz w:val="20"/>
        </w:rPr>
        <w:t xml:space="preserve">, 556 U.S. at 678 (alteration in original) (quoting </w:t>
      </w:r>
      <w:bookmarkStart w:id="2562" w:name="Bookmark_I6781YN82D6MW90010000400"/>
      <w:bookmarkEnd w:id="2562"/>
      <w:r>
        <w:rPr>
          <w:rFonts w:ascii="Arial" w:eastAsia="Arial" w:hAnsi="Arial" w:cs="Arial"/>
          <w:i/>
          <w:color w:val="000000"/>
          <w:sz w:val="20"/>
        </w:rPr>
        <w:t>Twombly</w:t>
      </w:r>
      <w:r>
        <w:rPr>
          <w:rFonts w:ascii="Arial" w:eastAsia="Arial" w:hAnsi="Arial" w:cs="Arial"/>
          <w:color w:val="000000"/>
          <w:sz w:val="20"/>
        </w:rPr>
        <w:t xml:space="preserve">, 550 U.S. at 557). </w:t>
      </w:r>
      <w:bookmarkStart w:id="2563" w:name="Bookmark_I6781YN82D6MW90040000400_2"/>
      <w:bookmarkStart w:id="2564" w:name="Bookmark_I6781YN82SF82P0010000400"/>
      <w:bookmarkEnd w:id="2563"/>
      <w:bookmarkEnd w:id="2564"/>
      <w:r>
        <w:rPr>
          <w:rFonts w:ascii="Arial" w:eastAsia="Arial" w:hAnsi="Arial" w:cs="Arial"/>
          <w:color w:val="000000"/>
          <w:sz w:val="20"/>
        </w:rPr>
        <w:t xml:space="preserve">"The plausibility standard . . . asks for more than a sheer possibility that a defendant has acted unlawfully." </w:t>
      </w:r>
      <w:r>
        <w:rPr>
          <w:rFonts w:ascii="Arial" w:eastAsia="Arial" w:hAnsi="Arial" w:cs="Arial"/>
          <w:i/>
          <w:color w:val="000000"/>
          <w:sz w:val="20"/>
        </w:rPr>
        <w:t>Id.</w:t>
      </w:r>
      <w:r>
        <w:rPr>
          <w:rFonts w:ascii="Arial" w:eastAsia="Arial" w:hAnsi="Arial" w:cs="Arial"/>
          <w:color w:val="000000"/>
          <w:sz w:val="20"/>
        </w:rPr>
        <w:t xml:space="preserve"> A complaint pleading facts "that are 'merely consistent with' a defendant's liability . . . </w:t>
      </w:r>
      <w:bookmarkStart w:id="2565" w:name="Bookmark_I6781YN82SF82P0030000400"/>
      <w:bookmarkEnd w:id="2565"/>
      <w:r>
        <w:rPr>
          <w:rFonts w:ascii="Arial" w:eastAsia="Arial" w:hAnsi="Arial" w:cs="Arial"/>
          <w:color w:val="000000"/>
          <w:sz w:val="20"/>
        </w:rPr>
        <w:t xml:space="preserve">'stops short of the line between possibility and plausibility of entitlement to relief.'" </w:t>
      </w:r>
      <w:r>
        <w:rPr>
          <w:rFonts w:ascii="Arial" w:eastAsia="Arial" w:hAnsi="Arial" w:cs="Arial"/>
          <w:i/>
          <w:color w:val="000000"/>
          <w:sz w:val="20"/>
        </w:rPr>
        <w:t>Id.</w:t>
      </w:r>
      <w:r>
        <w:rPr>
          <w:rFonts w:ascii="Arial" w:eastAsia="Arial" w:hAnsi="Arial" w:cs="Arial"/>
          <w:color w:val="000000"/>
          <w:sz w:val="20"/>
        </w:rPr>
        <w:t xml:space="preserve"> (quoting </w:t>
      </w:r>
      <w:bookmarkStart w:id="2566" w:name="Bookmark_I6781YN82D6MW90030000400"/>
      <w:bookmarkEnd w:id="2566"/>
      <w:r>
        <w:rPr>
          <w:rFonts w:ascii="Arial" w:eastAsia="Arial" w:hAnsi="Arial" w:cs="Arial"/>
          <w:i/>
          <w:color w:val="000000"/>
          <w:sz w:val="20"/>
        </w:rPr>
        <w:t>Twombly</w:t>
      </w:r>
      <w:r>
        <w:rPr>
          <w:rFonts w:ascii="Arial" w:eastAsia="Arial" w:hAnsi="Arial" w:cs="Arial"/>
          <w:color w:val="000000"/>
          <w:sz w:val="20"/>
        </w:rPr>
        <w:t xml:space="preserve">, 550 U.S. at 557). </w:t>
      </w:r>
      <w:bookmarkStart w:id="2567" w:name="Bookmark_I6781YN82SF82P0030000400_2"/>
      <w:bookmarkStart w:id="2568" w:name="Bookmark_I6781YN82SF82P0010000400_2"/>
      <w:bookmarkEnd w:id="2567"/>
      <w:bookmarkEnd w:id="2568"/>
      <w:r>
        <w:rPr>
          <w:rFonts w:ascii="Arial" w:eastAsia="Arial" w:hAnsi="Arial" w:cs="Arial"/>
          <w:color w:val="000000"/>
          <w:sz w:val="20"/>
        </w:rPr>
        <w:t xml:space="preserve">Whether the plausibility standard has been met is a "context-specific task that requires the reviewing court to draw on its judicial experience and common sense." </w:t>
      </w:r>
      <w:bookmarkStart w:id="2569" w:name="Bookmark_I6781YN82D6MW90050000400"/>
      <w:bookmarkEnd w:id="2569"/>
      <w:r>
        <w:rPr>
          <w:rFonts w:ascii="Arial" w:eastAsia="Arial" w:hAnsi="Arial" w:cs="Arial"/>
          <w:i/>
          <w:color w:val="000000"/>
          <w:sz w:val="20"/>
        </w:rPr>
        <w:t>Id.</w:t>
      </w:r>
      <w:r>
        <w:rPr>
          <w:rFonts w:ascii="Arial" w:eastAsia="Arial" w:hAnsi="Arial" w:cs="Arial"/>
          <w:color w:val="000000"/>
          <w:sz w:val="20"/>
        </w:rPr>
        <w:t xml:space="preserve"> at 679. Additionally, the pleadings of a </w:t>
      </w:r>
      <w:r>
        <w:rPr>
          <w:rFonts w:ascii="Arial" w:eastAsia="Arial" w:hAnsi="Arial" w:cs="Arial"/>
          <w:i/>
          <w:color w:val="000000"/>
          <w:sz w:val="20"/>
        </w:rPr>
        <w:t>pro se</w:t>
      </w:r>
      <w:r>
        <w:rPr>
          <w:rFonts w:ascii="Arial" w:eastAsia="Arial" w:hAnsi="Arial" w:cs="Arial"/>
          <w:color w:val="000000"/>
          <w:sz w:val="20"/>
        </w:rPr>
        <w:t xml:space="preserve"> litigant such as Hernandez "are construed liberally." </w:t>
      </w:r>
      <w:bookmarkStart w:id="2570" w:name="Bookmark_I6781YN82SF82P0020000400"/>
      <w:bookmarkEnd w:id="2570"/>
      <w:r>
        <w:rPr>
          <w:rFonts w:ascii="Arial" w:eastAsia="Arial" w:hAnsi="Arial" w:cs="Arial"/>
          <w:i/>
          <w:color w:val="000000"/>
          <w:sz w:val="20"/>
        </w:rPr>
        <w:t>Butler</w:t>
      </w:r>
      <w:r>
        <w:rPr>
          <w:rFonts w:ascii="Arial" w:eastAsia="Arial" w:hAnsi="Arial" w:cs="Arial"/>
          <w:color w:val="000000"/>
          <w:sz w:val="20"/>
        </w:rPr>
        <w:t xml:space="preserve">, 999 F.3d at 292 (citing </w:t>
      </w:r>
      <w:bookmarkStart w:id="2571" w:name="Bookmark_I6781YN82SF82P0040000400"/>
      <w:bookmarkEnd w:id="2571"/>
      <w:r>
        <w:rPr>
          <w:rFonts w:ascii="Arial" w:eastAsia="Arial" w:hAnsi="Arial" w:cs="Arial"/>
          <w:i/>
          <w:color w:val="000000"/>
          <w:sz w:val="20"/>
        </w:rPr>
        <w:t>Haines v. Kerner</w:t>
      </w:r>
      <w:r>
        <w:rPr>
          <w:rFonts w:ascii="Arial" w:eastAsia="Arial" w:hAnsi="Arial" w:cs="Arial"/>
          <w:color w:val="000000"/>
          <w:sz w:val="20"/>
        </w:rPr>
        <w:t>, 404 U.S. 519, 520-21, 92 S. Ct. 594, 30 L. Ed. 2d 652 (1972) (per curiam)).</w:t>
      </w:r>
    </w:p>
    <w:p w:rsidR="00022B47" w:rsidRDefault="00000000">
      <w:pPr>
        <w:pStyle w:val="Normal13"/>
        <w:widowControl w:val="0"/>
        <w:spacing w:before="200" w:line="260" w:lineRule="atLeast"/>
        <w:jc w:val="both"/>
      </w:pPr>
      <w:bookmarkStart w:id="2572" w:name="Bookmark_para_22_10"/>
      <w:bookmarkEnd w:id="2572"/>
      <w:r>
        <w:rPr>
          <w:rFonts w:ascii="Arial" w:eastAsia="Arial" w:hAnsi="Arial" w:cs="Arial"/>
          <w:color w:val="000000"/>
          <w:sz w:val="20"/>
        </w:rPr>
        <w:t xml:space="preserve">The district court held that the Complaint contained insufficient factual allegations regarding the third prong [*15]  of a Title III claim—the discrimination prong. </w:t>
      </w:r>
      <w:bookmarkStart w:id="2573" w:name="Bookmark_LNHNREFclscc7_8"/>
      <w:bookmarkEnd w:id="2573"/>
      <w:r>
        <w:rPr>
          <w:rFonts w:ascii="Arial" w:eastAsia="Arial" w:hAnsi="Arial" w:cs="Arial"/>
          <w:color w:val="000000"/>
          <w:sz w:val="20"/>
        </w:rPr>
        <w:t>Discrimination under Title III includes: a failure to make reasonable modifications in policies,</w:t>
      </w:r>
    </w:p>
    <w:p w:rsidR="00022B47" w:rsidRDefault="00000000">
      <w:pPr>
        <w:pStyle w:val="Normal13"/>
        <w:widowControl w:val="0"/>
        <w:spacing w:line="260" w:lineRule="atLeast"/>
        <w:ind w:left="400"/>
        <w:jc w:val="both"/>
      </w:pPr>
      <w:bookmarkStart w:id="2574" w:name="Bookmark_para_23_9"/>
      <w:bookmarkEnd w:id="2574"/>
      <w:r>
        <w:rPr>
          <w:rFonts w:ascii="Arial" w:eastAsia="Arial" w:hAnsi="Arial" w:cs="Arial"/>
          <w:color w:val="000000"/>
          <w:sz w:val="20"/>
        </w:rPr>
        <w:t>practices, or procedures, when such modifications are necessary to afford such goods, services, facilities, privileges, advantages, or accommodations to individuals with disabilities, unless the entity can demonstrate that making such modifications would fundamentally alter the nature of such goods, services, facilities, privileges, advantages, or accommodations.</w:t>
      </w:r>
    </w:p>
    <w:p w:rsidR="00022B47" w:rsidRDefault="00000000">
      <w:pPr>
        <w:pStyle w:val="Normal13"/>
        <w:widowControl w:val="0"/>
        <w:spacing w:before="200" w:line="260" w:lineRule="atLeast"/>
        <w:jc w:val="both"/>
      </w:pPr>
      <w:r>
        <w:rPr>
          <w:rFonts w:ascii="Arial" w:eastAsia="Arial" w:hAnsi="Arial" w:cs="Arial"/>
          <w:color w:val="000000"/>
          <w:sz w:val="20"/>
        </w:rPr>
        <w:t>42 U.S.C. § 12182(b)(2)(A)(ii). Hernandez claims that because he was unable to comply with EPFH's masking requirements on account of his disability, which precluded him from benefiting from EPFH's services, Defendants were obligated to make reasonable modifications to accommodate him. The Complaint alleges that Defendants offered Hernandez a reasonable accommodation in the form of home delivery once he had initiated communication with EPFH staff. But Hernandez contends that the Complaint also alleges that the home delivery program was ineffective. The Complaint states that Hernandez "register[ed] for home delivery . . . in November [2020] and only received food once since that time." The Complaint then states that [*16]  when Hernandez "informed Defendants about this fact, . . . Defendants refused to provide a reasonable accommodation." The Complaint provides only one additional detail concerning this interaction: Hernandez requested that Defendants alternatively allow him to receive curb side service, but "once again the Defendants refused to provide this reasonable accommodation citing their practice as 'good enough.'"</w:t>
      </w:r>
    </w:p>
    <w:p w:rsidR="00022B47" w:rsidRDefault="00000000">
      <w:pPr>
        <w:pStyle w:val="Normal13"/>
        <w:widowControl w:val="0"/>
        <w:spacing w:before="200" w:line="260" w:lineRule="atLeast"/>
        <w:jc w:val="both"/>
      </w:pPr>
      <w:bookmarkStart w:id="2575" w:name="Bookmark_para_24_9"/>
      <w:bookmarkEnd w:id="2575"/>
      <w:r>
        <w:rPr>
          <w:rFonts w:ascii="Arial" w:eastAsia="Arial" w:hAnsi="Arial" w:cs="Arial"/>
          <w:color w:val="000000"/>
          <w:sz w:val="20"/>
        </w:rPr>
        <w:t xml:space="preserve">These allegations are insufficient to show that Hernandez was denied a reasonable accommodation. Hernandez does not explain how Defendants responded to his complaint regarding the infrequency of home delivery, apart from the legal conclusion that they "refused to provide a reasonable accommodation." There are no allegations describing Defendants' actual response. </w:t>
      </w:r>
      <w:bookmarkStart w:id="2576" w:name="Bookmark_I6781YN92HM5W50020000400"/>
      <w:bookmarkEnd w:id="2576"/>
      <w:r>
        <w:rPr>
          <w:rFonts w:ascii="Arial" w:eastAsia="Arial" w:hAnsi="Arial" w:cs="Arial"/>
          <w:color w:val="000000"/>
          <w:sz w:val="20"/>
        </w:rPr>
        <w:t xml:space="preserve">Hernandez's characterization of Defendants' response necessitates an inferential leap beyond the bounds of a well-pleaded complaint. </w:t>
      </w:r>
      <w:bookmarkStart w:id="2577" w:name="Bookmark_LNHNREFclscc8_8"/>
      <w:bookmarkEnd w:id="2577"/>
      <w:r>
        <w:rPr>
          <w:rFonts w:ascii="Arial" w:eastAsia="Arial" w:hAnsi="Arial" w:cs="Arial"/>
          <w:color w:val="000000"/>
          <w:sz w:val="20"/>
        </w:rPr>
        <w:t xml:space="preserve">A court need not substitute legal conclusions for factual allegations. </w:t>
      </w:r>
      <w:bookmarkStart w:id="2578" w:name="Bookmark_I6781YN92HM5W50010000400"/>
      <w:bookmarkEnd w:id="2578"/>
      <w:r>
        <w:rPr>
          <w:rFonts w:ascii="Arial" w:eastAsia="Arial" w:hAnsi="Arial" w:cs="Arial"/>
          <w:i/>
          <w:color w:val="000000"/>
          <w:sz w:val="20"/>
        </w:rPr>
        <w:t>Iqbal</w:t>
      </w:r>
      <w:r>
        <w:rPr>
          <w:rFonts w:ascii="Arial" w:eastAsia="Arial" w:hAnsi="Arial" w:cs="Arial"/>
          <w:color w:val="000000"/>
          <w:sz w:val="20"/>
        </w:rPr>
        <w:t xml:space="preserve">, 556 U.S. at 678. Tellingly, Hernandez provides a factual allegation in describing Defendants' response to his suggested alternative, </w:t>
      </w:r>
      <w:r>
        <w:rPr>
          <w:rFonts w:ascii="Arial" w:eastAsia="Arial" w:hAnsi="Arial" w:cs="Arial"/>
          <w:i/>
          <w:color w:val="000000"/>
          <w:sz w:val="20"/>
        </w:rPr>
        <w:t>i.e.</w:t>
      </w:r>
      <w:r>
        <w:rPr>
          <w:rFonts w:ascii="Arial" w:eastAsia="Arial" w:hAnsi="Arial" w:cs="Arial"/>
          <w:color w:val="000000"/>
          <w:sz w:val="20"/>
        </w:rPr>
        <w:t>, curb side service—that home delivery was "good enough." This allegation also demonstrates that Defendants [*17]  relied on home delivery as a reasonable modification to their masking policies that could not otherwise accommodate individuals with disabilities like Hernandez. Thus, the Complaint would likely be well pleaded had it alleged facts showing that Defendants refused to ensure that home delivery was an effective alternative. But this link in the logical chain is not supported by any factual allegations. Therefore, the Complaint fails to state a claim and we affirm the district court's holding in this respect.</w:t>
      </w:r>
      <w:r>
        <w:rPr>
          <w:rFonts w:ascii="Arial" w:eastAsia="Arial" w:hAnsi="Arial" w:cs="Arial"/>
          <w:vertAlign w:val="superscript"/>
        </w:rPr>
        <w:footnoteReference w:customMarkFollows="1" w:id="49"/>
        <w:t>2</w:t>
      </w:r>
    </w:p>
    <w:p w:rsidR="00022B47" w:rsidRDefault="00000000">
      <w:pPr>
        <w:pStyle w:val="Normal13"/>
        <w:widowControl w:val="0"/>
        <w:spacing w:before="240" w:line="260" w:lineRule="atLeast"/>
      </w:pPr>
      <w:r>
        <w:br/>
      </w:r>
      <w:r>
        <w:rPr>
          <w:rFonts w:ascii="Arial" w:eastAsia="Arial" w:hAnsi="Arial" w:cs="Arial"/>
          <w:b/>
          <w:color w:val="000000"/>
          <w:sz w:val="20"/>
        </w:rPr>
        <w:t>C</w:t>
      </w:r>
      <w:r>
        <w:rPr>
          <w:rFonts w:ascii="Arial" w:eastAsia="Arial" w:hAnsi="Arial" w:cs="Arial"/>
          <w:color w:val="000000"/>
          <w:sz w:val="20"/>
        </w:rPr>
        <w:t>.</w:t>
      </w:r>
    </w:p>
    <w:p w:rsidR="00022B47" w:rsidRDefault="00000000">
      <w:pPr>
        <w:pStyle w:val="Normal13"/>
        <w:widowControl w:val="0"/>
        <w:spacing w:before="200" w:line="260" w:lineRule="atLeast"/>
        <w:jc w:val="both"/>
      </w:pPr>
      <w:bookmarkStart w:id="2580" w:name="Bookmark_para_25_9"/>
      <w:bookmarkStart w:id="2581" w:name="Bookmark_I6781YN92HM5W50040000400"/>
      <w:bookmarkEnd w:id="2580"/>
      <w:bookmarkEnd w:id="2581"/>
      <w:r>
        <w:rPr>
          <w:rFonts w:ascii="Arial" w:eastAsia="Arial" w:hAnsi="Arial" w:cs="Arial"/>
          <w:color w:val="000000"/>
          <w:sz w:val="20"/>
        </w:rPr>
        <w:t xml:space="preserve">The district court also dismissed Hernandez's Complaint as frivolous. </w:t>
      </w:r>
      <w:bookmarkStart w:id="2582" w:name="Bookmark_I6781YN928T41B0010000400"/>
      <w:bookmarkStart w:id="2583" w:name="Bookmark_LNHNREFclscc9_8"/>
      <w:bookmarkEnd w:id="2582"/>
      <w:bookmarkEnd w:id="2583"/>
      <w:r>
        <w:rPr>
          <w:rFonts w:ascii="Arial" w:eastAsia="Arial" w:hAnsi="Arial" w:cs="Arial"/>
          <w:color w:val="000000"/>
          <w:sz w:val="20"/>
        </w:rPr>
        <w:t xml:space="preserve">We review a § 1915(e)(2)(B)(i) dismissal for a complaint as frivolous for abuse of discretion. </w:t>
      </w:r>
      <w:bookmarkStart w:id="2584" w:name="Bookmark_I6781YN928T41B0030000400"/>
      <w:bookmarkStart w:id="2585" w:name="Bookmark_I6781YN92HM5W50030000400"/>
      <w:bookmarkEnd w:id="2584"/>
      <w:bookmarkEnd w:id="2585"/>
      <w:r>
        <w:rPr>
          <w:rFonts w:ascii="Arial" w:eastAsia="Arial" w:hAnsi="Arial" w:cs="Arial"/>
          <w:i/>
          <w:color w:val="000000"/>
          <w:sz w:val="20"/>
        </w:rPr>
        <w:t>Butler</w:t>
      </w:r>
      <w:r>
        <w:rPr>
          <w:rFonts w:ascii="Arial" w:eastAsia="Arial" w:hAnsi="Arial" w:cs="Arial"/>
          <w:color w:val="000000"/>
          <w:sz w:val="20"/>
        </w:rPr>
        <w:t xml:space="preserve">, 999 F.3d at 292 (5th Cir. 2021). </w:t>
      </w:r>
      <w:bookmarkStart w:id="2586" w:name="Bookmark_I6781YN928T41B0030000400_2"/>
      <w:bookmarkStart w:id="2587" w:name="Bookmark_I6781YN928T41B0010000400_2"/>
      <w:bookmarkStart w:id="2588" w:name="Bookmark_I6781YN928T41B0050000400"/>
      <w:bookmarkEnd w:id="2586"/>
      <w:bookmarkEnd w:id="2587"/>
      <w:bookmarkEnd w:id="2588"/>
      <w:r>
        <w:rPr>
          <w:rFonts w:ascii="Arial" w:eastAsia="Arial" w:hAnsi="Arial" w:cs="Arial"/>
          <w:color w:val="000000"/>
          <w:sz w:val="20"/>
        </w:rPr>
        <w:t xml:space="preserve">A complaint is frivolous "where it lacks an arguable basis either in law or in fact." </w:t>
      </w:r>
      <w:bookmarkStart w:id="2589" w:name="Bookmark_I6781YN92HM5W50050000400"/>
      <w:bookmarkEnd w:id="2589"/>
      <w:r>
        <w:rPr>
          <w:rFonts w:ascii="Arial" w:eastAsia="Arial" w:hAnsi="Arial" w:cs="Arial"/>
          <w:i/>
          <w:color w:val="000000"/>
          <w:sz w:val="20"/>
        </w:rPr>
        <w:t>Neitzke</w:t>
      </w:r>
      <w:r>
        <w:rPr>
          <w:rFonts w:ascii="Arial" w:eastAsia="Arial" w:hAnsi="Arial" w:cs="Arial"/>
          <w:color w:val="000000"/>
          <w:sz w:val="20"/>
        </w:rPr>
        <w:t xml:space="preserve">, 490 U.S. at 325. </w:t>
      </w:r>
      <w:bookmarkStart w:id="2590" w:name="Bookmark_I6781YN928T41B0050000400_2"/>
      <w:bookmarkStart w:id="2591" w:name="Bookmark_I6781YN928T41G0020000400"/>
      <w:bookmarkEnd w:id="2590"/>
      <w:bookmarkEnd w:id="2591"/>
      <w:r>
        <w:rPr>
          <w:rFonts w:ascii="Arial" w:eastAsia="Arial" w:hAnsi="Arial" w:cs="Arial"/>
          <w:color w:val="000000"/>
          <w:sz w:val="20"/>
        </w:rPr>
        <w:t xml:space="preserve">"A complaint lacks an arguable basis in law if it is based on an indisputably meritless legal theory, such as if the complaint alleges the violation of a legal interest which clearly does not exist." </w:t>
      </w:r>
      <w:bookmarkStart w:id="2592" w:name="Bookmark_I6781YN928T41B0020000400"/>
      <w:bookmarkEnd w:id="2592"/>
      <w:r>
        <w:rPr>
          <w:rFonts w:ascii="Arial" w:eastAsia="Arial" w:hAnsi="Arial" w:cs="Arial"/>
          <w:i/>
          <w:color w:val="000000"/>
          <w:sz w:val="20"/>
        </w:rPr>
        <w:t>Harper v. Showers</w:t>
      </w:r>
      <w:r>
        <w:rPr>
          <w:rFonts w:ascii="Arial" w:eastAsia="Arial" w:hAnsi="Arial" w:cs="Arial"/>
          <w:color w:val="000000"/>
          <w:sz w:val="20"/>
        </w:rPr>
        <w:t xml:space="preserve">, 174 F.3d 716, 718 (5th Cir. 1999). </w:t>
      </w:r>
      <w:bookmarkStart w:id="2593" w:name="Bookmark_I6781YN928T41G0020000400_2"/>
      <w:bookmarkStart w:id="2594" w:name="Bookmark_I6781YN928T41B0050000400_3"/>
      <w:bookmarkStart w:id="2595" w:name="Bookmark_I6781YN928T41G0040000400"/>
      <w:bookmarkEnd w:id="2593"/>
      <w:bookmarkEnd w:id="2594"/>
      <w:bookmarkEnd w:id="2595"/>
      <w:r>
        <w:rPr>
          <w:rFonts w:ascii="Arial" w:eastAsia="Arial" w:hAnsi="Arial" w:cs="Arial"/>
          <w:color w:val="000000"/>
          <w:sz w:val="20"/>
        </w:rPr>
        <w:t xml:space="preserve">"A complaint lacks an arguable basis in fact if, after providing the plaintiff the opportunity to present additional facts when necessary, the facts alleged are clearly baseless." </w:t>
      </w:r>
      <w:bookmarkStart w:id="2596" w:name="Bookmark_I6781YN928T41B0040000400"/>
      <w:bookmarkEnd w:id="2596"/>
      <w:r>
        <w:rPr>
          <w:rFonts w:ascii="Arial" w:eastAsia="Arial" w:hAnsi="Arial" w:cs="Arial"/>
          <w:i/>
          <w:color w:val="000000"/>
          <w:sz w:val="20"/>
        </w:rPr>
        <w:t>Talib v. Gilley</w:t>
      </w:r>
      <w:r>
        <w:rPr>
          <w:rFonts w:ascii="Arial" w:eastAsia="Arial" w:hAnsi="Arial" w:cs="Arial"/>
          <w:color w:val="000000"/>
          <w:sz w:val="20"/>
        </w:rPr>
        <w:t xml:space="preserve">, 138 F.3d 211, 213 (5th Cir. 1998). </w:t>
      </w:r>
      <w:bookmarkStart w:id="2597" w:name="Bookmark_I6781YN928T41G0040000400_2"/>
      <w:bookmarkEnd w:id="2597"/>
      <w:r>
        <w:rPr>
          <w:rFonts w:ascii="Arial" w:eastAsia="Arial" w:hAnsi="Arial" w:cs="Arial"/>
          <w:color w:val="000000"/>
          <w:sz w:val="20"/>
        </w:rPr>
        <w:t xml:space="preserve">"[C]learly baseless" is a "category encompassing allegations that are [*18]  fanciful, fantastic, and delusional." </w:t>
      </w:r>
      <w:bookmarkStart w:id="2598" w:name="Bookmark_I6781YN928T41G0010000400"/>
      <w:bookmarkEnd w:id="2598"/>
      <w:r>
        <w:rPr>
          <w:rFonts w:ascii="Arial" w:eastAsia="Arial" w:hAnsi="Arial" w:cs="Arial"/>
          <w:i/>
          <w:color w:val="000000"/>
          <w:sz w:val="20"/>
        </w:rPr>
        <w:t>Denton v. Hernandez</w:t>
      </w:r>
      <w:r>
        <w:rPr>
          <w:rFonts w:ascii="Arial" w:eastAsia="Arial" w:hAnsi="Arial" w:cs="Arial"/>
          <w:color w:val="000000"/>
          <w:sz w:val="20"/>
        </w:rPr>
        <w:t xml:space="preserve">, 504 U.S. 25, 32-33, 112 S. Ct. 1728, 118 L. Ed. 2d 340 (1992) (internal quotations and citations omitted). </w:t>
      </w:r>
      <w:bookmarkStart w:id="2599" w:name="Bookmark_I6781YN928T41G0040000400_3"/>
      <w:bookmarkStart w:id="2600" w:name="Bookmark_I6781YN92D6MWH0010000400"/>
      <w:bookmarkEnd w:id="2599"/>
      <w:bookmarkEnd w:id="2600"/>
      <w:r>
        <w:rPr>
          <w:rFonts w:ascii="Arial" w:eastAsia="Arial" w:hAnsi="Arial" w:cs="Arial"/>
          <w:color w:val="000000"/>
          <w:sz w:val="20"/>
        </w:rPr>
        <w:t xml:space="preserve">"[A] finding of factual frivolousness is appropriate when the facts alleged rise to the level of the irrational or the wholly incredible, whether or not there are judicially noticeable facts available to contradict them." </w:t>
      </w:r>
      <w:bookmarkStart w:id="2601" w:name="Bookmark_I6781YN928T41G0030000400"/>
      <w:bookmarkEnd w:id="2601"/>
      <w:r>
        <w:rPr>
          <w:rFonts w:ascii="Arial" w:eastAsia="Arial" w:hAnsi="Arial" w:cs="Arial"/>
          <w:i/>
          <w:color w:val="000000"/>
          <w:sz w:val="20"/>
        </w:rPr>
        <w:t>Id.</w:t>
      </w:r>
      <w:r>
        <w:rPr>
          <w:rFonts w:ascii="Arial" w:eastAsia="Arial" w:hAnsi="Arial" w:cs="Arial"/>
          <w:color w:val="000000"/>
          <w:sz w:val="20"/>
        </w:rPr>
        <w:t xml:space="preserve"> at 33. </w:t>
      </w:r>
      <w:bookmarkStart w:id="2602" w:name="Bookmark_I6781YN92D6MWH0010000400_2"/>
      <w:bookmarkEnd w:id="2602"/>
      <w:r>
        <w:rPr>
          <w:rFonts w:ascii="Arial" w:eastAsia="Arial" w:hAnsi="Arial" w:cs="Arial"/>
          <w:color w:val="000000"/>
          <w:sz w:val="20"/>
        </w:rPr>
        <w:t xml:space="preserve">But an </w:t>
      </w:r>
      <w:r>
        <w:rPr>
          <w:rFonts w:ascii="Arial" w:eastAsia="Arial" w:hAnsi="Arial" w:cs="Arial"/>
          <w:i/>
          <w:color w:val="000000"/>
          <w:sz w:val="20"/>
        </w:rPr>
        <w:t>in forma pauperis</w:t>
      </w:r>
      <w:r>
        <w:rPr>
          <w:rFonts w:ascii="Arial" w:eastAsia="Arial" w:hAnsi="Arial" w:cs="Arial"/>
          <w:color w:val="000000"/>
          <w:sz w:val="20"/>
        </w:rPr>
        <w:t xml:space="preserve"> complaint "may not be dismissed . . . simply because the court finds the plaintiff's allegations unlikely." </w:t>
      </w:r>
      <w:r>
        <w:rPr>
          <w:rFonts w:ascii="Arial" w:eastAsia="Arial" w:hAnsi="Arial" w:cs="Arial"/>
          <w:i/>
          <w:color w:val="000000"/>
          <w:sz w:val="20"/>
        </w:rPr>
        <w:t>Id.</w:t>
      </w:r>
      <w:r>
        <w:rPr>
          <w:rFonts w:ascii="Arial" w:eastAsia="Arial" w:hAnsi="Arial" w:cs="Arial"/>
          <w:color w:val="000000"/>
          <w:sz w:val="20"/>
        </w:rPr>
        <w:t xml:space="preserve"> The standard to dismiss a complaint as frivolous is more exacting than the standard for failure to state a claim; accordingly, a court may hold that a complaint fails to state a claim but does not rise to the level of frivolous. </w:t>
      </w:r>
      <w:bookmarkStart w:id="2603" w:name="Bookmark_I6781YN928T41G0050000400"/>
      <w:bookmarkEnd w:id="2603"/>
      <w:r>
        <w:rPr>
          <w:rFonts w:ascii="Arial" w:eastAsia="Arial" w:hAnsi="Arial" w:cs="Arial"/>
          <w:i/>
          <w:color w:val="000000"/>
          <w:sz w:val="20"/>
        </w:rPr>
        <w:t>Neitzke</w:t>
      </w:r>
      <w:r>
        <w:rPr>
          <w:rFonts w:ascii="Arial" w:eastAsia="Arial" w:hAnsi="Arial" w:cs="Arial"/>
          <w:color w:val="000000"/>
          <w:sz w:val="20"/>
        </w:rPr>
        <w:t>, 490 U.S. at 328-29 ("That frivolousness in the § 1915(d) context refers to a more limited set of claims than does Rule 12(b)(6) accords, moreover, with the understanding articulated in other areas of law that not all unsuccessful claims are frivolous.").</w:t>
      </w:r>
    </w:p>
    <w:p w:rsidR="00022B47" w:rsidRDefault="00000000">
      <w:pPr>
        <w:pStyle w:val="Normal13"/>
        <w:widowControl w:val="0"/>
        <w:spacing w:before="200" w:line="260" w:lineRule="atLeast"/>
        <w:jc w:val="both"/>
      </w:pPr>
      <w:bookmarkStart w:id="2604" w:name="Bookmark_para_26_8"/>
      <w:bookmarkEnd w:id="2604"/>
      <w:r>
        <w:rPr>
          <w:rFonts w:ascii="Arial" w:eastAsia="Arial" w:hAnsi="Arial" w:cs="Arial"/>
          <w:color w:val="000000"/>
          <w:sz w:val="20"/>
        </w:rPr>
        <w:t xml:space="preserve">At the conclusion of its analysis, the district court ruled that Hernandez's claim was "factually frivolous because the facts alleged are 'clearly baseless.'" The court, however, did not provide any reasoning for its determination, nor did it identify which particular facts were "clearly baseless." Because the [*19]  court held that the Complaint sufficiently pleaded that Hernandez has a disability and that Defendants operate a place of public accommodation, we infer that the court deemed the allegations surrounding the alleged discrimination as frivolous. The Complaint alleges that EPFH makes no exceptions for its masking policy, effectively preventing Hernandez from accessing its services. </w:t>
      </w:r>
      <w:bookmarkStart w:id="2605" w:name="Bookmark_I6781YN92D6MWH0030000400"/>
      <w:bookmarkEnd w:id="2605"/>
      <w:r>
        <w:rPr>
          <w:rFonts w:ascii="Arial" w:eastAsia="Arial" w:hAnsi="Arial" w:cs="Arial"/>
          <w:color w:val="000000"/>
          <w:sz w:val="20"/>
        </w:rPr>
        <w:t xml:space="preserve">It then recounts Hernandez's attempt to access EPFH's services at a walk-up location without wearing a face covering and the resulting backlash he experienced. The Complaint also alleges that Hernandez communicated with EPFH staff in an attempt to rectify his lack of access to EPFH's services. We cannot reason that any of these facts (or the others alleged in the Complaint) are "fanciful," "fantastic," or "delusional," nor do these allegations read as "irrational" or "wholly incredible." </w:t>
      </w:r>
      <w:r>
        <w:rPr>
          <w:rFonts w:ascii="Arial" w:eastAsia="Arial" w:hAnsi="Arial" w:cs="Arial"/>
          <w:i/>
          <w:color w:val="000000"/>
          <w:sz w:val="20"/>
        </w:rPr>
        <w:t xml:space="preserve">See </w:t>
      </w:r>
      <w:bookmarkStart w:id="2606" w:name="Bookmark_I6781YN92D6MWH0020000400"/>
      <w:bookmarkEnd w:id="2606"/>
      <w:r>
        <w:rPr>
          <w:rFonts w:ascii="Arial" w:eastAsia="Arial" w:hAnsi="Arial" w:cs="Arial"/>
          <w:i/>
          <w:color w:val="000000"/>
          <w:sz w:val="20"/>
        </w:rPr>
        <w:t>Denton</w:t>
      </w:r>
      <w:r>
        <w:rPr>
          <w:rFonts w:ascii="Arial" w:eastAsia="Arial" w:hAnsi="Arial" w:cs="Arial"/>
          <w:color w:val="000000"/>
          <w:sz w:val="20"/>
        </w:rPr>
        <w:t>, 504 U.S. at 32-33.</w:t>
      </w:r>
    </w:p>
    <w:p w:rsidR="00022B47" w:rsidRDefault="00000000">
      <w:pPr>
        <w:pStyle w:val="Normal13"/>
        <w:widowControl w:val="0"/>
        <w:spacing w:before="200" w:line="260" w:lineRule="atLeast"/>
        <w:jc w:val="both"/>
      </w:pPr>
      <w:bookmarkStart w:id="2607" w:name="Bookmark_para_27_8"/>
      <w:bookmarkEnd w:id="2607"/>
      <w:r>
        <w:rPr>
          <w:rFonts w:ascii="Arial" w:eastAsia="Arial" w:hAnsi="Arial" w:cs="Arial"/>
          <w:color w:val="000000"/>
          <w:sz w:val="20"/>
        </w:rPr>
        <w:t xml:space="preserve">Although we have ruled that the Complaint is lacking in sufficient detail regarding Hernandez's communications with EPFH staff, </w:t>
      </w:r>
      <w:r>
        <w:rPr>
          <w:rFonts w:ascii="Arial" w:eastAsia="Arial" w:hAnsi="Arial" w:cs="Arial"/>
          <w:i/>
          <w:color w:val="000000"/>
          <w:sz w:val="20"/>
        </w:rPr>
        <w:t>see supra</w:t>
      </w:r>
      <w:r>
        <w:rPr>
          <w:rFonts w:ascii="Arial" w:eastAsia="Arial" w:hAnsi="Arial" w:cs="Arial"/>
          <w:color w:val="000000"/>
          <w:sz w:val="20"/>
        </w:rPr>
        <w:t xml:space="preserve"> II.B, this deficiency alone does not render the whole complaint frivolous. Indeed, the district court recognized that the Complaint easily satisfied the first two prongs of a Title III [*20]  claim. And the Complaint does contain allegations (albeit incomplete) relating to the third prong as well. None of these facts can be described as frivolous. Therefore, we hold that the district court abused its discretion in dismissing the Complaint as frivolous.</w:t>
      </w:r>
    </w:p>
    <w:p w:rsidR="00022B47" w:rsidRDefault="00000000">
      <w:pPr>
        <w:pStyle w:val="Normal13"/>
        <w:widowControl w:val="0"/>
        <w:spacing w:before="200" w:line="260" w:lineRule="atLeast"/>
        <w:jc w:val="both"/>
      </w:pPr>
      <w:bookmarkStart w:id="2608" w:name="Bookmark_para_28_8"/>
      <w:bookmarkStart w:id="2609" w:name="Bookmark_I6781YN92D6MWH0050000400"/>
      <w:bookmarkStart w:id="2610" w:name="Bookmark_LNHNREFclscc10_8"/>
      <w:bookmarkEnd w:id="2608"/>
      <w:bookmarkEnd w:id="2609"/>
      <w:bookmarkEnd w:id="2610"/>
      <w:r>
        <w:rPr>
          <w:rFonts w:ascii="Arial" w:eastAsia="Arial" w:hAnsi="Arial" w:cs="Arial"/>
          <w:color w:val="000000"/>
          <w:sz w:val="20"/>
        </w:rPr>
        <w:t xml:space="preserve">A complaint that is dismissed as frivolous is presumed to be dismissed with prejudice unless the district court "specifically dismisses without prejudice." </w:t>
      </w:r>
      <w:bookmarkStart w:id="2611" w:name="Bookmark_I6781YN92D6MWH0040000400"/>
      <w:bookmarkEnd w:id="2611"/>
      <w:r>
        <w:rPr>
          <w:rFonts w:ascii="Arial" w:eastAsia="Arial" w:hAnsi="Arial" w:cs="Arial"/>
          <w:i/>
          <w:color w:val="000000"/>
          <w:sz w:val="20"/>
        </w:rPr>
        <w:t>Marts v. Hines</w:t>
      </w:r>
      <w:r>
        <w:rPr>
          <w:rFonts w:ascii="Arial" w:eastAsia="Arial" w:hAnsi="Arial" w:cs="Arial"/>
          <w:color w:val="000000"/>
          <w:sz w:val="20"/>
        </w:rPr>
        <w:t xml:space="preserve">, 117 F.3d 1504, 1506 (5th Cir. 1997). If a court dismisses a frivolous action without prejudice, it is expected to provide reasoning for its decision. </w:t>
      </w:r>
      <w:r>
        <w:rPr>
          <w:rFonts w:ascii="Arial" w:eastAsia="Arial" w:hAnsi="Arial" w:cs="Arial"/>
          <w:i/>
          <w:color w:val="000000"/>
          <w:sz w:val="20"/>
        </w:rPr>
        <w:t>Id.</w:t>
      </w:r>
      <w:r>
        <w:rPr>
          <w:rFonts w:ascii="Arial" w:eastAsia="Arial" w:hAnsi="Arial" w:cs="Arial"/>
          <w:color w:val="000000"/>
          <w:sz w:val="20"/>
        </w:rPr>
        <w:t xml:space="preserve"> Here, the magistrate judge recommended that the Complaint be dismissed without prejudice. </w:t>
      </w:r>
      <w:bookmarkStart w:id="2612" w:name="Bookmark_I6781YN92SF8300020000400"/>
      <w:bookmarkEnd w:id="2612"/>
      <w:r>
        <w:rPr>
          <w:rFonts w:ascii="Arial" w:eastAsia="Arial" w:hAnsi="Arial" w:cs="Arial"/>
          <w:color w:val="000000"/>
          <w:sz w:val="20"/>
        </w:rPr>
        <w:t xml:space="preserve">The district court rejected this recommendation and dismissed the Complaint with prejudice because (1) it found no reason that warranted an exception and (2) the magistrate judge provided no reason for his recommendation on the issue. </w:t>
      </w:r>
      <w:bookmarkStart w:id="2613" w:name="Bookmark_I6781YN92SF8300040000400"/>
      <w:bookmarkEnd w:id="2613"/>
      <w:r>
        <w:rPr>
          <w:rFonts w:ascii="Arial" w:eastAsia="Arial" w:hAnsi="Arial" w:cs="Arial"/>
          <w:color w:val="000000"/>
          <w:sz w:val="20"/>
        </w:rPr>
        <w:t xml:space="preserve">But now that we have ruled the Complaint is not frivolous, defaulting to a dismissal with prejudice may no longer be appropriate. </w:t>
      </w:r>
      <w:bookmarkStart w:id="2614" w:name="Bookmark_LNHNREFclscc11_7"/>
      <w:bookmarkEnd w:id="2614"/>
      <w:r>
        <w:rPr>
          <w:rFonts w:ascii="Arial" w:eastAsia="Arial" w:hAnsi="Arial" w:cs="Arial"/>
          <w:color w:val="000000"/>
          <w:sz w:val="20"/>
        </w:rPr>
        <w:t xml:space="preserve">"Generally a district court errs in dismissing a </w:t>
      </w:r>
      <w:r>
        <w:rPr>
          <w:rFonts w:ascii="Arial" w:eastAsia="Arial" w:hAnsi="Arial" w:cs="Arial"/>
          <w:i/>
          <w:color w:val="000000"/>
          <w:sz w:val="20"/>
        </w:rPr>
        <w:t>pro se</w:t>
      </w:r>
      <w:r>
        <w:rPr>
          <w:rFonts w:ascii="Arial" w:eastAsia="Arial" w:hAnsi="Arial" w:cs="Arial"/>
          <w:color w:val="000000"/>
          <w:sz w:val="20"/>
        </w:rPr>
        <w:t xml:space="preserve"> complaint for failure to state a claim under Rule 12(b)(6) without giving the plaintiff an opportunity to amend." </w:t>
      </w:r>
      <w:bookmarkStart w:id="2615" w:name="Bookmark_I6781YN92SF8300010000400"/>
      <w:bookmarkEnd w:id="2615"/>
      <w:r>
        <w:rPr>
          <w:rFonts w:ascii="Arial" w:eastAsia="Arial" w:hAnsi="Arial" w:cs="Arial"/>
          <w:i/>
          <w:color w:val="000000"/>
          <w:sz w:val="20"/>
        </w:rPr>
        <w:t>Bazrowx v. Scott</w:t>
      </w:r>
      <w:r>
        <w:rPr>
          <w:rFonts w:ascii="Arial" w:eastAsia="Arial" w:hAnsi="Arial" w:cs="Arial"/>
          <w:color w:val="000000"/>
          <w:sz w:val="20"/>
        </w:rPr>
        <w:t xml:space="preserve">, 136 F.3d 1053, 1054 (5th Cir. 1998). </w:t>
      </w:r>
      <w:bookmarkStart w:id="2616" w:name="Bookmark_I6781YN92SF8300040000400_2"/>
      <w:bookmarkEnd w:id="2616"/>
      <w:r>
        <w:rPr>
          <w:rFonts w:ascii="Arial" w:eastAsia="Arial" w:hAnsi="Arial" w:cs="Arial"/>
          <w:color w:val="000000"/>
          <w:sz w:val="20"/>
        </w:rPr>
        <w:t xml:space="preserve">But "if a complaint alleges the plaintiff's best [*21]  case, there is no need to remand for a further factual statement from the plaintiff." </w:t>
      </w:r>
      <w:bookmarkStart w:id="2617" w:name="Bookmark_I6781YN92SF8300030000400"/>
      <w:bookmarkEnd w:id="2617"/>
      <w:r>
        <w:rPr>
          <w:rFonts w:ascii="Arial" w:eastAsia="Arial" w:hAnsi="Arial" w:cs="Arial"/>
          <w:i/>
          <w:color w:val="000000"/>
          <w:sz w:val="20"/>
        </w:rPr>
        <w:t>Jones v. Greninger</w:t>
      </w:r>
      <w:r>
        <w:rPr>
          <w:rFonts w:ascii="Arial" w:eastAsia="Arial" w:hAnsi="Arial" w:cs="Arial"/>
          <w:color w:val="000000"/>
          <w:sz w:val="20"/>
        </w:rPr>
        <w:t>, 188 F.3d 322, 327 (5th Cir. 1999). Here, the record does not indicate that Hernandez was given an opportunity to amend his Complaint once it was screened by the magistrate judge and district court. It is also unclear to us that the Complaint alleges Hernandez's best case considering that he may only be a few factual allegations away from stating a claim. Therefore, in light of our ruling that the Complaint should not have been dismissed as frivolous, we remand this action to the district court to reconsider whether Hernandez should be given leave to amend his Complaint.</w:t>
      </w:r>
      <w:r>
        <w:rPr>
          <w:rFonts w:ascii="Arial" w:eastAsia="Arial" w:hAnsi="Arial" w:cs="Arial"/>
          <w:vertAlign w:val="superscript"/>
        </w:rPr>
        <w:footnoteReference w:customMarkFollows="1" w:id="50"/>
        <w:t>3</w:t>
      </w:r>
    </w:p>
    <w:p w:rsidR="00022B47" w:rsidRDefault="00000000">
      <w:pPr>
        <w:pStyle w:val="Normal13"/>
        <w:widowControl w:val="0"/>
        <w:spacing w:before="240" w:line="260" w:lineRule="atLeast"/>
      </w:pPr>
      <w:r>
        <w:br/>
      </w:r>
      <w:r>
        <w:rPr>
          <w:rFonts w:ascii="Arial" w:eastAsia="Arial" w:hAnsi="Arial" w:cs="Arial"/>
          <w:b/>
          <w:color w:val="000000"/>
          <w:sz w:val="20"/>
        </w:rPr>
        <w:t>III</w:t>
      </w:r>
      <w:r>
        <w:rPr>
          <w:rFonts w:ascii="Arial" w:eastAsia="Arial" w:hAnsi="Arial" w:cs="Arial"/>
          <w:color w:val="000000"/>
          <w:sz w:val="20"/>
        </w:rPr>
        <w:t>.</w:t>
      </w:r>
    </w:p>
    <w:p w:rsidR="00022B47" w:rsidRDefault="00000000">
      <w:pPr>
        <w:pStyle w:val="Normal13"/>
        <w:widowControl w:val="0"/>
        <w:spacing w:before="200" w:line="260" w:lineRule="atLeast"/>
        <w:jc w:val="both"/>
      </w:pPr>
      <w:bookmarkStart w:id="2619" w:name="Bookmark_para_29_8"/>
      <w:bookmarkEnd w:id="2619"/>
      <w:r>
        <w:rPr>
          <w:rFonts w:ascii="Arial" w:eastAsia="Arial" w:hAnsi="Arial" w:cs="Arial"/>
          <w:color w:val="000000"/>
          <w:sz w:val="20"/>
        </w:rPr>
        <w:t>For the foregoing reasons, we AFFIRM the dismissal of the Complaint for failure to state a claim, but we REVERSE the district court's holding that the Complaint is frivolous. We accordingly REMAND to the district court to reassess whether dismissal with prejudice is warranted and whether Hernandez should be afforded leave to amend his Complaint.</w:t>
      </w:r>
    </w:p>
    <w:p w:rsidR="00022B47" w:rsidRDefault="00022B47">
      <w:pPr>
        <w:pStyle w:val="Normal13"/>
      </w:pPr>
    </w:p>
    <w:p w:rsidR="00022B47" w:rsidRDefault="00000000">
      <w:pPr>
        <w:pStyle w:val="Normal13"/>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686912"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801362684"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F75D80" id="Line 30"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14"/>
        <w:sectPr w:rsidR="00022B47">
          <w:headerReference w:type="even" r:id="rId91"/>
          <w:headerReference w:type="default" r:id="rId92"/>
          <w:footerReference w:type="even" r:id="rId93"/>
          <w:footerReference w:type="default" r:id="rId94"/>
          <w:headerReference w:type="first" r:id="rId95"/>
          <w:footerReference w:type="first" r:id="rId96"/>
          <w:pgSz w:w="12240" w:h="15840"/>
          <w:pgMar w:top="840" w:right="1000" w:bottom="840" w:left="1000" w:header="400" w:footer="400" w:gutter="0"/>
          <w:cols w:space="720"/>
          <w:titlePg/>
        </w:sectPr>
      </w:pPr>
    </w:p>
    <w:p w:rsidR="00022B47" w:rsidRDefault="00022B47">
      <w:pPr>
        <w:pStyle w:val="Normal14"/>
      </w:pPr>
    </w:p>
    <w:p w:rsidR="00022B47" w:rsidRDefault="00000000">
      <w:pPr>
        <w:pStyle w:val="Heading113"/>
        <w:keepNext w:val="0"/>
        <w:widowControl w:val="0"/>
        <w:spacing w:after="200" w:line="340" w:lineRule="atLeast"/>
        <w:jc w:val="center"/>
      </w:pPr>
      <w:r>
        <w:rPr>
          <w:rFonts w:eastAsia="Arial"/>
          <w:color w:val="000000"/>
          <w:sz w:val="28"/>
        </w:rPr>
        <w:t>Basta v. Novant Health Inc.</w:t>
      </w:r>
    </w:p>
    <w:p w:rsidR="00022B47" w:rsidRDefault="00000000">
      <w:pPr>
        <w:pStyle w:val="Normal14"/>
        <w:widowControl w:val="0"/>
        <w:spacing w:before="120" w:line="260" w:lineRule="atLeast"/>
        <w:jc w:val="center"/>
      </w:pPr>
      <w:r>
        <w:rPr>
          <w:rFonts w:ascii="Arial" w:eastAsia="Arial" w:hAnsi="Arial" w:cs="Arial"/>
          <w:color w:val="000000"/>
          <w:sz w:val="20"/>
        </w:rPr>
        <w:t>United States Court of Appeals for the Fourth Circuit</w:t>
      </w:r>
    </w:p>
    <w:p w:rsidR="00022B47" w:rsidRDefault="00000000">
      <w:pPr>
        <w:pStyle w:val="Normal14"/>
        <w:widowControl w:val="0"/>
        <w:spacing w:before="120" w:line="260" w:lineRule="atLeast"/>
        <w:jc w:val="center"/>
      </w:pPr>
      <w:r>
        <w:rPr>
          <w:rFonts w:ascii="Arial" w:eastAsia="Arial" w:hAnsi="Arial" w:cs="Arial"/>
          <w:color w:val="000000"/>
          <w:sz w:val="20"/>
        </w:rPr>
        <w:t>October 28, 2022, Argued; December 27, 2022, Decided</w:t>
      </w:r>
    </w:p>
    <w:p w:rsidR="00022B47" w:rsidRDefault="00000000">
      <w:pPr>
        <w:pStyle w:val="Normal14"/>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21-2375</w:t>
      </w:r>
    </w:p>
    <w:p w:rsidR="00022B47" w:rsidRDefault="00022B47">
      <w:pPr>
        <w:pStyle w:val="Normal14"/>
        <w:widowControl w:val="0"/>
        <w:spacing w:line="240" w:lineRule="atLeast"/>
        <w:jc w:val="both"/>
      </w:pPr>
      <w:bookmarkStart w:id="2620" w:name="Bookmark_15"/>
      <w:bookmarkEnd w:id="2620"/>
    </w:p>
    <w:p w:rsidR="00022B47" w:rsidRDefault="00000000">
      <w:pPr>
        <w:pStyle w:val="Normal14"/>
        <w:widowControl w:val="0"/>
        <w:spacing w:before="200" w:line="240" w:lineRule="atLeast"/>
      </w:pPr>
      <w:bookmarkStart w:id="2621" w:name="Reporter_13"/>
      <w:bookmarkEnd w:id="2621"/>
      <w:r>
        <w:rPr>
          <w:rFonts w:ascii="Arial" w:eastAsia="Arial" w:hAnsi="Arial" w:cs="Arial"/>
          <w:b/>
          <w:color w:val="000000"/>
          <w:sz w:val="18"/>
        </w:rPr>
        <w:t>Reporter</w:t>
      </w:r>
    </w:p>
    <w:p w:rsidR="00022B47" w:rsidRDefault="00000000">
      <w:pPr>
        <w:pStyle w:val="Normal14"/>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56 F.4th 307 *; 2022 U.S. App. LEXIS 35689 **</w:t>
      </w:r>
    </w:p>
    <w:p w:rsidR="00022B47" w:rsidRDefault="00000000">
      <w:pPr>
        <w:pStyle w:val="Normal14"/>
        <w:widowControl w:val="0"/>
        <w:spacing w:before="120" w:line="260" w:lineRule="atLeast"/>
      </w:pPr>
      <w:r>
        <w:rPr>
          <w:rFonts w:ascii="Arial" w:eastAsia="Arial" w:hAnsi="Arial" w:cs="Arial"/>
          <w:color w:val="000000"/>
          <w:sz w:val="20"/>
        </w:rPr>
        <w:t>NEIL BASTA Plaintiff - Appellant v. NOVANT HEALTH INCORPORATED; NOVANT HEALTH SOUTHERN PIEDMONT REGION, LLC; THE PRESBYTERIAN HOSPITAL, d/b/a Novant Health Huntersville Medical Center Defendants - Appellees; UNITED STATES OF AMERICA Amicus Supporting Appellant.</w:t>
      </w:r>
    </w:p>
    <w:p w:rsidR="00022B47" w:rsidRDefault="00000000">
      <w:pPr>
        <w:pStyle w:val="Normal14"/>
        <w:widowControl w:val="0"/>
        <w:spacing w:before="240" w:line="260" w:lineRule="atLeast"/>
        <w:jc w:val="both"/>
      </w:pPr>
      <w:bookmarkStart w:id="2622" w:name="Prior_History_13"/>
      <w:bookmarkEnd w:id="2622"/>
      <w:r>
        <w:rPr>
          <w:rFonts w:ascii="Arial" w:eastAsia="Arial" w:hAnsi="Arial" w:cs="Arial"/>
          <w:b/>
          <w:color w:val="000000"/>
          <w:sz w:val="20"/>
        </w:rPr>
        <w:t>Prior History:</w:t>
      </w:r>
      <w:r>
        <w:rPr>
          <w:rFonts w:ascii="Arial" w:eastAsia="Arial" w:hAnsi="Arial" w:cs="Arial"/>
          <w:color w:val="000000"/>
          <w:sz w:val="20"/>
        </w:rPr>
        <w:t> </w:t>
      </w:r>
      <w:bookmarkStart w:id="2623" w:name="Bookmark_para_1_13"/>
      <w:bookmarkEnd w:id="2623"/>
      <w:r>
        <w:rPr>
          <w:rFonts w:ascii="Arial" w:eastAsia="Arial" w:hAnsi="Arial" w:cs="Arial"/>
          <w:color w:val="000000"/>
          <w:sz w:val="20"/>
        </w:rPr>
        <w:t> [**1] Appeal from the United States District Court for the Western District of North Carolina, at Charlotte. 3:19-cv-00064-RJC-DSC. Robert J. Conrad, Jr., District Judge.</w:t>
      </w:r>
    </w:p>
    <w:p w:rsidR="00022B47" w:rsidRDefault="00000000">
      <w:pPr>
        <w:pStyle w:val="Normal14"/>
        <w:widowControl w:val="0"/>
        <w:spacing w:before="120" w:line="260" w:lineRule="atLeast"/>
      </w:pPr>
      <w:r>
        <w:rPr>
          <w:rFonts w:ascii="Arial" w:eastAsia="Arial" w:hAnsi="Arial" w:cs="Arial"/>
          <w:color w:val="000000"/>
          <w:sz w:val="20"/>
        </w:rPr>
        <w:t>Basta v. Novant Health, 2021 U.S. Dist. LEXIS 220587, 2021 WL 5326367 (W.D.N.C., Nov. 16, 2021)</w:t>
      </w:r>
    </w:p>
    <w:p w:rsidR="00022B47" w:rsidRDefault="00000000">
      <w:pPr>
        <w:pStyle w:val="Normal14"/>
        <w:widowControl w:val="0"/>
        <w:spacing w:before="240" w:line="260" w:lineRule="atLeast"/>
      </w:pPr>
      <w:bookmarkStart w:id="2624" w:name="Counsel_13"/>
      <w:bookmarkEnd w:id="2624"/>
      <w:r>
        <w:rPr>
          <w:rFonts w:ascii="Arial" w:eastAsia="Arial" w:hAnsi="Arial" w:cs="Arial"/>
          <w:b/>
          <w:color w:val="000000"/>
          <w:sz w:val="20"/>
        </w:rPr>
        <w:t>Counsel:</w:t>
      </w:r>
      <w:r>
        <w:rPr>
          <w:rFonts w:ascii="Arial" w:eastAsia="Arial" w:hAnsi="Arial" w:cs="Arial"/>
          <w:color w:val="000000"/>
          <w:sz w:val="20"/>
        </w:rPr>
        <w:t> ARGUED: David John Hommel, Jr., EISENBERG &amp; BAUM, LLP, New York, New York, for Appellant.</w:t>
      </w:r>
    </w:p>
    <w:p w:rsidR="00022B47" w:rsidRDefault="00000000">
      <w:pPr>
        <w:pStyle w:val="Normal14"/>
        <w:widowControl w:val="0"/>
        <w:spacing w:before="120" w:line="260" w:lineRule="atLeast"/>
      </w:pPr>
      <w:r>
        <w:rPr>
          <w:rFonts w:ascii="Arial" w:eastAsia="Arial" w:hAnsi="Arial" w:cs="Arial"/>
          <w:color w:val="000000"/>
          <w:sz w:val="20"/>
        </w:rPr>
        <w:t>David E. Stevens, JOHNSTON, ALLISON &amp; HORD, P.A., Charlotte, North Carolina, for Appellees.</w:t>
      </w:r>
    </w:p>
    <w:p w:rsidR="00022B47" w:rsidRDefault="00000000">
      <w:pPr>
        <w:pStyle w:val="Normal14"/>
        <w:widowControl w:val="0"/>
        <w:spacing w:before="120" w:line="260" w:lineRule="atLeast"/>
      </w:pPr>
      <w:r>
        <w:rPr>
          <w:rFonts w:ascii="Arial" w:eastAsia="Arial" w:hAnsi="Arial" w:cs="Arial"/>
          <w:color w:val="000000"/>
          <w:sz w:val="20"/>
        </w:rPr>
        <w:t>Noah Benjamin Bokat-Lindell, UNITED STATES DEPARTMENT OF JUSTICE, Washington, D.C., for Amicus United States.</w:t>
      </w:r>
    </w:p>
    <w:p w:rsidR="00022B47" w:rsidRDefault="00000000">
      <w:pPr>
        <w:pStyle w:val="Normal14"/>
        <w:widowControl w:val="0"/>
        <w:spacing w:before="120" w:line="260" w:lineRule="atLeast"/>
      </w:pPr>
      <w:r>
        <w:rPr>
          <w:rFonts w:ascii="Arial" w:eastAsia="Arial" w:hAnsi="Arial" w:cs="Arial"/>
          <w:color w:val="000000"/>
          <w:sz w:val="20"/>
        </w:rPr>
        <w:t>ON BRIEF: Andrew Rozynski, EISENBERG &amp; BAUM, LLP, New York, New York, for Appellant.</w:t>
      </w:r>
    </w:p>
    <w:p w:rsidR="00022B47" w:rsidRDefault="00000000">
      <w:pPr>
        <w:pStyle w:val="Normal14"/>
        <w:widowControl w:val="0"/>
        <w:spacing w:before="120" w:line="260" w:lineRule="atLeast"/>
      </w:pPr>
      <w:r>
        <w:rPr>
          <w:rFonts w:ascii="Arial" w:eastAsia="Arial" w:hAnsi="Arial" w:cs="Arial"/>
          <w:color w:val="000000"/>
          <w:sz w:val="20"/>
        </w:rPr>
        <w:t>Patrick E. Kelly, JOHNSTON, ALLISON &amp; HORD, P.A., Charlotte, North Carolina, for Appellees.</w:t>
      </w:r>
    </w:p>
    <w:p w:rsidR="00022B47" w:rsidRDefault="00000000">
      <w:pPr>
        <w:pStyle w:val="Normal14"/>
        <w:widowControl w:val="0"/>
        <w:spacing w:before="120" w:line="260" w:lineRule="atLeast"/>
      </w:pPr>
      <w:r>
        <w:rPr>
          <w:rFonts w:ascii="Arial" w:eastAsia="Arial" w:hAnsi="Arial" w:cs="Arial"/>
          <w:color w:val="000000"/>
          <w:sz w:val="20"/>
        </w:rPr>
        <w:t>Kristen Clarke, Assistant Attorney General, Tovah R. Calderon, Christopher C. Wang, Civil Rights Division, UNITED STATES DEPARTMENT OF JUSTICE, Washington, D.C., for Amicus United States.</w:t>
      </w:r>
    </w:p>
    <w:p w:rsidR="00022B47" w:rsidRDefault="00000000">
      <w:pPr>
        <w:pStyle w:val="Normal14"/>
        <w:widowControl w:val="0"/>
        <w:spacing w:before="240" w:line="260" w:lineRule="atLeast"/>
      </w:pPr>
      <w:bookmarkStart w:id="2625" w:name="Judges_13"/>
      <w:bookmarkEnd w:id="2625"/>
      <w:r>
        <w:rPr>
          <w:rFonts w:ascii="Arial" w:eastAsia="Arial" w:hAnsi="Arial" w:cs="Arial"/>
          <w:b/>
          <w:color w:val="000000"/>
          <w:sz w:val="20"/>
        </w:rPr>
        <w:t>Judges:</w:t>
      </w:r>
      <w:r>
        <w:rPr>
          <w:rFonts w:ascii="Arial" w:eastAsia="Arial" w:hAnsi="Arial" w:cs="Arial"/>
          <w:color w:val="000000"/>
          <w:sz w:val="20"/>
        </w:rPr>
        <w:t> Before WILKINSON and NIEMEYER, Circuit Judges, and TRAXLER, Senior Circuit Judge. Judge Wilkinson wrote the opinion, in which Judge Niemeyer and Senior Judge Traxler joined.</w:t>
      </w:r>
    </w:p>
    <w:p w:rsidR="00022B47" w:rsidRDefault="00000000">
      <w:pPr>
        <w:pStyle w:val="Normal14"/>
        <w:widowControl w:val="0"/>
        <w:spacing w:before="240" w:line="260" w:lineRule="atLeast"/>
      </w:pPr>
      <w:bookmarkStart w:id="2626" w:name="Opinion_by_6"/>
      <w:bookmarkEnd w:id="2626"/>
      <w:r>
        <w:rPr>
          <w:rFonts w:ascii="Arial" w:eastAsia="Arial" w:hAnsi="Arial" w:cs="Arial"/>
          <w:b/>
          <w:color w:val="000000"/>
          <w:sz w:val="20"/>
        </w:rPr>
        <w:t>Opinion by:</w:t>
      </w:r>
      <w:r>
        <w:rPr>
          <w:rFonts w:ascii="Arial" w:eastAsia="Arial" w:hAnsi="Arial" w:cs="Arial"/>
          <w:color w:val="000000"/>
          <w:sz w:val="20"/>
        </w:rPr>
        <w:t> WILKINSON</w:t>
      </w:r>
    </w:p>
    <w:p w:rsidR="00022B47" w:rsidRDefault="00000000">
      <w:pPr>
        <w:pStyle w:val="Normal14"/>
        <w:keepNext/>
        <w:widowControl w:val="0"/>
        <w:spacing w:before="240" w:line="340" w:lineRule="atLeast"/>
      </w:pPr>
      <w:bookmarkStart w:id="2627" w:name="Opinion_13"/>
      <w:bookmarkEnd w:id="2627"/>
      <w:r>
        <w:rPr>
          <w:rFonts w:ascii="Arial" w:eastAsia="Arial" w:hAnsi="Arial" w:cs="Arial"/>
          <w:b/>
          <w:color w:val="000000"/>
          <w:sz w:val="28"/>
        </w:rPr>
        <w:t>Opinion</w:t>
      </w:r>
    </w:p>
    <w:p w:rsidR="00022B47" w:rsidRDefault="0025213E">
      <w:pPr>
        <w:pStyle w:val="Normal14"/>
        <w:spacing w:line="60" w:lineRule="exact"/>
      </w:pPr>
      <w:r>
        <w:rPr>
          <w:noProof/>
        </w:rPr>
        <mc:AlternateContent>
          <mc:Choice Requires="wps">
            <w:drawing>
              <wp:anchor distT="0" distB="0" distL="114300" distR="114300" simplePos="0" relativeHeight="251687936"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793830794"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2EAFF6" id="Line 31"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14"/>
      </w:pPr>
    </w:p>
    <w:p w:rsidR="00022B47" w:rsidRDefault="00000000">
      <w:pPr>
        <w:pStyle w:val="Normal14"/>
        <w:widowControl w:val="0"/>
        <w:spacing w:before="200" w:line="260" w:lineRule="atLeast"/>
        <w:jc w:val="both"/>
      </w:pPr>
      <w:bookmarkStart w:id="2628" w:name="Bookmark_para_2_13"/>
      <w:bookmarkEnd w:id="2628"/>
      <w:r>
        <w:rPr>
          <w:rFonts w:ascii="Arial" w:eastAsia="Arial" w:hAnsi="Arial" w:cs="Arial"/>
          <w:color w:val="000000"/>
          <w:sz w:val="20"/>
        </w:rPr>
        <w:t> [*312]  WILKINSON, Circuit Judge:</w:t>
      </w:r>
    </w:p>
    <w:p w:rsidR="00022B47" w:rsidRDefault="00000000">
      <w:pPr>
        <w:pStyle w:val="Normal14"/>
        <w:widowControl w:val="0"/>
        <w:spacing w:before="200" w:line="260" w:lineRule="atLeast"/>
        <w:jc w:val="both"/>
      </w:pPr>
      <w:bookmarkStart w:id="2629" w:name="Bookmark_para_3_13"/>
      <w:bookmarkEnd w:id="2629"/>
      <w:r>
        <w:rPr>
          <w:rFonts w:ascii="Arial" w:eastAsia="Arial" w:hAnsi="Arial" w:cs="Arial"/>
          <w:color w:val="000000"/>
          <w:sz w:val="20"/>
        </w:rPr>
        <w:t xml:space="preserve">Neil Basta, a deaf man, sought an interpreter to communicate with Novant Health Huntersville Medical Center during his wife's childbirth there. </w:t>
      </w:r>
      <w:bookmarkStart w:id="2630" w:name="Bookmark_I676J1V22HM62C0010000400"/>
      <w:bookmarkEnd w:id="2630"/>
      <w:r>
        <w:rPr>
          <w:rFonts w:ascii="Arial" w:eastAsia="Arial" w:hAnsi="Arial" w:cs="Arial"/>
          <w:color w:val="000000"/>
          <w:sz w:val="20"/>
        </w:rPr>
        <w:t>After Novant Health failed to provide [**2]  him with a live interpreter or a functioning Video Remote Interpreting device, Basta filed this disability discrimination lawsuit. The district court dismissed his claim. Because the court applied an incorrect standard of law, we must reverse its judgment and remand for further proceedings. We believe that under the proper standard, the plaintiff has plausibly pled enough under the Rehabilitation Act to survive a Fed. R. Civ. P. 12(b)(6) dismissal motion.</w:t>
      </w:r>
    </w:p>
    <w:p w:rsidR="00022B47" w:rsidRDefault="00000000">
      <w:pPr>
        <w:pStyle w:val="Normal14"/>
        <w:widowControl w:val="0"/>
        <w:spacing w:before="120" w:line="260" w:lineRule="atLeast"/>
      </w:pPr>
      <w:r>
        <w:rPr>
          <w:rFonts w:ascii="Arial" w:eastAsia="Arial" w:hAnsi="Arial" w:cs="Arial"/>
          <w:color w:val="000000"/>
          <w:sz w:val="20"/>
        </w:rPr>
        <w:t>I.</w:t>
      </w:r>
    </w:p>
    <w:p w:rsidR="00022B47" w:rsidRDefault="00000000">
      <w:pPr>
        <w:pStyle w:val="Normal14"/>
        <w:widowControl w:val="0"/>
        <w:spacing w:before="120" w:line="260" w:lineRule="atLeast"/>
      </w:pPr>
      <w:r>
        <w:rPr>
          <w:rFonts w:ascii="Arial" w:eastAsia="Arial" w:hAnsi="Arial" w:cs="Arial"/>
          <w:color w:val="000000"/>
          <w:sz w:val="20"/>
        </w:rPr>
        <w:t>A.</w:t>
      </w:r>
    </w:p>
    <w:p w:rsidR="00022B47" w:rsidRDefault="00000000">
      <w:pPr>
        <w:pStyle w:val="Normal14"/>
        <w:widowControl w:val="0"/>
        <w:spacing w:before="200" w:line="260" w:lineRule="atLeast"/>
        <w:jc w:val="both"/>
      </w:pPr>
      <w:bookmarkStart w:id="2631" w:name="Bookmark_para_4_13"/>
      <w:bookmarkEnd w:id="2631"/>
      <w:r>
        <w:rPr>
          <w:rFonts w:ascii="Arial" w:eastAsia="Arial" w:hAnsi="Arial" w:cs="Arial"/>
          <w:color w:val="000000"/>
          <w:sz w:val="20"/>
        </w:rPr>
        <w:t>Neil Basta sought medical care for his pregnant wife at Novant Health Huntersville Medical Center (Novant Health) from June 2, 2017 to June 4, 2017. Am. Compl. ¶ 5. Basta is a "profoundly deaf individual," with "limited proficiency in written English," whose chosen form of communication is American Sign Language (ASL). Am. Compl. ¶¶ 13-14. Because of these limitations, Basta "requires auxiliary aids and services to communicate effectively in a medical setting." Am. Compl. ¶ 14.</w:t>
      </w:r>
    </w:p>
    <w:p w:rsidR="00022B47" w:rsidRDefault="00000000">
      <w:pPr>
        <w:pStyle w:val="Normal14"/>
        <w:widowControl w:val="0"/>
        <w:spacing w:before="200" w:line="260" w:lineRule="atLeast"/>
        <w:jc w:val="both"/>
      </w:pPr>
      <w:bookmarkStart w:id="2632" w:name="Bookmark_para_5_13"/>
      <w:bookmarkEnd w:id="2632"/>
      <w:r>
        <w:rPr>
          <w:rFonts w:ascii="Arial" w:eastAsia="Arial" w:hAnsi="Arial" w:cs="Arial"/>
          <w:color w:val="000000"/>
          <w:sz w:val="20"/>
        </w:rPr>
        <w:t xml:space="preserve">Mrs. Basta, who is not deaf, had experienced life-threatening complications that caused her to become unconscious during her first childbirth. Am. Compl. ¶ 32. When she was again expecting, Mr. Basta sought to act as her healthcare proxy. In that capacity, he would communicate with the hospital during [**3]  Mrs. Basta's second childbirth in the event that his wife could no longer advocate for herself. </w:t>
      </w:r>
      <w:r>
        <w:rPr>
          <w:rFonts w:ascii="Arial" w:eastAsia="Arial" w:hAnsi="Arial" w:cs="Arial"/>
          <w:i/>
          <w:color w:val="000000"/>
          <w:sz w:val="20"/>
        </w:rPr>
        <w:t>See</w:t>
      </w:r>
      <w:r>
        <w:rPr>
          <w:rFonts w:ascii="Arial" w:eastAsia="Arial" w:hAnsi="Arial" w:cs="Arial"/>
          <w:color w:val="000000"/>
          <w:sz w:val="20"/>
        </w:rPr>
        <w:t xml:space="preserve"> Am. Compl. ¶¶ 30-33. Novant Health has a section on its website entitled "Interpretive Services," which states that:</w:t>
      </w:r>
    </w:p>
    <w:p w:rsidR="00022B47" w:rsidRDefault="00000000">
      <w:pPr>
        <w:pStyle w:val="Normal14"/>
        <w:widowControl w:val="0"/>
        <w:spacing w:before="200" w:line="260" w:lineRule="atLeast"/>
        <w:ind w:left="400"/>
        <w:jc w:val="both"/>
      </w:pPr>
      <w:bookmarkStart w:id="2633" w:name="Bookmark_para_6_13"/>
      <w:bookmarkEnd w:id="2633"/>
      <w:r>
        <w:rPr>
          <w:rFonts w:ascii="Arial" w:eastAsia="Arial" w:hAnsi="Arial" w:cs="Arial"/>
          <w:color w:val="000000"/>
          <w:sz w:val="20"/>
        </w:rPr>
        <w:t>If you or your family have special communication needs, we offer free interpreter services, which include: Foreign language interpreters for those with limited English proficiency, Sign language interpreters, Oral interpreters, TTY and other services for deaf or hard-of-hearing individuals. When you arrive at one of our Novant locations, if you or your  [*313]  family need assistance from an interpreter, let our staff know.</w:t>
      </w:r>
    </w:p>
    <w:p w:rsidR="00022B47" w:rsidRDefault="00000000">
      <w:pPr>
        <w:pStyle w:val="Normal14"/>
        <w:widowControl w:val="0"/>
        <w:spacing w:line="260" w:lineRule="atLeast"/>
        <w:jc w:val="both"/>
      </w:pPr>
      <w:r>
        <w:rPr>
          <w:rFonts w:ascii="Arial" w:eastAsia="Arial" w:hAnsi="Arial" w:cs="Arial"/>
          <w:color w:val="000000"/>
          <w:sz w:val="20"/>
        </w:rPr>
        <w:t>Am. Compl. ¶ 10.</w:t>
      </w:r>
    </w:p>
    <w:p w:rsidR="00022B47" w:rsidRDefault="00000000">
      <w:pPr>
        <w:pStyle w:val="Normal14"/>
        <w:widowControl w:val="0"/>
        <w:spacing w:before="200" w:line="260" w:lineRule="atLeast"/>
        <w:jc w:val="both"/>
      </w:pPr>
      <w:bookmarkStart w:id="2634" w:name="Bookmark_para_7_13"/>
      <w:bookmarkEnd w:id="2634"/>
      <w:r>
        <w:rPr>
          <w:rFonts w:ascii="Arial" w:eastAsia="Arial" w:hAnsi="Arial" w:cs="Arial"/>
          <w:color w:val="000000"/>
          <w:sz w:val="20"/>
        </w:rPr>
        <w:t>Prior to June 2, 2017, Basta contacted Novant Health to request that he be provided with a qualified ASL interpreter when the couple arrived for the birth. Am. Compl. ¶ 16. According to the complaint, a Novant Health staffer assured him that there would be an in-person ASL interpreter if Basta contacted the hospital when they were on their way to the facility. Am. Compl. ¶ 17.</w:t>
      </w:r>
    </w:p>
    <w:p w:rsidR="00022B47" w:rsidRDefault="00000000">
      <w:pPr>
        <w:pStyle w:val="Normal14"/>
        <w:widowControl w:val="0"/>
        <w:spacing w:before="200" w:line="260" w:lineRule="atLeast"/>
        <w:jc w:val="both"/>
      </w:pPr>
      <w:bookmarkStart w:id="2635" w:name="Bookmark_para_8_13"/>
      <w:bookmarkEnd w:id="2635"/>
      <w:r>
        <w:rPr>
          <w:rFonts w:ascii="Arial" w:eastAsia="Arial" w:hAnsi="Arial" w:cs="Arial"/>
          <w:color w:val="000000"/>
          <w:sz w:val="20"/>
        </w:rPr>
        <w:t xml:space="preserve">When Mrs. Basta went into labor, Mr. Basta contacted Novant Health to advise them that he was bringing his wife into the hospital. Am. Compl. ¶ 18. At that time, he repeated [**4]  his request for an interpreter. </w:t>
      </w:r>
      <w:r>
        <w:rPr>
          <w:rFonts w:ascii="Arial" w:eastAsia="Arial" w:hAnsi="Arial" w:cs="Arial"/>
          <w:i/>
          <w:color w:val="000000"/>
          <w:sz w:val="20"/>
        </w:rPr>
        <w:t>Id.</w:t>
      </w:r>
      <w:r>
        <w:rPr>
          <w:rFonts w:ascii="Arial" w:eastAsia="Arial" w:hAnsi="Arial" w:cs="Arial"/>
          <w:color w:val="000000"/>
          <w:sz w:val="20"/>
        </w:rPr>
        <w:t xml:space="preserve"> However, the staff member Mr. Basta spoke to said that he had to wait until the time of arrival at the hospital to request an interpreter. </w:t>
      </w:r>
      <w:r>
        <w:rPr>
          <w:rFonts w:ascii="Arial" w:eastAsia="Arial" w:hAnsi="Arial" w:cs="Arial"/>
          <w:i/>
          <w:color w:val="000000"/>
          <w:sz w:val="20"/>
        </w:rPr>
        <w:t>Id.</w:t>
      </w:r>
      <w:r>
        <w:rPr>
          <w:rFonts w:ascii="Arial" w:eastAsia="Arial" w:hAnsi="Arial" w:cs="Arial"/>
          <w:color w:val="000000"/>
          <w:sz w:val="20"/>
        </w:rPr>
        <w:t xml:space="preserve"> Upon arriving at the hospital, Basta and his wife reiterated their requests. Am. Compl. ¶ 19. Novant Health staff advised them that they were "working on it." </w:t>
      </w:r>
      <w:r>
        <w:rPr>
          <w:rFonts w:ascii="Arial" w:eastAsia="Arial" w:hAnsi="Arial" w:cs="Arial"/>
          <w:i/>
          <w:color w:val="000000"/>
          <w:sz w:val="20"/>
        </w:rPr>
        <w:t>Id.</w:t>
      </w:r>
    </w:p>
    <w:p w:rsidR="00022B47" w:rsidRDefault="00000000">
      <w:pPr>
        <w:pStyle w:val="Normal14"/>
        <w:widowControl w:val="0"/>
        <w:spacing w:before="200" w:line="260" w:lineRule="atLeast"/>
        <w:jc w:val="both"/>
      </w:pPr>
      <w:bookmarkStart w:id="2636" w:name="Bookmark_para_9_13"/>
      <w:bookmarkEnd w:id="2636"/>
      <w:r>
        <w:rPr>
          <w:rFonts w:ascii="Arial" w:eastAsia="Arial" w:hAnsi="Arial" w:cs="Arial"/>
          <w:color w:val="000000"/>
          <w:sz w:val="20"/>
        </w:rPr>
        <w:t xml:space="preserve">Novant Health staff then provided Mr. Basta with a Video Remote Interpreting device (VRI), which allows deaf people to communicate with an interpreter via streamed video over the internet. Am. Compl. ¶ 20. Federal regulations require that VRI services have a high-speed internet connection to deliver the high-quality images that enable deaf users to see the sign language properly. 28 C.F.R. § 36.303(f). According to the complaint, this VRI device malfunctioned. It was "blurry, choppy, and did not have a clear enough picture" for Basta to communicate with a remote interpreter. Am. Compl. ¶ 20. Hospital staff then brought a second VRI device into the room. Am. Compl. ¶ 21. However, this device malfunctioned in the same manner. </w:t>
      </w:r>
      <w:r>
        <w:rPr>
          <w:rFonts w:ascii="Arial" w:eastAsia="Arial" w:hAnsi="Arial" w:cs="Arial"/>
          <w:i/>
          <w:color w:val="000000"/>
          <w:sz w:val="20"/>
        </w:rPr>
        <w:t>Id.</w:t>
      </w:r>
      <w:r>
        <w:rPr>
          <w:rFonts w:ascii="Arial" w:eastAsia="Arial" w:hAnsi="Arial" w:cs="Arial"/>
          <w:color w:val="000000"/>
          <w:sz w:val="20"/>
        </w:rPr>
        <w:t xml:space="preserve"> Further, the hospital staff plugged the device into an electrical outlet away from his wife's hospital bed, which required Basta to leave his [**5]  wife's bedside to use it. </w:t>
      </w:r>
      <w:r>
        <w:rPr>
          <w:rFonts w:ascii="Arial" w:eastAsia="Arial" w:hAnsi="Arial" w:cs="Arial"/>
          <w:i/>
          <w:color w:val="000000"/>
          <w:sz w:val="20"/>
        </w:rPr>
        <w:t>Id.</w:t>
      </w:r>
    </w:p>
    <w:p w:rsidR="00022B47" w:rsidRDefault="00000000">
      <w:pPr>
        <w:pStyle w:val="Normal14"/>
        <w:widowControl w:val="0"/>
        <w:spacing w:before="200" w:line="260" w:lineRule="atLeast"/>
        <w:jc w:val="both"/>
      </w:pPr>
      <w:bookmarkStart w:id="2637" w:name="Bookmark_para_10_13"/>
      <w:bookmarkEnd w:id="2637"/>
      <w:r>
        <w:rPr>
          <w:rFonts w:ascii="Arial" w:eastAsia="Arial" w:hAnsi="Arial" w:cs="Arial"/>
          <w:color w:val="000000"/>
          <w:sz w:val="20"/>
        </w:rPr>
        <w:t xml:space="preserve">After the second VRI device malfunctioned, Novant Health did not provide a live in-person interpreter or any other auxiliary devices for Basta for the rest of the stay. Am. Compl. ¶ 22. He made repeated requests for interpreters during this time, but none were provided. Am. Compl. ¶ 26. Instead, Novant Health required Basta to communicate with doctors and staff via lip-reading, a method of communication which Basta is unable to fully understand. </w:t>
      </w:r>
      <w:r>
        <w:rPr>
          <w:rFonts w:ascii="Arial" w:eastAsia="Arial" w:hAnsi="Arial" w:cs="Arial"/>
          <w:i/>
          <w:color w:val="000000"/>
          <w:sz w:val="20"/>
        </w:rPr>
        <w:t>See</w:t>
      </w:r>
      <w:r>
        <w:rPr>
          <w:rFonts w:ascii="Arial" w:eastAsia="Arial" w:hAnsi="Arial" w:cs="Arial"/>
          <w:color w:val="000000"/>
          <w:sz w:val="20"/>
        </w:rPr>
        <w:t xml:space="preserve"> Am. Compl. ¶ 2. Basta claims he was thus unable to comprehend what was happening throughout the delivery process and was unable to ask questions to hospital staff. Am. Compl. ¶ 23.</w:t>
      </w:r>
    </w:p>
    <w:p w:rsidR="00022B47" w:rsidRDefault="00000000">
      <w:pPr>
        <w:pStyle w:val="Normal14"/>
        <w:widowControl w:val="0"/>
        <w:spacing w:before="120" w:line="260" w:lineRule="atLeast"/>
      </w:pPr>
      <w:r>
        <w:rPr>
          <w:rFonts w:ascii="Arial" w:eastAsia="Arial" w:hAnsi="Arial" w:cs="Arial"/>
          <w:color w:val="000000"/>
          <w:sz w:val="20"/>
        </w:rPr>
        <w:t>B.</w:t>
      </w:r>
    </w:p>
    <w:p w:rsidR="00022B47" w:rsidRDefault="00000000">
      <w:pPr>
        <w:pStyle w:val="Normal14"/>
        <w:widowControl w:val="0"/>
        <w:spacing w:before="200" w:line="260" w:lineRule="atLeast"/>
        <w:jc w:val="both"/>
      </w:pPr>
      <w:bookmarkStart w:id="2638" w:name="Bookmark_para_11_13"/>
      <w:bookmarkEnd w:id="2638"/>
      <w:r>
        <w:rPr>
          <w:rFonts w:ascii="Arial" w:eastAsia="Arial" w:hAnsi="Arial" w:cs="Arial"/>
          <w:color w:val="000000"/>
          <w:sz w:val="20"/>
        </w:rPr>
        <w:t xml:space="preserve">After his stay at Novant Health, Basta filed the instant lawsuit, alleging violations of (1) Section 504 of the Rehabilitation Act (RA), 29 U.S.C. § 794, (2) Section 1557 of the Patient Protection and Affordable Care Act (ACA), 42 U.S.C. § 18116, and (3) Title III of the Americans with Disabilities Act (ADA), 42 U.S.C. § 12181. He sought declaratory and injunctive relief under the ADA and compensatory damages under the RA and the ACA. Novant Health filed a motion to dismiss pursuant to Fed. R. Civ. Pro. 12(b)(1) and 12(b)(6), contending that Basta (1) lacked standing for injunctive relief under the ADA, and (2) failed to state a claim under both the RA and the ACA. The case was initially assigned to a magistrate judge, who advised that Novant's motion should be granted in its entirety. [**6]  Basta then objected to the magistrate's recommendation as to the RA and ACA claims, arguing that he sufficiently pled a </w:t>
      </w:r>
      <w:r>
        <w:rPr>
          <w:rFonts w:ascii="Arial" w:eastAsia="Arial" w:hAnsi="Arial" w:cs="Arial"/>
          <w:i/>
          <w:color w:val="000000"/>
          <w:sz w:val="20"/>
        </w:rPr>
        <w:t>prima facie</w:t>
      </w:r>
      <w:r>
        <w:rPr>
          <w:rFonts w:ascii="Arial" w:eastAsia="Arial" w:hAnsi="Arial" w:cs="Arial"/>
          <w:color w:val="000000"/>
          <w:sz w:val="20"/>
        </w:rPr>
        <w:t xml:space="preserve"> violation of these statutes. However, he conceded that he lacked  [*314]  standing for injunctive relief under Title III of the ADA. </w:t>
      </w:r>
      <w:r>
        <w:rPr>
          <w:rFonts w:ascii="Arial" w:eastAsia="Arial" w:hAnsi="Arial" w:cs="Arial"/>
          <w:i/>
          <w:color w:val="000000"/>
          <w:sz w:val="20"/>
        </w:rPr>
        <w:t>See</w:t>
      </w:r>
      <w:r>
        <w:rPr>
          <w:rFonts w:ascii="Arial" w:eastAsia="Arial" w:hAnsi="Arial" w:cs="Arial"/>
          <w:color w:val="000000"/>
          <w:sz w:val="20"/>
        </w:rPr>
        <w:t xml:space="preserve"> Joint App'x (J.A.) 53.</w:t>
      </w:r>
    </w:p>
    <w:p w:rsidR="00022B47" w:rsidRDefault="00000000">
      <w:pPr>
        <w:pStyle w:val="Normal14"/>
        <w:widowControl w:val="0"/>
        <w:spacing w:before="200" w:line="260" w:lineRule="atLeast"/>
        <w:jc w:val="both"/>
      </w:pPr>
      <w:bookmarkStart w:id="2639" w:name="Bookmark_para_12_13"/>
      <w:bookmarkStart w:id="2640" w:name="Bookmark_I676S57R2D6NK50020000400"/>
      <w:bookmarkStart w:id="2641" w:name="Bookmark_I676S57R2D6NK50040000400"/>
      <w:bookmarkEnd w:id="2639"/>
      <w:bookmarkEnd w:id="2640"/>
      <w:bookmarkEnd w:id="2641"/>
      <w:r>
        <w:rPr>
          <w:rFonts w:ascii="Arial" w:eastAsia="Arial" w:hAnsi="Arial" w:cs="Arial"/>
          <w:color w:val="000000"/>
          <w:sz w:val="20"/>
        </w:rPr>
        <w:t xml:space="preserve">The district court adopted the magistrate's recommendation and dismissed Basta's complaint. </w:t>
      </w:r>
      <w:bookmarkStart w:id="2642" w:name="Bookmark_I676S57S2N1PSM0010000400"/>
      <w:bookmarkStart w:id="2643" w:name="Bookmark_I676S57R2D6NK50010000400"/>
      <w:bookmarkEnd w:id="2642"/>
      <w:bookmarkEnd w:id="2643"/>
      <w:r>
        <w:rPr>
          <w:rFonts w:ascii="Arial" w:eastAsia="Arial" w:hAnsi="Arial" w:cs="Arial"/>
          <w:i/>
          <w:color w:val="000000"/>
          <w:sz w:val="20"/>
        </w:rPr>
        <w:t>Basta v. Novant Health Inc.</w:t>
      </w:r>
      <w:r>
        <w:rPr>
          <w:rFonts w:ascii="Arial" w:eastAsia="Arial" w:hAnsi="Arial" w:cs="Arial"/>
          <w:color w:val="000000"/>
          <w:sz w:val="20"/>
        </w:rPr>
        <w:t xml:space="preserve">, No. 3:19-cv-64-RJC-DSC, 2021 U.S. Dist. LEXIS 220587, 2021 WL 5326367 (W.D.N.C. Nov. 16, 2021). </w:t>
      </w:r>
      <w:bookmarkStart w:id="2644" w:name="Bookmark_I676S57S2N1PSM0050000400"/>
      <w:bookmarkEnd w:id="2644"/>
      <w:r>
        <w:rPr>
          <w:rFonts w:ascii="Arial" w:eastAsia="Arial" w:hAnsi="Arial" w:cs="Arial"/>
          <w:color w:val="000000"/>
          <w:sz w:val="20"/>
        </w:rPr>
        <w:t xml:space="preserve">It first dismissed the ADA claim, adopting the magistrate's reasoning that Basta lacked standing for injunctive relief. </w:t>
      </w:r>
      <w:bookmarkStart w:id="2645" w:name="Bookmark_I676S57R2D6NK50030000400"/>
      <w:bookmarkEnd w:id="2645"/>
      <w:r>
        <w:rPr>
          <w:rFonts w:ascii="Arial" w:eastAsia="Arial" w:hAnsi="Arial" w:cs="Arial"/>
          <w:color w:val="000000"/>
          <w:sz w:val="20"/>
        </w:rPr>
        <w:t xml:space="preserve">2021 U.S. Dist. LEXIS 220587, [WL] at *2. </w:t>
      </w:r>
      <w:bookmarkStart w:id="2646" w:name="Bookmark_I676S57S2N1PSM0050000400_2"/>
      <w:bookmarkStart w:id="2647" w:name="Bookmark_I676S57S2N1PSM0010000400_2"/>
      <w:bookmarkEnd w:id="2646"/>
      <w:bookmarkEnd w:id="2647"/>
      <w:r>
        <w:rPr>
          <w:rFonts w:ascii="Arial" w:eastAsia="Arial" w:hAnsi="Arial" w:cs="Arial"/>
          <w:color w:val="000000"/>
          <w:sz w:val="20"/>
        </w:rPr>
        <w:t xml:space="preserve">As for the RA claim for compensatory damages, the district court focused on the narrow issue of whether Basta plausibly pled that Novant Health "'intentionally discriminated'" against him. </w:t>
      </w:r>
      <w:bookmarkStart w:id="2648" w:name="Bookmark_I676S57R2D6NK50050000400"/>
      <w:bookmarkEnd w:id="2648"/>
      <w:r>
        <w:rPr>
          <w:rFonts w:ascii="Arial" w:eastAsia="Arial" w:hAnsi="Arial" w:cs="Arial"/>
          <w:color w:val="000000"/>
          <w:sz w:val="20"/>
        </w:rPr>
        <w:t xml:space="preserve">2021 U.S. Dist. LEXIS 220587, [WL] at *3 (quoting </w:t>
      </w:r>
      <w:bookmarkStart w:id="2649" w:name="Bookmark_I676S57S2N1PSM0020000400"/>
      <w:bookmarkEnd w:id="2649"/>
      <w:r>
        <w:rPr>
          <w:rFonts w:ascii="Arial" w:eastAsia="Arial" w:hAnsi="Arial" w:cs="Arial"/>
          <w:i/>
          <w:color w:val="000000"/>
          <w:sz w:val="20"/>
        </w:rPr>
        <w:t>Pandazides v. Va. Bd. of Educ.</w:t>
      </w:r>
      <w:r>
        <w:rPr>
          <w:rFonts w:ascii="Arial" w:eastAsia="Arial" w:hAnsi="Arial" w:cs="Arial"/>
          <w:color w:val="000000"/>
          <w:sz w:val="20"/>
        </w:rPr>
        <w:t xml:space="preserve">, 13 F.3d 823, 830 n.9 (4th Cir. 1994)). Noting a lack of precedent from this court regarding the standard for intentional discrimination, the district court defined it as one of "deliberate indifference," which occurs when "'the defendant knew that harm to a federally protected right was substantially likely and . . . failed to act on that likelihood.'" </w:t>
      </w:r>
      <w:r>
        <w:rPr>
          <w:rFonts w:ascii="Arial" w:eastAsia="Arial" w:hAnsi="Arial" w:cs="Arial"/>
          <w:i/>
          <w:color w:val="000000"/>
          <w:sz w:val="20"/>
        </w:rPr>
        <w:t>Id.</w:t>
      </w:r>
      <w:r>
        <w:rPr>
          <w:rFonts w:ascii="Arial" w:eastAsia="Arial" w:hAnsi="Arial" w:cs="Arial"/>
          <w:color w:val="000000"/>
          <w:sz w:val="20"/>
        </w:rPr>
        <w:t xml:space="preserve"> (quoting </w:t>
      </w:r>
      <w:bookmarkStart w:id="2650" w:name="Bookmark_I676S57S2N1PSM0040000400"/>
      <w:bookmarkEnd w:id="2650"/>
      <w:r>
        <w:rPr>
          <w:rFonts w:ascii="Arial" w:eastAsia="Arial" w:hAnsi="Arial" w:cs="Arial"/>
          <w:i/>
          <w:color w:val="000000"/>
          <w:sz w:val="20"/>
        </w:rPr>
        <w:t>Liese v. Indian River Cty. Hosp. Dist.</w:t>
      </w:r>
      <w:r>
        <w:rPr>
          <w:rFonts w:ascii="Arial" w:eastAsia="Arial" w:hAnsi="Arial" w:cs="Arial"/>
          <w:color w:val="000000"/>
          <w:sz w:val="20"/>
        </w:rPr>
        <w:t>, 701 F.3d 334, 344 (11th Cir. 2012)).</w:t>
      </w:r>
    </w:p>
    <w:p w:rsidR="00022B47" w:rsidRDefault="00000000">
      <w:pPr>
        <w:pStyle w:val="Normal14"/>
        <w:widowControl w:val="0"/>
        <w:spacing w:before="200" w:line="260" w:lineRule="atLeast"/>
        <w:jc w:val="both"/>
      </w:pPr>
      <w:bookmarkStart w:id="2651" w:name="Bookmark_para_13_13"/>
      <w:bookmarkStart w:id="2652" w:name="Bookmark_I676S57S2D6NKC0020000400"/>
      <w:bookmarkEnd w:id="2651"/>
      <w:bookmarkEnd w:id="2652"/>
      <w:r>
        <w:rPr>
          <w:rFonts w:ascii="Arial" w:eastAsia="Arial" w:hAnsi="Arial" w:cs="Arial"/>
          <w:color w:val="000000"/>
          <w:sz w:val="20"/>
        </w:rPr>
        <w:t xml:space="preserve">The court found that "[f]or an entity like Novant, deliberate indifference cannot be shown by failing to provide ASL-fluent interpreters alone...[n]or can [it] be shown when, through no fault [**7]  of its own, one of its electronic devices malfunctions." </w:t>
      </w:r>
      <w:r>
        <w:rPr>
          <w:rFonts w:ascii="Arial" w:eastAsia="Arial" w:hAnsi="Arial" w:cs="Arial"/>
          <w:i/>
          <w:color w:val="000000"/>
          <w:sz w:val="20"/>
        </w:rPr>
        <w:t>Id.</w:t>
      </w:r>
      <w:r>
        <w:rPr>
          <w:rFonts w:ascii="Arial" w:eastAsia="Arial" w:hAnsi="Arial" w:cs="Arial"/>
          <w:color w:val="000000"/>
          <w:sz w:val="20"/>
        </w:rPr>
        <w:t xml:space="preserve"> Instead, Basta had to have alleged "systemic and pervasive problems, rather than an isolated incident" related to malfunctioning VRI devices to plausibly plead a claim under the RA. </w:t>
      </w:r>
      <w:r>
        <w:rPr>
          <w:rFonts w:ascii="Arial" w:eastAsia="Arial" w:hAnsi="Arial" w:cs="Arial"/>
          <w:i/>
          <w:color w:val="000000"/>
          <w:sz w:val="20"/>
        </w:rPr>
        <w:t>Id.</w:t>
      </w:r>
      <w:r>
        <w:rPr>
          <w:rFonts w:ascii="Arial" w:eastAsia="Arial" w:hAnsi="Arial" w:cs="Arial"/>
          <w:color w:val="000000"/>
          <w:sz w:val="20"/>
        </w:rPr>
        <w:t xml:space="preserve"> Since Basta alleged only an isolated occurrence of malfunctioning VRI devices relating to his single three-day stay at Novant Health, the court found he failed to make out a </w:t>
      </w:r>
      <w:r>
        <w:rPr>
          <w:rFonts w:ascii="Arial" w:eastAsia="Arial" w:hAnsi="Arial" w:cs="Arial"/>
          <w:i/>
          <w:color w:val="000000"/>
          <w:sz w:val="20"/>
        </w:rPr>
        <w:t>prima facie</w:t>
      </w:r>
      <w:r>
        <w:rPr>
          <w:rFonts w:ascii="Arial" w:eastAsia="Arial" w:hAnsi="Arial" w:cs="Arial"/>
          <w:color w:val="000000"/>
          <w:sz w:val="20"/>
        </w:rPr>
        <w:t xml:space="preserve"> claim entitling him to compensatory damages under the RA. </w:t>
      </w:r>
      <w:bookmarkStart w:id="2653" w:name="Bookmark_I676S57S2D6NKC0010000400"/>
      <w:bookmarkEnd w:id="2653"/>
      <w:r>
        <w:rPr>
          <w:rFonts w:ascii="Arial" w:eastAsia="Arial" w:hAnsi="Arial" w:cs="Arial"/>
          <w:color w:val="000000"/>
          <w:sz w:val="20"/>
        </w:rPr>
        <w:t>2021 U.S. Dist. LEXIS 220587, [WL] at *4.</w:t>
      </w:r>
    </w:p>
    <w:p w:rsidR="00022B47" w:rsidRDefault="00000000">
      <w:pPr>
        <w:pStyle w:val="Normal14"/>
        <w:widowControl w:val="0"/>
        <w:spacing w:before="200" w:line="260" w:lineRule="atLeast"/>
        <w:jc w:val="both"/>
      </w:pPr>
      <w:bookmarkStart w:id="2654" w:name="Bookmark_para_14_13"/>
      <w:bookmarkEnd w:id="2654"/>
      <w:r>
        <w:rPr>
          <w:rFonts w:ascii="Arial" w:eastAsia="Arial" w:hAnsi="Arial" w:cs="Arial"/>
          <w:color w:val="000000"/>
          <w:sz w:val="20"/>
        </w:rPr>
        <w:t xml:space="preserve">Lastly, the district court dismissed Basta's compensatory damages claims under Section 1557 of the ACA on the grounds that "the ACA claim fails for the same reason as the RA claim." </w:t>
      </w:r>
      <w:r>
        <w:rPr>
          <w:rFonts w:ascii="Arial" w:eastAsia="Arial" w:hAnsi="Arial" w:cs="Arial"/>
          <w:i/>
          <w:color w:val="000000"/>
          <w:sz w:val="20"/>
        </w:rPr>
        <w:t>Id.</w:t>
      </w:r>
      <w:r>
        <w:rPr>
          <w:rFonts w:ascii="Arial" w:eastAsia="Arial" w:hAnsi="Arial" w:cs="Arial"/>
          <w:color w:val="000000"/>
          <w:sz w:val="20"/>
        </w:rPr>
        <w:t xml:space="preserve"> Since Basta had not alleged facts showing that Novant intentionally discriminated against him under a deliberate indifference standard, necessary for the ACA claim to survive, the court dismissed that claim as well. </w:t>
      </w:r>
      <w:r>
        <w:rPr>
          <w:rFonts w:ascii="Arial" w:eastAsia="Arial" w:hAnsi="Arial" w:cs="Arial"/>
          <w:i/>
          <w:color w:val="000000"/>
          <w:sz w:val="20"/>
        </w:rPr>
        <w:t>Id.</w:t>
      </w:r>
    </w:p>
    <w:p w:rsidR="00022B47" w:rsidRDefault="00000000">
      <w:pPr>
        <w:pStyle w:val="Normal14"/>
        <w:widowControl w:val="0"/>
        <w:spacing w:before="120" w:line="260" w:lineRule="atLeast"/>
      </w:pPr>
      <w:r>
        <w:rPr>
          <w:rFonts w:ascii="Arial" w:eastAsia="Arial" w:hAnsi="Arial" w:cs="Arial"/>
          <w:color w:val="000000"/>
          <w:sz w:val="20"/>
        </w:rPr>
        <w:t>II.</w:t>
      </w:r>
    </w:p>
    <w:p w:rsidR="00022B47" w:rsidRDefault="00000000">
      <w:pPr>
        <w:pStyle w:val="Normal14"/>
        <w:widowControl w:val="0"/>
        <w:spacing w:before="200" w:line="260" w:lineRule="atLeast"/>
        <w:jc w:val="both"/>
      </w:pPr>
      <w:bookmarkStart w:id="2655" w:name="Bookmark_para_15_13"/>
      <w:bookmarkEnd w:id="2655"/>
      <w:r>
        <w:rPr>
          <w:rFonts w:ascii="Arial" w:eastAsia="Arial" w:hAnsi="Arial" w:cs="Arial"/>
          <w:color w:val="000000"/>
          <w:sz w:val="20"/>
        </w:rPr>
        <w:t>Basta timely appealed the district court's order. He argues that his complaint plausibly alleged claims under Section 504 of the RA and Section 1557 of the ACA. According to Basta, intentional discrimination via deliberate indifference can be proven by the fact that Novant provided only two malfunctioning VRI devices on the first day of a three-day stay and failed [**8]  to provide any other interpretive services or auxiliary aids despite repeated requests. He argues that he was thus entitled to proceed to discovery on these claims.</w:t>
      </w:r>
    </w:p>
    <w:p w:rsidR="00022B47" w:rsidRDefault="00000000">
      <w:pPr>
        <w:pStyle w:val="Normal14"/>
        <w:widowControl w:val="0"/>
        <w:spacing w:before="200" w:line="260" w:lineRule="atLeast"/>
        <w:jc w:val="both"/>
      </w:pPr>
      <w:bookmarkStart w:id="2656" w:name="Bookmark_para_16_13"/>
      <w:bookmarkStart w:id="2657" w:name="Bookmark_I676S57S2D6NKC0040000400"/>
      <w:bookmarkStart w:id="2658" w:name="Bookmark_I676S57S2HM6K50010000400"/>
      <w:bookmarkEnd w:id="2656"/>
      <w:bookmarkEnd w:id="2657"/>
      <w:bookmarkEnd w:id="2658"/>
      <w:r>
        <w:rPr>
          <w:rFonts w:ascii="Arial" w:eastAsia="Arial" w:hAnsi="Arial" w:cs="Arial"/>
          <w:color w:val="000000"/>
          <w:sz w:val="20"/>
        </w:rPr>
        <w:t xml:space="preserve">We hold that Basta plausibly pled a claim of compensatory damages under the RA. Basta waived his appeal rights for the ADA injunctive relief claim by failing to object to the magistrate's recommendation, </w:t>
      </w:r>
      <w:r>
        <w:rPr>
          <w:rFonts w:ascii="Arial" w:eastAsia="Arial" w:hAnsi="Arial" w:cs="Arial"/>
          <w:i/>
          <w:color w:val="000000"/>
          <w:sz w:val="20"/>
        </w:rPr>
        <w:t xml:space="preserve">see </w:t>
      </w:r>
      <w:bookmarkStart w:id="2659" w:name="Bookmark_I676S57S2D6NKC0030000400"/>
      <w:bookmarkEnd w:id="2659"/>
      <w:r>
        <w:rPr>
          <w:rFonts w:ascii="Arial" w:eastAsia="Arial" w:hAnsi="Arial" w:cs="Arial"/>
          <w:i/>
          <w:color w:val="000000"/>
          <w:sz w:val="20"/>
        </w:rPr>
        <w:t>Wright v. Collins</w:t>
      </w:r>
      <w:r>
        <w:rPr>
          <w:rFonts w:ascii="Arial" w:eastAsia="Arial" w:hAnsi="Arial" w:cs="Arial"/>
          <w:color w:val="000000"/>
          <w:sz w:val="20"/>
        </w:rPr>
        <w:t xml:space="preserve">, 766 F.2d 841, 845-46 (4th Cir. 1985), so we focus only on his RA and ACA claims. We agree with the district court that these claims rise and fall together. Under the ACA, "an individual shall not, on the ground prohibited under...section 794 of title 29 [section 504 of the RA]; be excluded from participation in, be denied the benefits of, or be subjected to discrimination under, any health program or activity[.]" 42 U.S.C. § 18116(a); </w:t>
      </w:r>
      <w:r>
        <w:rPr>
          <w:rFonts w:ascii="Arial" w:eastAsia="Arial" w:hAnsi="Arial" w:cs="Arial"/>
          <w:i/>
          <w:color w:val="000000"/>
          <w:sz w:val="20"/>
        </w:rPr>
        <w:t xml:space="preserve">see also </w:t>
      </w:r>
      <w:bookmarkStart w:id="2660" w:name="Bookmark_I676S57S2D6NKC0050000400"/>
      <w:bookmarkEnd w:id="2660"/>
      <w:r>
        <w:rPr>
          <w:rFonts w:ascii="Arial" w:eastAsia="Arial" w:hAnsi="Arial" w:cs="Arial"/>
          <w:i/>
          <w:color w:val="000000"/>
          <w:sz w:val="20"/>
        </w:rPr>
        <w:t>Francois v. Our Lady of the Lake Hosp., Inc.</w:t>
      </w:r>
      <w:r>
        <w:rPr>
          <w:rFonts w:ascii="Arial" w:eastAsia="Arial" w:hAnsi="Arial" w:cs="Arial"/>
          <w:color w:val="000000"/>
          <w:sz w:val="20"/>
        </w:rPr>
        <w:t xml:space="preserve">, 8 F.4th 370, 378 (5th Cir. 2021) ("For disability-discrimination claims, the ACA incorporates the substantive analytical framework of the RA."); </w:t>
      </w:r>
      <w:bookmarkStart w:id="2661" w:name="Bookmark_I676S57S2HM6K50020000400"/>
      <w:bookmarkEnd w:id="2661"/>
      <w:r>
        <w:rPr>
          <w:rFonts w:ascii="Arial" w:eastAsia="Arial" w:hAnsi="Arial" w:cs="Arial"/>
          <w:i/>
          <w:color w:val="000000"/>
          <w:sz w:val="20"/>
        </w:rPr>
        <w:t>Doe v. BlueCross BlueShield of Tenn.</w:t>
      </w:r>
      <w:r>
        <w:rPr>
          <w:rFonts w:ascii="Arial" w:eastAsia="Arial" w:hAnsi="Arial" w:cs="Arial"/>
          <w:color w:val="000000"/>
          <w:sz w:val="20"/>
        </w:rPr>
        <w:t xml:space="preserve">, 926 F.3d 235, 239 (6th Cir. 2019) (noting that "the Affordable  [*315]  Care Act picks up the standard of care for showing a violation of § 504") (emphasis omitted); </w:t>
      </w:r>
      <w:bookmarkStart w:id="2662" w:name="Bookmark_I676S57S2HM6K50040000400"/>
      <w:bookmarkEnd w:id="2662"/>
      <w:r>
        <w:rPr>
          <w:rFonts w:ascii="Arial" w:eastAsia="Arial" w:hAnsi="Arial" w:cs="Arial"/>
          <w:i/>
          <w:color w:val="000000"/>
          <w:sz w:val="20"/>
        </w:rPr>
        <w:t>Doe v. CVS Pharmacy, Inc.</w:t>
      </w:r>
      <w:r>
        <w:rPr>
          <w:rFonts w:ascii="Arial" w:eastAsia="Arial" w:hAnsi="Arial" w:cs="Arial"/>
          <w:color w:val="000000"/>
          <w:sz w:val="20"/>
        </w:rPr>
        <w:t>, 982 F.3d 1204, 1210 (9th Cir. 2020) ("[T]o state a claim for a Section 1557 violation, [plaintiffs] must allege facts adequate to state a claim under Section 504 of the Rehabilitation Act."). Accordingly, we focus on the standard for compensatory damages under the RA, as this is a threshold determination as to whether Basta plausibly [**9]  pled a claim under the ACA.</w:t>
      </w:r>
    </w:p>
    <w:p w:rsidR="00022B47" w:rsidRDefault="00000000">
      <w:pPr>
        <w:pStyle w:val="Normal14"/>
        <w:widowControl w:val="0"/>
        <w:spacing w:before="120" w:line="260" w:lineRule="atLeast"/>
      </w:pPr>
      <w:r>
        <w:rPr>
          <w:rFonts w:ascii="Arial" w:eastAsia="Arial" w:hAnsi="Arial" w:cs="Arial"/>
          <w:color w:val="000000"/>
          <w:sz w:val="20"/>
        </w:rPr>
        <w:t>A.</w:t>
      </w:r>
    </w:p>
    <w:p w:rsidR="00022B47" w:rsidRDefault="00000000">
      <w:pPr>
        <w:pStyle w:val="Normal14"/>
        <w:widowControl w:val="0"/>
        <w:spacing w:before="200" w:line="260" w:lineRule="atLeast"/>
        <w:jc w:val="both"/>
      </w:pPr>
      <w:bookmarkStart w:id="2663" w:name="Bookmark_para_17_12"/>
      <w:bookmarkStart w:id="2664" w:name="Bookmark_I7WVGYXCJFC000064N100103"/>
      <w:bookmarkStart w:id="2665" w:name="Bookmark_I7WVGYXCMPK000064N100104"/>
      <w:bookmarkStart w:id="2666" w:name="Bookmark_I676S57T2SF8T40020000400"/>
      <w:bookmarkStart w:id="2667" w:name="Bookmark_LNHNREFclscc1_12"/>
      <w:bookmarkEnd w:id="2663"/>
      <w:bookmarkEnd w:id="2664"/>
      <w:bookmarkEnd w:id="2665"/>
      <w:bookmarkEnd w:id="2666"/>
      <w:bookmarkEnd w:id="2667"/>
      <w:r>
        <w:rPr>
          <w:rFonts w:ascii="Arial" w:eastAsia="Arial" w:hAnsi="Arial" w:cs="Arial"/>
          <w:color w:val="000000"/>
          <w:sz w:val="20"/>
        </w:rPr>
        <w:t xml:space="preserve">Section 504 of the Rehabilitation Act provides that "[n]o otherwise qualified individual with a disability in the United States ...shall, solely by reason of her or his disability, be excluded from participation in, be denied the benefits of, or be subjected to discrimination under any program or activity receiving Federal financial assistance[.]" 29 U.S.C. § 794(a). </w:t>
      </w:r>
      <w:bookmarkStart w:id="2668" w:name="Bookmark_I676S57T2HM6KH0010000400"/>
      <w:bookmarkEnd w:id="2668"/>
      <w:r>
        <w:rPr>
          <w:rFonts w:ascii="Arial" w:eastAsia="Arial" w:hAnsi="Arial" w:cs="Arial"/>
          <w:color w:val="000000"/>
          <w:sz w:val="20"/>
        </w:rPr>
        <w:t xml:space="preserve">Therefore, to establish a </w:t>
      </w:r>
      <w:r>
        <w:rPr>
          <w:rFonts w:ascii="Arial" w:eastAsia="Arial" w:hAnsi="Arial" w:cs="Arial"/>
          <w:i/>
          <w:color w:val="000000"/>
          <w:sz w:val="20"/>
        </w:rPr>
        <w:t>prima facie</w:t>
      </w:r>
      <w:r>
        <w:rPr>
          <w:rFonts w:ascii="Arial" w:eastAsia="Arial" w:hAnsi="Arial" w:cs="Arial"/>
          <w:color w:val="000000"/>
          <w:sz w:val="20"/>
        </w:rPr>
        <w:t xml:space="preserve"> violation of the RA against a private entity which receives federal funds, a plaintiff must show that he or she is: (1) a "disabled individual" as defined in the RA; (2) "otherwise qualified" to participate in the offered activity or to enjoy its benefits; (3) excluded from such participation or enjoyment solely by reason of his or her handicap; and (4) that the program administering the activity receives federal financial assistance. </w:t>
      </w:r>
      <w:r>
        <w:rPr>
          <w:rFonts w:ascii="Arial" w:eastAsia="Arial" w:hAnsi="Arial" w:cs="Arial"/>
          <w:i/>
          <w:color w:val="000000"/>
          <w:sz w:val="20"/>
        </w:rPr>
        <w:t xml:space="preserve">See </w:t>
      </w:r>
      <w:bookmarkStart w:id="2669" w:name="Bookmark_I676S57T2SF8T40010000400"/>
      <w:bookmarkEnd w:id="2669"/>
      <w:r>
        <w:rPr>
          <w:rFonts w:ascii="Arial" w:eastAsia="Arial" w:hAnsi="Arial" w:cs="Arial"/>
          <w:i/>
          <w:color w:val="000000"/>
          <w:sz w:val="20"/>
        </w:rPr>
        <w:t>Halpern v. Wake Forest Univ. Health Sciences</w:t>
      </w:r>
      <w:r>
        <w:rPr>
          <w:rFonts w:ascii="Arial" w:eastAsia="Arial" w:hAnsi="Arial" w:cs="Arial"/>
          <w:color w:val="000000"/>
          <w:sz w:val="20"/>
        </w:rPr>
        <w:t xml:space="preserve">, 669 F.3d 454, 461-62 (4th Cir. 2012); </w:t>
      </w:r>
      <w:r>
        <w:rPr>
          <w:rFonts w:ascii="Arial" w:eastAsia="Arial" w:hAnsi="Arial" w:cs="Arial"/>
          <w:i/>
          <w:color w:val="000000"/>
          <w:sz w:val="20"/>
        </w:rPr>
        <w:t xml:space="preserve">see also </w:t>
      </w:r>
      <w:bookmarkStart w:id="2670" w:name="Bookmark_I676S57T2SF8T40030000400"/>
      <w:bookmarkEnd w:id="2670"/>
      <w:r>
        <w:rPr>
          <w:rFonts w:ascii="Arial" w:eastAsia="Arial" w:hAnsi="Arial" w:cs="Arial"/>
          <w:i/>
          <w:color w:val="000000"/>
          <w:sz w:val="20"/>
        </w:rPr>
        <w:t>Koon v. North Carolina</w:t>
      </w:r>
      <w:r>
        <w:rPr>
          <w:rFonts w:ascii="Arial" w:eastAsia="Arial" w:hAnsi="Arial" w:cs="Arial"/>
          <w:color w:val="000000"/>
          <w:sz w:val="20"/>
        </w:rPr>
        <w:t xml:space="preserve">, 50 F.4th 398, 405 (4th Cir. 2022). </w:t>
      </w:r>
      <w:bookmarkStart w:id="2671" w:name="Bookmark_I676S57T2HM6KH0010000400_2"/>
      <w:bookmarkEnd w:id="2671"/>
      <w:r>
        <w:rPr>
          <w:rFonts w:ascii="Arial" w:eastAsia="Arial" w:hAnsi="Arial" w:cs="Arial"/>
          <w:color w:val="000000"/>
          <w:sz w:val="20"/>
        </w:rPr>
        <w:t xml:space="preserve">One way to prove this third prong is by showing that a hospital failed to adequately accommodate a hearing-impaired individual by providing ineffective auxiliary aids under the RA. </w:t>
      </w:r>
      <w:bookmarkStart w:id="2672" w:name="Bookmark_I676S57T2SF8T40050000400"/>
      <w:bookmarkEnd w:id="2672"/>
      <w:r>
        <w:rPr>
          <w:rFonts w:ascii="Arial" w:eastAsia="Arial" w:hAnsi="Arial" w:cs="Arial"/>
          <w:i/>
          <w:color w:val="000000"/>
          <w:sz w:val="20"/>
        </w:rPr>
        <w:t>Liese</w:t>
      </w:r>
      <w:r>
        <w:rPr>
          <w:rFonts w:ascii="Arial" w:eastAsia="Arial" w:hAnsi="Arial" w:cs="Arial"/>
          <w:color w:val="000000"/>
          <w:sz w:val="20"/>
        </w:rPr>
        <w:t>, 701 F.3d at 343-44.</w:t>
      </w:r>
    </w:p>
    <w:p w:rsidR="00022B47" w:rsidRDefault="00000000">
      <w:pPr>
        <w:pStyle w:val="Normal14"/>
        <w:widowControl w:val="0"/>
        <w:spacing w:before="200" w:line="260" w:lineRule="atLeast"/>
        <w:jc w:val="both"/>
      </w:pPr>
      <w:bookmarkStart w:id="2673" w:name="Bookmark_para_18_12"/>
      <w:bookmarkEnd w:id="2673"/>
      <w:r>
        <w:rPr>
          <w:rFonts w:ascii="Arial" w:eastAsia="Arial" w:hAnsi="Arial" w:cs="Arial"/>
          <w:color w:val="000000"/>
          <w:sz w:val="20"/>
        </w:rPr>
        <w:t xml:space="preserve">Novant does not deny that it receives federal funding, nor does it contest that Basta has a disability within the meaning of the RA. Moreover, Novant agrees that Basta, as a healthcare [**10]  proxy for his wife, was entitled to auxiliary aids to ensure effective communication with hospital staff. </w:t>
      </w:r>
      <w:r>
        <w:rPr>
          <w:rFonts w:ascii="Arial" w:eastAsia="Arial" w:hAnsi="Arial" w:cs="Arial"/>
          <w:i/>
          <w:color w:val="000000"/>
          <w:sz w:val="20"/>
        </w:rPr>
        <w:t>See</w:t>
      </w:r>
      <w:r>
        <w:rPr>
          <w:rFonts w:ascii="Arial" w:eastAsia="Arial" w:hAnsi="Arial" w:cs="Arial"/>
          <w:color w:val="000000"/>
          <w:sz w:val="20"/>
        </w:rPr>
        <w:t xml:space="preserve"> 28 C.F.R. §§ 35.160(a)(1)-(2). The parties agree that the only element in dispute is whether Novant failed to adequately accommodate Basta by providing him malfunctioning auxiliary aids on the first day of his three-day stay at Novant.</w:t>
      </w:r>
    </w:p>
    <w:p w:rsidR="00022B47" w:rsidRDefault="00000000">
      <w:pPr>
        <w:pStyle w:val="Normal14"/>
        <w:widowControl w:val="0"/>
        <w:spacing w:before="200" w:line="260" w:lineRule="atLeast"/>
        <w:jc w:val="both"/>
      </w:pPr>
      <w:bookmarkStart w:id="2674" w:name="Bookmark_para_19_12"/>
      <w:bookmarkStart w:id="2675" w:name="Bookmark_I676S57T2HM6KH0030000400"/>
      <w:bookmarkStart w:id="2676" w:name="Bookmark_I676S57T2HM6KH0050000400"/>
      <w:bookmarkEnd w:id="2674"/>
      <w:bookmarkEnd w:id="2675"/>
      <w:bookmarkEnd w:id="2676"/>
      <w:r>
        <w:rPr>
          <w:rFonts w:ascii="Arial" w:eastAsia="Arial" w:hAnsi="Arial" w:cs="Arial"/>
          <w:color w:val="000000"/>
          <w:sz w:val="20"/>
        </w:rPr>
        <w:t xml:space="preserve">The general meaning of an adequate accommodation has been well-explained. </w:t>
      </w:r>
      <w:bookmarkStart w:id="2677" w:name="Bookmark_LNHNREFclscc2_12"/>
      <w:bookmarkEnd w:id="2677"/>
      <w:r>
        <w:rPr>
          <w:rFonts w:ascii="Arial" w:eastAsia="Arial" w:hAnsi="Arial" w:cs="Arial"/>
          <w:color w:val="000000"/>
          <w:sz w:val="20"/>
        </w:rPr>
        <w:t xml:space="preserve">In passing the RA, Congress sought to target a type of "thoughtless[] and indifferent[]" discrimination, which arises not out of "invidious animus" but rather out "of benign neglect." </w:t>
      </w:r>
      <w:bookmarkStart w:id="2678" w:name="Bookmark_I676S57T2HM6KH0020000400"/>
      <w:bookmarkEnd w:id="2678"/>
      <w:r>
        <w:rPr>
          <w:rFonts w:ascii="Arial" w:eastAsia="Arial" w:hAnsi="Arial" w:cs="Arial"/>
          <w:i/>
          <w:color w:val="000000"/>
          <w:sz w:val="20"/>
        </w:rPr>
        <w:t>Alexander v. Choate</w:t>
      </w:r>
      <w:r>
        <w:rPr>
          <w:rFonts w:ascii="Arial" w:eastAsia="Arial" w:hAnsi="Arial" w:cs="Arial"/>
          <w:color w:val="000000"/>
          <w:sz w:val="20"/>
        </w:rPr>
        <w:t xml:space="preserve">, 469 U.S. 287, 295, 105 S. Ct. 712, 83 L. Ed. 2d 661 (1985). Thus, recipients of federal funds must ensure that "otherwise qualified handicapped individual[s]" are "provided with meaningful access to the benefit that the grantee offers." </w:t>
      </w:r>
      <w:bookmarkStart w:id="2679" w:name="Bookmark_I676S57T2HM6KH0040000400"/>
      <w:bookmarkEnd w:id="2679"/>
      <w:r>
        <w:rPr>
          <w:rFonts w:ascii="Arial" w:eastAsia="Arial" w:hAnsi="Arial" w:cs="Arial"/>
          <w:i/>
          <w:color w:val="000000"/>
          <w:sz w:val="20"/>
        </w:rPr>
        <w:t>Id.</w:t>
      </w:r>
      <w:r>
        <w:rPr>
          <w:rFonts w:ascii="Arial" w:eastAsia="Arial" w:hAnsi="Arial" w:cs="Arial"/>
          <w:color w:val="000000"/>
          <w:sz w:val="20"/>
        </w:rPr>
        <w:t xml:space="preserve"> at 301. </w:t>
      </w:r>
      <w:bookmarkStart w:id="2680" w:name="Bookmark_I676S57T2HM6KK0020000400"/>
      <w:bookmarkEnd w:id="2680"/>
      <w:r>
        <w:rPr>
          <w:rFonts w:ascii="Arial" w:eastAsia="Arial" w:hAnsi="Arial" w:cs="Arial"/>
          <w:color w:val="000000"/>
          <w:sz w:val="20"/>
        </w:rPr>
        <w:t xml:space="preserve">Pursuant to congressional delegation, </w:t>
      </w:r>
      <w:r>
        <w:rPr>
          <w:rFonts w:ascii="Arial" w:eastAsia="Arial" w:hAnsi="Arial" w:cs="Arial"/>
          <w:i/>
          <w:color w:val="000000"/>
          <w:sz w:val="20"/>
        </w:rPr>
        <w:t>see</w:t>
      </w:r>
      <w:r>
        <w:rPr>
          <w:rFonts w:ascii="Arial" w:eastAsia="Arial" w:hAnsi="Arial" w:cs="Arial"/>
          <w:color w:val="000000"/>
          <w:sz w:val="20"/>
        </w:rPr>
        <w:t xml:space="preserve"> 29 U.S.C. § 794(a), the Department of Health and Human Services has issued regulations which further define what meaningful access requires in a hospital setting. These regulations "warrant respect" by this court. </w:t>
      </w:r>
      <w:bookmarkStart w:id="2681" w:name="Bookmark_I676S57T2HM6KK0010000400"/>
      <w:bookmarkEnd w:id="2681"/>
      <w:r>
        <w:rPr>
          <w:rFonts w:ascii="Arial" w:eastAsia="Arial" w:hAnsi="Arial" w:cs="Arial"/>
          <w:i/>
          <w:color w:val="000000"/>
          <w:sz w:val="20"/>
        </w:rPr>
        <w:t>A Helping Hand, LLC v. Baltimore Cty.</w:t>
      </w:r>
      <w:r>
        <w:rPr>
          <w:rFonts w:ascii="Arial" w:eastAsia="Arial" w:hAnsi="Arial" w:cs="Arial"/>
          <w:color w:val="000000"/>
          <w:sz w:val="20"/>
        </w:rPr>
        <w:t xml:space="preserve">, 515 F.3d 356, 362 (4th Cir. 2008) (internal quotations omitted); </w:t>
      </w:r>
      <w:r>
        <w:rPr>
          <w:rFonts w:ascii="Arial" w:eastAsia="Arial" w:hAnsi="Arial" w:cs="Arial"/>
          <w:i/>
          <w:color w:val="000000"/>
          <w:sz w:val="20"/>
        </w:rPr>
        <w:t xml:space="preserve">see also </w:t>
      </w:r>
      <w:bookmarkStart w:id="2682" w:name="Bookmark_I676S57T2HM6KK0030000400"/>
      <w:bookmarkEnd w:id="2682"/>
      <w:r>
        <w:rPr>
          <w:rFonts w:ascii="Arial" w:eastAsia="Arial" w:hAnsi="Arial" w:cs="Arial"/>
          <w:i/>
          <w:color w:val="000000"/>
          <w:sz w:val="20"/>
        </w:rPr>
        <w:t>Nat'l Fed. of the Blind v. Lamone</w:t>
      </w:r>
      <w:r>
        <w:rPr>
          <w:rFonts w:ascii="Arial" w:eastAsia="Arial" w:hAnsi="Arial" w:cs="Arial"/>
          <w:color w:val="000000"/>
          <w:sz w:val="20"/>
        </w:rPr>
        <w:t>, 813 F.3d 494, 506 (4th Cir. 2016).</w:t>
      </w:r>
    </w:p>
    <w:p w:rsidR="00022B47" w:rsidRDefault="00000000">
      <w:pPr>
        <w:pStyle w:val="Normal14"/>
        <w:widowControl w:val="0"/>
        <w:spacing w:before="200" w:line="260" w:lineRule="atLeast"/>
        <w:jc w:val="both"/>
      </w:pPr>
      <w:bookmarkStart w:id="2683" w:name="Bookmark_para_20_12"/>
      <w:bookmarkEnd w:id="2683"/>
      <w:r>
        <w:rPr>
          <w:rFonts w:ascii="Arial" w:eastAsia="Arial" w:hAnsi="Arial" w:cs="Arial"/>
          <w:color w:val="000000"/>
          <w:sz w:val="20"/>
        </w:rPr>
        <w:t xml:space="preserve">The regulations prohibit a recipient of federal funds from providing a disabled individual "an opportunity to participate in or benefit from the aid, benefit or service [**11]  that is not equal to that offered nonhandicapped persons" or "that is not as effective as . . . the benefits or services provided to others." 45 C.F.R. § 84.52(a)(2)-(3). Although "aids, benefits and services, to be equally effective, are not required to produce the identical result or level of  [*316]  achievement for handicapped and nonhandicapped persons," they "must afford handicapped persons equal opportunity to obtain the same result . . . ." </w:t>
      </w:r>
      <w:r>
        <w:rPr>
          <w:rFonts w:ascii="Arial" w:eastAsia="Arial" w:hAnsi="Arial" w:cs="Arial"/>
          <w:i/>
          <w:color w:val="000000"/>
          <w:sz w:val="20"/>
        </w:rPr>
        <w:t>Id.</w:t>
      </w:r>
      <w:r>
        <w:rPr>
          <w:rFonts w:ascii="Arial" w:eastAsia="Arial" w:hAnsi="Arial" w:cs="Arial"/>
          <w:color w:val="000000"/>
          <w:sz w:val="20"/>
        </w:rPr>
        <w:t xml:space="preserve"> § 84.4(b)(2).</w:t>
      </w:r>
    </w:p>
    <w:p w:rsidR="00022B47" w:rsidRDefault="00000000">
      <w:pPr>
        <w:pStyle w:val="Normal14"/>
        <w:widowControl w:val="0"/>
        <w:spacing w:before="200" w:line="260" w:lineRule="atLeast"/>
        <w:jc w:val="both"/>
      </w:pPr>
      <w:bookmarkStart w:id="2684" w:name="Bookmark_para_21_12"/>
      <w:bookmarkStart w:id="2685" w:name="Bookmark_LNHNREFclscc3_12"/>
      <w:bookmarkEnd w:id="2684"/>
      <w:bookmarkEnd w:id="2685"/>
      <w:r>
        <w:rPr>
          <w:rFonts w:ascii="Arial" w:eastAsia="Arial" w:hAnsi="Arial" w:cs="Arial"/>
          <w:color w:val="000000"/>
          <w:sz w:val="20"/>
        </w:rPr>
        <w:t xml:space="preserve">Important here, a recipient of federal funds with more than fifteen employees must "provide appropriate auxiliary aids to persons with impaired sensory . . . skills, where necessary to afford such persons an equal opportunity to benefit from the service in question." </w:t>
      </w:r>
      <w:r>
        <w:rPr>
          <w:rFonts w:ascii="Arial" w:eastAsia="Arial" w:hAnsi="Arial" w:cs="Arial"/>
          <w:i/>
          <w:color w:val="000000"/>
          <w:sz w:val="20"/>
        </w:rPr>
        <w:t>Id.</w:t>
      </w:r>
      <w:r>
        <w:rPr>
          <w:rFonts w:ascii="Arial" w:eastAsia="Arial" w:hAnsi="Arial" w:cs="Arial"/>
          <w:color w:val="000000"/>
          <w:sz w:val="20"/>
        </w:rPr>
        <w:t xml:space="preserve"> § 84.52(d)(1). These auxiliary aids may include interpreters or other services for hearing-impaired individuals. </w:t>
      </w:r>
      <w:bookmarkStart w:id="2686" w:name="Bookmark_I676S57V2SF8TG0010000400"/>
      <w:bookmarkEnd w:id="2686"/>
      <w:r>
        <w:rPr>
          <w:rFonts w:ascii="Arial" w:eastAsia="Arial" w:hAnsi="Arial" w:cs="Arial"/>
          <w:i/>
          <w:color w:val="000000"/>
          <w:sz w:val="20"/>
        </w:rPr>
        <w:t>Id.</w:t>
      </w:r>
      <w:r>
        <w:rPr>
          <w:rFonts w:ascii="Arial" w:eastAsia="Arial" w:hAnsi="Arial" w:cs="Arial"/>
          <w:color w:val="000000"/>
          <w:sz w:val="20"/>
        </w:rPr>
        <w:t xml:space="preserve"> § 84.52(d)(3). Both the statute and the regulations thus make clear that the RA focuses on "the equal opportunity to </w:t>
      </w:r>
      <w:r>
        <w:rPr>
          <w:rFonts w:ascii="Arial" w:eastAsia="Arial" w:hAnsi="Arial" w:cs="Arial"/>
          <w:i/>
          <w:color w:val="000000"/>
          <w:sz w:val="20"/>
        </w:rPr>
        <w:t>participate</w:t>
      </w:r>
      <w:r>
        <w:rPr>
          <w:rFonts w:ascii="Arial" w:eastAsia="Arial" w:hAnsi="Arial" w:cs="Arial"/>
          <w:color w:val="000000"/>
          <w:sz w:val="20"/>
        </w:rPr>
        <w:t xml:space="preserve"> in obtaining and utilizing services" in hospital settings. </w:t>
      </w:r>
      <w:bookmarkStart w:id="2687" w:name="Bookmark_I676S57T2HM6KK0050000400"/>
      <w:bookmarkEnd w:id="2687"/>
      <w:r>
        <w:rPr>
          <w:rFonts w:ascii="Arial" w:eastAsia="Arial" w:hAnsi="Arial" w:cs="Arial"/>
          <w:i/>
          <w:color w:val="000000"/>
          <w:sz w:val="20"/>
        </w:rPr>
        <w:t>Silva v. Baptist Health S. Fla., Inc.</w:t>
      </w:r>
      <w:r>
        <w:rPr>
          <w:rFonts w:ascii="Arial" w:eastAsia="Arial" w:hAnsi="Arial" w:cs="Arial"/>
          <w:color w:val="000000"/>
          <w:sz w:val="20"/>
        </w:rPr>
        <w:t>, 856 F.3d 824, 834 (11th Cir. 2017) (emphasis in original).</w:t>
      </w:r>
    </w:p>
    <w:p w:rsidR="00022B47" w:rsidRDefault="00000000">
      <w:pPr>
        <w:pStyle w:val="Normal14"/>
        <w:widowControl w:val="0"/>
        <w:spacing w:before="200" w:line="260" w:lineRule="atLeast"/>
        <w:jc w:val="both"/>
      </w:pPr>
      <w:bookmarkStart w:id="2688" w:name="Bookmark_para_22_11"/>
      <w:bookmarkStart w:id="2689" w:name="Bookmark_I676S57V2SF8TG0030000400"/>
      <w:bookmarkEnd w:id="2688"/>
      <w:bookmarkEnd w:id="2689"/>
      <w:r>
        <w:rPr>
          <w:rFonts w:ascii="Arial" w:eastAsia="Arial" w:hAnsi="Arial" w:cs="Arial"/>
          <w:color w:val="000000"/>
          <w:sz w:val="20"/>
        </w:rPr>
        <w:t xml:space="preserve">Although, as noted, Basta waived his ADA claim here, the regulations interpreting the ADA can still be helpful in understanding the RA's requirements. </w:t>
      </w:r>
      <w:bookmarkStart w:id="2690" w:name="Bookmark_LNHNREFclscc4_12"/>
      <w:bookmarkEnd w:id="2690"/>
      <w:r>
        <w:rPr>
          <w:rFonts w:ascii="Arial" w:eastAsia="Arial" w:hAnsi="Arial" w:cs="Arial"/>
          <w:color w:val="000000"/>
          <w:sz w:val="20"/>
        </w:rPr>
        <w:t xml:space="preserve">This court interprets the ADA and the RA in lockstep, [**12]  </w:t>
      </w:r>
      <w:r>
        <w:rPr>
          <w:rFonts w:ascii="Arial" w:eastAsia="Arial" w:hAnsi="Arial" w:cs="Arial"/>
          <w:i/>
          <w:color w:val="000000"/>
          <w:sz w:val="20"/>
        </w:rPr>
        <w:t xml:space="preserve">see </w:t>
      </w:r>
      <w:bookmarkStart w:id="2691" w:name="Bookmark_I676S57V2SF8TG0020000400"/>
      <w:bookmarkEnd w:id="2691"/>
      <w:r>
        <w:rPr>
          <w:rFonts w:ascii="Arial" w:eastAsia="Arial" w:hAnsi="Arial" w:cs="Arial"/>
          <w:i/>
          <w:color w:val="000000"/>
          <w:sz w:val="20"/>
        </w:rPr>
        <w:t>Koon</w:t>
      </w:r>
      <w:r>
        <w:rPr>
          <w:rFonts w:ascii="Arial" w:eastAsia="Arial" w:hAnsi="Arial" w:cs="Arial"/>
          <w:color w:val="000000"/>
          <w:sz w:val="20"/>
        </w:rPr>
        <w:t xml:space="preserve">, 50 F.4th at 403 n.2, and the ADA's regulations further elucidate the requirements governing auxiliary aids. ADA regulations provide that "[a] public accommodation shall furnish appropriate auxiliary aids and services where necessary to ensure </w:t>
      </w:r>
      <w:r>
        <w:rPr>
          <w:rFonts w:ascii="Arial" w:eastAsia="Arial" w:hAnsi="Arial" w:cs="Arial"/>
          <w:i/>
          <w:color w:val="000000"/>
          <w:sz w:val="20"/>
        </w:rPr>
        <w:t>effective communication</w:t>
      </w:r>
      <w:r>
        <w:rPr>
          <w:rFonts w:ascii="Arial" w:eastAsia="Arial" w:hAnsi="Arial" w:cs="Arial"/>
          <w:color w:val="000000"/>
          <w:sz w:val="20"/>
        </w:rPr>
        <w:t xml:space="preserve"> with individuals with disabilities." 28 C.F.R. § 36.303(c)(1) (emphasis added). Notably, regarding VRI, an entity that chooses to provide interpretive services in this manner must ensure that it meets certain performance standards. </w:t>
      </w:r>
      <w:r>
        <w:rPr>
          <w:rFonts w:ascii="Arial" w:eastAsia="Arial" w:hAnsi="Arial" w:cs="Arial"/>
          <w:i/>
          <w:color w:val="000000"/>
          <w:sz w:val="20"/>
        </w:rPr>
        <w:t>See id.</w:t>
      </w:r>
      <w:r>
        <w:rPr>
          <w:rFonts w:ascii="Arial" w:eastAsia="Arial" w:hAnsi="Arial" w:cs="Arial"/>
          <w:color w:val="000000"/>
          <w:sz w:val="20"/>
        </w:rPr>
        <w:t xml:space="preserve"> § 36.303(f). These include "[r]eal-time, full-motion video" over a sufficiently strong wireless network "that delivers high-quality video images that do not produce lags, choppy, blurry or grainy images, or irregular pauses in communication" and "[a]dequate training to users of the technology...so that they may quickly and efficiently set up and operate the VRI," among others. </w:t>
      </w:r>
      <w:r>
        <w:rPr>
          <w:rFonts w:ascii="Arial" w:eastAsia="Arial" w:hAnsi="Arial" w:cs="Arial"/>
          <w:i/>
          <w:color w:val="000000"/>
          <w:sz w:val="20"/>
        </w:rPr>
        <w:t>Id.</w:t>
      </w:r>
      <w:r>
        <w:rPr>
          <w:rFonts w:ascii="Arial" w:eastAsia="Arial" w:hAnsi="Arial" w:cs="Arial"/>
          <w:color w:val="000000"/>
          <w:sz w:val="20"/>
        </w:rPr>
        <w:t>, § 36.303(f)(1)-(4). A VRI system that does not meet these standards is not "an effective method[] of making aurally delivered materials available to individuals with hearing impairments"-meaning a non-compliant VRI system is not an appropriate auxiliary aid. 42 U.S.C. § 12103(1)(A).</w:t>
      </w:r>
    </w:p>
    <w:p w:rsidR="00022B47" w:rsidRDefault="00000000">
      <w:pPr>
        <w:pStyle w:val="Normal14"/>
        <w:widowControl w:val="0"/>
        <w:spacing w:before="200" w:line="260" w:lineRule="atLeast"/>
        <w:jc w:val="both"/>
      </w:pPr>
      <w:bookmarkStart w:id="2692" w:name="Bookmark_para_23_10"/>
      <w:bookmarkStart w:id="2693" w:name="Bookmark_I676S57V2SF8TG0050000400"/>
      <w:bookmarkStart w:id="2694" w:name="Bookmark_LNHNREFclscc5_12"/>
      <w:bookmarkEnd w:id="2692"/>
      <w:bookmarkEnd w:id="2693"/>
      <w:bookmarkEnd w:id="2694"/>
      <w:r>
        <w:rPr>
          <w:rFonts w:ascii="Arial" w:eastAsia="Arial" w:hAnsi="Arial" w:cs="Arial"/>
          <w:color w:val="000000"/>
          <w:sz w:val="20"/>
        </w:rPr>
        <w:t xml:space="preserve">A plaintiff who proves a </w:t>
      </w:r>
      <w:r>
        <w:rPr>
          <w:rFonts w:ascii="Arial" w:eastAsia="Arial" w:hAnsi="Arial" w:cs="Arial"/>
          <w:i/>
          <w:color w:val="000000"/>
          <w:sz w:val="20"/>
        </w:rPr>
        <w:t>prima facie</w:t>
      </w:r>
      <w:r>
        <w:rPr>
          <w:rFonts w:ascii="Arial" w:eastAsia="Arial" w:hAnsi="Arial" w:cs="Arial"/>
          <w:color w:val="000000"/>
          <w:sz w:val="20"/>
        </w:rPr>
        <w:t xml:space="preserve"> violation of the RA may seek the remedies available under Title VI of the Civil [**13]  Rights Act, including damages. </w:t>
      </w:r>
      <w:bookmarkStart w:id="2695" w:name="Bookmark_I7WVGYXCD78000064N100101"/>
      <w:bookmarkStart w:id="2696" w:name="Bookmark_I7WVGYXCP90000064N100105"/>
      <w:bookmarkStart w:id="2697" w:name="Bookmark_I676S57V2N1PTH0020000400"/>
      <w:bookmarkEnd w:id="2695"/>
      <w:bookmarkEnd w:id="2696"/>
      <w:bookmarkEnd w:id="2697"/>
      <w:r>
        <w:rPr>
          <w:rFonts w:ascii="Arial" w:eastAsia="Arial" w:hAnsi="Arial" w:cs="Arial"/>
          <w:i/>
          <w:color w:val="000000"/>
          <w:sz w:val="20"/>
        </w:rPr>
        <w:t>See</w:t>
      </w:r>
      <w:r>
        <w:rPr>
          <w:rFonts w:ascii="Arial" w:eastAsia="Arial" w:hAnsi="Arial" w:cs="Arial"/>
          <w:color w:val="000000"/>
          <w:sz w:val="20"/>
        </w:rPr>
        <w:t xml:space="preserve"> 29 U.S.C. § 794a(2); </w:t>
      </w:r>
      <w:r>
        <w:rPr>
          <w:rFonts w:ascii="Arial" w:eastAsia="Arial" w:hAnsi="Arial" w:cs="Arial"/>
          <w:i/>
          <w:color w:val="000000"/>
          <w:sz w:val="20"/>
        </w:rPr>
        <w:t xml:space="preserve">see also </w:t>
      </w:r>
      <w:bookmarkStart w:id="2698" w:name="Bookmark_I676S57V2SF8TG0040000400"/>
      <w:bookmarkEnd w:id="2698"/>
      <w:r>
        <w:rPr>
          <w:rFonts w:ascii="Arial" w:eastAsia="Arial" w:hAnsi="Arial" w:cs="Arial"/>
          <w:i/>
          <w:color w:val="000000"/>
          <w:sz w:val="20"/>
        </w:rPr>
        <w:t>Pandazides</w:t>
      </w:r>
      <w:r>
        <w:rPr>
          <w:rFonts w:ascii="Arial" w:eastAsia="Arial" w:hAnsi="Arial" w:cs="Arial"/>
          <w:color w:val="000000"/>
          <w:sz w:val="20"/>
        </w:rPr>
        <w:t xml:space="preserve">, 13 F.3d at 829-30. However, in order to receive compensatory damages, a plaintiff must prove not only that a defendant-entity failed to provide appropriate auxiliary aids, but also that it acted with an intent to discriminate. </w:t>
      </w:r>
      <w:bookmarkStart w:id="2699" w:name="Bookmark_I676S57V2N1PTH0020000400_2"/>
      <w:bookmarkEnd w:id="2699"/>
      <w:r>
        <w:rPr>
          <w:rFonts w:ascii="Arial" w:eastAsia="Arial" w:hAnsi="Arial" w:cs="Arial"/>
          <w:i/>
          <w:color w:val="000000"/>
          <w:sz w:val="20"/>
        </w:rPr>
        <w:t xml:space="preserve">See </w:t>
      </w:r>
      <w:bookmarkStart w:id="2700" w:name="Bookmark_I676S57V2N1PTH0010000400"/>
      <w:bookmarkEnd w:id="2700"/>
      <w:r>
        <w:rPr>
          <w:rFonts w:ascii="Arial" w:eastAsia="Arial" w:hAnsi="Arial" w:cs="Arial"/>
          <w:i/>
          <w:color w:val="000000"/>
          <w:sz w:val="20"/>
        </w:rPr>
        <w:t>Pandazides</w:t>
      </w:r>
      <w:r>
        <w:rPr>
          <w:rFonts w:ascii="Arial" w:eastAsia="Arial" w:hAnsi="Arial" w:cs="Arial"/>
          <w:color w:val="000000"/>
          <w:sz w:val="20"/>
        </w:rPr>
        <w:t xml:space="preserve">, 13 F.3d at 830-32 &amp; n.9; </w:t>
      </w:r>
      <w:r>
        <w:rPr>
          <w:rFonts w:ascii="Arial" w:eastAsia="Arial" w:hAnsi="Arial" w:cs="Arial"/>
          <w:i/>
          <w:color w:val="000000"/>
          <w:sz w:val="20"/>
        </w:rPr>
        <w:t xml:space="preserve">see also </w:t>
      </w:r>
      <w:bookmarkStart w:id="2701" w:name="Bookmark_I676S57V2N1PTH0030000400"/>
      <w:bookmarkEnd w:id="2701"/>
      <w:r>
        <w:rPr>
          <w:rFonts w:ascii="Arial" w:eastAsia="Arial" w:hAnsi="Arial" w:cs="Arial"/>
          <w:i/>
          <w:color w:val="000000"/>
          <w:sz w:val="20"/>
        </w:rPr>
        <w:t>Koon</w:t>
      </w:r>
      <w:r>
        <w:rPr>
          <w:rFonts w:ascii="Arial" w:eastAsia="Arial" w:hAnsi="Arial" w:cs="Arial"/>
          <w:color w:val="000000"/>
          <w:sz w:val="20"/>
        </w:rPr>
        <w:t xml:space="preserve">, 50 F.4th at 405. </w:t>
      </w:r>
      <w:bookmarkStart w:id="2702" w:name="Bookmark_I676S57V2SF8TK0010000400"/>
      <w:bookmarkEnd w:id="2702"/>
      <w:r>
        <w:rPr>
          <w:rFonts w:ascii="Arial" w:eastAsia="Arial" w:hAnsi="Arial" w:cs="Arial"/>
          <w:color w:val="000000"/>
          <w:sz w:val="20"/>
        </w:rPr>
        <w:t xml:space="preserve">This standard, of course, must be more than negligence, but this court has not yet articulated the precise manner of proving discriminatory intent under the RA. The parties in this case both proceeded under a "deliberate indifference" standard, and the district court also considered it the appropriate standard. Most of our sister circuits have also found that intentional discrimination can be proven via deliberate indifference. </w:t>
      </w:r>
      <w:r>
        <w:rPr>
          <w:rFonts w:ascii="Arial" w:eastAsia="Arial" w:hAnsi="Arial" w:cs="Arial"/>
          <w:i/>
          <w:color w:val="000000"/>
          <w:sz w:val="20"/>
        </w:rPr>
        <w:t xml:space="preserve">See </w:t>
      </w:r>
      <w:bookmarkStart w:id="2703" w:name="Bookmark_I676S57V2N1PTH0050000400"/>
      <w:bookmarkEnd w:id="2703"/>
      <w:r>
        <w:rPr>
          <w:rFonts w:ascii="Arial" w:eastAsia="Arial" w:hAnsi="Arial" w:cs="Arial"/>
          <w:i/>
          <w:color w:val="000000"/>
          <w:sz w:val="20"/>
        </w:rPr>
        <w:t>Liese</w:t>
      </w:r>
      <w:r>
        <w:rPr>
          <w:rFonts w:ascii="Arial" w:eastAsia="Arial" w:hAnsi="Arial" w:cs="Arial"/>
          <w:color w:val="000000"/>
          <w:sz w:val="20"/>
        </w:rPr>
        <w:t xml:space="preserve">, 701 F.3d at 345; </w:t>
      </w:r>
      <w:bookmarkStart w:id="2704" w:name="Bookmark_I676S57V2SF8TK0020000400"/>
      <w:bookmarkEnd w:id="2704"/>
      <w:r>
        <w:rPr>
          <w:rFonts w:ascii="Arial" w:eastAsia="Arial" w:hAnsi="Arial" w:cs="Arial"/>
          <w:i/>
          <w:color w:val="000000"/>
          <w:sz w:val="20"/>
        </w:rPr>
        <w:t>S.H. ex rel. Durrell v. Lower Merion Sch. Dist.</w:t>
      </w:r>
      <w:r>
        <w:rPr>
          <w:rFonts w:ascii="Arial" w:eastAsia="Arial" w:hAnsi="Arial" w:cs="Arial"/>
          <w:color w:val="000000"/>
          <w:sz w:val="20"/>
        </w:rPr>
        <w:t xml:space="preserve">, 729 F.3d 248, 262-65 (3d Cir. 2013); </w:t>
      </w:r>
      <w:bookmarkStart w:id="2705" w:name="Bookmark_I676S57V2SF8TK0040000400"/>
      <w:bookmarkEnd w:id="2705"/>
      <w:r>
        <w:rPr>
          <w:rFonts w:ascii="Arial" w:eastAsia="Arial" w:hAnsi="Arial" w:cs="Arial"/>
          <w:i/>
          <w:color w:val="000000"/>
          <w:sz w:val="20"/>
        </w:rPr>
        <w:t>Loeffler v. Staten Island Univ. Hosp.</w:t>
      </w:r>
      <w:r>
        <w:rPr>
          <w:rFonts w:ascii="Arial" w:eastAsia="Arial" w:hAnsi="Arial" w:cs="Arial"/>
          <w:color w:val="000000"/>
          <w:sz w:val="20"/>
        </w:rPr>
        <w:t xml:space="preserve">, 582 F.3d 268, 275-276 (2d Cir. 2009); </w:t>
      </w:r>
      <w:bookmarkStart w:id="2706" w:name="Bookmark_I676S57V2D6NMC0010000400"/>
      <w:bookmarkEnd w:id="2706"/>
      <w:r>
        <w:rPr>
          <w:rFonts w:ascii="Arial" w:eastAsia="Arial" w:hAnsi="Arial" w:cs="Arial"/>
          <w:i/>
          <w:color w:val="000000"/>
          <w:sz w:val="20"/>
        </w:rPr>
        <w:t>Barber ex rel. Barber v. Colo. Dep't of Revenue</w:t>
      </w:r>
      <w:r>
        <w:rPr>
          <w:rFonts w:ascii="Arial" w:eastAsia="Arial" w:hAnsi="Arial" w:cs="Arial"/>
          <w:color w:val="000000"/>
          <w:sz w:val="20"/>
        </w:rPr>
        <w:t xml:space="preserve">, 562 F.3d 1222, 1228-29 (10th Cir. 2009); </w:t>
      </w:r>
      <w:bookmarkStart w:id="2707" w:name="Bookmark_I676S57V2D6NMC0030000400"/>
      <w:bookmarkEnd w:id="2707"/>
      <w:r>
        <w:rPr>
          <w:rFonts w:ascii="Arial" w:eastAsia="Arial" w:hAnsi="Arial" w:cs="Arial"/>
          <w:i/>
          <w:color w:val="000000"/>
          <w:sz w:val="20"/>
        </w:rPr>
        <w:t>Duvall v. Cty. of Kitsap</w:t>
      </w:r>
      <w:r>
        <w:rPr>
          <w:rFonts w:ascii="Arial" w:eastAsia="Arial" w:hAnsi="Arial" w:cs="Arial"/>
          <w:color w:val="000000"/>
          <w:sz w:val="20"/>
        </w:rPr>
        <w:t>, 260 F.3d 1124, 1138-39 (9th Cir. 2001).</w:t>
      </w:r>
    </w:p>
    <w:p w:rsidR="00022B47" w:rsidRDefault="00000000">
      <w:pPr>
        <w:pStyle w:val="Normal14"/>
        <w:widowControl w:val="0"/>
        <w:spacing w:before="200" w:line="260" w:lineRule="atLeast"/>
        <w:jc w:val="both"/>
      </w:pPr>
      <w:bookmarkStart w:id="2708" w:name="Bookmark_para_24_10"/>
      <w:bookmarkStart w:id="2709" w:name="Bookmark_I676S57V2SF8TY0010000400"/>
      <w:bookmarkEnd w:id="2708"/>
      <w:bookmarkEnd w:id="2709"/>
      <w:r>
        <w:rPr>
          <w:rFonts w:ascii="Arial" w:eastAsia="Arial" w:hAnsi="Arial" w:cs="Arial"/>
          <w:color w:val="000000"/>
          <w:sz w:val="20"/>
        </w:rPr>
        <w:t xml:space="preserve">Because there is a substantial interest in preserving a uniform approach to this question, we too will proceed under  [*317]  that standard. </w:t>
      </w:r>
      <w:bookmarkStart w:id="2710" w:name="Bookmark_I676S57V2SF8TY0030000400"/>
      <w:bookmarkEnd w:id="2710"/>
      <w:r>
        <w:rPr>
          <w:rFonts w:ascii="Arial" w:eastAsia="Arial" w:hAnsi="Arial" w:cs="Arial"/>
          <w:i/>
          <w:color w:val="000000"/>
          <w:sz w:val="20"/>
        </w:rPr>
        <w:t xml:space="preserve">See </w:t>
      </w:r>
      <w:bookmarkStart w:id="2711" w:name="Bookmark_I676S57V2D6NMC0050000400"/>
      <w:bookmarkEnd w:id="2711"/>
      <w:r>
        <w:rPr>
          <w:rFonts w:ascii="Arial" w:eastAsia="Arial" w:hAnsi="Arial" w:cs="Arial"/>
          <w:i/>
          <w:color w:val="000000"/>
          <w:sz w:val="20"/>
        </w:rPr>
        <w:t>Koon</w:t>
      </w:r>
      <w:r>
        <w:rPr>
          <w:rFonts w:ascii="Arial" w:eastAsia="Arial" w:hAnsi="Arial" w:cs="Arial"/>
          <w:color w:val="000000"/>
          <w:sz w:val="20"/>
        </w:rPr>
        <w:t xml:space="preserve">, 50 F.4th at 404 (assuming a deliberate indifference standard applies in a case presenting ADA and RA claims for compensatory damages). We emphasize, however, that this requires much more than a showing of pure negligence. </w:t>
      </w:r>
      <w:bookmarkStart w:id="2712" w:name="Bookmark_I676S57V2SF8TY0030000400_2"/>
      <w:bookmarkStart w:id="2713" w:name="Bookmark_LNHNREFclscc6_10"/>
      <w:bookmarkEnd w:id="2712"/>
      <w:bookmarkEnd w:id="2713"/>
      <w:r>
        <w:rPr>
          <w:rFonts w:ascii="Arial" w:eastAsia="Arial" w:hAnsi="Arial" w:cs="Arial"/>
          <w:color w:val="000000"/>
          <w:sz w:val="20"/>
        </w:rPr>
        <w:t xml:space="preserve">As the Supreme Court has said in the Eighth Amendment context, deliberate indifference lies "somewhere between the poles of negligence at one end and purpose [**14]  or knowledge at the other." </w:t>
      </w:r>
      <w:bookmarkStart w:id="2714" w:name="Bookmark_I676S57V2SF8TY0020000400"/>
      <w:bookmarkEnd w:id="2714"/>
      <w:r>
        <w:rPr>
          <w:rFonts w:ascii="Arial" w:eastAsia="Arial" w:hAnsi="Arial" w:cs="Arial"/>
          <w:i/>
          <w:color w:val="000000"/>
          <w:sz w:val="20"/>
        </w:rPr>
        <w:t>Farmer v. Brennan</w:t>
      </w:r>
      <w:r>
        <w:rPr>
          <w:rFonts w:ascii="Arial" w:eastAsia="Arial" w:hAnsi="Arial" w:cs="Arial"/>
          <w:color w:val="000000"/>
          <w:sz w:val="20"/>
        </w:rPr>
        <w:t>, 511 U.S. 825, 836, 114 S. Ct. 1970, 128 L. Ed. 2d 811 (1994).</w:t>
      </w:r>
    </w:p>
    <w:p w:rsidR="00022B47" w:rsidRDefault="00000000">
      <w:pPr>
        <w:pStyle w:val="Normal14"/>
        <w:widowControl w:val="0"/>
        <w:spacing w:before="120" w:line="260" w:lineRule="atLeast"/>
      </w:pPr>
      <w:r>
        <w:rPr>
          <w:rFonts w:ascii="Arial" w:eastAsia="Arial" w:hAnsi="Arial" w:cs="Arial"/>
          <w:color w:val="000000"/>
          <w:sz w:val="20"/>
        </w:rPr>
        <w:t>B.</w:t>
      </w:r>
    </w:p>
    <w:p w:rsidR="00022B47" w:rsidRDefault="00000000">
      <w:pPr>
        <w:pStyle w:val="Normal14"/>
        <w:widowControl w:val="0"/>
        <w:spacing w:before="200" w:line="260" w:lineRule="atLeast"/>
        <w:jc w:val="both"/>
      </w:pPr>
      <w:bookmarkStart w:id="2715" w:name="Bookmark_para_25_10"/>
      <w:bookmarkStart w:id="2716" w:name="Bookmark_I676S57V2SF8TY0050000400"/>
      <w:bookmarkEnd w:id="2715"/>
      <w:bookmarkEnd w:id="2716"/>
      <w:r>
        <w:rPr>
          <w:rFonts w:ascii="Arial" w:eastAsia="Arial" w:hAnsi="Arial" w:cs="Arial"/>
          <w:color w:val="000000"/>
          <w:sz w:val="20"/>
        </w:rPr>
        <w:t xml:space="preserve">Accordingly, </w:t>
      </w:r>
      <w:bookmarkStart w:id="2717" w:name="Bookmark_LNHNREFclscc7_9"/>
      <w:bookmarkEnd w:id="2717"/>
      <w:r>
        <w:rPr>
          <w:rFonts w:ascii="Arial" w:eastAsia="Arial" w:hAnsi="Arial" w:cs="Arial"/>
          <w:color w:val="000000"/>
          <w:sz w:val="20"/>
        </w:rPr>
        <w:t xml:space="preserve">under Section 504 of the Rehabilitation Act, we must determine whether Novant acted with deliberate indifference to Basta's federal rights. </w:t>
      </w:r>
      <w:bookmarkStart w:id="2718" w:name="Bookmark_I676S57W2N1PTY0020000400"/>
      <w:bookmarkEnd w:id="2718"/>
      <w:r>
        <w:rPr>
          <w:rFonts w:ascii="Arial" w:eastAsia="Arial" w:hAnsi="Arial" w:cs="Arial"/>
          <w:color w:val="000000"/>
          <w:sz w:val="20"/>
        </w:rPr>
        <w:t xml:space="preserve">This standard requires a plaintiff to plausibly plead that a defendant (1) </w:t>
      </w:r>
      <w:r>
        <w:rPr>
          <w:rFonts w:ascii="Arial" w:eastAsia="Arial" w:hAnsi="Arial" w:cs="Arial"/>
          <w:i/>
          <w:color w:val="000000"/>
          <w:sz w:val="20"/>
        </w:rPr>
        <w:t>knew</w:t>
      </w:r>
      <w:r>
        <w:rPr>
          <w:rFonts w:ascii="Arial" w:eastAsia="Arial" w:hAnsi="Arial" w:cs="Arial"/>
          <w:color w:val="000000"/>
          <w:sz w:val="20"/>
        </w:rPr>
        <w:t xml:space="preserve"> that harm to a federally protected right was substantially likely and (2) </w:t>
      </w:r>
      <w:r>
        <w:rPr>
          <w:rFonts w:ascii="Arial" w:eastAsia="Arial" w:hAnsi="Arial" w:cs="Arial"/>
          <w:i/>
          <w:color w:val="000000"/>
          <w:sz w:val="20"/>
        </w:rPr>
        <w:t>failed to act</w:t>
      </w:r>
      <w:r>
        <w:rPr>
          <w:rFonts w:ascii="Arial" w:eastAsia="Arial" w:hAnsi="Arial" w:cs="Arial"/>
          <w:color w:val="000000"/>
          <w:sz w:val="20"/>
        </w:rPr>
        <w:t xml:space="preserve"> on that likelihood. </w:t>
      </w:r>
      <w:bookmarkStart w:id="2719" w:name="Bookmark_I676S57V2SF8TY0040000400"/>
      <w:bookmarkEnd w:id="2719"/>
      <w:r>
        <w:rPr>
          <w:rFonts w:ascii="Arial" w:eastAsia="Arial" w:hAnsi="Arial" w:cs="Arial"/>
          <w:i/>
          <w:color w:val="000000"/>
          <w:sz w:val="20"/>
        </w:rPr>
        <w:t>Koon</w:t>
      </w:r>
      <w:r>
        <w:rPr>
          <w:rFonts w:ascii="Arial" w:eastAsia="Arial" w:hAnsi="Arial" w:cs="Arial"/>
          <w:color w:val="000000"/>
          <w:sz w:val="20"/>
        </w:rPr>
        <w:t xml:space="preserve">, 50 F.4th at 405. </w:t>
      </w:r>
      <w:bookmarkStart w:id="2720" w:name="Bookmark_I676S57W2N1PTY0020000400_2"/>
      <w:bookmarkEnd w:id="2720"/>
      <w:r>
        <w:rPr>
          <w:rFonts w:ascii="Arial" w:eastAsia="Arial" w:hAnsi="Arial" w:cs="Arial"/>
          <w:color w:val="000000"/>
          <w:sz w:val="20"/>
        </w:rPr>
        <w:t xml:space="preserve">In the context of failing to provide an effective auxiliary aid, a plaintiff "must show that the defendants knew there was a substantial likelihood that they would be unable to communicate effectively with [a deaf patient or companion] but still made a deliberate choice not to provide one." </w:t>
      </w:r>
      <w:bookmarkStart w:id="2721" w:name="Bookmark_I676S57W2N1PTY0010000400"/>
      <w:bookmarkEnd w:id="2721"/>
      <w:r>
        <w:rPr>
          <w:rFonts w:ascii="Arial" w:eastAsia="Arial" w:hAnsi="Arial" w:cs="Arial"/>
          <w:i/>
          <w:color w:val="000000"/>
          <w:sz w:val="20"/>
        </w:rPr>
        <w:t>McCullum v. Orlando Reg'l Healthcare Sys., Inc.</w:t>
      </w:r>
      <w:r>
        <w:rPr>
          <w:rFonts w:ascii="Arial" w:eastAsia="Arial" w:hAnsi="Arial" w:cs="Arial"/>
          <w:color w:val="000000"/>
          <w:sz w:val="20"/>
        </w:rPr>
        <w:t>, 768 F.3d 1135, 1147-48 (11th Cir. 2014) (internal quotations omitted).</w:t>
      </w:r>
    </w:p>
    <w:p w:rsidR="00022B47" w:rsidRDefault="00000000">
      <w:pPr>
        <w:pStyle w:val="Normal14"/>
        <w:widowControl w:val="0"/>
        <w:spacing w:before="200" w:line="260" w:lineRule="atLeast"/>
        <w:jc w:val="both"/>
      </w:pPr>
      <w:bookmarkStart w:id="2722" w:name="Bookmark_para_26_9"/>
      <w:bookmarkStart w:id="2723" w:name="Bookmark_I676S57W2N1PTY0040000400"/>
      <w:bookmarkEnd w:id="2722"/>
      <w:bookmarkEnd w:id="2723"/>
      <w:r>
        <w:rPr>
          <w:rFonts w:ascii="Arial" w:eastAsia="Arial" w:hAnsi="Arial" w:cs="Arial"/>
          <w:color w:val="000000"/>
          <w:sz w:val="20"/>
        </w:rPr>
        <w:t xml:space="preserve">One thing a deliberate indifference standard does not require in this context, however, is some obvious pattern of mechanical failure in auxiliary aids provided by the hospital. The district court reasoned that "systemic and pervasive problems, rather than an isolated incident" in the provided VRI services "must exist to succeed in showing intentional discrimination through deliberate indifference." </w:t>
      </w:r>
      <w:bookmarkStart w:id="2724" w:name="Bookmark_I676S57W2N1PTY0030000400"/>
      <w:bookmarkEnd w:id="2724"/>
      <w:r>
        <w:rPr>
          <w:rFonts w:ascii="Arial" w:eastAsia="Arial" w:hAnsi="Arial" w:cs="Arial"/>
          <w:i/>
          <w:color w:val="000000"/>
          <w:sz w:val="20"/>
        </w:rPr>
        <w:t>Basta</w:t>
      </w:r>
      <w:r>
        <w:rPr>
          <w:rFonts w:ascii="Arial" w:eastAsia="Arial" w:hAnsi="Arial" w:cs="Arial"/>
          <w:color w:val="000000"/>
          <w:sz w:val="20"/>
        </w:rPr>
        <w:t>, 2021 U.S. Dist. LEXIS 220587, 2022 WL 5326367 at *3.</w:t>
      </w:r>
    </w:p>
    <w:p w:rsidR="00022B47" w:rsidRDefault="00000000">
      <w:pPr>
        <w:pStyle w:val="Normal14"/>
        <w:widowControl w:val="0"/>
        <w:spacing w:before="200" w:line="260" w:lineRule="atLeast"/>
        <w:jc w:val="both"/>
      </w:pPr>
      <w:bookmarkStart w:id="2725" w:name="Bookmark_para_27_9"/>
      <w:bookmarkStart w:id="2726" w:name="Bookmark_I676S57W28T4SN0010000400"/>
      <w:bookmarkEnd w:id="2725"/>
      <w:bookmarkEnd w:id="2726"/>
      <w:r>
        <w:rPr>
          <w:rFonts w:ascii="Arial" w:eastAsia="Arial" w:hAnsi="Arial" w:cs="Arial"/>
          <w:color w:val="000000"/>
          <w:sz w:val="20"/>
        </w:rPr>
        <w:t xml:space="preserve">We disagree. Requiring plaintiffs to make this showing improperly shifts the emphasis under the Rehabilitation Act from the violation of an individual right [**15]  at a discrete point in time to widespread violations, spanning across multiple people or multiple visits. </w:t>
      </w:r>
      <w:bookmarkStart w:id="2727" w:name="Bookmark_I676S57W28T4SN0030000400"/>
      <w:bookmarkStart w:id="2728" w:name="Bookmark_LNHNREFclscc8_9"/>
      <w:bookmarkEnd w:id="2727"/>
      <w:bookmarkEnd w:id="2728"/>
      <w:r>
        <w:rPr>
          <w:rFonts w:ascii="Arial" w:eastAsia="Arial" w:hAnsi="Arial" w:cs="Arial"/>
          <w:color w:val="000000"/>
          <w:sz w:val="20"/>
        </w:rPr>
        <w:t xml:space="preserve">It is well-known that civil rights statutes exist, among other reasons, to protect a single individual from a statutory violation without the invariable need to prove a "systemic and pervasive problem[]," as the district court held. The RA, like other civil rights statutes, seeks to "provide </w:t>
      </w:r>
      <w:r>
        <w:rPr>
          <w:rFonts w:ascii="Arial" w:eastAsia="Arial" w:hAnsi="Arial" w:cs="Arial"/>
          <w:i/>
          <w:color w:val="000000"/>
          <w:sz w:val="20"/>
        </w:rPr>
        <w:t>individual</w:t>
      </w:r>
      <w:r>
        <w:rPr>
          <w:rFonts w:ascii="Arial" w:eastAsia="Arial" w:hAnsi="Arial" w:cs="Arial"/>
          <w:color w:val="000000"/>
          <w:sz w:val="20"/>
        </w:rPr>
        <w:t xml:space="preserve"> citizens effective protection against [discriminatory] practices." </w:t>
      </w:r>
      <w:bookmarkStart w:id="2729" w:name="Bookmark_I676S57W2N1PTY0050000400"/>
      <w:bookmarkEnd w:id="2729"/>
      <w:r>
        <w:rPr>
          <w:rFonts w:ascii="Arial" w:eastAsia="Arial" w:hAnsi="Arial" w:cs="Arial"/>
          <w:i/>
          <w:color w:val="000000"/>
          <w:sz w:val="20"/>
        </w:rPr>
        <w:t>Cannon v. Univ. of Chicago</w:t>
      </w:r>
      <w:r>
        <w:rPr>
          <w:rFonts w:ascii="Arial" w:eastAsia="Arial" w:hAnsi="Arial" w:cs="Arial"/>
          <w:color w:val="000000"/>
          <w:sz w:val="20"/>
        </w:rPr>
        <w:t xml:space="preserve">, 441 U.S. 677, 704, 99 S. Ct. 1946, 60 L. Ed. 2d 560 (1979) (emphasis added). </w:t>
      </w:r>
      <w:bookmarkStart w:id="2730" w:name="Bookmark_I676S57W28T4SN0030000400_2"/>
      <w:bookmarkEnd w:id="2730"/>
      <w:r>
        <w:rPr>
          <w:rFonts w:ascii="Arial" w:eastAsia="Arial" w:hAnsi="Arial" w:cs="Arial"/>
          <w:color w:val="000000"/>
          <w:sz w:val="20"/>
        </w:rPr>
        <w:t xml:space="preserve">Requiring plaintiffs who suffered a violation of the RA to show a longstanding pattern of similar violations defeats this goal. While a history of violations is relevant evidence to proving deliberate indifference, it cannot be equated with the standard itself. </w:t>
      </w:r>
      <w:r>
        <w:rPr>
          <w:rFonts w:ascii="Arial" w:eastAsia="Arial" w:hAnsi="Arial" w:cs="Arial"/>
          <w:i/>
          <w:color w:val="000000"/>
          <w:sz w:val="20"/>
        </w:rPr>
        <w:t xml:space="preserve">See </w:t>
      </w:r>
      <w:bookmarkStart w:id="2731" w:name="Bookmark_I676S57W28T4SN0020000400"/>
      <w:bookmarkEnd w:id="2731"/>
      <w:r>
        <w:rPr>
          <w:rFonts w:ascii="Arial" w:eastAsia="Arial" w:hAnsi="Arial" w:cs="Arial"/>
          <w:i/>
          <w:color w:val="000000"/>
          <w:sz w:val="20"/>
        </w:rPr>
        <w:t>Farmer</w:t>
      </w:r>
      <w:r>
        <w:rPr>
          <w:rFonts w:ascii="Arial" w:eastAsia="Arial" w:hAnsi="Arial" w:cs="Arial"/>
          <w:color w:val="000000"/>
          <w:sz w:val="20"/>
        </w:rPr>
        <w:t xml:space="preserve">, 511 U.S. at 842 ("longstanding, pervasive, [and] well-documented" rights violations can be circumstantial evidence that defendants "had been exposed to information concerning the risk and thus must have known about it"); </w:t>
      </w:r>
      <w:r>
        <w:rPr>
          <w:rFonts w:ascii="Arial" w:eastAsia="Arial" w:hAnsi="Arial" w:cs="Arial"/>
          <w:i/>
          <w:color w:val="000000"/>
          <w:sz w:val="20"/>
        </w:rPr>
        <w:t xml:space="preserve">see also </w:t>
      </w:r>
      <w:bookmarkStart w:id="2732" w:name="Bookmark_I676S57W28T4SN0040000400"/>
      <w:bookmarkEnd w:id="2732"/>
      <w:r>
        <w:rPr>
          <w:rFonts w:ascii="Arial" w:eastAsia="Arial" w:hAnsi="Arial" w:cs="Arial"/>
          <w:i/>
          <w:color w:val="000000"/>
          <w:sz w:val="20"/>
        </w:rPr>
        <w:t>Silva v. Baptist Health S. Fla., Inc.</w:t>
      </w:r>
      <w:r>
        <w:rPr>
          <w:rFonts w:ascii="Arial" w:eastAsia="Arial" w:hAnsi="Arial" w:cs="Arial"/>
          <w:color w:val="000000"/>
          <w:sz w:val="20"/>
        </w:rPr>
        <w:t>, 838 Fed. App'x 376, 382 (11th Cir. 2020) (finding evidence that several plaintiffs "routinely" experiencing malfunctioning VRI was enough of a showing of deliberate indifference to survive summary judgment).</w:t>
      </w:r>
    </w:p>
    <w:p w:rsidR="00022B47" w:rsidRDefault="00000000">
      <w:pPr>
        <w:pStyle w:val="Normal14"/>
        <w:widowControl w:val="0"/>
        <w:spacing w:before="200" w:line="260" w:lineRule="atLeast"/>
        <w:jc w:val="both"/>
      </w:pPr>
      <w:bookmarkStart w:id="2733" w:name="Bookmark_para_28_9"/>
      <w:bookmarkStart w:id="2734" w:name="Bookmark_I676S57W2N1PV30020000400"/>
      <w:bookmarkStart w:id="2735" w:name="Bookmark_I676S57W2N1PV30040000400"/>
      <w:bookmarkEnd w:id="2733"/>
      <w:bookmarkEnd w:id="2734"/>
      <w:bookmarkEnd w:id="2735"/>
      <w:r>
        <w:rPr>
          <w:rFonts w:ascii="Arial" w:eastAsia="Arial" w:hAnsi="Arial" w:cs="Arial"/>
          <w:color w:val="000000"/>
          <w:sz w:val="20"/>
        </w:rPr>
        <w:t xml:space="preserve">Instead, "[d]eliberate indifference is, at bottom, an actual-notice [**16]  standard." </w:t>
      </w:r>
      <w:bookmarkStart w:id="2736" w:name="Bookmark_I676S57W2N1PV30010000400"/>
      <w:bookmarkEnd w:id="2736"/>
      <w:r>
        <w:rPr>
          <w:rFonts w:ascii="Arial" w:eastAsia="Arial" w:hAnsi="Arial" w:cs="Arial"/>
          <w:i/>
          <w:color w:val="000000"/>
          <w:sz w:val="20"/>
        </w:rPr>
        <w:t>Koon</w:t>
      </w:r>
      <w:r>
        <w:rPr>
          <w:rFonts w:ascii="Arial" w:eastAsia="Arial" w:hAnsi="Arial" w:cs="Arial"/>
          <w:color w:val="000000"/>
          <w:sz w:val="20"/>
        </w:rPr>
        <w:t xml:space="preserve">, 50 F.4th at 406. </w:t>
      </w:r>
      <w:bookmarkStart w:id="2737" w:name="Bookmark_I676S57W2HM6MC0010000400"/>
      <w:bookmarkEnd w:id="2737"/>
      <w:r>
        <w:rPr>
          <w:rFonts w:ascii="Arial" w:eastAsia="Arial" w:hAnsi="Arial" w:cs="Arial"/>
          <w:color w:val="000000"/>
          <w:sz w:val="20"/>
        </w:rPr>
        <w:t xml:space="preserve">In the context of this case, "the simple failure to provide an [in-person] interpreter on request is not necessarily deliberately indifferent to an individual's rights under the RA." </w:t>
      </w:r>
      <w:bookmarkStart w:id="2738" w:name="Bookmark_I676S57W2N1PV30030000400"/>
      <w:bookmarkEnd w:id="2738"/>
      <w:r>
        <w:rPr>
          <w:rFonts w:ascii="Arial" w:eastAsia="Arial" w:hAnsi="Arial" w:cs="Arial"/>
          <w:i/>
          <w:color w:val="000000"/>
          <w:sz w:val="20"/>
        </w:rPr>
        <w:t>Liese</w:t>
      </w:r>
      <w:r>
        <w:rPr>
          <w:rFonts w:ascii="Arial" w:eastAsia="Arial" w:hAnsi="Arial" w:cs="Arial"/>
          <w:color w:val="000000"/>
          <w:sz w:val="20"/>
        </w:rPr>
        <w:t xml:space="preserve">, 701 F.3d at 343. But demonstrating that a hospital had notice of a  [*318]  patient's need for auxiliary aids and failed to provide them despite knowledge that the patient could not effectively communicate without such aids supports a finding of deliberate indifference. </w:t>
      </w:r>
      <w:bookmarkStart w:id="2739" w:name="Bookmark_I676S57W2HM6MC0010000400_2"/>
      <w:bookmarkEnd w:id="2739"/>
      <w:r>
        <w:rPr>
          <w:rFonts w:ascii="Arial" w:eastAsia="Arial" w:hAnsi="Arial" w:cs="Arial"/>
          <w:i/>
          <w:color w:val="000000"/>
          <w:sz w:val="20"/>
        </w:rPr>
        <w:t xml:space="preserve">See </w:t>
      </w:r>
      <w:bookmarkStart w:id="2740" w:name="Bookmark_I676S57W2N1PV30050000400"/>
      <w:bookmarkEnd w:id="2740"/>
      <w:r>
        <w:rPr>
          <w:rFonts w:ascii="Arial" w:eastAsia="Arial" w:hAnsi="Arial" w:cs="Arial"/>
          <w:i/>
          <w:color w:val="000000"/>
          <w:sz w:val="20"/>
        </w:rPr>
        <w:t>Duvall</w:t>
      </w:r>
      <w:r>
        <w:rPr>
          <w:rFonts w:ascii="Arial" w:eastAsia="Arial" w:hAnsi="Arial" w:cs="Arial"/>
          <w:color w:val="000000"/>
          <w:sz w:val="20"/>
        </w:rPr>
        <w:t>, 260 F.3d at 1140.</w:t>
      </w:r>
    </w:p>
    <w:p w:rsidR="00022B47" w:rsidRDefault="00000000">
      <w:pPr>
        <w:pStyle w:val="Normal14"/>
        <w:widowControl w:val="0"/>
        <w:spacing w:before="120" w:line="260" w:lineRule="atLeast"/>
      </w:pPr>
      <w:r>
        <w:rPr>
          <w:rFonts w:ascii="Arial" w:eastAsia="Arial" w:hAnsi="Arial" w:cs="Arial"/>
          <w:color w:val="000000"/>
          <w:sz w:val="20"/>
        </w:rPr>
        <w:t>III.</w:t>
      </w:r>
    </w:p>
    <w:p w:rsidR="00022B47" w:rsidRDefault="00000000">
      <w:pPr>
        <w:pStyle w:val="Normal14"/>
        <w:widowControl w:val="0"/>
        <w:spacing w:before="200" w:line="260" w:lineRule="atLeast"/>
        <w:jc w:val="both"/>
      </w:pPr>
      <w:bookmarkStart w:id="2741" w:name="Bookmark_para_29_9"/>
      <w:bookmarkStart w:id="2742" w:name="Bookmark_I676S57W2HM6MC0030000400"/>
      <w:bookmarkStart w:id="2743" w:name="Bookmark_I676S57W2HM6MC0050000400"/>
      <w:bookmarkEnd w:id="2741"/>
      <w:bookmarkEnd w:id="2742"/>
      <w:bookmarkEnd w:id="2743"/>
      <w:r>
        <w:rPr>
          <w:rFonts w:ascii="Arial" w:eastAsia="Arial" w:hAnsi="Arial" w:cs="Arial"/>
          <w:color w:val="000000"/>
          <w:sz w:val="20"/>
        </w:rPr>
        <w:t xml:space="preserve">With these standards in mind, Basta sufficiently pled intentional discrimination under the Rehabilitation Act to survive a motion to dismiss. </w:t>
      </w:r>
      <w:bookmarkStart w:id="2744" w:name="Bookmark_LNHNREFclscc9_9"/>
      <w:bookmarkEnd w:id="2744"/>
      <w:r>
        <w:rPr>
          <w:rFonts w:ascii="Arial" w:eastAsia="Arial" w:hAnsi="Arial" w:cs="Arial"/>
          <w:color w:val="000000"/>
          <w:sz w:val="20"/>
        </w:rPr>
        <w:t xml:space="preserve">We review the district court's dismissal order de novo. </w:t>
      </w:r>
      <w:bookmarkStart w:id="2745" w:name="Bookmark_I676S57W2HM6MC0020000400"/>
      <w:bookmarkEnd w:id="2745"/>
      <w:r>
        <w:rPr>
          <w:rFonts w:ascii="Arial" w:eastAsia="Arial" w:hAnsi="Arial" w:cs="Arial"/>
          <w:i/>
          <w:color w:val="000000"/>
          <w:sz w:val="20"/>
        </w:rPr>
        <w:t>Wilcox v. Brown</w:t>
      </w:r>
      <w:r>
        <w:rPr>
          <w:rFonts w:ascii="Arial" w:eastAsia="Arial" w:hAnsi="Arial" w:cs="Arial"/>
          <w:color w:val="000000"/>
          <w:sz w:val="20"/>
        </w:rPr>
        <w:t xml:space="preserve">, 877 F.3d 161, 166 (4th Cir. 2017). "To survive a motion to dismiss, a complaint must contain sufficient factual matter, accepted as true, to state a claim to relief that is plausible on its face." </w:t>
      </w:r>
      <w:bookmarkStart w:id="2746" w:name="Bookmark_I676S57W2HM6MC0040000400"/>
      <w:bookmarkEnd w:id="2746"/>
      <w:r>
        <w:rPr>
          <w:rFonts w:ascii="Arial" w:eastAsia="Arial" w:hAnsi="Arial" w:cs="Arial"/>
          <w:i/>
          <w:color w:val="000000"/>
          <w:sz w:val="20"/>
        </w:rPr>
        <w:t>Carey v. Throwe</w:t>
      </w:r>
      <w:r>
        <w:rPr>
          <w:rFonts w:ascii="Arial" w:eastAsia="Arial" w:hAnsi="Arial" w:cs="Arial"/>
          <w:color w:val="000000"/>
          <w:sz w:val="20"/>
        </w:rPr>
        <w:t xml:space="preserve">, 957 F.3d 468, 474 (4th Cir. 2020) (internal quotations omitted). This procedural posture requires us to assume the truth of all well-pled facts and draw reasonable inferences in favor of Basta. </w:t>
      </w:r>
      <w:r>
        <w:rPr>
          <w:rFonts w:ascii="Arial" w:eastAsia="Arial" w:hAnsi="Arial" w:cs="Arial"/>
          <w:i/>
          <w:color w:val="000000"/>
          <w:sz w:val="20"/>
        </w:rPr>
        <w:t>Id.</w:t>
      </w:r>
    </w:p>
    <w:p w:rsidR="00022B47" w:rsidRDefault="00000000">
      <w:pPr>
        <w:pStyle w:val="Normal14"/>
        <w:widowControl w:val="0"/>
        <w:spacing w:before="120" w:line="260" w:lineRule="atLeast"/>
      </w:pPr>
      <w:r>
        <w:rPr>
          <w:rFonts w:ascii="Arial" w:eastAsia="Arial" w:hAnsi="Arial" w:cs="Arial"/>
          <w:color w:val="000000"/>
          <w:sz w:val="20"/>
        </w:rPr>
        <w:t>A.</w:t>
      </w:r>
    </w:p>
    <w:p w:rsidR="00022B47" w:rsidRDefault="00000000">
      <w:pPr>
        <w:pStyle w:val="Normal14"/>
        <w:widowControl w:val="0"/>
        <w:spacing w:before="200" w:line="260" w:lineRule="atLeast"/>
        <w:jc w:val="both"/>
      </w:pPr>
      <w:bookmarkStart w:id="2747" w:name="Bookmark_para_30_8"/>
      <w:bookmarkStart w:id="2748" w:name="Bookmark_I676S57X2N1PV70020000400"/>
      <w:bookmarkStart w:id="2749" w:name="Bookmark_I676S57X2N1PV70040000400"/>
      <w:bookmarkEnd w:id="2747"/>
      <w:bookmarkEnd w:id="2748"/>
      <w:bookmarkEnd w:id="2749"/>
      <w:r>
        <w:rPr>
          <w:rFonts w:ascii="Arial" w:eastAsia="Arial" w:hAnsi="Arial" w:cs="Arial"/>
          <w:color w:val="000000"/>
          <w:sz w:val="20"/>
        </w:rPr>
        <w:t xml:space="preserve">The complaint made a showing that Novant Health staffers both knew of a substantial likelihood that Basta would be unable to communicate without an appropriate auxiliary aid, yet still made a conscious choice not to provide one. </w:t>
      </w:r>
      <w:r>
        <w:rPr>
          <w:rFonts w:ascii="Arial" w:eastAsia="Arial" w:hAnsi="Arial" w:cs="Arial"/>
          <w:i/>
          <w:color w:val="000000"/>
          <w:sz w:val="20"/>
        </w:rPr>
        <w:t xml:space="preserve">See </w:t>
      </w:r>
      <w:bookmarkStart w:id="2750" w:name="Bookmark_I676S57X2N1PV70010000400"/>
      <w:bookmarkEnd w:id="2750"/>
      <w:r>
        <w:rPr>
          <w:rFonts w:ascii="Arial" w:eastAsia="Arial" w:hAnsi="Arial" w:cs="Arial"/>
          <w:i/>
          <w:color w:val="000000"/>
          <w:sz w:val="20"/>
        </w:rPr>
        <w:t>McCullum</w:t>
      </w:r>
      <w:r>
        <w:rPr>
          <w:rFonts w:ascii="Arial" w:eastAsia="Arial" w:hAnsi="Arial" w:cs="Arial"/>
          <w:color w:val="000000"/>
          <w:sz w:val="20"/>
        </w:rPr>
        <w:t xml:space="preserve">, 768 F.3d at 1147-48. Although [**17]  hospital staff provided some auxiliary aids in the form of two VRI machines, its failure to address the substantial shortcomings of these devices over a three-day period despite repeated requests for an interpreter gives rise to a plausible inference of deliberate indifference. </w:t>
      </w:r>
      <w:r>
        <w:rPr>
          <w:rFonts w:ascii="Arial" w:eastAsia="Arial" w:hAnsi="Arial" w:cs="Arial"/>
          <w:i/>
          <w:color w:val="000000"/>
          <w:sz w:val="20"/>
        </w:rPr>
        <w:t xml:space="preserve">See, e.g., </w:t>
      </w:r>
      <w:bookmarkStart w:id="2751" w:name="Bookmark_I676S57X2N1PV70030000400"/>
      <w:bookmarkEnd w:id="2751"/>
      <w:r>
        <w:rPr>
          <w:rFonts w:ascii="Arial" w:eastAsia="Arial" w:hAnsi="Arial" w:cs="Arial"/>
          <w:i/>
          <w:color w:val="000000"/>
          <w:sz w:val="20"/>
        </w:rPr>
        <w:t>Crane v. Lifemark Hosps., Inc.</w:t>
      </w:r>
      <w:r>
        <w:rPr>
          <w:rFonts w:ascii="Arial" w:eastAsia="Arial" w:hAnsi="Arial" w:cs="Arial"/>
          <w:color w:val="000000"/>
          <w:sz w:val="20"/>
        </w:rPr>
        <w:t xml:space="preserve">, 898 F.3d 1130, 1133-1136 (11th Cir. 2018); </w:t>
      </w:r>
      <w:bookmarkStart w:id="2752" w:name="Bookmark_I676S57X2N1PV70050000400"/>
      <w:bookmarkEnd w:id="2752"/>
      <w:r>
        <w:rPr>
          <w:rFonts w:ascii="Arial" w:eastAsia="Arial" w:hAnsi="Arial" w:cs="Arial"/>
          <w:i/>
          <w:color w:val="000000"/>
          <w:sz w:val="20"/>
        </w:rPr>
        <w:t>Loeffler</w:t>
      </w:r>
      <w:r>
        <w:rPr>
          <w:rFonts w:ascii="Arial" w:eastAsia="Arial" w:hAnsi="Arial" w:cs="Arial"/>
          <w:color w:val="000000"/>
          <w:sz w:val="20"/>
        </w:rPr>
        <w:t>, 582 F.3d at 276-77.</w:t>
      </w:r>
    </w:p>
    <w:p w:rsidR="00022B47" w:rsidRDefault="00000000">
      <w:pPr>
        <w:pStyle w:val="Normal14"/>
        <w:widowControl w:val="0"/>
        <w:spacing w:before="200" w:line="260" w:lineRule="atLeast"/>
        <w:jc w:val="both"/>
      </w:pPr>
      <w:bookmarkStart w:id="2753" w:name="Bookmark_para_31_8"/>
      <w:bookmarkEnd w:id="2753"/>
      <w:r>
        <w:rPr>
          <w:rFonts w:ascii="Arial" w:eastAsia="Arial" w:hAnsi="Arial" w:cs="Arial"/>
          <w:color w:val="000000"/>
          <w:sz w:val="20"/>
        </w:rPr>
        <w:t xml:space="preserve">The facts show that Basta is a "profoundly deaf" individual who requires "auxiliary aids and services to communicate effectively in a medical setting." Am. Compl. ¶¶ 3-4. Basta alleged that he alerted Novant Health of his need for an interpreter well in-advance of his arrival, pursuant to its policy of providing free interpreter services to the hearing-impaired. Am. Compl. ¶¶ 10, 16. Hospital staff allegedly stated it would comply with that request. Am. Compl. ¶ 17. </w:t>
      </w:r>
      <w:bookmarkStart w:id="2754" w:name="Bookmark_I676S57X2N1PV80030000400"/>
      <w:bookmarkEnd w:id="2754"/>
      <w:r>
        <w:rPr>
          <w:rFonts w:ascii="Arial" w:eastAsia="Arial" w:hAnsi="Arial" w:cs="Arial"/>
          <w:color w:val="000000"/>
          <w:sz w:val="20"/>
        </w:rPr>
        <w:t xml:space="preserve">Basta then again told Novant Health of his need for an interpreter on his way to the hospital. Am. Compl. ¶ 18. This was sufficient to put Novant Health on notice that Basta was a hearing-impaired individual who was entitled under Section 504 to an accommodation in the form of an auxiliary aid. </w:t>
      </w:r>
      <w:r>
        <w:rPr>
          <w:rFonts w:ascii="Arial" w:eastAsia="Arial" w:hAnsi="Arial" w:cs="Arial"/>
          <w:i/>
          <w:color w:val="000000"/>
          <w:sz w:val="20"/>
        </w:rPr>
        <w:t xml:space="preserve">See </w:t>
      </w:r>
      <w:bookmarkStart w:id="2755" w:name="Bookmark_I676S57X2N1PV80020000400"/>
      <w:bookmarkEnd w:id="2755"/>
      <w:r>
        <w:rPr>
          <w:rFonts w:ascii="Arial" w:eastAsia="Arial" w:hAnsi="Arial" w:cs="Arial"/>
          <w:i/>
          <w:color w:val="000000"/>
          <w:sz w:val="20"/>
        </w:rPr>
        <w:t>Koon</w:t>
      </w:r>
      <w:r>
        <w:rPr>
          <w:rFonts w:ascii="Arial" w:eastAsia="Arial" w:hAnsi="Arial" w:cs="Arial"/>
          <w:color w:val="000000"/>
          <w:sz w:val="20"/>
        </w:rPr>
        <w:t xml:space="preserve">, 50 F.4th at 407; </w:t>
      </w:r>
      <w:r>
        <w:rPr>
          <w:rFonts w:ascii="Arial" w:eastAsia="Arial" w:hAnsi="Arial" w:cs="Arial"/>
          <w:i/>
          <w:color w:val="000000"/>
          <w:sz w:val="20"/>
        </w:rPr>
        <w:t xml:space="preserve">see also </w:t>
      </w:r>
      <w:bookmarkStart w:id="2756" w:name="Bookmark_I676S57X2N1PV80040000400"/>
      <w:bookmarkEnd w:id="2756"/>
      <w:r>
        <w:rPr>
          <w:rFonts w:ascii="Arial" w:eastAsia="Arial" w:hAnsi="Arial" w:cs="Arial"/>
          <w:i/>
          <w:color w:val="000000"/>
          <w:sz w:val="20"/>
        </w:rPr>
        <w:t>Duvall</w:t>
      </w:r>
      <w:r>
        <w:rPr>
          <w:rFonts w:ascii="Arial" w:eastAsia="Arial" w:hAnsi="Arial" w:cs="Arial"/>
          <w:color w:val="000000"/>
          <w:sz w:val="20"/>
        </w:rPr>
        <w:t>, 260 F.3d at 1139 (</w:t>
      </w:r>
      <w:bookmarkStart w:id="2757" w:name="Bookmark_LNHNREFclscc10_9"/>
      <w:bookmarkEnd w:id="2757"/>
      <w:r>
        <w:rPr>
          <w:rFonts w:ascii="Arial" w:eastAsia="Arial" w:hAnsi="Arial" w:cs="Arial"/>
          <w:color w:val="000000"/>
          <w:sz w:val="20"/>
        </w:rPr>
        <w:t>"When the plaintiff has alerted the public entity to his need for accommodation..., the public entity is on notice that an accommodation [**18]  is required, and the plaintiff has satisfied the first element of the deliberate indifference test.").</w:t>
      </w:r>
    </w:p>
    <w:p w:rsidR="00022B47" w:rsidRDefault="00000000">
      <w:pPr>
        <w:pStyle w:val="Normal14"/>
        <w:widowControl w:val="0"/>
        <w:spacing w:before="200" w:line="260" w:lineRule="atLeast"/>
        <w:jc w:val="both"/>
      </w:pPr>
      <w:bookmarkStart w:id="2758" w:name="Bookmark_para_32_8"/>
      <w:bookmarkEnd w:id="2758"/>
      <w:r>
        <w:rPr>
          <w:rFonts w:ascii="Arial" w:eastAsia="Arial" w:hAnsi="Arial" w:cs="Arial"/>
          <w:color w:val="000000"/>
          <w:sz w:val="20"/>
        </w:rPr>
        <w:t xml:space="preserve">The complaint goes on to allege that Novant provided two malfunctioning VRI devices. </w:t>
      </w:r>
      <w:bookmarkStart w:id="2759" w:name="Bookmark_I676S57X28T4SX0020000400"/>
      <w:bookmarkEnd w:id="2759"/>
      <w:r>
        <w:rPr>
          <w:rFonts w:ascii="Arial" w:eastAsia="Arial" w:hAnsi="Arial" w:cs="Arial"/>
          <w:color w:val="000000"/>
          <w:sz w:val="20"/>
        </w:rPr>
        <w:t xml:space="preserve">Am. Compl. ¶¶ 20-21. These devices would have satisfied Novant's Section 504 obligations had they functioned correctly. </w:t>
      </w:r>
      <w:bookmarkStart w:id="2760" w:name="Bookmark_LNHNREFclscc11_8"/>
      <w:bookmarkEnd w:id="2760"/>
      <w:r>
        <w:rPr>
          <w:rFonts w:ascii="Arial" w:eastAsia="Arial" w:hAnsi="Arial" w:cs="Arial"/>
          <w:color w:val="000000"/>
          <w:sz w:val="20"/>
        </w:rPr>
        <w:t xml:space="preserve">Indeed, "the proper inquiry [under Section 504] is whether the auxiliary aid that a hospital provided to [a] hearing-impaired [individual] gave that [individual] an equal opportunity to benefit from the hospital's treatment." </w:t>
      </w:r>
      <w:bookmarkStart w:id="2761" w:name="Bookmark_I676S57X28T4SX0010000400"/>
      <w:bookmarkEnd w:id="2761"/>
      <w:r>
        <w:rPr>
          <w:rFonts w:ascii="Arial" w:eastAsia="Arial" w:hAnsi="Arial" w:cs="Arial"/>
          <w:i/>
          <w:color w:val="000000"/>
          <w:sz w:val="20"/>
        </w:rPr>
        <w:t>Liese</w:t>
      </w:r>
      <w:r>
        <w:rPr>
          <w:rFonts w:ascii="Arial" w:eastAsia="Arial" w:hAnsi="Arial" w:cs="Arial"/>
          <w:color w:val="000000"/>
          <w:sz w:val="20"/>
        </w:rPr>
        <w:t xml:space="preserve">, 701 F.3d at 343. </w:t>
      </w:r>
      <w:bookmarkStart w:id="2762" w:name="Bookmark_I676S57X28T4SX0040000400"/>
      <w:bookmarkEnd w:id="2762"/>
      <w:r>
        <w:rPr>
          <w:rFonts w:ascii="Arial" w:eastAsia="Arial" w:hAnsi="Arial" w:cs="Arial"/>
          <w:color w:val="000000"/>
          <w:sz w:val="20"/>
        </w:rPr>
        <w:t xml:space="preserve">The RA's regulations are clear that "other aids for persons with impaired hearing" besides interpreters may satisfy the auxiliary aid requirement. 45 C.F.R. § 84.52(d)(3). Therefore, a failure to provide an in-person interpreter need not beget a finding of deliberate indifference. </w:t>
      </w:r>
      <w:r>
        <w:rPr>
          <w:rFonts w:ascii="Arial" w:eastAsia="Arial" w:hAnsi="Arial" w:cs="Arial"/>
          <w:i/>
          <w:color w:val="000000"/>
          <w:sz w:val="20"/>
        </w:rPr>
        <w:t xml:space="preserve">See, e.g., </w:t>
      </w:r>
      <w:bookmarkStart w:id="2763" w:name="Bookmark_I676S57X28T4SX0030000400"/>
      <w:bookmarkEnd w:id="2763"/>
      <w:r>
        <w:rPr>
          <w:rFonts w:ascii="Arial" w:eastAsia="Arial" w:hAnsi="Arial" w:cs="Arial"/>
          <w:i/>
          <w:color w:val="000000"/>
          <w:sz w:val="20"/>
        </w:rPr>
        <w:t>Liese</w:t>
      </w:r>
      <w:r>
        <w:rPr>
          <w:rFonts w:ascii="Arial" w:eastAsia="Arial" w:hAnsi="Arial" w:cs="Arial"/>
          <w:color w:val="000000"/>
          <w:sz w:val="20"/>
        </w:rPr>
        <w:t xml:space="preserve">, 701 F.3d at 343. However, the "other aids" must work. The machines here malfunctioned. Basta's complaint alleged that both machines were "blurry, choppy, and did not have a clear enough  [*319]  picture" for him to understand what the remote interpreter was conveying. </w:t>
      </w:r>
      <w:r>
        <w:rPr>
          <w:rFonts w:ascii="Arial" w:eastAsia="Arial" w:hAnsi="Arial" w:cs="Arial"/>
          <w:i/>
          <w:color w:val="000000"/>
          <w:sz w:val="20"/>
        </w:rPr>
        <w:t>See</w:t>
      </w:r>
      <w:r>
        <w:rPr>
          <w:rFonts w:ascii="Arial" w:eastAsia="Arial" w:hAnsi="Arial" w:cs="Arial"/>
          <w:color w:val="000000"/>
          <w:sz w:val="20"/>
        </w:rPr>
        <w:t xml:space="preserve"> Am. Compl., ¶¶ 20-21. Further, the second VRI device was plugged far away from Mrs. Basta's bed, forcing Basta to leave her in order to understand what was going on. Am. [**19]  Compl. ¶ 23.</w:t>
      </w:r>
    </w:p>
    <w:p w:rsidR="00022B47" w:rsidRDefault="00000000">
      <w:pPr>
        <w:pStyle w:val="Normal14"/>
        <w:widowControl w:val="0"/>
        <w:spacing w:before="200" w:line="260" w:lineRule="atLeast"/>
        <w:jc w:val="both"/>
      </w:pPr>
      <w:bookmarkStart w:id="2764" w:name="Bookmark_para_33_7"/>
      <w:bookmarkStart w:id="2765" w:name="Bookmark_I676S57X28T4SY0010000400"/>
      <w:bookmarkEnd w:id="2764"/>
      <w:bookmarkEnd w:id="2765"/>
      <w:r>
        <w:rPr>
          <w:rFonts w:ascii="Arial" w:eastAsia="Arial" w:hAnsi="Arial" w:cs="Arial"/>
          <w:color w:val="000000"/>
          <w:sz w:val="20"/>
        </w:rPr>
        <w:t xml:space="preserve">Had the malfunctioning VRI been the only issue, this might have been a case where "good-faith efforts to remedy the plaintiff's problems...prevent finding deliberate indifference." </w:t>
      </w:r>
      <w:bookmarkStart w:id="2766" w:name="Bookmark_I676S57X28T4SX0050000400"/>
      <w:bookmarkEnd w:id="2766"/>
      <w:r>
        <w:rPr>
          <w:rFonts w:ascii="Arial" w:eastAsia="Arial" w:hAnsi="Arial" w:cs="Arial"/>
          <w:i/>
          <w:color w:val="000000"/>
          <w:sz w:val="20"/>
        </w:rPr>
        <w:t>Koon</w:t>
      </w:r>
      <w:r>
        <w:rPr>
          <w:rFonts w:ascii="Arial" w:eastAsia="Arial" w:hAnsi="Arial" w:cs="Arial"/>
          <w:color w:val="000000"/>
          <w:sz w:val="20"/>
        </w:rPr>
        <w:t xml:space="preserve">, 50 F.4th at 407. Indeed, Novant Health insists that it had no way of knowing that the VRI would malfunction. </w:t>
      </w:r>
      <w:r>
        <w:rPr>
          <w:rFonts w:ascii="Arial" w:eastAsia="Arial" w:hAnsi="Arial" w:cs="Arial"/>
          <w:i/>
          <w:color w:val="000000"/>
          <w:sz w:val="20"/>
        </w:rPr>
        <w:t>See</w:t>
      </w:r>
      <w:r>
        <w:rPr>
          <w:rFonts w:ascii="Arial" w:eastAsia="Arial" w:hAnsi="Arial" w:cs="Arial"/>
          <w:color w:val="000000"/>
          <w:sz w:val="20"/>
        </w:rPr>
        <w:t xml:space="preserve"> Resp. Br. at 13-15. The crux of Basta's claim, however, is not the malfunctioning VRI on the first day of his stay: it is that despite repeated requests for another auxiliary aid, such as an in-person interpreter, Novant Health did </w:t>
      </w:r>
      <w:r>
        <w:rPr>
          <w:rFonts w:ascii="Arial" w:eastAsia="Arial" w:hAnsi="Arial" w:cs="Arial"/>
          <w:i/>
          <w:color w:val="000000"/>
          <w:sz w:val="20"/>
        </w:rPr>
        <w:t>nothing</w:t>
      </w:r>
      <w:r>
        <w:rPr>
          <w:rFonts w:ascii="Arial" w:eastAsia="Arial" w:hAnsi="Arial" w:cs="Arial"/>
          <w:color w:val="000000"/>
          <w:sz w:val="20"/>
        </w:rPr>
        <w:t xml:space="preserve"> to ensure that Basta could communicate with its staff for the rest of his three days at the hospital. The complaint alleges that Basta "made repeated requests for interpreters" from June 2 to June 4, 2017. Am. Compl. ¶ 26. Further, the complaint alleges that "Basta was unable to understand what was happening throughout the delivery process" and he "was not given the opportunity to ask any questions concerning his wife's treatment and was thus unaware if she had any medical concerns." Am. Compl. ¶ 23.</w:t>
      </w:r>
    </w:p>
    <w:p w:rsidR="00022B47" w:rsidRDefault="00000000">
      <w:pPr>
        <w:pStyle w:val="Normal14"/>
        <w:widowControl w:val="0"/>
        <w:spacing w:before="200" w:line="260" w:lineRule="atLeast"/>
        <w:jc w:val="both"/>
      </w:pPr>
      <w:bookmarkStart w:id="2767" w:name="Bookmark_para_34_7"/>
      <w:bookmarkEnd w:id="2767"/>
      <w:r>
        <w:rPr>
          <w:rFonts w:ascii="Arial" w:eastAsia="Arial" w:hAnsi="Arial" w:cs="Arial"/>
          <w:color w:val="000000"/>
          <w:sz w:val="20"/>
        </w:rPr>
        <w:t xml:space="preserve">After the VRI devices malfunctioned, Basta repeatedly requested an interpreter. Defendant's staff requested in turn that he sign a form regarding the malfunctioning [**20]  VRI machine, which raises a plausible inference that they knew of its inefficacy and of his need for continued interpretive services. </w:t>
      </w:r>
      <w:r>
        <w:rPr>
          <w:rFonts w:ascii="Arial" w:eastAsia="Arial" w:hAnsi="Arial" w:cs="Arial"/>
          <w:i/>
          <w:color w:val="000000"/>
          <w:sz w:val="20"/>
        </w:rPr>
        <w:t>See</w:t>
      </w:r>
      <w:r>
        <w:rPr>
          <w:rFonts w:ascii="Arial" w:eastAsia="Arial" w:hAnsi="Arial" w:cs="Arial"/>
          <w:color w:val="000000"/>
          <w:sz w:val="20"/>
        </w:rPr>
        <w:t xml:space="preserve"> Am. Compl. ¶ 24. </w:t>
      </w:r>
      <w:bookmarkStart w:id="2768" w:name="Bookmark_I676S57X28T4SY0030000400"/>
      <w:bookmarkEnd w:id="2768"/>
      <w:r>
        <w:rPr>
          <w:rFonts w:ascii="Arial" w:eastAsia="Arial" w:hAnsi="Arial" w:cs="Arial"/>
          <w:color w:val="000000"/>
          <w:sz w:val="20"/>
        </w:rPr>
        <w:t xml:space="preserve">Instead, Novant required Basta to communicate via lip-reading, which Basta alleges he could not understand. Am. Compl. ¶ 3. The important issue again is that Novant did </w:t>
      </w:r>
      <w:r>
        <w:rPr>
          <w:rFonts w:ascii="Arial" w:eastAsia="Arial" w:hAnsi="Arial" w:cs="Arial"/>
          <w:i/>
          <w:color w:val="000000"/>
          <w:sz w:val="20"/>
        </w:rPr>
        <w:t>nothing</w:t>
      </w:r>
      <w:r>
        <w:rPr>
          <w:rFonts w:ascii="Arial" w:eastAsia="Arial" w:hAnsi="Arial" w:cs="Arial"/>
          <w:color w:val="000000"/>
          <w:sz w:val="20"/>
        </w:rPr>
        <w:t xml:space="preserve"> to remedy this situation despite having ample time to do so. Therefore, Basta pled a sort of "apath[y]" that shows Novant's "indifference to [Basta's] rights may have been so pervasive as to amount to a choice." </w:t>
      </w:r>
      <w:bookmarkStart w:id="2769" w:name="Bookmark_I676S57X28T4SY0020000400"/>
      <w:bookmarkEnd w:id="2769"/>
      <w:r>
        <w:rPr>
          <w:rFonts w:ascii="Arial" w:eastAsia="Arial" w:hAnsi="Arial" w:cs="Arial"/>
          <w:i/>
          <w:color w:val="000000"/>
          <w:sz w:val="20"/>
        </w:rPr>
        <w:t>Loeffler</w:t>
      </w:r>
      <w:r>
        <w:rPr>
          <w:rFonts w:ascii="Arial" w:eastAsia="Arial" w:hAnsi="Arial" w:cs="Arial"/>
          <w:color w:val="000000"/>
          <w:sz w:val="20"/>
        </w:rPr>
        <w:t>, 582 F.3d at 277.</w:t>
      </w:r>
    </w:p>
    <w:p w:rsidR="00022B47" w:rsidRDefault="00000000">
      <w:pPr>
        <w:pStyle w:val="Normal14"/>
        <w:widowControl w:val="0"/>
        <w:spacing w:before="120" w:line="260" w:lineRule="atLeast"/>
      </w:pPr>
      <w:r>
        <w:rPr>
          <w:rFonts w:ascii="Arial" w:eastAsia="Arial" w:hAnsi="Arial" w:cs="Arial"/>
          <w:color w:val="000000"/>
          <w:sz w:val="20"/>
        </w:rPr>
        <w:t>B.</w:t>
      </w:r>
    </w:p>
    <w:p w:rsidR="00022B47" w:rsidRDefault="00000000">
      <w:pPr>
        <w:pStyle w:val="Normal14"/>
        <w:widowControl w:val="0"/>
        <w:spacing w:before="200" w:line="260" w:lineRule="atLeast"/>
        <w:jc w:val="both"/>
      </w:pPr>
      <w:bookmarkStart w:id="2770" w:name="Bookmark_para_35_7"/>
      <w:bookmarkStart w:id="2771" w:name="Bookmark_I676S57X28T4SY0050000400"/>
      <w:bookmarkEnd w:id="2770"/>
      <w:bookmarkEnd w:id="2771"/>
      <w:r>
        <w:rPr>
          <w:rFonts w:ascii="Arial" w:eastAsia="Arial" w:hAnsi="Arial" w:cs="Arial"/>
          <w:color w:val="000000"/>
          <w:sz w:val="20"/>
        </w:rPr>
        <w:t xml:space="preserve">We emphasize that </w:t>
      </w:r>
      <w:bookmarkStart w:id="2772" w:name="Bookmark_LNHNREFclscc12_6"/>
      <w:bookmarkEnd w:id="2772"/>
      <w:r>
        <w:rPr>
          <w:rFonts w:ascii="Arial" w:eastAsia="Arial" w:hAnsi="Arial" w:cs="Arial"/>
          <w:color w:val="000000"/>
          <w:sz w:val="20"/>
        </w:rPr>
        <w:t xml:space="preserve">finding deliberate indifference via failure to provide effective auxiliary aids under the RA varies from case to case. Plaintiffs are entitled to have their disability effectively accommodated, but what such effective accommodation requires is based on the abilities of the individual, the nature and complexity of the information exchanged, and the overall context of the situation. </w:t>
      </w:r>
      <w:r>
        <w:rPr>
          <w:rFonts w:ascii="Arial" w:eastAsia="Arial" w:hAnsi="Arial" w:cs="Arial"/>
          <w:i/>
          <w:color w:val="000000"/>
          <w:sz w:val="20"/>
        </w:rPr>
        <w:t>See, e.g.</w:t>
      </w:r>
      <w:r>
        <w:rPr>
          <w:rFonts w:ascii="Arial" w:eastAsia="Arial" w:hAnsi="Arial" w:cs="Arial"/>
          <w:color w:val="000000"/>
          <w:sz w:val="20"/>
        </w:rPr>
        <w:t xml:space="preserve">, 28 C.F.R. § 36.303(c)(1)(ii). In sum, "[t]he task of determining whether an entity subject to the RA has provided appropriate auxiliary aids where necessary is inherently-fact intensive[.]" </w:t>
      </w:r>
      <w:bookmarkStart w:id="2773" w:name="Bookmark_I676S57X28T4SY0040000400"/>
      <w:bookmarkEnd w:id="2773"/>
      <w:r>
        <w:rPr>
          <w:rFonts w:ascii="Arial" w:eastAsia="Arial" w:hAnsi="Arial" w:cs="Arial"/>
          <w:i/>
          <w:color w:val="000000"/>
          <w:sz w:val="20"/>
        </w:rPr>
        <w:t>Crane</w:t>
      </w:r>
      <w:r>
        <w:rPr>
          <w:rFonts w:ascii="Arial" w:eastAsia="Arial" w:hAnsi="Arial" w:cs="Arial"/>
          <w:color w:val="000000"/>
          <w:sz w:val="20"/>
        </w:rPr>
        <w:t>, 898 F.3d at 1135. Here more factual development is needed. The district court erred in dismissing [**21]  Basta's RA claim at the motion to dismiss stage.</w:t>
      </w:r>
    </w:p>
    <w:p w:rsidR="00022B47" w:rsidRDefault="00000000">
      <w:pPr>
        <w:pStyle w:val="Normal14"/>
        <w:widowControl w:val="0"/>
        <w:spacing w:before="120" w:line="260" w:lineRule="atLeast"/>
      </w:pPr>
      <w:r>
        <w:rPr>
          <w:rFonts w:ascii="Arial" w:eastAsia="Arial" w:hAnsi="Arial" w:cs="Arial"/>
          <w:color w:val="000000"/>
          <w:sz w:val="20"/>
        </w:rPr>
        <w:t>IV.</w:t>
      </w:r>
    </w:p>
    <w:p w:rsidR="00022B47" w:rsidRDefault="00000000">
      <w:pPr>
        <w:pStyle w:val="Normal14"/>
        <w:widowControl w:val="0"/>
        <w:spacing w:before="200" w:line="260" w:lineRule="atLeast"/>
        <w:jc w:val="both"/>
      </w:pPr>
      <w:bookmarkStart w:id="2774" w:name="Bookmark_para_36_7"/>
      <w:bookmarkEnd w:id="2774"/>
      <w:r>
        <w:rPr>
          <w:rFonts w:ascii="Arial" w:eastAsia="Arial" w:hAnsi="Arial" w:cs="Arial"/>
          <w:color w:val="000000"/>
          <w:sz w:val="20"/>
        </w:rPr>
        <w:t xml:space="preserve">It matters not that plaintiff Basta was not himself the patient. </w:t>
      </w:r>
      <w:bookmarkStart w:id="2775" w:name="Bookmark_LNHNREFclscc13_5"/>
      <w:bookmarkEnd w:id="2775"/>
      <w:r>
        <w:rPr>
          <w:rFonts w:ascii="Arial" w:eastAsia="Arial" w:hAnsi="Arial" w:cs="Arial"/>
          <w:color w:val="000000"/>
          <w:sz w:val="20"/>
        </w:rPr>
        <w:t>Regulations, in this case under the ADA, create "an obligation to provide effective communication to companions" with disabilities. 28 C.F.R. § 36.303(c)(1). Given the often-interlocking nature of the disability statutes in this case, it is easy to see why that guidance would be applicable here. Patients often arrive at hospitals in pain, unconscious, or feeling intense stress. In these situations, which can be not only confusing but overwhelming, a patient's companion, often a spouse or a family member, may be the only advocate available. To have that single advocate barred from communication with a hospital and its staff is to leave the patient stranded. Basta, a hearing-impaired  [*320]  individual, was unable to communicate his wife's complicated medical history to her doctors during childbirth, despite repeated requests for some effective means of doing so. The situation was a high-risk one for the couple, and the medical event one of the highest urgency and meaning.</w:t>
      </w:r>
    </w:p>
    <w:p w:rsidR="00022B47" w:rsidRDefault="00000000">
      <w:pPr>
        <w:pStyle w:val="Normal14"/>
        <w:widowControl w:val="0"/>
        <w:spacing w:before="200" w:line="260" w:lineRule="atLeast"/>
        <w:jc w:val="both"/>
      </w:pPr>
      <w:bookmarkStart w:id="2776" w:name="Bookmark_para_37_5"/>
      <w:bookmarkEnd w:id="2776"/>
      <w:r>
        <w:rPr>
          <w:rFonts w:ascii="Arial" w:eastAsia="Arial" w:hAnsi="Arial" w:cs="Arial"/>
          <w:color w:val="000000"/>
          <w:sz w:val="20"/>
        </w:rPr>
        <w:t>Accordingly, we must reverse the district court's judgment dismissing Basta's Rehabilitation Act claim. We remand this case for further [**22]  proceedings consistent with this opinion. Since Basta's Affordable Care Act claim is predicated on the plausibility of his Rehabilitation Act claim, we reverse the district court's judgment dismissing that claim as well, and remand for such other and further proceedings as may be appropriate.</w:t>
      </w:r>
    </w:p>
    <w:p w:rsidR="00022B47" w:rsidRDefault="00000000">
      <w:pPr>
        <w:pStyle w:val="Normal14"/>
        <w:widowControl w:val="0"/>
        <w:spacing w:before="200" w:line="260" w:lineRule="atLeast"/>
        <w:jc w:val="both"/>
      </w:pPr>
      <w:bookmarkStart w:id="2777" w:name="Bookmark_para_38_5"/>
      <w:bookmarkEnd w:id="2777"/>
      <w:r>
        <w:rPr>
          <w:rFonts w:ascii="Arial" w:eastAsia="Arial" w:hAnsi="Arial" w:cs="Arial"/>
          <w:i/>
          <w:color w:val="000000"/>
          <w:sz w:val="20"/>
        </w:rPr>
        <w:t>REVERSED AND REMANDED</w:t>
      </w:r>
    </w:p>
    <w:p w:rsidR="00022B47" w:rsidRDefault="00022B47">
      <w:pPr>
        <w:pStyle w:val="Normal14"/>
      </w:pPr>
    </w:p>
    <w:p w:rsidR="00022B47" w:rsidRDefault="00000000">
      <w:pPr>
        <w:pStyle w:val="Normal14"/>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688960"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512966599"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1DAD26" id="Line 32"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15"/>
        <w:sectPr w:rsidR="00022B47">
          <w:headerReference w:type="even" r:id="rId97"/>
          <w:headerReference w:type="default" r:id="rId98"/>
          <w:footerReference w:type="even" r:id="rId99"/>
          <w:footerReference w:type="default" r:id="rId100"/>
          <w:headerReference w:type="first" r:id="rId101"/>
          <w:footerReference w:type="first" r:id="rId102"/>
          <w:pgSz w:w="12240" w:h="15840"/>
          <w:pgMar w:top="840" w:right="1000" w:bottom="840" w:left="1000" w:header="400" w:footer="400" w:gutter="0"/>
          <w:cols w:space="720"/>
          <w:titlePg/>
        </w:sectPr>
      </w:pPr>
    </w:p>
    <w:p w:rsidR="00022B47" w:rsidRDefault="00022B47">
      <w:pPr>
        <w:pStyle w:val="Normal15"/>
      </w:pPr>
    </w:p>
    <w:p w:rsidR="00022B47" w:rsidRDefault="00000000">
      <w:pPr>
        <w:pStyle w:val="Heading114"/>
        <w:keepNext w:val="0"/>
        <w:widowControl w:val="0"/>
        <w:spacing w:after="200" w:line="340" w:lineRule="atLeast"/>
        <w:jc w:val="center"/>
      </w:pPr>
      <w:r>
        <w:rPr>
          <w:rFonts w:eastAsia="Arial"/>
          <w:color w:val="000000"/>
          <w:sz w:val="28"/>
        </w:rPr>
        <w:t>Richardson v. Clarke</w:t>
      </w:r>
    </w:p>
    <w:p w:rsidR="00022B47" w:rsidRDefault="00000000">
      <w:pPr>
        <w:pStyle w:val="Normal15"/>
        <w:widowControl w:val="0"/>
        <w:spacing w:before="120" w:line="260" w:lineRule="atLeast"/>
        <w:jc w:val="center"/>
      </w:pPr>
      <w:r>
        <w:rPr>
          <w:rFonts w:ascii="Arial" w:eastAsia="Arial" w:hAnsi="Arial" w:cs="Arial"/>
          <w:color w:val="000000"/>
          <w:sz w:val="20"/>
        </w:rPr>
        <w:t>United States Court of Appeals for the Fourth Circuit</w:t>
      </w:r>
    </w:p>
    <w:p w:rsidR="00022B47" w:rsidRDefault="00000000">
      <w:pPr>
        <w:pStyle w:val="Normal15"/>
        <w:widowControl w:val="0"/>
        <w:spacing w:before="120" w:line="260" w:lineRule="atLeast"/>
        <w:jc w:val="center"/>
      </w:pPr>
      <w:r>
        <w:rPr>
          <w:rFonts w:ascii="Arial" w:eastAsia="Arial" w:hAnsi="Arial" w:cs="Arial"/>
          <w:color w:val="000000"/>
          <w:sz w:val="20"/>
        </w:rPr>
        <w:t>September 13, 2022, Argued; November 7, 2022, Decided</w:t>
      </w:r>
    </w:p>
    <w:p w:rsidR="00022B47" w:rsidRDefault="00000000">
      <w:pPr>
        <w:pStyle w:val="Normal15"/>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21-6507</w:t>
      </w:r>
    </w:p>
    <w:p w:rsidR="00022B47" w:rsidRDefault="00022B47">
      <w:pPr>
        <w:pStyle w:val="Normal15"/>
        <w:widowControl w:val="0"/>
        <w:spacing w:line="240" w:lineRule="atLeast"/>
        <w:jc w:val="both"/>
      </w:pPr>
      <w:bookmarkStart w:id="2778" w:name="Bookmark_16"/>
      <w:bookmarkEnd w:id="2778"/>
    </w:p>
    <w:p w:rsidR="00022B47" w:rsidRDefault="00000000">
      <w:pPr>
        <w:pStyle w:val="Normal15"/>
        <w:widowControl w:val="0"/>
        <w:spacing w:before="200" w:line="240" w:lineRule="atLeast"/>
      </w:pPr>
      <w:bookmarkStart w:id="2779" w:name="Reporter_14"/>
      <w:bookmarkEnd w:id="2779"/>
      <w:r>
        <w:rPr>
          <w:rFonts w:ascii="Arial" w:eastAsia="Arial" w:hAnsi="Arial" w:cs="Arial"/>
          <w:b/>
          <w:color w:val="000000"/>
          <w:sz w:val="18"/>
        </w:rPr>
        <w:t>Reporter</w:t>
      </w:r>
    </w:p>
    <w:p w:rsidR="00022B47" w:rsidRDefault="00000000">
      <w:pPr>
        <w:pStyle w:val="Normal15"/>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52 F.4th 614 *; 2022 U.S. App. LEXIS 30821 **; 2022 WL 16729415</w:t>
      </w:r>
    </w:p>
    <w:p w:rsidR="00022B47" w:rsidRDefault="00000000">
      <w:pPr>
        <w:pStyle w:val="Normal15"/>
        <w:widowControl w:val="0"/>
        <w:spacing w:before="120" w:line="260" w:lineRule="atLeast"/>
      </w:pPr>
      <w:r>
        <w:rPr>
          <w:rFonts w:ascii="Arial" w:eastAsia="Arial" w:hAnsi="Arial" w:cs="Arial"/>
          <w:color w:val="000000"/>
          <w:sz w:val="20"/>
        </w:rPr>
        <w:t>DAVID A. RICHARDSON, Plaintiff — Appellant, v. HAROLD W. CLARKE, Virginia Department of Corrections; EDDIE L. PEARSON, Lead Warden-Greenville Correctional Center; TAMMY WILLIAMS, Warden, DRCC Correctional Center; VIRGINIA DEPARTMENT OF CORRECTIONS, Defendants — Appellees.</w:t>
      </w:r>
    </w:p>
    <w:p w:rsidR="00022B47" w:rsidRDefault="00000000">
      <w:pPr>
        <w:pStyle w:val="Normal15"/>
        <w:widowControl w:val="0"/>
        <w:spacing w:before="240" w:line="260" w:lineRule="atLeast"/>
        <w:jc w:val="both"/>
      </w:pPr>
      <w:bookmarkStart w:id="2780" w:name="Prior_History_14"/>
      <w:bookmarkEnd w:id="2780"/>
      <w:r>
        <w:rPr>
          <w:rFonts w:ascii="Arial" w:eastAsia="Arial" w:hAnsi="Arial" w:cs="Arial"/>
          <w:b/>
          <w:color w:val="000000"/>
          <w:sz w:val="20"/>
        </w:rPr>
        <w:t>Prior History:</w:t>
      </w:r>
      <w:r>
        <w:rPr>
          <w:rFonts w:ascii="Arial" w:eastAsia="Arial" w:hAnsi="Arial" w:cs="Arial"/>
          <w:color w:val="000000"/>
          <w:sz w:val="20"/>
        </w:rPr>
        <w:t> </w:t>
      </w:r>
      <w:bookmarkStart w:id="2781" w:name="Bookmark_para_1_14"/>
      <w:bookmarkEnd w:id="2781"/>
      <w:r>
        <w:rPr>
          <w:rFonts w:ascii="Arial" w:eastAsia="Arial" w:hAnsi="Arial" w:cs="Arial"/>
          <w:color w:val="000000"/>
          <w:sz w:val="20"/>
        </w:rPr>
        <w:t> [**1] Appeal from the United States District Court for the Eastern District of Virginia, at Richmond. (3:18-cv-00023-HEH-EWH). Henry E. Hudson, Senior District Judge..</w:t>
      </w:r>
    </w:p>
    <w:p w:rsidR="00022B47" w:rsidRDefault="00000000">
      <w:pPr>
        <w:pStyle w:val="Normal15"/>
        <w:widowControl w:val="0"/>
        <w:spacing w:before="120" w:line="260" w:lineRule="atLeast"/>
      </w:pPr>
      <w:r>
        <w:rPr>
          <w:rFonts w:ascii="Arial" w:eastAsia="Arial" w:hAnsi="Arial" w:cs="Arial"/>
          <w:color w:val="000000"/>
          <w:sz w:val="20"/>
        </w:rPr>
        <w:t>Richardson v. Clarke, 2021 U.S. Dist. LEXIS 42103, 2021 WL 851881 (E.D. Va., Mar. 5, 2021)</w:t>
      </w:r>
    </w:p>
    <w:p w:rsidR="00022B47" w:rsidRDefault="00000000">
      <w:pPr>
        <w:pStyle w:val="Normal15"/>
        <w:widowControl w:val="0"/>
        <w:spacing w:before="240" w:line="260" w:lineRule="atLeast"/>
        <w:jc w:val="both"/>
      </w:pPr>
      <w:bookmarkStart w:id="2782" w:name="Disposition_4"/>
      <w:bookmarkEnd w:id="2782"/>
      <w:r>
        <w:rPr>
          <w:rFonts w:ascii="Arial" w:eastAsia="Arial" w:hAnsi="Arial" w:cs="Arial"/>
          <w:b/>
          <w:color w:val="000000"/>
          <w:sz w:val="20"/>
        </w:rPr>
        <w:t>Disposition:</w:t>
      </w:r>
      <w:r>
        <w:rPr>
          <w:rFonts w:ascii="Arial" w:eastAsia="Arial" w:hAnsi="Arial" w:cs="Arial"/>
          <w:color w:val="000000"/>
          <w:sz w:val="20"/>
        </w:rPr>
        <w:t> </w:t>
      </w:r>
      <w:bookmarkStart w:id="2783" w:name="Bookmark_clspara_4_3"/>
      <w:bookmarkEnd w:id="2783"/>
      <w:r>
        <w:rPr>
          <w:rFonts w:ascii="Arial" w:eastAsia="Arial" w:hAnsi="Arial" w:cs="Arial"/>
          <w:color w:val="000000"/>
          <w:sz w:val="20"/>
        </w:rPr>
        <w:t>AFFIRMED IN PART, VACATED IN PART AND REMANDED.</w:t>
      </w:r>
    </w:p>
    <w:p w:rsidR="00022B47" w:rsidRDefault="00000000">
      <w:pPr>
        <w:pStyle w:val="Normal15"/>
        <w:widowControl w:val="0"/>
        <w:spacing w:before="240" w:line="260" w:lineRule="atLeast"/>
      </w:pPr>
      <w:bookmarkStart w:id="2784" w:name="Counsel_14"/>
      <w:bookmarkEnd w:id="2784"/>
      <w:r>
        <w:rPr>
          <w:rFonts w:ascii="Arial" w:eastAsia="Arial" w:hAnsi="Arial" w:cs="Arial"/>
          <w:b/>
          <w:color w:val="000000"/>
          <w:sz w:val="20"/>
        </w:rPr>
        <w:t>Counsel:</w:t>
      </w:r>
      <w:r>
        <w:rPr>
          <w:rFonts w:ascii="Arial" w:eastAsia="Arial" w:hAnsi="Arial" w:cs="Arial"/>
          <w:color w:val="000000"/>
          <w:sz w:val="20"/>
        </w:rPr>
        <w:t> ARGUED: Oren Missim Nimni, RIGHTS BEHIND BARS, Washington, D.C., for Appellant.</w:t>
      </w:r>
    </w:p>
    <w:p w:rsidR="00022B47" w:rsidRDefault="00000000">
      <w:pPr>
        <w:pStyle w:val="Normal15"/>
        <w:widowControl w:val="0"/>
        <w:spacing w:before="120" w:line="260" w:lineRule="atLeast"/>
      </w:pPr>
      <w:r>
        <w:rPr>
          <w:rFonts w:ascii="Arial" w:eastAsia="Arial" w:hAnsi="Arial" w:cs="Arial"/>
          <w:color w:val="000000"/>
          <w:sz w:val="20"/>
        </w:rPr>
        <w:t>Kevin Michael Gallagher, OFFICE OF THE ATTORNEY GENERAL OF VIRGINIA, Richmond, Virginia, for Appellees.</w:t>
      </w:r>
    </w:p>
    <w:p w:rsidR="00022B47" w:rsidRDefault="00000000">
      <w:pPr>
        <w:pStyle w:val="Normal15"/>
        <w:widowControl w:val="0"/>
        <w:spacing w:before="120" w:line="260" w:lineRule="atLeast"/>
      </w:pPr>
      <w:r>
        <w:rPr>
          <w:rFonts w:ascii="Arial" w:eastAsia="Arial" w:hAnsi="Arial" w:cs="Arial"/>
          <w:color w:val="000000"/>
          <w:sz w:val="20"/>
        </w:rPr>
        <w:t>ON BRIEF: Samuel Weiss, Washington, D.C., Kelly Jo Popkin, RIGHTS BEHIND BARS, Brooklyn, New York, for Appellant.</w:t>
      </w:r>
    </w:p>
    <w:p w:rsidR="00022B47" w:rsidRDefault="00000000">
      <w:pPr>
        <w:pStyle w:val="Normal15"/>
        <w:widowControl w:val="0"/>
        <w:spacing w:before="120" w:line="260" w:lineRule="atLeast"/>
      </w:pPr>
      <w:r>
        <w:rPr>
          <w:rFonts w:ascii="Arial" w:eastAsia="Arial" w:hAnsi="Arial" w:cs="Arial"/>
          <w:color w:val="000000"/>
          <w:sz w:val="20"/>
        </w:rPr>
        <w:t>Mark R. Herring, Attorney General, K. Scott Miles, Deputy Attorney General, Laura Maughan, Assistant Attorney General, Michelle S. Kallen, Acting Solicitor General, Brittany M. Jones, Deputy Solicitor General, Laura H. Cahill, Assistant Attorney General, Rohiniyurie Tashima, John Marshall Fellow, OFFICE OF THE ATTORNEY GENERAL OF VIRGINIA, Richmond, Virginia, for Appellees.</w:t>
      </w:r>
    </w:p>
    <w:p w:rsidR="00022B47" w:rsidRDefault="00000000">
      <w:pPr>
        <w:pStyle w:val="Normal15"/>
        <w:widowControl w:val="0"/>
        <w:spacing w:before="240" w:line="260" w:lineRule="atLeast"/>
      </w:pPr>
      <w:bookmarkStart w:id="2785" w:name="Judges_14"/>
      <w:bookmarkEnd w:id="2785"/>
      <w:r>
        <w:rPr>
          <w:rFonts w:ascii="Arial" w:eastAsia="Arial" w:hAnsi="Arial" w:cs="Arial"/>
          <w:b/>
          <w:color w:val="000000"/>
          <w:sz w:val="20"/>
        </w:rPr>
        <w:t>Judges:</w:t>
      </w:r>
      <w:r>
        <w:rPr>
          <w:rFonts w:ascii="Arial" w:eastAsia="Arial" w:hAnsi="Arial" w:cs="Arial"/>
          <w:color w:val="000000"/>
          <w:sz w:val="20"/>
        </w:rPr>
        <w:t> Before DIAZ, THACKER and QUATTLEBAUM, Circuit Judges.</w:t>
      </w:r>
    </w:p>
    <w:p w:rsidR="00022B47" w:rsidRDefault="00000000">
      <w:pPr>
        <w:pStyle w:val="Normal15"/>
        <w:widowControl w:val="0"/>
        <w:spacing w:before="240" w:line="260" w:lineRule="atLeast"/>
      </w:pPr>
      <w:bookmarkStart w:id="2786" w:name="Opinion_by_7"/>
      <w:bookmarkEnd w:id="2786"/>
      <w:r>
        <w:rPr>
          <w:rFonts w:ascii="Arial" w:eastAsia="Arial" w:hAnsi="Arial" w:cs="Arial"/>
          <w:b/>
          <w:color w:val="000000"/>
          <w:sz w:val="20"/>
        </w:rPr>
        <w:t>Opinion by:</w:t>
      </w:r>
      <w:r>
        <w:rPr>
          <w:rFonts w:ascii="Arial" w:eastAsia="Arial" w:hAnsi="Arial" w:cs="Arial"/>
          <w:color w:val="000000"/>
          <w:sz w:val="20"/>
        </w:rPr>
        <w:t> QUATTLEBAUM</w:t>
      </w:r>
    </w:p>
    <w:p w:rsidR="00022B47" w:rsidRDefault="00000000">
      <w:pPr>
        <w:pStyle w:val="Normal15"/>
        <w:keepNext/>
        <w:widowControl w:val="0"/>
        <w:spacing w:before="240" w:line="340" w:lineRule="atLeast"/>
      </w:pPr>
      <w:bookmarkStart w:id="2787" w:name="Opinion_14"/>
      <w:bookmarkEnd w:id="2787"/>
      <w:r>
        <w:rPr>
          <w:rFonts w:ascii="Arial" w:eastAsia="Arial" w:hAnsi="Arial" w:cs="Arial"/>
          <w:b/>
          <w:color w:val="000000"/>
          <w:sz w:val="28"/>
        </w:rPr>
        <w:t>Opinion</w:t>
      </w:r>
    </w:p>
    <w:p w:rsidR="00022B47" w:rsidRDefault="0025213E">
      <w:pPr>
        <w:pStyle w:val="Normal15"/>
        <w:spacing w:line="60" w:lineRule="exact"/>
      </w:pPr>
      <w:r>
        <w:rPr>
          <w:noProof/>
        </w:rPr>
        <mc:AlternateContent>
          <mc:Choice Requires="wps">
            <w:drawing>
              <wp:anchor distT="0" distB="0" distL="114300" distR="114300" simplePos="0" relativeHeight="251689984"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518494142"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DAF3E5" id="Line 33"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15"/>
      </w:pPr>
    </w:p>
    <w:p w:rsidR="00022B47" w:rsidRDefault="00000000">
      <w:pPr>
        <w:pStyle w:val="Normal15"/>
        <w:widowControl w:val="0"/>
        <w:spacing w:before="200" w:line="260" w:lineRule="atLeast"/>
        <w:jc w:val="both"/>
      </w:pPr>
      <w:bookmarkStart w:id="2788" w:name="Bookmark_para_2_14"/>
      <w:bookmarkEnd w:id="2788"/>
      <w:r>
        <w:rPr>
          <w:rFonts w:ascii="Arial" w:eastAsia="Arial" w:hAnsi="Arial" w:cs="Arial"/>
          <w:color w:val="000000"/>
          <w:sz w:val="20"/>
        </w:rPr>
        <w:t> [*616]  QUATTLEBAUM, Circuit Judge:</w:t>
      </w:r>
    </w:p>
    <w:p w:rsidR="00022B47" w:rsidRDefault="00000000">
      <w:pPr>
        <w:pStyle w:val="Normal15"/>
        <w:widowControl w:val="0"/>
        <w:spacing w:before="200" w:line="260" w:lineRule="atLeast"/>
        <w:jc w:val="both"/>
      </w:pPr>
      <w:bookmarkStart w:id="2789" w:name="Bookmark_para_3_14"/>
      <w:bookmarkEnd w:id="2789"/>
      <w:r>
        <w:rPr>
          <w:rFonts w:ascii="Arial" w:eastAsia="Arial" w:hAnsi="Arial" w:cs="Arial"/>
          <w:color w:val="000000"/>
          <w:sz w:val="20"/>
        </w:rPr>
        <w:t>David Richardson, a deaf and blind inmate, claims he was denied the same access and enjoyment available to inmates without disabilities in violation of the Americans with Disabilities Act ("ADA"). And he contends the prison's head covering policies substantially burdened [**2]  his Islamic faith as prohibited by the Religious Land Use and Institutionalized Persons Act ("RLUIPA"). We agree with the district court's order granting summary judgment to the prison on Richardson's ADA claim. But we vacate the court's order rejecting the RLUIPA claim and remand for proceedings consistent with this opinion.</w:t>
      </w:r>
    </w:p>
    <w:p w:rsidR="00022B47" w:rsidRDefault="00000000">
      <w:pPr>
        <w:pStyle w:val="Normal15"/>
        <w:widowControl w:val="0"/>
        <w:spacing w:before="240" w:line="260" w:lineRule="atLeast"/>
      </w:pPr>
      <w:r>
        <w:br/>
      </w:r>
      <w:r>
        <w:rPr>
          <w:rFonts w:ascii="Arial" w:eastAsia="Arial" w:hAnsi="Arial" w:cs="Arial"/>
          <w:color w:val="000000"/>
          <w:sz w:val="20"/>
        </w:rPr>
        <w:t> [*617]  I.</w:t>
      </w:r>
    </w:p>
    <w:p w:rsidR="00022B47" w:rsidRDefault="00000000">
      <w:pPr>
        <w:pStyle w:val="Normal15"/>
        <w:widowControl w:val="0"/>
        <w:spacing w:before="200" w:line="260" w:lineRule="atLeast"/>
        <w:jc w:val="both"/>
      </w:pPr>
      <w:bookmarkStart w:id="2790" w:name="Bookmark_para_4_14"/>
      <w:bookmarkEnd w:id="2790"/>
      <w:r>
        <w:rPr>
          <w:rFonts w:ascii="Arial" w:eastAsia="Arial" w:hAnsi="Arial" w:cs="Arial"/>
          <w:color w:val="000000"/>
          <w:sz w:val="20"/>
        </w:rPr>
        <w:t>Richardson is an inmate at the Deerfield Correctional Center of the Virginia Department of Corrections ("VDOC"). He alleges that he is legally deaf and blind. J.A. 209. He sued the VDOC and several prison officials claiming that the VDOC did not "provide equal enjoyment of the goods, services, facilities, advantages, privileges, and accommodations available to those without disabilities" in violation of Title II of the ADA.</w:t>
      </w:r>
      <w:r>
        <w:rPr>
          <w:rFonts w:ascii="Arial" w:eastAsia="Arial" w:hAnsi="Arial" w:cs="Arial"/>
          <w:vertAlign w:val="superscript"/>
        </w:rPr>
        <w:footnoteReference w:customMarkFollows="1" w:id="51"/>
        <w:t>1</w:t>
      </w:r>
      <w:r>
        <w:rPr>
          <w:rFonts w:ascii="Arial" w:eastAsia="Arial" w:hAnsi="Arial" w:cs="Arial"/>
          <w:color w:val="000000"/>
          <w:sz w:val="20"/>
        </w:rPr>
        <w:t xml:space="preserve"> J.A. 20; 23-33.</w:t>
      </w:r>
    </w:p>
    <w:p w:rsidR="00022B47" w:rsidRDefault="00000000">
      <w:pPr>
        <w:pStyle w:val="Normal15"/>
        <w:widowControl w:val="0"/>
        <w:spacing w:before="200" w:line="260" w:lineRule="atLeast"/>
        <w:jc w:val="both"/>
      </w:pPr>
      <w:bookmarkStart w:id="2801" w:name="Bookmark_para_5_14"/>
      <w:bookmarkEnd w:id="2801"/>
      <w:r>
        <w:rPr>
          <w:rFonts w:ascii="Arial" w:eastAsia="Arial" w:hAnsi="Arial" w:cs="Arial"/>
          <w:color w:val="000000"/>
          <w:sz w:val="20"/>
        </w:rPr>
        <w:t>Richardson also alleges that he adheres to the Nation of Islam faith. J.A. 14. He insists that his faith requires him to wear a head covering at all times. J.A. 22, 45. His suit also alleges that the VDOC's policy on head coverings substantially burdens his religious beliefs in violation of the RLUIPA. J.A. 22, 45. [**3] </w:t>
      </w:r>
      <w:r>
        <w:rPr>
          <w:rFonts w:ascii="Arial" w:eastAsia="Arial" w:hAnsi="Arial" w:cs="Arial"/>
          <w:vertAlign w:val="superscript"/>
        </w:rPr>
        <w:footnoteReference w:customMarkFollows="1" w:id="52"/>
        <w:t>2</w:t>
      </w:r>
    </w:p>
    <w:p w:rsidR="00022B47" w:rsidRDefault="00000000">
      <w:pPr>
        <w:pStyle w:val="Normal15"/>
        <w:widowControl w:val="0"/>
        <w:spacing w:before="200" w:line="260" w:lineRule="atLeast"/>
        <w:jc w:val="both"/>
      </w:pPr>
      <w:bookmarkStart w:id="2803" w:name="Bookmark_para_6_14"/>
      <w:bookmarkEnd w:id="2803"/>
      <w:r>
        <w:rPr>
          <w:rFonts w:ascii="Arial" w:eastAsia="Arial" w:hAnsi="Arial" w:cs="Arial"/>
          <w:color w:val="000000"/>
          <w:sz w:val="20"/>
        </w:rPr>
        <w:t>The district court granted the VDOC's motion for summary judgment on the ADA and RLUIPA claims.</w:t>
      </w:r>
      <w:r>
        <w:rPr>
          <w:rFonts w:ascii="Arial" w:eastAsia="Arial" w:hAnsi="Arial" w:cs="Arial"/>
          <w:vertAlign w:val="superscript"/>
        </w:rPr>
        <w:footnoteReference w:customMarkFollows="1" w:id="53"/>
        <w:t>3</w:t>
      </w:r>
      <w:r>
        <w:rPr>
          <w:rFonts w:ascii="Arial" w:eastAsia="Arial" w:hAnsi="Arial" w:cs="Arial"/>
          <w:color w:val="000000"/>
          <w:sz w:val="20"/>
        </w:rPr>
        <w:t xml:space="preserve"> J.A. 251. As to the ADA claims, it concluded that Richardson failed to produce evidence creating a genuine dispute of material fact that he was denied participation in any activity or program due to his alleged disabilities and that, even assuming he was, the VDOC reasonably accommodated Richardson's disabilities. J.A. 242. As to Richardson's RLUIPA claim, the district court held that Richardson presented no evidence of a substantial burden on the exercise of his religious beliefs. J.A. 248-49.</w:t>
      </w:r>
    </w:p>
    <w:p w:rsidR="00022B47" w:rsidRDefault="00000000">
      <w:pPr>
        <w:pStyle w:val="Normal15"/>
        <w:widowControl w:val="0"/>
        <w:spacing w:before="200" w:line="260" w:lineRule="atLeast"/>
        <w:jc w:val="both"/>
      </w:pPr>
      <w:bookmarkStart w:id="2805" w:name="Bookmark_para_7_14"/>
      <w:bookmarkEnd w:id="2805"/>
      <w:r>
        <w:rPr>
          <w:rFonts w:ascii="Arial" w:eastAsia="Arial" w:hAnsi="Arial" w:cs="Arial"/>
          <w:color w:val="000000"/>
          <w:sz w:val="20"/>
        </w:rPr>
        <w:t>Richardson appealed and we have jurisdiction under 28 U.S.C. § 1291.</w:t>
      </w:r>
      <w:r>
        <w:rPr>
          <w:rFonts w:ascii="Arial" w:eastAsia="Arial" w:hAnsi="Arial" w:cs="Arial"/>
          <w:vertAlign w:val="superscript"/>
        </w:rPr>
        <w:footnoteReference w:customMarkFollows="1" w:id="54"/>
        <w:t>4</w:t>
      </w:r>
      <w:r>
        <w:rPr>
          <w:rFonts w:ascii="Arial" w:eastAsia="Arial" w:hAnsi="Arial" w:cs="Arial"/>
          <w:color w:val="000000"/>
          <w:sz w:val="20"/>
        </w:rPr>
        <w:t xml:space="preserve"> As to the ADA and § 504 claims, Richardson argues that the district court failed to credit evidence set forth in his responses to the VDOC's motion for summary judgment. Op. Br. 32. According to Richardson, based on such evidence, "a reasonable trier of fact could find that Defendants denied Richardson the ability to participate in his  [*618]  court proceedings to the same extent non-disabled individuals are able to participate." Op. Br. 37. As to the RLUIPA claim, Richardson argues he showed the prison's head covering policy substantially burdened his religious [**4]  beliefs. In fact, he insists the burden is obvious. Op. Br. 12.</w:t>
      </w:r>
    </w:p>
    <w:p w:rsidR="00022B47" w:rsidRDefault="00000000">
      <w:pPr>
        <w:pStyle w:val="Normal15"/>
        <w:widowControl w:val="0"/>
        <w:spacing w:before="200" w:line="260" w:lineRule="atLeast"/>
        <w:jc w:val="both"/>
      </w:pPr>
      <w:bookmarkStart w:id="2807" w:name="Bookmark_para_8_14"/>
      <w:bookmarkEnd w:id="2807"/>
      <w:r>
        <w:rPr>
          <w:rFonts w:ascii="Arial" w:eastAsia="Arial" w:hAnsi="Arial" w:cs="Arial"/>
          <w:color w:val="000000"/>
          <w:sz w:val="20"/>
        </w:rPr>
        <w:t>We affirm the district court's dismissal of the ADA. As the district court noted, the VDOC not only reasonably accommodated Richardson's disabilities; it went to extraordinary lengths to do so. J.A. 242. Richardson fails to establish a genuine dispute of material fact on these issues. But as to the RLUIPA claim, the VDOC did not move for summary judgment on whether the VDOC's policy substantially burdened his religious beliefs. Without any indication that the district court gave Richardson notice of its protentional ruling on this issue and an opportunity to respond, we question whether Rule 56(f) of the Federal Rules of Civil Procedure permits dismissing the RLUIPA claim on substantial burden. Regardless of Rule 56(f), however, the record establishes that the VDOC's policy substantially burdened Richardson's sincerely held religious beliefs. Therefore, we vacate the order granting summary judgment on the RLUIPA claim. And we remand the case to the district court for further proceedings on that claim. As part of those further proceedings, we instruct the district court to consider an issue the VDOC raised at oral argument but only cursorily in its briefing to us—whether the "safe [**5]  harbor" provision of the RLUIPA precludes Richardson's claim for injunctive relief.</w:t>
      </w:r>
    </w:p>
    <w:p w:rsidR="00022B47" w:rsidRDefault="00000000">
      <w:pPr>
        <w:pStyle w:val="Normal15"/>
        <w:widowControl w:val="0"/>
        <w:spacing w:before="120" w:line="260" w:lineRule="atLeast"/>
      </w:pPr>
      <w:r>
        <w:rPr>
          <w:rFonts w:ascii="Arial" w:eastAsia="Arial" w:hAnsi="Arial" w:cs="Arial"/>
          <w:color w:val="000000"/>
          <w:sz w:val="20"/>
        </w:rPr>
        <w:t>II.</w:t>
      </w:r>
    </w:p>
    <w:p w:rsidR="00022B47" w:rsidRDefault="00000000">
      <w:pPr>
        <w:pStyle w:val="Normal15"/>
        <w:widowControl w:val="0"/>
        <w:spacing w:before="200" w:line="260" w:lineRule="atLeast"/>
        <w:jc w:val="both"/>
      </w:pPr>
      <w:bookmarkStart w:id="2808" w:name="Bookmark_para_9_14"/>
      <w:bookmarkStart w:id="2809" w:name="Bookmark_I66TWN8H2D6NNP0050000400"/>
      <w:bookmarkStart w:id="2810" w:name="Bookmark_I66TWN8H2HM6CT0040000400"/>
      <w:bookmarkEnd w:id="2808"/>
      <w:bookmarkEnd w:id="2809"/>
      <w:bookmarkEnd w:id="2810"/>
      <w:r>
        <w:rPr>
          <w:rFonts w:ascii="Arial" w:eastAsia="Arial" w:hAnsi="Arial" w:cs="Arial"/>
          <w:color w:val="000000"/>
          <w:sz w:val="20"/>
        </w:rPr>
        <w:t xml:space="preserve">We begin with our standard of review. </w:t>
      </w:r>
      <w:bookmarkStart w:id="2811" w:name="Bookmark_I66TWN8H2SF8KX0010000400"/>
      <w:bookmarkStart w:id="2812" w:name="Bookmark_LNHNREFclscc1_13"/>
      <w:bookmarkEnd w:id="2811"/>
      <w:bookmarkEnd w:id="2812"/>
      <w:r>
        <w:rPr>
          <w:rFonts w:ascii="Arial" w:eastAsia="Arial" w:hAnsi="Arial" w:cs="Arial"/>
          <w:color w:val="000000"/>
          <w:sz w:val="20"/>
        </w:rPr>
        <w:t xml:space="preserve">"We review de novo a district court's decision to grant summary judgment, applying the same legal standards as the district court and viewing all facts and reasonable inferences in the light most favorable to the nonmoving party." </w:t>
      </w:r>
      <w:bookmarkStart w:id="2813" w:name="Bookmark_I66TWN8H2D6NNP0040000400"/>
      <w:bookmarkEnd w:id="2813"/>
      <w:r>
        <w:rPr>
          <w:rFonts w:ascii="Arial" w:eastAsia="Arial" w:hAnsi="Arial" w:cs="Arial"/>
          <w:i/>
          <w:color w:val="000000"/>
          <w:sz w:val="20"/>
        </w:rPr>
        <w:t>Ballengee v. CBS Broad., Inc.</w:t>
      </w:r>
      <w:r>
        <w:rPr>
          <w:rFonts w:ascii="Arial" w:eastAsia="Arial" w:hAnsi="Arial" w:cs="Arial"/>
          <w:color w:val="000000"/>
          <w:sz w:val="20"/>
        </w:rPr>
        <w:t xml:space="preserve">, 968 F.3d 344, 349 (4th Cir. 2020) (citing </w:t>
      </w:r>
      <w:bookmarkStart w:id="2814" w:name="Bookmark_I66TWN8H2HM6CT0010000400"/>
      <w:bookmarkEnd w:id="2814"/>
      <w:r>
        <w:rPr>
          <w:rFonts w:ascii="Arial" w:eastAsia="Arial" w:hAnsi="Arial" w:cs="Arial"/>
          <w:i/>
          <w:color w:val="000000"/>
          <w:sz w:val="20"/>
        </w:rPr>
        <w:t>News &amp; Observer Publ'g Co. v. Raleigh-Durham Airport Auth.</w:t>
      </w:r>
      <w:r>
        <w:rPr>
          <w:rFonts w:ascii="Arial" w:eastAsia="Arial" w:hAnsi="Arial" w:cs="Arial"/>
          <w:color w:val="000000"/>
          <w:sz w:val="20"/>
        </w:rPr>
        <w:t xml:space="preserve">, 597 F.3d 570, 576 (4th Cir. 2010)). The VDOC, as the party seeking summary judgment, bore the initial burden of showing that there was no genuine dispute of material fact and that it was entitled to judgment as a matter of law. </w:t>
      </w:r>
      <w:bookmarkStart w:id="2815" w:name="Bookmark_I66TWN8H2HM6CT0030000400"/>
      <w:bookmarkEnd w:id="2815"/>
      <w:r>
        <w:rPr>
          <w:rFonts w:ascii="Arial" w:eastAsia="Arial" w:hAnsi="Arial" w:cs="Arial"/>
          <w:i/>
          <w:color w:val="000000"/>
          <w:sz w:val="20"/>
        </w:rPr>
        <w:t>Celotex Corp. v. Catrett</w:t>
      </w:r>
      <w:r>
        <w:rPr>
          <w:rFonts w:ascii="Arial" w:eastAsia="Arial" w:hAnsi="Arial" w:cs="Arial"/>
          <w:color w:val="000000"/>
          <w:sz w:val="20"/>
        </w:rPr>
        <w:t xml:space="preserve">, 477 U.S. 317, 323, 106 S. Ct. 2548, 91 L. Ed. 2d 265 (1986). </w:t>
      </w:r>
      <w:bookmarkStart w:id="2816" w:name="Bookmark_I66TWN8H2SF8KX0010000400_2"/>
      <w:bookmarkEnd w:id="2816"/>
      <w:r>
        <w:rPr>
          <w:rFonts w:ascii="Arial" w:eastAsia="Arial" w:hAnsi="Arial" w:cs="Arial"/>
          <w:color w:val="000000"/>
          <w:sz w:val="20"/>
        </w:rPr>
        <w:t xml:space="preserve">"A fact is 'material' if proof of its existence or non-existence would affect disposition of the case under applicable law. An issue of material fact is 'genuine' if the evidence offered is such that a reasonable jury might return a verdict for the non-movant." </w:t>
      </w:r>
      <w:bookmarkStart w:id="2817" w:name="Bookmark_I66TWN8H2HM6CT0050000400"/>
      <w:bookmarkEnd w:id="2817"/>
      <w:r>
        <w:rPr>
          <w:rFonts w:ascii="Arial" w:eastAsia="Arial" w:hAnsi="Arial" w:cs="Arial"/>
          <w:i/>
          <w:color w:val="000000"/>
          <w:sz w:val="20"/>
        </w:rPr>
        <w:t>Wai Man Tom v. Hosp. Ventures LLC</w:t>
      </w:r>
      <w:r>
        <w:rPr>
          <w:rFonts w:ascii="Arial" w:eastAsia="Arial" w:hAnsi="Arial" w:cs="Arial"/>
          <w:color w:val="000000"/>
          <w:sz w:val="20"/>
        </w:rPr>
        <w:t>, 980 F.3d 1027, 1037 (4th Cir. 2020) (citation omitted).</w:t>
      </w:r>
    </w:p>
    <w:p w:rsidR="00022B47" w:rsidRDefault="00000000">
      <w:pPr>
        <w:pStyle w:val="Normal15"/>
        <w:widowControl w:val="0"/>
        <w:spacing w:before="200" w:line="260" w:lineRule="atLeast"/>
        <w:jc w:val="both"/>
      </w:pPr>
      <w:bookmarkStart w:id="2818" w:name="Bookmark_para_10_14"/>
      <w:bookmarkStart w:id="2819" w:name="Bookmark_I66TWN8H2SF8KX0030000400"/>
      <w:bookmarkStart w:id="2820" w:name="Bookmark_LNHNREFclscc2_13"/>
      <w:bookmarkEnd w:id="2818"/>
      <w:bookmarkEnd w:id="2819"/>
      <w:bookmarkEnd w:id="2820"/>
      <w:r>
        <w:rPr>
          <w:rFonts w:ascii="Arial" w:eastAsia="Arial" w:hAnsi="Arial" w:cs="Arial"/>
          <w:color w:val="000000"/>
          <w:sz w:val="20"/>
        </w:rPr>
        <w:t xml:space="preserve">Once the movant has made this threshold demonstration, the nonmoving party must show specific, material facts that give rise to a genuine dispute to survive the motion for summary judgment. </w:t>
      </w:r>
      <w:bookmarkStart w:id="2821" w:name="Bookmark_I66TWN8H2SF8KX0050000400"/>
      <w:bookmarkStart w:id="2822" w:name="Bookmark_I66TWN8H2SF8KX0020000400"/>
      <w:bookmarkEnd w:id="2821"/>
      <w:bookmarkEnd w:id="2822"/>
      <w:r>
        <w:rPr>
          <w:rFonts w:ascii="Arial" w:eastAsia="Arial" w:hAnsi="Arial" w:cs="Arial"/>
          <w:i/>
          <w:color w:val="000000"/>
          <w:sz w:val="20"/>
        </w:rPr>
        <w:t>Celotex Corp.</w:t>
      </w:r>
      <w:r>
        <w:rPr>
          <w:rFonts w:ascii="Arial" w:eastAsia="Arial" w:hAnsi="Arial" w:cs="Arial"/>
          <w:color w:val="000000"/>
          <w:sz w:val="20"/>
        </w:rPr>
        <w:t xml:space="preserve">, 477 U.S. at 323-24. </w:t>
      </w:r>
      <w:bookmarkStart w:id="2823" w:name="Bookmark_I66TWN8J2HM6D10020000400"/>
      <w:bookmarkEnd w:id="2823"/>
      <w:r>
        <w:rPr>
          <w:rFonts w:ascii="Arial" w:eastAsia="Arial" w:hAnsi="Arial" w:cs="Arial"/>
          <w:color w:val="000000"/>
          <w:sz w:val="20"/>
        </w:rPr>
        <w:t xml:space="preserve">Under this standard, "the mere existence of a scintilla of evidence" in favor of the nonmovant's position cannot withstand the summary judgment motion. </w:t>
      </w:r>
      <w:bookmarkStart w:id="2824" w:name="Bookmark_I66TWN8J2HM6D10020000400_2"/>
      <w:bookmarkStart w:id="2825" w:name="Bookmark_I66TWN8H2SF8KX0050000400_2"/>
      <w:bookmarkStart w:id="2826" w:name="Bookmark_I66TWN8H2SF8KX0040000400"/>
      <w:bookmarkEnd w:id="2824"/>
      <w:bookmarkEnd w:id="2825"/>
      <w:bookmarkEnd w:id="2826"/>
      <w:r>
        <w:rPr>
          <w:rFonts w:ascii="Arial" w:eastAsia="Arial" w:hAnsi="Arial" w:cs="Arial"/>
          <w:i/>
          <w:color w:val="000000"/>
          <w:sz w:val="20"/>
        </w:rPr>
        <w:t>Anderson v. Liberty Lobby, Inc.</w:t>
      </w:r>
      <w:r>
        <w:rPr>
          <w:rFonts w:ascii="Arial" w:eastAsia="Arial" w:hAnsi="Arial" w:cs="Arial"/>
          <w:color w:val="000000"/>
          <w:sz w:val="20"/>
        </w:rPr>
        <w:t xml:space="preserve">, 477 U.S. 242, 252, 106 S. Ct. 2505, 91 L. Ed. 2d 202 (1986). "Likewise, [**6]  conclusory allegations or denials, without more, are insufficient to preclude granting the summary judgment motion." </w:t>
      </w:r>
      <w:bookmarkStart w:id="2827" w:name="Bookmark_I66TWN8J2HM6D10010000400"/>
      <w:bookmarkEnd w:id="2827"/>
      <w:r>
        <w:rPr>
          <w:rFonts w:ascii="Arial" w:eastAsia="Arial" w:hAnsi="Arial" w:cs="Arial"/>
          <w:i/>
          <w:color w:val="000000"/>
          <w:sz w:val="20"/>
        </w:rPr>
        <w:t>Wai Man Tom</w:t>
      </w:r>
      <w:r>
        <w:rPr>
          <w:rFonts w:ascii="Arial" w:eastAsia="Arial" w:hAnsi="Arial" w:cs="Arial"/>
          <w:color w:val="000000"/>
          <w:sz w:val="20"/>
        </w:rPr>
        <w:t xml:space="preserve">, 980 F.3d at 1037 (citing </w:t>
      </w:r>
      <w:bookmarkStart w:id="2828" w:name="Bookmark_I66TWN8J2HM6D10030000400"/>
      <w:bookmarkEnd w:id="2828"/>
      <w:r>
        <w:rPr>
          <w:rFonts w:ascii="Arial" w:eastAsia="Arial" w:hAnsi="Arial" w:cs="Arial"/>
          <w:i/>
          <w:color w:val="000000"/>
          <w:sz w:val="20"/>
        </w:rPr>
        <w:t>Strickler v. Waters</w:t>
      </w:r>
      <w:r>
        <w:rPr>
          <w:rFonts w:ascii="Arial" w:eastAsia="Arial" w:hAnsi="Arial" w:cs="Arial"/>
          <w:color w:val="000000"/>
          <w:sz w:val="20"/>
        </w:rPr>
        <w:t>, 989 F.2d 1375,1383 (4th Cir. 1993)).</w:t>
      </w:r>
    </w:p>
    <w:p w:rsidR="00022B47" w:rsidRDefault="00000000">
      <w:pPr>
        <w:pStyle w:val="Normal15"/>
        <w:widowControl w:val="0"/>
        <w:spacing w:before="120" w:line="260" w:lineRule="atLeast"/>
      </w:pPr>
      <w:r>
        <w:rPr>
          <w:rFonts w:ascii="Arial" w:eastAsia="Arial" w:hAnsi="Arial" w:cs="Arial"/>
          <w:color w:val="000000"/>
          <w:sz w:val="20"/>
        </w:rPr>
        <w:t>III.</w:t>
      </w:r>
    </w:p>
    <w:p w:rsidR="00022B47" w:rsidRDefault="00000000">
      <w:pPr>
        <w:pStyle w:val="Normal15"/>
        <w:widowControl w:val="0"/>
        <w:spacing w:before="200" w:line="260" w:lineRule="atLeast"/>
        <w:jc w:val="both"/>
      </w:pPr>
      <w:bookmarkStart w:id="2829" w:name="Bookmark_para_11_14"/>
      <w:bookmarkEnd w:id="2829"/>
      <w:r>
        <w:rPr>
          <w:rFonts w:ascii="Arial" w:eastAsia="Arial" w:hAnsi="Arial" w:cs="Arial"/>
          <w:color w:val="000000"/>
          <w:sz w:val="20"/>
        </w:rPr>
        <w:t>Guided by this standard, we start with Richardson's ADA arguments on appeal. First, we will review the ADA's framework. Then, we turn to the evidence presented  [*619]  by the VDOC before analyzing whether the evidence offered by Richardson in response created a genuine dispute of material fact.</w:t>
      </w:r>
    </w:p>
    <w:p w:rsidR="00022B47" w:rsidRDefault="00000000">
      <w:pPr>
        <w:pStyle w:val="Normal15"/>
        <w:widowControl w:val="0"/>
        <w:spacing w:before="120" w:line="260" w:lineRule="atLeast"/>
      </w:pPr>
      <w:r>
        <w:rPr>
          <w:rFonts w:ascii="Arial" w:eastAsia="Arial" w:hAnsi="Arial" w:cs="Arial"/>
          <w:color w:val="000000"/>
          <w:sz w:val="20"/>
        </w:rPr>
        <w:t>A.</w:t>
      </w:r>
    </w:p>
    <w:p w:rsidR="00022B47" w:rsidRDefault="00000000">
      <w:pPr>
        <w:pStyle w:val="Normal15"/>
        <w:widowControl w:val="0"/>
        <w:spacing w:before="200" w:line="260" w:lineRule="atLeast"/>
        <w:jc w:val="both"/>
      </w:pPr>
      <w:bookmarkStart w:id="2830" w:name="Bookmark_para_12_14"/>
      <w:bookmarkStart w:id="2831" w:name="Bookmark_I66TWN8J2HM6D30010000400"/>
      <w:bookmarkStart w:id="2832" w:name="Bookmark_LNHNREFclscc3_13"/>
      <w:bookmarkEnd w:id="2830"/>
      <w:bookmarkEnd w:id="2831"/>
      <w:bookmarkEnd w:id="2832"/>
      <w:r>
        <w:rPr>
          <w:rFonts w:ascii="Arial" w:eastAsia="Arial" w:hAnsi="Arial" w:cs="Arial"/>
          <w:color w:val="000000"/>
          <w:sz w:val="20"/>
        </w:rPr>
        <w:t xml:space="preserve">The ADA provides that "no qualified individual with a disability shall, by reason of such disability, be excluded from participation in or be denied the benefits of the services, programs, or activities of a public entity, or be subjected to discrimination by any such entity." 42 U.S.C. § 12132. To make out a violation of the ADA, a plaintiff must show that: (1) he has a disability; (2) he is otherwise qualified to receive the benefits of a public service, program or activity and (3) he was denied those benefits, or otherwise discriminated against, based on his disability. </w:t>
      </w:r>
      <w:bookmarkStart w:id="2833" w:name="Bookmark_I66TWN8J2HM6D10050000400"/>
      <w:bookmarkEnd w:id="2833"/>
      <w:r>
        <w:rPr>
          <w:rFonts w:ascii="Arial" w:eastAsia="Arial" w:hAnsi="Arial" w:cs="Arial"/>
          <w:i/>
          <w:color w:val="000000"/>
          <w:sz w:val="20"/>
        </w:rPr>
        <w:t>Constantine v. Rectors &amp; Visitors of George Mason Univ.</w:t>
      </w:r>
      <w:r>
        <w:rPr>
          <w:rFonts w:ascii="Arial" w:eastAsia="Arial" w:hAnsi="Arial" w:cs="Arial"/>
          <w:color w:val="000000"/>
          <w:sz w:val="20"/>
        </w:rPr>
        <w:t>, 411 F.3d 474, 498 (4th Cir. 2005).</w:t>
      </w:r>
    </w:p>
    <w:p w:rsidR="00022B47" w:rsidRDefault="00000000">
      <w:pPr>
        <w:pStyle w:val="Normal15"/>
        <w:widowControl w:val="0"/>
        <w:spacing w:before="200" w:line="260" w:lineRule="atLeast"/>
        <w:jc w:val="both"/>
      </w:pPr>
      <w:bookmarkStart w:id="2834" w:name="Bookmark_para_13_14"/>
      <w:bookmarkStart w:id="2835" w:name="Bookmark_I22GF0VK6N900006SMY0000S"/>
      <w:bookmarkStart w:id="2836" w:name="Bookmark_I66TWN8J2HM6D30030000400"/>
      <w:bookmarkStart w:id="2837" w:name="Bookmark_LNHNREFclscc4_13"/>
      <w:bookmarkEnd w:id="2834"/>
      <w:bookmarkEnd w:id="2835"/>
      <w:bookmarkEnd w:id="2836"/>
      <w:bookmarkEnd w:id="2837"/>
      <w:r>
        <w:rPr>
          <w:rFonts w:ascii="Arial" w:eastAsia="Arial" w:hAnsi="Arial" w:cs="Arial"/>
          <w:color w:val="000000"/>
          <w:sz w:val="20"/>
        </w:rPr>
        <w:t xml:space="preserve">The ADA permits plaintiffs to pursue three distinct grounds for relief: (1) intentional discrimination or disparate treatment; (2) disparate impact and (3) failure to make reasonable accommodations. </w:t>
      </w:r>
      <w:bookmarkStart w:id="2838" w:name="Bookmark_I66TWN8J2HM6D30020000400"/>
      <w:bookmarkEnd w:id="2838"/>
      <w:r>
        <w:rPr>
          <w:rFonts w:ascii="Arial" w:eastAsia="Arial" w:hAnsi="Arial" w:cs="Arial"/>
          <w:i/>
          <w:color w:val="000000"/>
          <w:sz w:val="20"/>
        </w:rPr>
        <w:t>Nat'l Fed'n of the Blind v. Lamone</w:t>
      </w:r>
      <w:r>
        <w:rPr>
          <w:rFonts w:ascii="Arial" w:eastAsia="Arial" w:hAnsi="Arial" w:cs="Arial"/>
          <w:color w:val="000000"/>
          <w:sz w:val="20"/>
        </w:rPr>
        <w:t xml:space="preserve">, 813 F.3d 494, 503 n. 5 (4th Cir. 2016) (citing </w:t>
      </w:r>
      <w:bookmarkStart w:id="2839" w:name="Bookmark_I66TWN8J2HM6D30040000400"/>
      <w:bookmarkEnd w:id="2839"/>
      <w:r>
        <w:rPr>
          <w:rFonts w:ascii="Arial" w:eastAsia="Arial" w:hAnsi="Arial" w:cs="Arial"/>
          <w:i/>
          <w:color w:val="000000"/>
          <w:sz w:val="20"/>
        </w:rPr>
        <w:t>A Helping Hand, LLC v. Baltimore Cty., Md.</w:t>
      </w:r>
      <w:r>
        <w:rPr>
          <w:rFonts w:ascii="Arial" w:eastAsia="Arial" w:hAnsi="Arial" w:cs="Arial"/>
          <w:color w:val="000000"/>
          <w:sz w:val="20"/>
        </w:rPr>
        <w:t>, 515 F.3d 356, 362 (4th Cir. 2008)). Richardson's [**7]  ADA claim is based the third ground—that the VDOC failed to make reasonable accommodations.</w:t>
      </w:r>
    </w:p>
    <w:p w:rsidR="00022B47" w:rsidRDefault="00000000">
      <w:pPr>
        <w:pStyle w:val="Normal15"/>
        <w:widowControl w:val="0"/>
        <w:spacing w:before="200" w:line="260" w:lineRule="atLeast"/>
        <w:jc w:val="both"/>
      </w:pPr>
      <w:bookmarkStart w:id="2840" w:name="Bookmark_para_14_14"/>
      <w:bookmarkStart w:id="2841" w:name="Bookmark_I66TWN8J2D6NP90020000400"/>
      <w:bookmarkStart w:id="2842" w:name="Bookmark_I66TWN8J2D6NP90040000400"/>
      <w:bookmarkStart w:id="2843" w:name="Bookmark_LNHNREFclscc5_13"/>
      <w:bookmarkEnd w:id="2840"/>
      <w:bookmarkEnd w:id="2841"/>
      <w:bookmarkEnd w:id="2842"/>
      <w:bookmarkEnd w:id="2843"/>
      <w:r>
        <w:rPr>
          <w:rFonts w:ascii="Arial" w:eastAsia="Arial" w:hAnsi="Arial" w:cs="Arial"/>
          <w:color w:val="000000"/>
          <w:sz w:val="20"/>
        </w:rPr>
        <w:t xml:space="preserve">"Not all public services, programs, or activities can be made meaningfully accessible to all citizens, or at least they cannot be made so without a prohibitive cost or unreasonable effort on the part of the public entity." </w:t>
      </w:r>
      <w:bookmarkStart w:id="2844" w:name="Bookmark_I66TWN8J2D6NP90010000400"/>
      <w:bookmarkEnd w:id="2844"/>
      <w:r>
        <w:rPr>
          <w:rFonts w:ascii="Arial" w:eastAsia="Arial" w:hAnsi="Arial" w:cs="Arial"/>
          <w:i/>
          <w:color w:val="000000"/>
          <w:sz w:val="20"/>
        </w:rPr>
        <w:t>Lamone</w:t>
      </w:r>
      <w:r>
        <w:rPr>
          <w:rFonts w:ascii="Arial" w:eastAsia="Arial" w:hAnsi="Arial" w:cs="Arial"/>
          <w:color w:val="000000"/>
          <w:sz w:val="20"/>
        </w:rPr>
        <w:t xml:space="preserve">, 813 F.3d at 507. Accordingly, "to prevail on [an] ADA claim, plaintiffs must propose a reasonable modification to the challenged public program that will allow them the meaningful access they seek." </w:t>
      </w:r>
      <w:r>
        <w:rPr>
          <w:rFonts w:ascii="Arial" w:eastAsia="Arial" w:hAnsi="Arial" w:cs="Arial"/>
          <w:i/>
          <w:color w:val="000000"/>
          <w:sz w:val="20"/>
        </w:rPr>
        <w:t>Id.</w:t>
      </w:r>
      <w:r>
        <w:rPr>
          <w:rFonts w:ascii="Arial" w:eastAsia="Arial" w:hAnsi="Arial" w:cs="Arial"/>
          <w:color w:val="000000"/>
          <w:sz w:val="20"/>
        </w:rPr>
        <w:t xml:space="preserve"> "A modification is reasonable if it is 'reasonable on its face' or used 'ordinarily or in the run of cases' and will not cause 'undue hardship.'" </w:t>
      </w:r>
      <w:r>
        <w:rPr>
          <w:rFonts w:ascii="Arial" w:eastAsia="Arial" w:hAnsi="Arial" w:cs="Arial"/>
          <w:i/>
          <w:color w:val="000000"/>
          <w:sz w:val="20"/>
        </w:rPr>
        <w:t>Id.</w:t>
      </w:r>
      <w:r>
        <w:rPr>
          <w:rFonts w:ascii="Arial" w:eastAsia="Arial" w:hAnsi="Arial" w:cs="Arial"/>
          <w:color w:val="000000"/>
          <w:sz w:val="20"/>
        </w:rPr>
        <w:t xml:space="preserve"> (quoting </w:t>
      </w:r>
      <w:bookmarkStart w:id="2845" w:name="Bookmark_I66TWN8J2D6NP90030000400"/>
      <w:bookmarkEnd w:id="2845"/>
      <w:r>
        <w:rPr>
          <w:rFonts w:ascii="Arial" w:eastAsia="Arial" w:hAnsi="Arial" w:cs="Arial"/>
          <w:i/>
          <w:color w:val="000000"/>
          <w:sz w:val="20"/>
        </w:rPr>
        <w:t>Halpern</w:t>
      </w:r>
      <w:r>
        <w:rPr>
          <w:rFonts w:ascii="Arial" w:eastAsia="Arial" w:hAnsi="Arial" w:cs="Arial"/>
          <w:color w:val="000000"/>
          <w:sz w:val="20"/>
        </w:rPr>
        <w:t>, 669 F.3d at 464).</w:t>
      </w:r>
    </w:p>
    <w:p w:rsidR="00022B47" w:rsidRDefault="00000000">
      <w:pPr>
        <w:pStyle w:val="Normal15"/>
        <w:widowControl w:val="0"/>
        <w:spacing w:before="120" w:line="260" w:lineRule="atLeast"/>
      </w:pPr>
      <w:r>
        <w:rPr>
          <w:rFonts w:ascii="Arial" w:eastAsia="Arial" w:hAnsi="Arial" w:cs="Arial"/>
          <w:color w:val="000000"/>
          <w:sz w:val="20"/>
        </w:rPr>
        <w:t>B.</w:t>
      </w:r>
    </w:p>
    <w:p w:rsidR="00022B47" w:rsidRDefault="00000000">
      <w:pPr>
        <w:pStyle w:val="Normal15"/>
        <w:widowControl w:val="0"/>
        <w:spacing w:before="200" w:line="260" w:lineRule="atLeast"/>
        <w:jc w:val="both"/>
      </w:pPr>
      <w:bookmarkStart w:id="2846" w:name="Bookmark_para_15_14"/>
      <w:bookmarkEnd w:id="2846"/>
      <w:r>
        <w:rPr>
          <w:rFonts w:ascii="Arial" w:eastAsia="Arial" w:hAnsi="Arial" w:cs="Arial"/>
          <w:color w:val="000000"/>
          <w:sz w:val="20"/>
        </w:rPr>
        <w:t>In support of its motion for summary judgment on Richardson's ADA claims, the VDOC submitted multiple affidavits from the warden and operations manager at the Deerfield facility. Those affidavits detail the accommodations provided to Richardson for his disabilities.</w:t>
      </w:r>
    </w:p>
    <w:p w:rsidR="00022B47" w:rsidRDefault="00000000">
      <w:pPr>
        <w:pStyle w:val="Normal15"/>
        <w:widowControl w:val="0"/>
        <w:spacing w:before="200" w:line="260" w:lineRule="atLeast"/>
        <w:jc w:val="both"/>
      </w:pPr>
      <w:bookmarkStart w:id="2847" w:name="Bookmark_para_16_14"/>
      <w:bookmarkEnd w:id="2847"/>
      <w:r>
        <w:rPr>
          <w:rFonts w:ascii="Arial" w:eastAsia="Arial" w:hAnsi="Arial" w:cs="Arial"/>
          <w:color w:val="000000"/>
          <w:sz w:val="20"/>
        </w:rPr>
        <w:t>Deerfield scheduled times for inmates with language challenges to meet in person with American Sign Language ("ASL") interpreters for about five hours each week. J.A. 190-91. As Richardson notes, the COVID-19 pandemic forced the correction facility to suspend its in-person [**8]  ASL visits. J.A. 140, 152. But when that occurred, it arranged for video-based interpreter services to aid Richardson with his medical appointments. J.A. 140. When Richardson claimed that this accommodation would not work for him, the prison staff tried to communicate with him using a computer set in a blue/green screen contrast that Richardson had previously requested. J.A. 14;140-41.</w:t>
      </w:r>
    </w:p>
    <w:p w:rsidR="00022B47" w:rsidRDefault="00000000">
      <w:pPr>
        <w:pStyle w:val="Normal15"/>
        <w:widowControl w:val="0"/>
        <w:spacing w:before="200" w:line="260" w:lineRule="atLeast"/>
        <w:jc w:val="both"/>
      </w:pPr>
      <w:bookmarkStart w:id="2848" w:name="Bookmark_para_17_13"/>
      <w:bookmarkEnd w:id="2848"/>
      <w:r>
        <w:rPr>
          <w:rFonts w:ascii="Arial" w:eastAsia="Arial" w:hAnsi="Arial" w:cs="Arial"/>
          <w:color w:val="000000"/>
          <w:sz w:val="20"/>
        </w:rPr>
        <w:t xml:space="preserve">In addition, Deerfield "purchased a [$1,600] magnifying device to assist Richardson [in viewing] documents posted in his housing area." J.A. 143. Deerfield created flash cards in the blue/green screen contrast that Richardson said he prefers to facilitate communication with prison staff. J.A. 141. His housing area has a regular phone, a Telecommunication Device for the Deaf machine, a video phone and a computer kiosk. J.A. 143. Richardson has a JPay device, which is like an iPad, that he uses to send and receive secured messages. J.A. 143-44. Deerfield provided a UbiDuo device with two connected tablets, one of which is used by staff and one of  [*620]  which can be used by an inmate, to enhance communication with inmates who are hard of hearing. J.A. 146. And Deerfield offered a SARA device that can read printed [**9]  text out loud for someone who cannot read for themselves, either due to literacy issues or a disability. </w:t>
      </w:r>
      <w:r>
        <w:rPr>
          <w:rFonts w:ascii="Arial" w:eastAsia="Arial" w:hAnsi="Arial" w:cs="Arial"/>
          <w:i/>
          <w:color w:val="000000"/>
          <w:sz w:val="20"/>
        </w:rPr>
        <w:t>Id.</w:t>
      </w:r>
    </w:p>
    <w:p w:rsidR="00022B47" w:rsidRDefault="00000000">
      <w:pPr>
        <w:pStyle w:val="Normal15"/>
        <w:widowControl w:val="0"/>
        <w:spacing w:before="200" w:line="260" w:lineRule="atLeast"/>
        <w:jc w:val="both"/>
      </w:pPr>
      <w:bookmarkStart w:id="2849" w:name="Bookmark_para_18_13"/>
      <w:bookmarkEnd w:id="2849"/>
      <w:r>
        <w:rPr>
          <w:rFonts w:ascii="Arial" w:eastAsia="Arial" w:hAnsi="Arial" w:cs="Arial"/>
          <w:color w:val="000000"/>
          <w:sz w:val="20"/>
        </w:rPr>
        <w:t>Deerfield provided additional accommodations for Richardson to review and compose legal materials. After Richardson "complained that he could not use the typewriters to compose his legal documents, he was permitted to use the law library computers for this purpose. This is an exception to the VDOC's policy, which generally does not permit inmates to use computers for this purpose." J.A. 145. In addition, the staff adjusted the computer settings and the legal software program to a certain visual contrast to aid Richardson in reading.</w:t>
      </w:r>
    </w:p>
    <w:p w:rsidR="00022B47" w:rsidRDefault="00000000">
      <w:pPr>
        <w:pStyle w:val="Normal15"/>
        <w:widowControl w:val="0"/>
        <w:spacing w:before="200" w:line="260" w:lineRule="atLeast"/>
        <w:jc w:val="both"/>
      </w:pPr>
      <w:bookmarkStart w:id="2850" w:name="Bookmark_para_19_13"/>
      <w:bookmarkEnd w:id="2850"/>
      <w:r>
        <w:rPr>
          <w:rFonts w:ascii="Arial" w:eastAsia="Arial" w:hAnsi="Arial" w:cs="Arial"/>
          <w:color w:val="000000"/>
          <w:sz w:val="20"/>
        </w:rPr>
        <w:t>Further, with its affidavits, the VDOC submitted several electronic messages sent by Richardson using his JPAY device that describe his activities at Deerfield and a video of Richardson using a computer and communicating with another inmate in his housing area without help from an ASL interpreter. In those messages, Richardson admits that he is able to (1) visit the law library, including times that other inmates could not; (2) read material on a tablet; (3) listen to music; (4) watch movies; (5) draft and read emails and (6) otherwise participate [**10]  in normal prison life. J.A. 193-207.</w:t>
      </w:r>
    </w:p>
    <w:p w:rsidR="00022B47" w:rsidRDefault="00000000">
      <w:pPr>
        <w:pStyle w:val="Normal15"/>
        <w:widowControl w:val="0"/>
        <w:spacing w:before="120" w:line="260" w:lineRule="atLeast"/>
      </w:pPr>
      <w:r>
        <w:rPr>
          <w:rFonts w:ascii="Arial" w:eastAsia="Arial" w:hAnsi="Arial" w:cs="Arial"/>
          <w:color w:val="000000"/>
          <w:sz w:val="20"/>
        </w:rPr>
        <w:t>C.</w:t>
      </w:r>
    </w:p>
    <w:p w:rsidR="00022B47" w:rsidRDefault="00000000">
      <w:pPr>
        <w:pStyle w:val="Normal15"/>
        <w:widowControl w:val="0"/>
        <w:spacing w:before="200" w:line="260" w:lineRule="atLeast"/>
        <w:jc w:val="both"/>
      </w:pPr>
      <w:bookmarkStart w:id="2851" w:name="Bookmark_para_20_13"/>
      <w:bookmarkEnd w:id="2851"/>
      <w:r>
        <w:rPr>
          <w:rFonts w:ascii="Arial" w:eastAsia="Arial" w:hAnsi="Arial" w:cs="Arial"/>
          <w:color w:val="000000"/>
          <w:sz w:val="20"/>
        </w:rPr>
        <w:t>In response to the VDOC's motion for summary judgment, Richardson submitted two documents. J.A. 152-70; 209-13.</w:t>
      </w:r>
    </w:p>
    <w:p w:rsidR="00022B47" w:rsidRDefault="00000000">
      <w:pPr>
        <w:pStyle w:val="Normal15"/>
        <w:widowControl w:val="0"/>
        <w:spacing w:before="200" w:line="260" w:lineRule="atLeast"/>
        <w:jc w:val="both"/>
      </w:pPr>
      <w:bookmarkStart w:id="2852" w:name="Bookmark_para_21_13"/>
      <w:bookmarkEnd w:id="2852"/>
      <w:r>
        <w:rPr>
          <w:rFonts w:ascii="Arial" w:eastAsia="Arial" w:hAnsi="Arial" w:cs="Arial"/>
          <w:color w:val="000000"/>
          <w:sz w:val="20"/>
        </w:rPr>
        <w:t>In his first submission, Richardson does not address the substantive arguments made by the VDOC or the evidence the VDOC argues establishes that it provided reasonable accommodations. Instead, he argues that policies enacted by the VDOC in response to the COVID-19 pandemic were unreasonable. J.A. 152-54.</w:t>
      </w:r>
    </w:p>
    <w:p w:rsidR="00022B47" w:rsidRDefault="00000000">
      <w:pPr>
        <w:pStyle w:val="Normal15"/>
        <w:widowControl w:val="0"/>
        <w:spacing w:before="200" w:line="260" w:lineRule="atLeast"/>
        <w:jc w:val="both"/>
      </w:pPr>
      <w:bookmarkStart w:id="2853" w:name="Bookmark_para_22_12"/>
      <w:bookmarkEnd w:id="2853"/>
      <w:r>
        <w:rPr>
          <w:rFonts w:ascii="Arial" w:eastAsia="Arial" w:hAnsi="Arial" w:cs="Arial"/>
          <w:color w:val="000000"/>
          <w:sz w:val="20"/>
        </w:rPr>
        <w:t xml:space="preserve">In his second submission, Richardson states that he was previously provided a prison caregiver who helped read legal filings to him, but that since August 2020, that service has not been allowed. J.A. 210. He also insists he needs more than five hours per week with ASL interpreters so that he can keep up in the current litigation. J.A. 210-11. Besides these complaints, Richardson does not directly address any of the VDOC's filings other than to say that they are "fraught with inaccuracies." </w:t>
      </w:r>
      <w:r>
        <w:rPr>
          <w:rFonts w:ascii="Arial" w:eastAsia="Arial" w:hAnsi="Arial" w:cs="Arial"/>
          <w:i/>
          <w:color w:val="000000"/>
          <w:sz w:val="20"/>
        </w:rPr>
        <w:t>Id.</w:t>
      </w:r>
    </w:p>
    <w:p w:rsidR="00022B47" w:rsidRDefault="00000000">
      <w:pPr>
        <w:pStyle w:val="Normal15"/>
        <w:widowControl w:val="0"/>
        <w:spacing w:before="120" w:line="260" w:lineRule="atLeast"/>
      </w:pPr>
      <w:r>
        <w:rPr>
          <w:rFonts w:ascii="Arial" w:eastAsia="Arial" w:hAnsi="Arial" w:cs="Arial"/>
          <w:color w:val="000000"/>
          <w:sz w:val="20"/>
        </w:rPr>
        <w:t>D.</w:t>
      </w:r>
    </w:p>
    <w:p w:rsidR="00022B47" w:rsidRDefault="00000000">
      <w:pPr>
        <w:pStyle w:val="Normal15"/>
        <w:widowControl w:val="0"/>
        <w:spacing w:before="200" w:line="260" w:lineRule="atLeast"/>
        <w:jc w:val="both"/>
      </w:pPr>
      <w:bookmarkStart w:id="2854" w:name="Bookmark_para_23_11"/>
      <w:bookmarkEnd w:id="2854"/>
      <w:r>
        <w:rPr>
          <w:rFonts w:ascii="Arial" w:eastAsia="Arial" w:hAnsi="Arial" w:cs="Arial"/>
          <w:color w:val="000000"/>
          <w:sz w:val="20"/>
        </w:rPr>
        <w:t>So did Richardson create a genuine issue of material fact as to his ADA claim? He did not.</w:t>
      </w:r>
    </w:p>
    <w:p w:rsidR="00022B47" w:rsidRDefault="00000000">
      <w:pPr>
        <w:pStyle w:val="Normal15"/>
        <w:widowControl w:val="0"/>
        <w:spacing w:before="200" w:line="260" w:lineRule="atLeast"/>
        <w:jc w:val="both"/>
      </w:pPr>
      <w:bookmarkStart w:id="2855" w:name="Bookmark_para_24_11"/>
      <w:bookmarkEnd w:id="2855"/>
      <w:r>
        <w:rPr>
          <w:rFonts w:ascii="Arial" w:eastAsia="Arial" w:hAnsi="Arial" w:cs="Arial"/>
          <w:color w:val="000000"/>
          <w:sz w:val="20"/>
        </w:rPr>
        <w:t>Richardson argues that the district court ignored the evidence he submitted in his filings. But the district court did not ignore the evidence. It simply disagreed [**11]  with Richardson's position that his filings created a genuine dispute of material fact. And for three reasons, we agree.</w:t>
      </w:r>
    </w:p>
    <w:p w:rsidR="00022B47" w:rsidRDefault="00000000">
      <w:pPr>
        <w:pStyle w:val="Normal15"/>
        <w:widowControl w:val="0"/>
        <w:spacing w:before="200" w:line="260" w:lineRule="atLeast"/>
        <w:jc w:val="both"/>
      </w:pPr>
      <w:bookmarkStart w:id="2856" w:name="Bookmark_para_25_11"/>
      <w:bookmarkStart w:id="2857" w:name="Bookmark_I66TWN8K2N1RX00010000400"/>
      <w:bookmarkEnd w:id="2856"/>
      <w:bookmarkEnd w:id="2857"/>
      <w:r>
        <w:rPr>
          <w:rFonts w:ascii="Arial" w:eastAsia="Arial" w:hAnsi="Arial" w:cs="Arial"/>
          <w:color w:val="000000"/>
          <w:sz w:val="20"/>
        </w:rPr>
        <w:t xml:space="preserve">First, Richardson's conclusory assertion that the VDOC's affidavits are "fraught with inaccuracies" does not defeat a motion for summary judgment. </w:t>
      </w:r>
      <w:bookmarkStart w:id="2858" w:name="Bookmark_LNHNREFclscc6_11"/>
      <w:bookmarkEnd w:id="2858"/>
      <w:r>
        <w:rPr>
          <w:rFonts w:ascii="Arial" w:eastAsia="Arial" w:hAnsi="Arial" w:cs="Arial"/>
          <w:color w:val="000000"/>
          <w:sz w:val="20"/>
        </w:rPr>
        <w:t xml:space="preserve">To repeat, "conclusory allegations or denials, without more, are insufficient to preclude granting the summary judgment motion." </w:t>
      </w:r>
      <w:bookmarkStart w:id="2859" w:name="Bookmark_I66TWN8J2D6NP90050000400"/>
      <w:bookmarkEnd w:id="2859"/>
      <w:r>
        <w:rPr>
          <w:rFonts w:ascii="Arial" w:eastAsia="Arial" w:hAnsi="Arial" w:cs="Arial"/>
          <w:i/>
          <w:color w:val="000000"/>
          <w:sz w:val="20"/>
        </w:rPr>
        <w:t>Wai Man Tom</w:t>
      </w:r>
      <w:r>
        <w:rPr>
          <w:rFonts w:ascii="Arial" w:eastAsia="Arial" w:hAnsi="Arial" w:cs="Arial"/>
          <w:color w:val="000000"/>
          <w:sz w:val="20"/>
        </w:rPr>
        <w:t>, 980 F.3d at 1037.</w:t>
      </w:r>
    </w:p>
    <w:p w:rsidR="00022B47" w:rsidRDefault="00000000">
      <w:pPr>
        <w:pStyle w:val="Normal15"/>
        <w:widowControl w:val="0"/>
        <w:spacing w:before="200" w:line="260" w:lineRule="atLeast"/>
        <w:jc w:val="both"/>
      </w:pPr>
      <w:bookmarkStart w:id="2860" w:name="Bookmark_para_26_10"/>
      <w:bookmarkStart w:id="2861" w:name="Bookmark_I66TWN8K2N1RX00030000400"/>
      <w:bookmarkEnd w:id="2860"/>
      <w:bookmarkEnd w:id="2861"/>
      <w:r>
        <w:rPr>
          <w:rFonts w:ascii="Arial" w:eastAsia="Arial" w:hAnsi="Arial" w:cs="Arial"/>
          <w:color w:val="000000"/>
          <w:sz w:val="20"/>
        </w:rPr>
        <w:t xml:space="preserve">Second, Richardson's criticisms of the VDOC's suspension of in-person ASL visits at Deerfield during COVID, Deerfield's failure to provide him with more than five hours of such ASL interpreter services once the COVID restrictions ended and Deerfield's refusal to allow his caregiver to read legal documents to him fare  [*621]  no better. J.A. 209-211. </w:t>
      </w:r>
      <w:bookmarkStart w:id="2862" w:name="Bookmark_LNHNREFclscc7_10"/>
      <w:bookmarkEnd w:id="2862"/>
      <w:r>
        <w:rPr>
          <w:rFonts w:ascii="Arial" w:eastAsia="Arial" w:hAnsi="Arial" w:cs="Arial"/>
          <w:color w:val="000000"/>
          <w:sz w:val="20"/>
        </w:rPr>
        <w:t xml:space="preserve">The ADA only requires "a reasonable modification to the challenged public program that will allow [an inmate] the meaningful access they seek." </w:t>
      </w:r>
      <w:bookmarkStart w:id="2863" w:name="Bookmark_I66TWN8K2N1RX00020000400"/>
      <w:bookmarkEnd w:id="2863"/>
      <w:r>
        <w:rPr>
          <w:rFonts w:ascii="Arial" w:eastAsia="Arial" w:hAnsi="Arial" w:cs="Arial"/>
          <w:i/>
          <w:color w:val="000000"/>
          <w:sz w:val="20"/>
        </w:rPr>
        <w:t>Lamone</w:t>
      </w:r>
      <w:r>
        <w:rPr>
          <w:rFonts w:ascii="Arial" w:eastAsia="Arial" w:hAnsi="Arial" w:cs="Arial"/>
          <w:color w:val="000000"/>
          <w:sz w:val="20"/>
        </w:rPr>
        <w:t>, 813 F.3d at 507. Richardson offers no evidence to create a genuine issue of material fact on this issue of the reasonableness of the accommodations provided by Deerfield. He offered only criticisms and requests for more accommodations. That is not enough. And no reasonable factfinder could determine that Richardson's desire for [**12]  more accommodations meant that the extensive ones the VDOC provided at Deerfield were unreasonable.</w:t>
      </w:r>
    </w:p>
    <w:p w:rsidR="00022B47" w:rsidRDefault="00000000">
      <w:pPr>
        <w:pStyle w:val="Normal15"/>
        <w:widowControl w:val="0"/>
        <w:spacing w:before="200" w:line="260" w:lineRule="atLeast"/>
        <w:jc w:val="both"/>
      </w:pPr>
      <w:bookmarkStart w:id="2864" w:name="Bookmark_para_27_10"/>
      <w:bookmarkEnd w:id="2864"/>
      <w:r>
        <w:rPr>
          <w:rFonts w:ascii="Arial" w:eastAsia="Arial" w:hAnsi="Arial" w:cs="Arial"/>
          <w:color w:val="000000"/>
          <w:sz w:val="20"/>
        </w:rPr>
        <w:t xml:space="preserve">Accentuating this point, context, as it often does, matters. </w:t>
      </w:r>
      <w:bookmarkStart w:id="2865" w:name="Bookmark_I66TWN8K2N1RX00050000400"/>
      <w:bookmarkEnd w:id="2865"/>
      <w:r>
        <w:rPr>
          <w:rFonts w:ascii="Arial" w:eastAsia="Arial" w:hAnsi="Arial" w:cs="Arial"/>
          <w:color w:val="000000"/>
          <w:sz w:val="20"/>
        </w:rPr>
        <w:t xml:space="preserve">Here, our context is a prison. </w:t>
      </w:r>
      <w:bookmarkStart w:id="2866" w:name="Bookmark_LNHNREFclscc8_10"/>
      <w:bookmarkEnd w:id="2866"/>
      <w:r>
        <w:rPr>
          <w:rFonts w:ascii="Arial" w:eastAsia="Arial" w:hAnsi="Arial" w:cs="Arial"/>
          <w:color w:val="000000"/>
          <w:sz w:val="20"/>
        </w:rPr>
        <w:t xml:space="preserve">We view the reasonableness of accommodations through the lens of operating a prison. </w:t>
      </w:r>
      <w:bookmarkStart w:id="2867" w:name="Bookmark_I66TWN8K2N1RX20040000400"/>
      <w:bookmarkStart w:id="2868" w:name="Bookmark_I66TWN8K2N1RX00040000400"/>
      <w:bookmarkEnd w:id="2867"/>
      <w:bookmarkEnd w:id="2868"/>
      <w:r>
        <w:rPr>
          <w:rFonts w:ascii="Arial" w:eastAsia="Arial" w:hAnsi="Arial" w:cs="Arial"/>
          <w:i/>
          <w:color w:val="000000"/>
          <w:sz w:val="20"/>
        </w:rPr>
        <w:t>Torcasio v. Murray</w:t>
      </w:r>
      <w:r>
        <w:rPr>
          <w:rFonts w:ascii="Arial" w:eastAsia="Arial" w:hAnsi="Arial" w:cs="Arial"/>
          <w:color w:val="000000"/>
          <w:sz w:val="20"/>
        </w:rPr>
        <w:t xml:space="preserve">, 57 F.3d 1340, 1355 (4th Cir. 1995); </w:t>
      </w:r>
      <w:r>
        <w:rPr>
          <w:rFonts w:ascii="Arial" w:eastAsia="Arial" w:hAnsi="Arial" w:cs="Arial"/>
          <w:i/>
          <w:color w:val="000000"/>
          <w:sz w:val="20"/>
        </w:rPr>
        <w:t xml:space="preserve">see also </w:t>
      </w:r>
      <w:bookmarkStart w:id="2869" w:name="Bookmark_I66TWN8K2N1RX20010000400"/>
      <w:bookmarkEnd w:id="2869"/>
      <w:r>
        <w:rPr>
          <w:rFonts w:ascii="Arial" w:eastAsia="Arial" w:hAnsi="Arial" w:cs="Arial"/>
          <w:i/>
          <w:color w:val="000000"/>
          <w:sz w:val="20"/>
        </w:rPr>
        <w:t>Havens v. Colorado Dep't of Corrs.</w:t>
      </w:r>
      <w:r>
        <w:rPr>
          <w:rFonts w:ascii="Arial" w:eastAsia="Arial" w:hAnsi="Arial" w:cs="Arial"/>
          <w:color w:val="000000"/>
          <w:sz w:val="20"/>
        </w:rPr>
        <w:t xml:space="preserve">, 897 F.3d 1250, 1269 (10th Cir. 2018) ("[M]eaningful access and the question of whether accommodations are reasonable must be assessed through the prism of the prison setting.") (citations omitted). </w:t>
      </w:r>
      <w:bookmarkStart w:id="2870" w:name="Bookmark_I66TWN8K2N1RX20040000400_2"/>
      <w:bookmarkStart w:id="2871" w:name="Bookmark_I66TWN8M2N1PMF0030000400"/>
      <w:bookmarkEnd w:id="2870"/>
      <w:bookmarkEnd w:id="2871"/>
      <w:r>
        <w:rPr>
          <w:rFonts w:ascii="Arial" w:eastAsia="Arial" w:hAnsi="Arial" w:cs="Arial"/>
          <w:color w:val="000000"/>
          <w:sz w:val="20"/>
        </w:rPr>
        <w:t xml:space="preserve">And that vantage point requires some deference to those who run prisons. </w:t>
      </w:r>
      <w:r>
        <w:rPr>
          <w:rFonts w:ascii="Arial" w:eastAsia="Arial" w:hAnsi="Arial" w:cs="Arial"/>
          <w:i/>
          <w:color w:val="000000"/>
          <w:sz w:val="20"/>
        </w:rPr>
        <w:t xml:space="preserve">See </w:t>
      </w:r>
      <w:bookmarkStart w:id="2872" w:name="Bookmark_I66TWN8K2N1RX20030000400"/>
      <w:bookmarkEnd w:id="2872"/>
      <w:r>
        <w:rPr>
          <w:rFonts w:ascii="Arial" w:eastAsia="Arial" w:hAnsi="Arial" w:cs="Arial"/>
          <w:i/>
          <w:color w:val="000000"/>
          <w:sz w:val="20"/>
        </w:rPr>
        <w:t>Wright v. N.Y. State Dep't of Corr.</w:t>
      </w:r>
      <w:r>
        <w:rPr>
          <w:rFonts w:ascii="Arial" w:eastAsia="Arial" w:hAnsi="Arial" w:cs="Arial"/>
          <w:color w:val="000000"/>
          <w:sz w:val="20"/>
        </w:rPr>
        <w:t xml:space="preserve">, 831 F.3d 64, 78 (2d Cir. 2016) ("[P]risons are unique environments where 'deference to the expert views' of prison administrators is the norm.") (quoting </w:t>
      </w:r>
      <w:bookmarkStart w:id="2873" w:name="Bookmark_I66TWN8K2N1RX20050000400"/>
      <w:bookmarkEnd w:id="2873"/>
      <w:r>
        <w:rPr>
          <w:rFonts w:ascii="Arial" w:eastAsia="Arial" w:hAnsi="Arial" w:cs="Arial"/>
          <w:i/>
          <w:color w:val="000000"/>
          <w:sz w:val="20"/>
        </w:rPr>
        <w:t>Pierce v. Cty. of Orange</w:t>
      </w:r>
      <w:r>
        <w:rPr>
          <w:rFonts w:ascii="Arial" w:eastAsia="Arial" w:hAnsi="Arial" w:cs="Arial"/>
          <w:color w:val="000000"/>
          <w:sz w:val="20"/>
        </w:rPr>
        <w:t xml:space="preserve">, 526 F.3d 1190, 1217 (9th Cir. 2008)). </w:t>
      </w:r>
      <w:bookmarkStart w:id="2874" w:name="Bookmark_I66TWN8M2N1PMF0030000400_2"/>
      <w:bookmarkEnd w:id="2874"/>
      <w:r>
        <w:rPr>
          <w:rFonts w:ascii="Arial" w:eastAsia="Arial" w:hAnsi="Arial" w:cs="Arial"/>
          <w:color w:val="000000"/>
          <w:sz w:val="20"/>
        </w:rPr>
        <w:t xml:space="preserve">The ADA just does not require prisons to "to employ any and all means to make services available to persons with disabilities." </w:t>
      </w:r>
      <w:bookmarkStart w:id="2875" w:name="Bookmark_I66TWN8M2N1PMF0020000400"/>
      <w:bookmarkEnd w:id="2875"/>
      <w:r>
        <w:rPr>
          <w:rFonts w:ascii="Arial" w:eastAsia="Arial" w:hAnsi="Arial" w:cs="Arial"/>
          <w:i/>
          <w:color w:val="000000"/>
          <w:sz w:val="20"/>
        </w:rPr>
        <w:t>Miller v. Hinton</w:t>
      </w:r>
      <w:r>
        <w:rPr>
          <w:rFonts w:ascii="Arial" w:eastAsia="Arial" w:hAnsi="Arial" w:cs="Arial"/>
          <w:color w:val="000000"/>
          <w:sz w:val="20"/>
        </w:rPr>
        <w:t>, 288 Fed. App'x 901, 902 (4th Cir. 2008). In sum, Richardson has not offered evidence to create a genuine issue of material fact as to the reasonableness of the accommodations provided by the VDOC.</w:t>
      </w:r>
    </w:p>
    <w:p w:rsidR="00022B47" w:rsidRDefault="00000000">
      <w:pPr>
        <w:pStyle w:val="Normal15"/>
        <w:widowControl w:val="0"/>
        <w:spacing w:before="200" w:line="260" w:lineRule="atLeast"/>
        <w:jc w:val="both"/>
      </w:pPr>
      <w:bookmarkStart w:id="2876" w:name="Bookmark_para_28_10"/>
      <w:bookmarkStart w:id="2877" w:name="Bookmark_I66TWN8M2N1PMF0050000400"/>
      <w:bookmarkEnd w:id="2876"/>
      <w:bookmarkEnd w:id="2877"/>
      <w:r>
        <w:rPr>
          <w:rFonts w:ascii="Arial" w:eastAsia="Arial" w:hAnsi="Arial" w:cs="Arial"/>
          <w:color w:val="000000"/>
          <w:sz w:val="20"/>
        </w:rPr>
        <w:t xml:space="preserve">Third, Richardson's claims cannot be squared with the record here. His complaint spans 50 pages and totals 148 numbered paragraphs. It and his other filings show that the accommodations the VDOC did provide permitted Richardson to read, research and compose detailed [**13]  legal filings. Likewise, the messages and video recordings the VDOC submitted illustrate Richardson's ability to use the equipment provided by the VDOC in a way that allows him to participate in normal prison life. </w:t>
      </w:r>
      <w:bookmarkStart w:id="2878" w:name="Bookmark_LNHNREFclscc9_10"/>
      <w:bookmarkEnd w:id="2878"/>
      <w:r>
        <w:rPr>
          <w:rFonts w:ascii="Arial" w:eastAsia="Arial" w:hAnsi="Arial" w:cs="Arial"/>
          <w:color w:val="000000"/>
          <w:sz w:val="20"/>
        </w:rPr>
        <w:t xml:space="preserve">"When opposing parties tell two different stories, one of which is blatantly contradicted by the record, so that no reasonable jury could believe it, a court should not adopt that version of the facts for purposes of ruling on a motion for summary judgment." </w:t>
      </w:r>
      <w:bookmarkStart w:id="2879" w:name="Bookmark_I66TWN8M2N1PMF0040000400"/>
      <w:bookmarkEnd w:id="2879"/>
      <w:r>
        <w:rPr>
          <w:rFonts w:ascii="Arial" w:eastAsia="Arial" w:hAnsi="Arial" w:cs="Arial"/>
          <w:i/>
          <w:color w:val="000000"/>
          <w:sz w:val="20"/>
        </w:rPr>
        <w:t>Scott v. Harris</w:t>
      </w:r>
      <w:r>
        <w:rPr>
          <w:rFonts w:ascii="Arial" w:eastAsia="Arial" w:hAnsi="Arial" w:cs="Arial"/>
          <w:color w:val="000000"/>
          <w:sz w:val="20"/>
        </w:rPr>
        <w:t xml:space="preserve">, 550 U.S. 372, 380, 127 S. Ct. 1769, 167 L. Ed. 2d 686 (2007). </w:t>
      </w:r>
      <w:bookmarkStart w:id="2880" w:name="Bookmark_I66TWN8M2D6NPY0020000400"/>
      <w:bookmarkEnd w:id="2880"/>
      <w:r>
        <w:rPr>
          <w:rFonts w:ascii="Arial" w:eastAsia="Arial" w:hAnsi="Arial" w:cs="Arial"/>
          <w:color w:val="000000"/>
          <w:sz w:val="20"/>
        </w:rPr>
        <w:t xml:space="preserve">We are, of course, required to consider the evidence in the light most favorable to Richardson. But even doing that, no reasonable factfinder could conclude on this record that the accommodations provided to Richardson did not afford him "meaningful access" to all programs at Deerfield. </w:t>
      </w:r>
      <w:bookmarkStart w:id="2881" w:name="Bookmark_I66TWN8M2D6NPY0010000400"/>
      <w:bookmarkEnd w:id="2881"/>
      <w:r>
        <w:rPr>
          <w:rFonts w:ascii="Arial" w:eastAsia="Arial" w:hAnsi="Arial" w:cs="Arial"/>
          <w:i/>
          <w:color w:val="000000"/>
          <w:sz w:val="20"/>
        </w:rPr>
        <w:t>Lamone</w:t>
      </w:r>
      <w:r>
        <w:rPr>
          <w:rFonts w:ascii="Arial" w:eastAsia="Arial" w:hAnsi="Arial" w:cs="Arial"/>
          <w:color w:val="000000"/>
          <w:sz w:val="20"/>
        </w:rPr>
        <w:t>, 813 F.3d at 507.</w:t>
      </w:r>
      <w:r>
        <w:rPr>
          <w:rFonts w:ascii="Arial" w:eastAsia="Arial" w:hAnsi="Arial" w:cs="Arial"/>
          <w:vertAlign w:val="superscript"/>
        </w:rPr>
        <w:footnoteReference w:customMarkFollows="1" w:id="55"/>
        <w:t>5</w:t>
      </w:r>
    </w:p>
    <w:p w:rsidR="00022B47" w:rsidRDefault="00000000">
      <w:pPr>
        <w:pStyle w:val="Normal15"/>
        <w:widowControl w:val="0"/>
        <w:spacing w:before="240" w:line="260" w:lineRule="atLeast"/>
      </w:pPr>
      <w:r>
        <w:br/>
      </w:r>
      <w:r>
        <w:rPr>
          <w:rFonts w:ascii="Arial" w:eastAsia="Arial" w:hAnsi="Arial" w:cs="Arial"/>
          <w:color w:val="000000"/>
          <w:sz w:val="20"/>
        </w:rPr>
        <w:t> [*622]  IV.</w:t>
      </w:r>
    </w:p>
    <w:p w:rsidR="00022B47" w:rsidRDefault="00000000">
      <w:pPr>
        <w:pStyle w:val="Normal15"/>
        <w:widowControl w:val="0"/>
        <w:spacing w:before="200" w:line="260" w:lineRule="atLeast"/>
        <w:jc w:val="both"/>
      </w:pPr>
      <w:bookmarkStart w:id="2888" w:name="Bookmark_para_29_10"/>
      <w:bookmarkEnd w:id="2888"/>
      <w:r>
        <w:rPr>
          <w:rFonts w:ascii="Arial" w:eastAsia="Arial" w:hAnsi="Arial" w:cs="Arial"/>
          <w:color w:val="000000"/>
          <w:sz w:val="20"/>
        </w:rPr>
        <w:t>We now turn to Richardson's RLUIPA claim.</w:t>
      </w:r>
    </w:p>
    <w:p w:rsidR="00022B47" w:rsidRDefault="00000000">
      <w:pPr>
        <w:pStyle w:val="Normal15"/>
        <w:widowControl w:val="0"/>
        <w:spacing w:before="120" w:line="260" w:lineRule="atLeast"/>
      </w:pPr>
      <w:r>
        <w:rPr>
          <w:rFonts w:ascii="Arial" w:eastAsia="Arial" w:hAnsi="Arial" w:cs="Arial"/>
          <w:color w:val="000000"/>
          <w:sz w:val="20"/>
        </w:rPr>
        <w:t>A.</w:t>
      </w:r>
    </w:p>
    <w:p w:rsidR="00022B47" w:rsidRDefault="00000000">
      <w:pPr>
        <w:pStyle w:val="Normal15"/>
        <w:widowControl w:val="0"/>
        <w:spacing w:before="200" w:line="260" w:lineRule="atLeast"/>
        <w:jc w:val="both"/>
      </w:pPr>
      <w:bookmarkStart w:id="2889" w:name="Bookmark_para_30_9"/>
      <w:bookmarkStart w:id="2890" w:name="Bookmark_LNHNREFclscc10_10"/>
      <w:bookmarkEnd w:id="2889"/>
      <w:bookmarkEnd w:id="2890"/>
      <w:r>
        <w:rPr>
          <w:rFonts w:ascii="Arial" w:eastAsia="Arial" w:hAnsi="Arial" w:cs="Arial"/>
          <w:color w:val="000000"/>
          <w:sz w:val="20"/>
        </w:rPr>
        <w:t>The RLUIPA provides, in part, that:</w:t>
      </w:r>
    </w:p>
    <w:p w:rsidR="00022B47" w:rsidRDefault="00000000">
      <w:pPr>
        <w:pStyle w:val="Normal15"/>
        <w:widowControl w:val="0"/>
        <w:spacing w:line="260" w:lineRule="atLeast"/>
        <w:ind w:left="400"/>
        <w:jc w:val="both"/>
      </w:pPr>
      <w:bookmarkStart w:id="2891" w:name="Bookmark_para_31_9"/>
      <w:bookmarkEnd w:id="2891"/>
      <w:r>
        <w:rPr>
          <w:rFonts w:ascii="Arial" w:eastAsia="Arial" w:hAnsi="Arial" w:cs="Arial"/>
          <w:color w:val="000000"/>
          <w:sz w:val="20"/>
        </w:rPr>
        <w:t>No government shall impose a substantial burden on the religious exercise of a person residing in or confined to an institution . . . unless the government demonstrates that imposition of the burden on the person - -</w:t>
      </w:r>
    </w:p>
    <w:p w:rsidR="00022B47" w:rsidRDefault="00000000">
      <w:pPr>
        <w:pStyle w:val="Normal15"/>
        <w:widowControl w:val="0"/>
        <w:spacing w:line="260" w:lineRule="atLeast"/>
        <w:ind w:left="400"/>
        <w:jc w:val="both"/>
      </w:pPr>
      <w:bookmarkStart w:id="2892" w:name="Bookmark_para_32_9"/>
      <w:bookmarkEnd w:id="2892"/>
      <w:r>
        <w:rPr>
          <w:rFonts w:ascii="Arial" w:eastAsia="Arial" w:hAnsi="Arial" w:cs="Arial"/>
          <w:color w:val="000000"/>
          <w:sz w:val="20"/>
        </w:rPr>
        <w:t>(1) is in furtherance of a compelling government interest; and</w:t>
      </w:r>
    </w:p>
    <w:p w:rsidR="00022B47" w:rsidRDefault="00000000">
      <w:pPr>
        <w:pStyle w:val="Normal15"/>
        <w:widowControl w:val="0"/>
        <w:spacing w:before="200" w:line="260" w:lineRule="atLeast"/>
        <w:ind w:left="400"/>
        <w:jc w:val="both"/>
      </w:pPr>
      <w:bookmarkStart w:id="2893" w:name="Bookmark_para_33_8"/>
      <w:bookmarkStart w:id="2894" w:name="Bookmark_I66TWN8N2D6NR10030000400"/>
      <w:bookmarkEnd w:id="2893"/>
      <w:bookmarkEnd w:id="2894"/>
      <w:r>
        <w:rPr>
          <w:rFonts w:ascii="Arial" w:eastAsia="Arial" w:hAnsi="Arial" w:cs="Arial"/>
          <w:color w:val="000000"/>
          <w:sz w:val="20"/>
        </w:rPr>
        <w:t>(2) is the least restrictive means of furthering that compelling government [**14]  interest.</w:t>
      </w:r>
    </w:p>
    <w:p w:rsidR="00022B47" w:rsidRDefault="00000000">
      <w:pPr>
        <w:pStyle w:val="Normal15"/>
        <w:widowControl w:val="0"/>
        <w:spacing w:before="200" w:line="260" w:lineRule="atLeast"/>
        <w:jc w:val="both"/>
      </w:pPr>
      <w:bookmarkStart w:id="2895" w:name="Bookmark_I66TWN8N2D6NR10030000400_2"/>
      <w:bookmarkEnd w:id="2895"/>
      <w:r>
        <w:rPr>
          <w:rFonts w:ascii="Arial" w:eastAsia="Arial" w:hAnsi="Arial" w:cs="Arial"/>
          <w:color w:val="000000"/>
          <w:sz w:val="20"/>
        </w:rPr>
        <w:t xml:space="preserve">42 U.S.C. § 2000cc-1(a). A plaintiff seeking relief under the RLUIPA bears the initial burden of proving that the challenged policy "implicates his religious exercise." </w:t>
      </w:r>
      <w:bookmarkStart w:id="2896" w:name="Bookmark_I66TWN8N2D6NR10020000400"/>
      <w:bookmarkEnd w:id="2896"/>
      <w:r>
        <w:rPr>
          <w:rFonts w:ascii="Arial" w:eastAsia="Arial" w:hAnsi="Arial" w:cs="Arial"/>
          <w:i/>
          <w:color w:val="000000"/>
          <w:sz w:val="20"/>
        </w:rPr>
        <w:t>Holt v. Hobbs</w:t>
      </w:r>
      <w:r>
        <w:rPr>
          <w:rFonts w:ascii="Arial" w:eastAsia="Arial" w:hAnsi="Arial" w:cs="Arial"/>
          <w:color w:val="000000"/>
          <w:sz w:val="20"/>
        </w:rPr>
        <w:t>, 574 U.S. 352, 360, 135 S. Ct. 853, 190 L. Ed. 2d 747 (2015).</w:t>
      </w:r>
    </w:p>
    <w:p w:rsidR="00022B47" w:rsidRDefault="00000000">
      <w:pPr>
        <w:pStyle w:val="Normal15"/>
        <w:widowControl w:val="0"/>
        <w:spacing w:before="200" w:line="260" w:lineRule="atLeast"/>
        <w:jc w:val="both"/>
      </w:pPr>
      <w:bookmarkStart w:id="2897" w:name="Bookmark_para_34_8"/>
      <w:bookmarkStart w:id="2898" w:name="Bookmark_I66TWN8N2D6NR10050000400"/>
      <w:bookmarkStart w:id="2899" w:name="Bookmark_LNHNREFclscc11_9"/>
      <w:bookmarkEnd w:id="2897"/>
      <w:bookmarkEnd w:id="2898"/>
      <w:bookmarkEnd w:id="2899"/>
      <w:r>
        <w:rPr>
          <w:rFonts w:ascii="Arial" w:eastAsia="Arial" w:hAnsi="Arial" w:cs="Arial"/>
          <w:color w:val="000000"/>
          <w:sz w:val="20"/>
        </w:rPr>
        <w:t xml:space="preserve">If a plaintiff meets this initial burden, RLUIPA claims proceed in two stages. </w:t>
      </w:r>
      <w:bookmarkStart w:id="2900" w:name="Bookmark_I66TWN8N2N1PN10040000400"/>
      <w:bookmarkEnd w:id="2900"/>
      <w:r>
        <w:rPr>
          <w:rFonts w:ascii="Arial" w:eastAsia="Arial" w:hAnsi="Arial" w:cs="Arial"/>
          <w:color w:val="000000"/>
          <w:sz w:val="20"/>
        </w:rPr>
        <w:t xml:space="preserve">"At the first stage, . . . the plaintiff must show that the prison's policies imposed a substantial burden on his exercise of sincerely held religious beliefs." </w:t>
      </w:r>
      <w:bookmarkStart w:id="2901" w:name="Bookmark_I66TWN8N2D6NR10040000400"/>
      <w:bookmarkEnd w:id="2901"/>
      <w:r>
        <w:rPr>
          <w:rFonts w:ascii="Arial" w:eastAsia="Arial" w:hAnsi="Arial" w:cs="Arial"/>
          <w:i/>
          <w:color w:val="000000"/>
          <w:sz w:val="20"/>
        </w:rPr>
        <w:t>Wright v. Lassiter</w:t>
      </w:r>
      <w:r>
        <w:rPr>
          <w:rFonts w:ascii="Arial" w:eastAsia="Arial" w:hAnsi="Arial" w:cs="Arial"/>
          <w:color w:val="000000"/>
          <w:sz w:val="20"/>
        </w:rPr>
        <w:t xml:space="preserve">, 921 F.3d 413, 418 (4th Cir. 2019) (citing </w:t>
      </w:r>
      <w:bookmarkStart w:id="2902" w:name="Bookmark_I66TWN8N2N1PN10010000400"/>
      <w:bookmarkEnd w:id="2902"/>
      <w:r>
        <w:rPr>
          <w:rFonts w:ascii="Arial" w:eastAsia="Arial" w:hAnsi="Arial" w:cs="Arial"/>
          <w:i/>
          <w:color w:val="000000"/>
          <w:sz w:val="20"/>
        </w:rPr>
        <w:t>Carter v. Fleming</w:t>
      </w:r>
      <w:r>
        <w:rPr>
          <w:rFonts w:ascii="Arial" w:eastAsia="Arial" w:hAnsi="Arial" w:cs="Arial"/>
          <w:color w:val="000000"/>
          <w:sz w:val="20"/>
        </w:rPr>
        <w:t xml:space="preserve">, 879 F.3d 132, 139-40 (4th Cir. 2018)). In order to show that his religious beliefs have been substantially burdened, a plaintiff must show that a government entity has substantially pressured him to modify his behavior and violate his beliefs. </w:t>
      </w:r>
      <w:bookmarkStart w:id="2903" w:name="Bookmark_I66TWN8N2N1PN10040000400_2"/>
      <w:bookmarkStart w:id="2904" w:name="Bookmark_I66TWN8N2N1PN10030000400"/>
      <w:bookmarkEnd w:id="2903"/>
      <w:bookmarkEnd w:id="2904"/>
      <w:r>
        <w:rPr>
          <w:rFonts w:ascii="Arial" w:eastAsia="Arial" w:hAnsi="Arial" w:cs="Arial"/>
          <w:i/>
          <w:color w:val="000000"/>
          <w:sz w:val="20"/>
        </w:rPr>
        <w:t>Lovelace v. Lee</w:t>
      </w:r>
      <w:r>
        <w:rPr>
          <w:rFonts w:ascii="Arial" w:eastAsia="Arial" w:hAnsi="Arial" w:cs="Arial"/>
          <w:color w:val="000000"/>
          <w:sz w:val="20"/>
        </w:rPr>
        <w:t>, 472 F.3d 174, 187 (4th Cir. 2006).</w:t>
      </w:r>
    </w:p>
    <w:p w:rsidR="00022B47" w:rsidRDefault="00000000">
      <w:pPr>
        <w:pStyle w:val="Normal15"/>
        <w:widowControl w:val="0"/>
        <w:spacing w:before="200" w:line="260" w:lineRule="atLeast"/>
        <w:jc w:val="both"/>
      </w:pPr>
      <w:bookmarkStart w:id="2905" w:name="Bookmark_para_35_8"/>
      <w:bookmarkStart w:id="2906" w:name="Bookmark_I66TWN8N28T3WW0010000400"/>
      <w:bookmarkEnd w:id="2905"/>
      <w:bookmarkEnd w:id="2906"/>
      <w:r>
        <w:rPr>
          <w:rFonts w:ascii="Arial" w:eastAsia="Arial" w:hAnsi="Arial" w:cs="Arial"/>
          <w:color w:val="000000"/>
          <w:sz w:val="20"/>
        </w:rPr>
        <w:t xml:space="preserve">If the plaintiff can make that showing, the court proceeds to the second stage to determine whether the prison's policies are justified despite the imposed burden. Under the RLUIPA, the government has the burden to show that its policy satisfies strict scrutiny: that is, the policies must represent the least restrictive means of furthering a compelling governmental interest. 42 U.S.C. § 2000cc-1(a); </w:t>
      </w:r>
      <w:bookmarkStart w:id="2907" w:name="Bookmark_I66TWN8N2N1PN10050000400"/>
      <w:bookmarkEnd w:id="2907"/>
      <w:r>
        <w:rPr>
          <w:rFonts w:ascii="Arial" w:eastAsia="Arial" w:hAnsi="Arial" w:cs="Arial"/>
          <w:i/>
          <w:color w:val="000000"/>
          <w:sz w:val="20"/>
        </w:rPr>
        <w:t>Holt</w:t>
      </w:r>
      <w:r>
        <w:rPr>
          <w:rFonts w:ascii="Arial" w:eastAsia="Arial" w:hAnsi="Arial" w:cs="Arial"/>
          <w:color w:val="000000"/>
          <w:sz w:val="20"/>
        </w:rPr>
        <w:t>, 574 U.S. at 357-58.</w:t>
      </w:r>
    </w:p>
    <w:p w:rsidR="00022B47" w:rsidRDefault="00000000">
      <w:pPr>
        <w:pStyle w:val="Normal15"/>
        <w:widowControl w:val="0"/>
        <w:spacing w:before="120" w:line="260" w:lineRule="atLeast"/>
      </w:pPr>
      <w:r>
        <w:rPr>
          <w:rFonts w:ascii="Arial" w:eastAsia="Arial" w:hAnsi="Arial" w:cs="Arial"/>
          <w:color w:val="000000"/>
          <w:sz w:val="20"/>
        </w:rPr>
        <w:t>B.</w:t>
      </w:r>
    </w:p>
    <w:p w:rsidR="00022B47" w:rsidRDefault="00000000">
      <w:pPr>
        <w:pStyle w:val="Normal15"/>
        <w:widowControl w:val="0"/>
        <w:spacing w:before="200" w:line="260" w:lineRule="atLeast"/>
        <w:jc w:val="both"/>
      </w:pPr>
      <w:bookmarkStart w:id="2908" w:name="Bookmark_para_36_8"/>
      <w:bookmarkEnd w:id="2908"/>
      <w:r>
        <w:rPr>
          <w:rFonts w:ascii="Arial" w:eastAsia="Arial" w:hAnsi="Arial" w:cs="Arial"/>
          <w:color w:val="000000"/>
          <w:sz w:val="20"/>
        </w:rPr>
        <w:t>When this lawsuit was filed, the VDOC's procedures granted the warden at each prison facility discretion to determine the times, locations and circumstances in which personal clothing, including religious [**15]  head coverings, could be worn. J.A. 135.</w:t>
      </w:r>
    </w:p>
    <w:p w:rsidR="00022B47" w:rsidRDefault="00000000">
      <w:pPr>
        <w:pStyle w:val="Normal15"/>
        <w:widowControl w:val="0"/>
        <w:spacing w:before="200" w:line="260" w:lineRule="atLeast"/>
        <w:jc w:val="both"/>
      </w:pPr>
      <w:bookmarkStart w:id="2909" w:name="Bookmark_para_37_6"/>
      <w:bookmarkEnd w:id="2909"/>
      <w:r>
        <w:rPr>
          <w:rFonts w:ascii="Arial" w:eastAsia="Arial" w:hAnsi="Arial" w:cs="Arial"/>
          <w:color w:val="000000"/>
          <w:sz w:val="20"/>
        </w:rPr>
        <w:t xml:space="preserve">At Deerfield, based on the warden's decision, inmates could wear religious head coverings in the same manner as nonreligious head coverings. </w:t>
      </w:r>
      <w:r>
        <w:rPr>
          <w:rFonts w:ascii="Arial" w:eastAsia="Arial" w:hAnsi="Arial" w:cs="Arial"/>
          <w:i/>
          <w:color w:val="000000"/>
          <w:sz w:val="20"/>
        </w:rPr>
        <w:t>Id.</w:t>
      </w:r>
      <w:r>
        <w:rPr>
          <w:rFonts w:ascii="Arial" w:eastAsia="Arial" w:hAnsi="Arial" w:cs="Arial"/>
          <w:color w:val="000000"/>
          <w:sz w:val="20"/>
        </w:rPr>
        <w:t xml:space="preserve"> Head coverings needed to be removed in certain areas of the prison, such as the dining hall, visiting room and administrative buildings. </w:t>
      </w:r>
      <w:r>
        <w:rPr>
          <w:rFonts w:ascii="Arial" w:eastAsia="Arial" w:hAnsi="Arial" w:cs="Arial"/>
          <w:i/>
          <w:color w:val="000000"/>
          <w:sz w:val="20"/>
        </w:rPr>
        <w:t>Id.</w:t>
      </w:r>
    </w:p>
    <w:p w:rsidR="00022B47" w:rsidRDefault="00000000">
      <w:pPr>
        <w:pStyle w:val="Normal15"/>
        <w:widowControl w:val="0"/>
        <w:spacing w:before="200" w:line="260" w:lineRule="atLeast"/>
        <w:jc w:val="both"/>
      </w:pPr>
      <w:bookmarkStart w:id="2910" w:name="Bookmark_para_38_6"/>
      <w:bookmarkEnd w:id="2910"/>
      <w:r>
        <w:rPr>
          <w:rFonts w:ascii="Arial" w:eastAsia="Arial" w:hAnsi="Arial" w:cs="Arial"/>
          <w:color w:val="000000"/>
          <w:sz w:val="20"/>
        </w:rPr>
        <w:t>After Richardson sued, the VDOC changed its head covering policy. J.A. 138. The new policy permits inmates to wear religious head coverings anywhere inside a VDOC facility as well as when participating in outside work assignments. J.A. 138. Inmates are now only required to remove head coverings for search purposes when requested by security personnel. J.A. 138.</w:t>
      </w:r>
    </w:p>
    <w:p w:rsidR="00022B47" w:rsidRDefault="00000000">
      <w:pPr>
        <w:pStyle w:val="Normal15"/>
        <w:widowControl w:val="0"/>
        <w:spacing w:before="200" w:line="260" w:lineRule="atLeast"/>
        <w:jc w:val="both"/>
      </w:pPr>
      <w:bookmarkStart w:id="2911" w:name="Bookmark_para_39_4"/>
      <w:bookmarkEnd w:id="2911"/>
      <w:r>
        <w:rPr>
          <w:rFonts w:ascii="Arial" w:eastAsia="Arial" w:hAnsi="Arial" w:cs="Arial"/>
          <w:color w:val="000000"/>
          <w:sz w:val="20"/>
        </w:rPr>
        <w:t xml:space="preserve">Despite this policy change, Richardson seeks prospective relief to prevent the VDOC from returning to its prior policy. On appeal, Richardson argues that the district court erred in determining that he failed to show that the prior policy imposed a substantial burden. He argues that the substantial burden is obvious. Op. Br. 12. In his view, he alleged that his religion requires him to wear a head covering at all times, and facially, the policy prevented him from doing so. </w:t>
      </w:r>
      <w:r>
        <w:rPr>
          <w:rFonts w:ascii="Arial" w:eastAsia="Arial" w:hAnsi="Arial" w:cs="Arial"/>
          <w:i/>
          <w:color w:val="000000"/>
          <w:sz w:val="20"/>
        </w:rPr>
        <w:t>Id.</w:t>
      </w:r>
    </w:p>
    <w:p w:rsidR="00022B47" w:rsidRDefault="00000000">
      <w:pPr>
        <w:pStyle w:val="Normal15"/>
        <w:widowControl w:val="0"/>
        <w:spacing w:before="120" w:line="260" w:lineRule="atLeast"/>
      </w:pPr>
      <w:r>
        <w:rPr>
          <w:rFonts w:ascii="Arial" w:eastAsia="Arial" w:hAnsi="Arial" w:cs="Arial"/>
          <w:color w:val="000000"/>
          <w:sz w:val="20"/>
        </w:rPr>
        <w:t>C.</w:t>
      </w:r>
    </w:p>
    <w:p w:rsidR="00022B47" w:rsidRDefault="00000000">
      <w:pPr>
        <w:pStyle w:val="Normal15"/>
        <w:widowControl w:val="0"/>
        <w:spacing w:before="200" w:line="260" w:lineRule="atLeast"/>
        <w:jc w:val="both"/>
      </w:pPr>
      <w:bookmarkStart w:id="2912" w:name="Bookmark_para_40_4"/>
      <w:bookmarkEnd w:id="2912"/>
      <w:r>
        <w:rPr>
          <w:rFonts w:ascii="Arial" w:eastAsia="Arial" w:hAnsi="Arial" w:cs="Arial"/>
          <w:color w:val="000000"/>
          <w:sz w:val="20"/>
        </w:rPr>
        <w:t>The parties agree that Richardson [**16]  has satisfied his burden of proving that the  [*623]  head covering policy implicates his sincerely held religious beliefs. J.A. 114. They disagree, however, about whether Richardson satisfied his burden of showing that the prior policy imposed a substantial burden.</w:t>
      </w:r>
      <w:r>
        <w:rPr>
          <w:rFonts w:ascii="Arial" w:eastAsia="Arial" w:hAnsi="Arial" w:cs="Arial"/>
          <w:vertAlign w:val="superscript"/>
        </w:rPr>
        <w:footnoteReference w:customMarkFollows="1" w:id="56"/>
        <w:t>6</w:t>
      </w:r>
    </w:p>
    <w:p w:rsidR="00022B47" w:rsidRDefault="00000000">
      <w:pPr>
        <w:pStyle w:val="Normal15"/>
        <w:widowControl w:val="0"/>
        <w:spacing w:before="200" w:line="260" w:lineRule="atLeast"/>
        <w:jc w:val="both"/>
      </w:pPr>
      <w:bookmarkStart w:id="2916" w:name="Bookmark_para_41_4"/>
      <w:bookmarkEnd w:id="2916"/>
      <w:r>
        <w:rPr>
          <w:rFonts w:ascii="Arial" w:eastAsia="Arial" w:hAnsi="Arial" w:cs="Arial"/>
          <w:color w:val="000000"/>
          <w:sz w:val="20"/>
        </w:rPr>
        <w:t>To begin with, in moving for summary judgment, the VDOC did not argue that Richardson failed to establish a substantial burden on his religious beliefs. Instead, it argued that Richardson's RLUIPA claim was moot as a result of the policy change permitting inmates to wear religious head coverings in all areas of the prison. J.A. 115-17. And it asserted that even if Richardson's claim was not moot, the Prison Litigation Reform Act ("PLRA") prevented the district court from issuing an injunction.</w:t>
      </w:r>
      <w:r>
        <w:rPr>
          <w:rFonts w:ascii="Arial" w:eastAsia="Arial" w:hAnsi="Arial" w:cs="Arial"/>
          <w:vertAlign w:val="superscript"/>
        </w:rPr>
        <w:footnoteReference w:customMarkFollows="1" w:id="57"/>
        <w:t>7</w:t>
      </w:r>
      <w:r>
        <w:rPr>
          <w:rFonts w:ascii="Arial" w:eastAsia="Arial" w:hAnsi="Arial" w:cs="Arial"/>
          <w:color w:val="000000"/>
          <w:sz w:val="20"/>
        </w:rPr>
        <w:t xml:space="preserve"> J.A. 117.</w:t>
      </w:r>
    </w:p>
    <w:p w:rsidR="00022B47" w:rsidRDefault="00000000">
      <w:pPr>
        <w:pStyle w:val="Normal15"/>
        <w:widowControl w:val="0"/>
        <w:spacing w:before="200" w:line="260" w:lineRule="atLeast"/>
        <w:jc w:val="both"/>
      </w:pPr>
      <w:bookmarkStart w:id="2919" w:name="Bookmark_para_43_4"/>
      <w:bookmarkEnd w:id="2919"/>
      <w:r>
        <w:rPr>
          <w:rFonts w:ascii="Arial" w:eastAsia="Arial" w:hAnsi="Arial" w:cs="Arial"/>
          <w:color w:val="000000"/>
          <w:sz w:val="20"/>
        </w:rPr>
        <w:t>The district court determined that, despite the policy change, Richardson's claim was not moot because the VDOC failed to prove that it would not return to its prior policy restricting the wearing of head coverings in certain areas.</w:t>
      </w:r>
      <w:r>
        <w:rPr>
          <w:rFonts w:ascii="Arial" w:eastAsia="Arial" w:hAnsi="Arial" w:cs="Arial"/>
          <w:vertAlign w:val="superscript"/>
        </w:rPr>
        <w:footnoteReference w:customMarkFollows="1" w:id="58"/>
        <w:t>8</w:t>
      </w:r>
      <w:r>
        <w:rPr>
          <w:rFonts w:ascii="Arial" w:eastAsia="Arial" w:hAnsi="Arial" w:cs="Arial"/>
          <w:color w:val="000000"/>
          <w:sz w:val="20"/>
        </w:rPr>
        <w:t xml:space="preserve"> J.A. 243. But even though the VDOC had not raised the issue, the district court then held that Richardson failed to show that the prior policy imposed a substantial burden. J.A. 245-249. And because it held that Richardson's RLUIPA claim failed at the first step, it did not conduct an analysis as to whether the policy represents the least restrictive means of furthering a compelling governmental interest.</w:t>
      </w:r>
      <w:r>
        <w:rPr>
          <w:rFonts w:ascii="Arial" w:eastAsia="Arial" w:hAnsi="Arial" w:cs="Arial"/>
          <w:vertAlign w:val="superscript"/>
        </w:rPr>
        <w:footnoteReference w:customMarkFollows="1" w:id="59"/>
        <w:t>9</w:t>
      </w:r>
    </w:p>
    <w:p w:rsidR="00022B47" w:rsidRDefault="00000000">
      <w:pPr>
        <w:pStyle w:val="Normal15"/>
        <w:widowControl w:val="0"/>
        <w:spacing w:before="200" w:line="260" w:lineRule="atLeast"/>
        <w:jc w:val="both"/>
      </w:pPr>
      <w:bookmarkStart w:id="2922" w:name="Bookmark_para_44_4"/>
      <w:bookmarkStart w:id="2923" w:name="Bookmark_I66TWN8N28T3WW0050000400"/>
      <w:bookmarkEnd w:id="2922"/>
      <w:bookmarkEnd w:id="2923"/>
      <w:r>
        <w:rPr>
          <w:rFonts w:ascii="Arial" w:eastAsia="Arial" w:hAnsi="Arial" w:cs="Arial"/>
          <w:color w:val="000000"/>
          <w:sz w:val="20"/>
        </w:rPr>
        <w:t xml:space="preserve">To begin with, we question the district court's decision to grant summary judgment to the VDOC on an issue it failed to raise. </w:t>
      </w:r>
      <w:bookmarkStart w:id="2924" w:name="Bookmark_LNHNREFclscc12_7"/>
      <w:bookmarkEnd w:id="2924"/>
      <w:r>
        <w:rPr>
          <w:rFonts w:ascii="Arial" w:eastAsia="Arial" w:hAnsi="Arial" w:cs="Arial"/>
          <w:color w:val="000000"/>
          <w:sz w:val="20"/>
        </w:rPr>
        <w:t xml:space="preserve">In the summary judgment context, Rule 56(f) describes how a court may rule on an issue not raised by the moving party. Under the rule, a district court, "after giving notice and a reasonable time to respond," is permitted to "grant [summary [**18]  judgment] on grounds not raised by a party; or consider summary judgment on its own after identifying for the parties material facts that may not be genuinely in dispute." Fed. R. Civ. P. 56(f); </w:t>
      </w:r>
      <w:r>
        <w:rPr>
          <w:rFonts w:ascii="Arial" w:eastAsia="Arial" w:hAnsi="Arial" w:cs="Arial"/>
          <w:i/>
          <w:color w:val="000000"/>
          <w:sz w:val="20"/>
        </w:rPr>
        <w:t xml:space="preserve">see also </w:t>
      </w:r>
      <w:bookmarkStart w:id="2925" w:name="Bookmark_I66TWN8N28T3WW0040000400"/>
      <w:bookmarkEnd w:id="2925"/>
      <w:r>
        <w:rPr>
          <w:rFonts w:ascii="Arial" w:eastAsia="Arial" w:hAnsi="Arial" w:cs="Arial"/>
          <w:i/>
          <w:color w:val="000000"/>
          <w:sz w:val="20"/>
        </w:rPr>
        <w:t>Jehovah v. Clarke</w:t>
      </w:r>
      <w:r>
        <w:rPr>
          <w:rFonts w:ascii="Arial" w:eastAsia="Arial" w:hAnsi="Arial" w:cs="Arial"/>
          <w:color w:val="000000"/>
          <w:sz w:val="20"/>
        </w:rPr>
        <w:t>, 798 F.3d 169, 177 (4th Cir. 2015) (holding that the district court erred in failing to give notice and an opportunity to respond before addressing the  [*624]  substantial burden prong when the parties did not address it in their summary judgment briefing).</w:t>
      </w:r>
    </w:p>
    <w:p w:rsidR="00022B47" w:rsidRDefault="00000000">
      <w:pPr>
        <w:pStyle w:val="Normal15"/>
        <w:widowControl w:val="0"/>
        <w:spacing w:before="200" w:line="260" w:lineRule="atLeast"/>
        <w:jc w:val="both"/>
      </w:pPr>
      <w:bookmarkStart w:id="2926" w:name="Bookmark_para_45_4"/>
      <w:bookmarkStart w:id="2927" w:name="Bookmark_I66TWN8P28T3WY0020000400"/>
      <w:bookmarkEnd w:id="2926"/>
      <w:bookmarkEnd w:id="2927"/>
      <w:r>
        <w:rPr>
          <w:rFonts w:ascii="Arial" w:eastAsia="Arial" w:hAnsi="Arial" w:cs="Arial"/>
          <w:color w:val="000000"/>
          <w:sz w:val="20"/>
        </w:rPr>
        <w:t xml:space="preserve">We see nothing in the record indicating that Richardson was afforded notice and an opportunity to respond on the issue of substantial burden of his religious exercise before the district court ruled against him. This, along with the fact that the VDOC did not address whether its policy imposed a substantial burden on Richardson's sincerely held religious beliefs in its memorandum in support of summary judgment, may explain why Richardson did not do more to address that issue in his response to the VDOC's motion for summary judgment. </w:t>
      </w:r>
      <w:r>
        <w:rPr>
          <w:rFonts w:ascii="Arial" w:eastAsia="Arial" w:hAnsi="Arial" w:cs="Arial"/>
          <w:i/>
          <w:color w:val="000000"/>
          <w:sz w:val="20"/>
        </w:rPr>
        <w:t xml:space="preserve">See </w:t>
      </w:r>
      <w:bookmarkStart w:id="2928" w:name="Bookmark_I66TWN8P28T3WY0010000400"/>
      <w:bookmarkEnd w:id="2928"/>
      <w:r>
        <w:rPr>
          <w:rFonts w:ascii="Arial" w:eastAsia="Arial" w:hAnsi="Arial" w:cs="Arial"/>
          <w:i/>
          <w:color w:val="000000"/>
          <w:sz w:val="20"/>
        </w:rPr>
        <w:t>Carter v. Fleming</w:t>
      </w:r>
      <w:r>
        <w:rPr>
          <w:rFonts w:ascii="Arial" w:eastAsia="Arial" w:hAnsi="Arial" w:cs="Arial"/>
          <w:color w:val="000000"/>
          <w:sz w:val="20"/>
        </w:rPr>
        <w:t>, 879 F.3d 132, 140 (4th Cir. 2018) (finding that an inmate had "no notice that he needed to develop evidence" showing that a prison policy imposed a substantial burden where defendants failed to argue the issue on summary judgment).</w:t>
      </w:r>
      <w:r>
        <w:rPr>
          <w:rFonts w:ascii="Arial" w:eastAsia="Arial" w:hAnsi="Arial" w:cs="Arial"/>
          <w:vertAlign w:val="superscript"/>
        </w:rPr>
        <w:footnoteReference w:customMarkFollows="1" w:id="60"/>
        <w:t>10</w:t>
      </w:r>
    </w:p>
    <w:p w:rsidR="00022B47" w:rsidRDefault="00000000">
      <w:pPr>
        <w:pStyle w:val="Normal15"/>
        <w:widowControl w:val="0"/>
        <w:spacing w:before="200" w:line="260" w:lineRule="atLeast"/>
        <w:jc w:val="both"/>
      </w:pPr>
      <w:bookmarkStart w:id="2930" w:name="Bookmark_para_46_4"/>
      <w:bookmarkEnd w:id="2930"/>
      <w:r>
        <w:rPr>
          <w:rFonts w:ascii="Arial" w:eastAsia="Arial" w:hAnsi="Arial" w:cs="Arial"/>
          <w:color w:val="000000"/>
          <w:sz w:val="20"/>
        </w:rPr>
        <w:t xml:space="preserve">But regardless of notice, the record establishes that the prior [**19]  VDOC policy imposed a substantial burden. Along with the allegations in Richardson's complaint, the affidavit of Tammy Williams, the Warden at Richardson's facility, stated that she "understand[s] that Inmate Richardson claims that it is [his] sincere religious belief that he wear his kufi, a religious head covering, in </w:t>
      </w:r>
      <w:r>
        <w:rPr>
          <w:rFonts w:ascii="Arial" w:eastAsia="Arial" w:hAnsi="Arial" w:cs="Arial"/>
          <w:i/>
          <w:color w:val="000000"/>
          <w:sz w:val="20"/>
        </w:rPr>
        <w:t>all</w:t>
      </w:r>
      <w:r>
        <w:rPr>
          <w:rFonts w:ascii="Arial" w:eastAsia="Arial" w:hAnsi="Arial" w:cs="Arial"/>
          <w:color w:val="000000"/>
          <w:sz w:val="20"/>
        </w:rPr>
        <w:t xml:space="preserve"> areas of Deerfield." J.A. 130 (emphasis added). Put another way, the VDOC concedes that Richardson holds a sincerely held belief that his religion requires that he wear a head covering at all times and in all places.</w:t>
      </w:r>
    </w:p>
    <w:p w:rsidR="00022B47" w:rsidRDefault="00000000">
      <w:pPr>
        <w:pStyle w:val="Normal15"/>
        <w:widowControl w:val="0"/>
        <w:spacing w:before="200" w:line="260" w:lineRule="atLeast"/>
        <w:jc w:val="both"/>
      </w:pPr>
      <w:bookmarkStart w:id="2931" w:name="Bookmark_para_47_4"/>
      <w:bookmarkStart w:id="2932" w:name="Bookmark_I66TWN8P28T3WY0040000400"/>
      <w:bookmarkStart w:id="2933" w:name="Bookmark_I66TWN8P2N1PNB0020000400"/>
      <w:bookmarkStart w:id="2934" w:name="Bookmark_I66TWN8P2N1PNB0040000400"/>
      <w:bookmarkEnd w:id="2931"/>
      <w:bookmarkEnd w:id="2932"/>
      <w:bookmarkEnd w:id="2933"/>
      <w:bookmarkEnd w:id="2934"/>
      <w:r>
        <w:rPr>
          <w:rFonts w:ascii="Arial" w:eastAsia="Arial" w:hAnsi="Arial" w:cs="Arial"/>
          <w:color w:val="000000"/>
          <w:sz w:val="20"/>
        </w:rPr>
        <w:t>Thus, the prior policy required Richardson to either violate his religious beliefs—by refraining from wearing a head covering at all times—or risk discipline at Deerfield for violating the policy. In other words, Deerfield's head covering policy placed Richardson between the proverbial rock and a hard place.</w:t>
      </w:r>
      <w:r>
        <w:rPr>
          <w:rFonts w:ascii="Arial" w:eastAsia="Arial" w:hAnsi="Arial" w:cs="Arial"/>
          <w:vertAlign w:val="superscript"/>
        </w:rPr>
        <w:footnoteReference w:customMarkFollows="1" w:id="61"/>
        <w:t>11</w:t>
      </w:r>
      <w:r>
        <w:rPr>
          <w:rFonts w:ascii="Arial" w:eastAsia="Arial" w:hAnsi="Arial" w:cs="Arial"/>
          <w:color w:val="000000"/>
          <w:sz w:val="20"/>
        </w:rPr>
        <w:t xml:space="preserve"> Doing so substantially burdens his religious beliefs under the RLUIPA. </w:t>
      </w:r>
      <w:bookmarkStart w:id="2936" w:name="Bookmark_I66TWN8P28T3WY0030000400"/>
      <w:bookmarkEnd w:id="2936"/>
      <w:r>
        <w:rPr>
          <w:rFonts w:ascii="Arial" w:eastAsia="Arial" w:hAnsi="Arial" w:cs="Arial"/>
          <w:i/>
          <w:color w:val="000000"/>
          <w:sz w:val="20"/>
        </w:rPr>
        <w:t>Lovelace</w:t>
      </w:r>
      <w:r>
        <w:rPr>
          <w:rFonts w:ascii="Arial" w:eastAsia="Arial" w:hAnsi="Arial" w:cs="Arial"/>
          <w:color w:val="000000"/>
          <w:sz w:val="20"/>
        </w:rPr>
        <w:t xml:space="preserve">, 472 F.3d at 187 (a substantial burden on religious exercise is one in which "a state or local government, through act or omission, put[s] substantial pressure on an adherent to modify his behavior and violate his beliefs . . ."); </w:t>
      </w:r>
      <w:r>
        <w:rPr>
          <w:rFonts w:ascii="Arial" w:eastAsia="Arial" w:hAnsi="Arial" w:cs="Arial"/>
          <w:i/>
          <w:color w:val="000000"/>
          <w:sz w:val="20"/>
        </w:rPr>
        <w:t xml:space="preserve">see also </w:t>
      </w:r>
      <w:bookmarkStart w:id="2937" w:name="Bookmark_I66TWN8P28T3WY0050000400"/>
      <w:bookmarkEnd w:id="2937"/>
      <w:r>
        <w:rPr>
          <w:rFonts w:ascii="Arial" w:eastAsia="Arial" w:hAnsi="Arial" w:cs="Arial"/>
          <w:i/>
          <w:color w:val="000000"/>
          <w:sz w:val="20"/>
        </w:rPr>
        <w:t>Incumaa v. Stirling</w:t>
      </w:r>
      <w:r>
        <w:rPr>
          <w:rFonts w:ascii="Arial" w:eastAsia="Arial" w:hAnsi="Arial" w:cs="Arial"/>
          <w:color w:val="000000"/>
          <w:sz w:val="20"/>
        </w:rPr>
        <w:t xml:space="preserve">, 791 F.3d 517, 525 (4th Cir. 2015) (explaining that a prison policy imposes a substantial [**20]  burden if it "places the person between a rock and a hard place"); </w:t>
      </w:r>
      <w:bookmarkStart w:id="2938" w:name="Bookmark_I66TWN8P2D6NRC0020000400"/>
      <w:bookmarkEnd w:id="2938"/>
      <w:r>
        <w:rPr>
          <w:rFonts w:ascii="Arial" w:eastAsia="Arial" w:hAnsi="Arial" w:cs="Arial"/>
          <w:i/>
          <w:color w:val="000000"/>
          <w:sz w:val="20"/>
        </w:rPr>
        <w:t>Couch v. Jabe</w:t>
      </w:r>
      <w:r>
        <w:rPr>
          <w:rFonts w:ascii="Arial" w:eastAsia="Arial" w:hAnsi="Arial" w:cs="Arial"/>
          <w:color w:val="000000"/>
          <w:sz w:val="20"/>
        </w:rPr>
        <w:t xml:space="preserve">, 679 F.3d 197, 200-01 (2012) ("[R]emoving privileges in [an] effort to compel compliance, despite not physically forcing [an] inmate to cut his hair, qualifies as [a] substantial burden.") (citing </w:t>
      </w:r>
      <w:bookmarkStart w:id="2939" w:name="Bookmark_I66TWN8P2D6NRC0040000400"/>
      <w:bookmarkEnd w:id="2939"/>
      <w:r>
        <w:rPr>
          <w:rFonts w:ascii="Arial" w:eastAsia="Arial" w:hAnsi="Arial" w:cs="Arial"/>
          <w:i/>
          <w:color w:val="000000"/>
          <w:sz w:val="20"/>
        </w:rPr>
        <w:t>Warsoldier v. Woodford</w:t>
      </w:r>
      <w:r>
        <w:rPr>
          <w:rFonts w:ascii="Arial" w:eastAsia="Arial" w:hAnsi="Arial" w:cs="Arial"/>
          <w:color w:val="000000"/>
          <w:sz w:val="20"/>
        </w:rPr>
        <w:t>, 418 F.3d 989, 995-96 (9th Cir. 2005)).</w:t>
      </w:r>
      <w:r>
        <w:rPr>
          <w:rFonts w:ascii="Arial" w:eastAsia="Arial" w:hAnsi="Arial" w:cs="Arial"/>
          <w:vertAlign w:val="superscript"/>
        </w:rPr>
        <w:footnoteReference w:customMarkFollows="1" w:id="62"/>
        <w:t>12</w:t>
      </w:r>
    </w:p>
    <w:p w:rsidR="00022B47" w:rsidRDefault="00000000">
      <w:pPr>
        <w:pStyle w:val="Normal15"/>
        <w:widowControl w:val="0"/>
        <w:spacing w:before="200" w:line="260" w:lineRule="atLeast"/>
        <w:jc w:val="both"/>
      </w:pPr>
      <w:bookmarkStart w:id="2943" w:name="Bookmark_para_48_4"/>
      <w:bookmarkEnd w:id="2943"/>
      <w:r>
        <w:rPr>
          <w:rFonts w:ascii="Arial" w:eastAsia="Arial" w:hAnsi="Arial" w:cs="Arial"/>
          <w:color w:val="000000"/>
          <w:sz w:val="20"/>
        </w:rPr>
        <w:t>We find that Richardson met his burden of showing that the prior policy imposed a  [*625]  substantial burden. Thus, we vacate that portion of the district court's order and remand for further proceedings.</w:t>
      </w:r>
    </w:p>
    <w:p w:rsidR="00022B47" w:rsidRDefault="00000000">
      <w:pPr>
        <w:pStyle w:val="Normal15"/>
        <w:widowControl w:val="0"/>
        <w:spacing w:before="120" w:line="260" w:lineRule="atLeast"/>
      </w:pPr>
      <w:r>
        <w:rPr>
          <w:rFonts w:ascii="Arial" w:eastAsia="Arial" w:hAnsi="Arial" w:cs="Arial"/>
          <w:color w:val="000000"/>
          <w:sz w:val="20"/>
        </w:rPr>
        <w:t>D.</w:t>
      </w:r>
    </w:p>
    <w:p w:rsidR="00022B47" w:rsidRDefault="00000000">
      <w:pPr>
        <w:pStyle w:val="Normal15"/>
        <w:widowControl w:val="0"/>
        <w:spacing w:before="200" w:line="260" w:lineRule="atLeast"/>
        <w:jc w:val="both"/>
      </w:pPr>
      <w:bookmarkStart w:id="2944" w:name="Bookmark_para_49_4"/>
      <w:bookmarkEnd w:id="2944"/>
      <w:r>
        <w:rPr>
          <w:rFonts w:ascii="Arial" w:eastAsia="Arial" w:hAnsi="Arial" w:cs="Arial"/>
          <w:color w:val="000000"/>
          <w:sz w:val="20"/>
        </w:rPr>
        <w:t xml:space="preserve">At oral argument, the VDOC argued that the RLUIPA "safe harbor" provision precludes Richardson's claim for injunctive relief as a result of its policy change permitting inmates to wear religious head coverings in all areas of the prison facility. </w:t>
      </w:r>
      <w:bookmarkStart w:id="2945" w:name="Bookmark_LNHNREFclscc13_6"/>
      <w:bookmarkEnd w:id="2945"/>
      <w:r>
        <w:rPr>
          <w:rFonts w:ascii="Arial" w:eastAsia="Arial" w:hAnsi="Arial" w:cs="Arial"/>
          <w:color w:val="000000"/>
          <w:sz w:val="20"/>
        </w:rPr>
        <w:t>That provision provides:</w:t>
      </w:r>
    </w:p>
    <w:p w:rsidR="00022B47" w:rsidRDefault="00000000">
      <w:pPr>
        <w:pStyle w:val="Normal15"/>
        <w:widowControl w:val="0"/>
        <w:spacing w:line="260" w:lineRule="atLeast"/>
        <w:ind w:left="400"/>
        <w:jc w:val="both"/>
      </w:pPr>
      <w:bookmarkStart w:id="2946" w:name="Bookmark_para_50_4"/>
      <w:bookmarkEnd w:id="2946"/>
      <w:r>
        <w:rPr>
          <w:rFonts w:ascii="Arial" w:eastAsia="Arial" w:hAnsi="Arial" w:cs="Arial"/>
          <w:color w:val="000000"/>
          <w:sz w:val="20"/>
        </w:rPr>
        <w:t>A government may avoid the preemptive force of any provision of this chapter by changing the policy or practice that results in a substantial burden on religious exercise, by retaining the policy or practice and exempting the substantially burdened religious exercise, by providing exemptions from the policy or practice for applications that substantially burden religious exercise, or by any other means that eliminates the substantial burden.</w:t>
      </w:r>
    </w:p>
    <w:p w:rsidR="00022B47" w:rsidRDefault="00000000">
      <w:pPr>
        <w:pStyle w:val="Normal15"/>
        <w:widowControl w:val="0"/>
        <w:spacing w:line="260" w:lineRule="atLeast"/>
        <w:jc w:val="both"/>
      </w:pPr>
      <w:r>
        <w:rPr>
          <w:rFonts w:ascii="Arial" w:eastAsia="Arial" w:hAnsi="Arial" w:cs="Arial"/>
          <w:color w:val="000000"/>
          <w:sz w:val="20"/>
        </w:rPr>
        <w:t>42 U.S.C. § 2000cc-3(e).</w:t>
      </w:r>
    </w:p>
    <w:p w:rsidR="00022B47" w:rsidRDefault="00000000">
      <w:pPr>
        <w:pStyle w:val="Normal15"/>
        <w:widowControl w:val="0"/>
        <w:spacing w:before="200" w:line="260" w:lineRule="atLeast"/>
        <w:jc w:val="both"/>
      </w:pPr>
      <w:bookmarkStart w:id="2947" w:name="Bookmark_para_51_4"/>
      <w:bookmarkStart w:id="2948" w:name="Bookmark_I66TWN8R2HM6FH0010000400"/>
      <w:bookmarkEnd w:id="2947"/>
      <w:bookmarkEnd w:id="2948"/>
      <w:r>
        <w:rPr>
          <w:rFonts w:ascii="Arial" w:eastAsia="Arial" w:hAnsi="Arial" w:cs="Arial"/>
          <w:color w:val="000000"/>
          <w:sz w:val="20"/>
        </w:rPr>
        <w:t xml:space="preserve">Importantly, this issue was not raised before the [**21]  district court. Generally, parties may not raise new arguments on appeal that were not first presented to the district court below, absent exceptional circumstances. </w:t>
      </w:r>
      <w:r>
        <w:rPr>
          <w:rFonts w:ascii="Arial" w:eastAsia="Arial" w:hAnsi="Arial" w:cs="Arial"/>
          <w:i/>
          <w:color w:val="000000"/>
          <w:sz w:val="20"/>
        </w:rPr>
        <w:t>See</w:t>
      </w:r>
      <w:r>
        <w:rPr>
          <w:rFonts w:ascii="Arial" w:eastAsia="Arial" w:hAnsi="Arial" w:cs="Arial"/>
          <w:color w:val="000000"/>
          <w:sz w:val="20"/>
        </w:rPr>
        <w:t xml:space="preserve">, </w:t>
      </w:r>
      <w:r>
        <w:rPr>
          <w:rFonts w:ascii="Arial" w:eastAsia="Arial" w:hAnsi="Arial" w:cs="Arial"/>
          <w:i/>
          <w:color w:val="000000"/>
          <w:sz w:val="20"/>
        </w:rPr>
        <w:t>e.g.</w:t>
      </w:r>
      <w:r>
        <w:rPr>
          <w:rFonts w:ascii="Arial" w:eastAsia="Arial" w:hAnsi="Arial" w:cs="Arial"/>
          <w:color w:val="000000"/>
          <w:sz w:val="20"/>
        </w:rPr>
        <w:t xml:space="preserve">, </w:t>
      </w:r>
      <w:bookmarkStart w:id="2949" w:name="Bookmark_I66TWN8P2N1PNB0050000400"/>
      <w:bookmarkEnd w:id="2949"/>
      <w:r>
        <w:rPr>
          <w:rFonts w:ascii="Arial" w:eastAsia="Arial" w:hAnsi="Arial" w:cs="Arial"/>
          <w:i/>
          <w:color w:val="000000"/>
          <w:sz w:val="20"/>
        </w:rPr>
        <w:t>In re Under Seal</w:t>
      </w:r>
      <w:r>
        <w:rPr>
          <w:rFonts w:ascii="Arial" w:eastAsia="Arial" w:hAnsi="Arial" w:cs="Arial"/>
          <w:color w:val="000000"/>
          <w:sz w:val="20"/>
        </w:rPr>
        <w:t xml:space="preserve">, 749 F.3d 276, 285 (4th Cir. 2014). Further, while this issue was mentioned in the VDOC's brief to us, its only treatment was in a footnote that simply cites the text of the statute with no substantive discussion about its application to the facts here. </w:t>
      </w:r>
      <w:r>
        <w:rPr>
          <w:rFonts w:ascii="Arial" w:eastAsia="Arial" w:hAnsi="Arial" w:cs="Arial"/>
          <w:i/>
          <w:color w:val="000000"/>
          <w:sz w:val="20"/>
        </w:rPr>
        <w:t>See</w:t>
      </w:r>
      <w:r>
        <w:rPr>
          <w:rFonts w:ascii="Arial" w:eastAsia="Arial" w:hAnsi="Arial" w:cs="Arial"/>
          <w:color w:val="000000"/>
          <w:sz w:val="20"/>
        </w:rPr>
        <w:t xml:space="preserve"> Resp. Br. 49 n. 22. Accordingly, without expressing a view one way or the other, we find that the pertinence of the RLUIPA "safe harbor" provision is best left to be considered by the district court on remand.</w:t>
      </w:r>
    </w:p>
    <w:p w:rsidR="00022B47" w:rsidRDefault="00000000">
      <w:pPr>
        <w:pStyle w:val="Normal15"/>
        <w:widowControl w:val="0"/>
        <w:spacing w:before="120" w:line="260" w:lineRule="atLeast"/>
      </w:pPr>
      <w:r>
        <w:rPr>
          <w:rFonts w:ascii="Arial" w:eastAsia="Arial" w:hAnsi="Arial" w:cs="Arial"/>
          <w:color w:val="000000"/>
          <w:sz w:val="20"/>
        </w:rPr>
        <w:t>V.</w:t>
      </w:r>
    </w:p>
    <w:p w:rsidR="00022B47" w:rsidRDefault="00000000">
      <w:pPr>
        <w:pStyle w:val="Normal15"/>
        <w:widowControl w:val="0"/>
        <w:spacing w:before="200" w:line="260" w:lineRule="atLeast"/>
        <w:jc w:val="both"/>
      </w:pPr>
      <w:bookmarkStart w:id="2950" w:name="Bookmark_para_52_4"/>
      <w:bookmarkEnd w:id="2950"/>
      <w:r>
        <w:rPr>
          <w:rFonts w:ascii="Arial" w:eastAsia="Arial" w:hAnsi="Arial" w:cs="Arial"/>
          <w:color w:val="000000"/>
          <w:sz w:val="20"/>
        </w:rPr>
        <w:t>For all these reasons, we affirm the district court's grant of summary judgment in part, vacate in part and remand for further proceedings consistent with this opinion.</w:t>
      </w:r>
    </w:p>
    <w:p w:rsidR="00022B47" w:rsidRDefault="00000000">
      <w:pPr>
        <w:pStyle w:val="Normal15"/>
        <w:widowControl w:val="0"/>
        <w:spacing w:before="200" w:line="260" w:lineRule="atLeast"/>
        <w:jc w:val="both"/>
      </w:pPr>
      <w:bookmarkStart w:id="2951" w:name="Bookmark_para_53_3"/>
      <w:bookmarkEnd w:id="2951"/>
      <w:r>
        <w:rPr>
          <w:rFonts w:ascii="Arial" w:eastAsia="Arial" w:hAnsi="Arial" w:cs="Arial"/>
          <w:i/>
          <w:color w:val="000000"/>
          <w:sz w:val="20"/>
        </w:rPr>
        <w:t>AFFIRMED IN PART, VACATED IN PART AND REMANDED</w:t>
      </w:r>
    </w:p>
    <w:p w:rsidR="00022B47" w:rsidRDefault="00022B47">
      <w:pPr>
        <w:pStyle w:val="Normal15"/>
      </w:pPr>
    </w:p>
    <w:p w:rsidR="00022B47" w:rsidRDefault="00000000">
      <w:pPr>
        <w:pStyle w:val="Normal15"/>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691008"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816058643"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2D6632" id="Line 34"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16"/>
        <w:sectPr w:rsidR="00022B47">
          <w:headerReference w:type="even" r:id="rId103"/>
          <w:headerReference w:type="default" r:id="rId104"/>
          <w:footerReference w:type="even" r:id="rId105"/>
          <w:footerReference w:type="default" r:id="rId106"/>
          <w:headerReference w:type="first" r:id="rId107"/>
          <w:footerReference w:type="first" r:id="rId108"/>
          <w:pgSz w:w="12240" w:h="15840"/>
          <w:pgMar w:top="840" w:right="1000" w:bottom="840" w:left="1000" w:header="400" w:footer="400" w:gutter="0"/>
          <w:cols w:space="720"/>
          <w:titlePg/>
        </w:sectPr>
      </w:pPr>
    </w:p>
    <w:p w:rsidR="00022B47" w:rsidRDefault="00022B47">
      <w:pPr>
        <w:pStyle w:val="Normal16"/>
      </w:pPr>
    </w:p>
    <w:p w:rsidR="00022B47" w:rsidRDefault="00000000">
      <w:pPr>
        <w:pStyle w:val="Heading115"/>
        <w:keepNext w:val="0"/>
        <w:widowControl w:val="0"/>
        <w:spacing w:after="200" w:line="340" w:lineRule="atLeast"/>
        <w:jc w:val="center"/>
      </w:pPr>
      <w:r>
        <w:rPr>
          <w:rFonts w:eastAsia="Arial"/>
          <w:color w:val="000000"/>
          <w:sz w:val="28"/>
        </w:rPr>
        <w:t>Phillips v. Shelby Cnty.</w:t>
      </w:r>
    </w:p>
    <w:p w:rsidR="00022B47" w:rsidRDefault="00000000">
      <w:pPr>
        <w:pStyle w:val="Normal16"/>
        <w:widowControl w:val="0"/>
        <w:spacing w:before="120" w:line="260" w:lineRule="atLeast"/>
        <w:jc w:val="center"/>
      </w:pPr>
      <w:r>
        <w:rPr>
          <w:rFonts w:ascii="Arial" w:eastAsia="Arial" w:hAnsi="Arial" w:cs="Arial"/>
          <w:color w:val="000000"/>
          <w:sz w:val="20"/>
        </w:rPr>
        <w:t>United States Court of Appeals for the Sixth Circuit</w:t>
      </w:r>
    </w:p>
    <w:p w:rsidR="00022B47" w:rsidRDefault="00000000">
      <w:pPr>
        <w:pStyle w:val="Normal16"/>
        <w:widowControl w:val="0"/>
        <w:spacing w:before="120" w:line="260" w:lineRule="atLeast"/>
        <w:jc w:val="center"/>
      </w:pPr>
      <w:r>
        <w:rPr>
          <w:rFonts w:ascii="Arial" w:eastAsia="Arial" w:hAnsi="Arial" w:cs="Arial"/>
          <w:color w:val="000000"/>
          <w:sz w:val="20"/>
        </w:rPr>
        <w:t>November 3, 2022, Filed</w:t>
      </w:r>
    </w:p>
    <w:p w:rsidR="00022B47" w:rsidRDefault="00000000">
      <w:pPr>
        <w:pStyle w:val="Normal16"/>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22-5923</w:t>
      </w:r>
    </w:p>
    <w:p w:rsidR="00022B47" w:rsidRDefault="00022B47">
      <w:pPr>
        <w:pStyle w:val="Normal16"/>
        <w:widowControl w:val="0"/>
        <w:spacing w:line="240" w:lineRule="atLeast"/>
        <w:jc w:val="both"/>
      </w:pPr>
      <w:bookmarkStart w:id="2952" w:name="Bookmark_17"/>
      <w:bookmarkEnd w:id="2952"/>
    </w:p>
    <w:p w:rsidR="00022B47" w:rsidRDefault="00000000">
      <w:pPr>
        <w:pStyle w:val="Normal16"/>
        <w:widowControl w:val="0"/>
        <w:spacing w:before="200" w:line="240" w:lineRule="atLeast"/>
      </w:pPr>
      <w:bookmarkStart w:id="2953" w:name="Reporter_15"/>
      <w:bookmarkEnd w:id="2953"/>
      <w:r>
        <w:rPr>
          <w:rFonts w:ascii="Arial" w:eastAsia="Arial" w:hAnsi="Arial" w:cs="Arial"/>
          <w:b/>
          <w:color w:val="000000"/>
          <w:sz w:val="18"/>
        </w:rPr>
        <w:t>Reporter</w:t>
      </w:r>
    </w:p>
    <w:p w:rsidR="00022B47" w:rsidRDefault="00000000">
      <w:pPr>
        <w:pStyle w:val="Normal16"/>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2022 U.S. App. LEXIS 30613 *; 2022 WL 18674465</w:t>
      </w:r>
    </w:p>
    <w:p w:rsidR="00022B47" w:rsidRDefault="00000000">
      <w:pPr>
        <w:pStyle w:val="Normal16"/>
        <w:widowControl w:val="0"/>
        <w:spacing w:before="120" w:line="260" w:lineRule="atLeast"/>
      </w:pPr>
      <w:r>
        <w:rPr>
          <w:rFonts w:ascii="Arial" w:eastAsia="Arial" w:hAnsi="Arial" w:cs="Arial"/>
          <w:color w:val="000000"/>
          <w:sz w:val="20"/>
        </w:rPr>
        <w:t>BARBARA PHILLIPS, Plaintiff-Appellant, v. SHELBY COUNTY, TN GOVERNMENT, Sheriff's Office, Defendant-Appellee.</w:t>
      </w:r>
    </w:p>
    <w:p w:rsidR="00022B47" w:rsidRDefault="00000000">
      <w:pPr>
        <w:pStyle w:val="Normal16"/>
        <w:widowControl w:val="0"/>
        <w:spacing w:before="240" w:line="260" w:lineRule="atLeast"/>
        <w:jc w:val="both"/>
      </w:pPr>
      <w:bookmarkStart w:id="2954" w:name="Notice_6"/>
      <w:bookmarkEnd w:id="2954"/>
      <w:r>
        <w:rPr>
          <w:rFonts w:ascii="Arial" w:eastAsia="Arial" w:hAnsi="Arial" w:cs="Arial"/>
          <w:b/>
          <w:color w:val="000000"/>
          <w:sz w:val="20"/>
        </w:rPr>
        <w:t>Notice:</w:t>
      </w:r>
      <w:r>
        <w:rPr>
          <w:rFonts w:ascii="Arial" w:eastAsia="Arial" w:hAnsi="Arial" w:cs="Arial"/>
          <w:color w:val="000000"/>
          <w:sz w:val="20"/>
        </w:rPr>
        <w:t> </w:t>
      </w:r>
      <w:bookmarkStart w:id="2955" w:name="Bookmark_para_1_15"/>
      <w:bookmarkEnd w:id="2955"/>
      <w:r>
        <w:rPr>
          <w:rFonts w:ascii="Arial" w:eastAsia="Arial" w:hAnsi="Arial" w:cs="Arial"/>
          <w:color w:val="000000"/>
          <w:sz w:val="20"/>
        </w:rPr>
        <w:t>CONSULT 6TH CIR. R. 32.1 FOR CITATION OF UNPUBLISHED OPINIONS AND DECISIONS.</w:t>
      </w:r>
    </w:p>
    <w:p w:rsidR="00022B47" w:rsidRDefault="00000000">
      <w:pPr>
        <w:pStyle w:val="Normal16"/>
        <w:widowControl w:val="0"/>
        <w:spacing w:before="240" w:line="260" w:lineRule="atLeast"/>
        <w:jc w:val="both"/>
      </w:pPr>
      <w:bookmarkStart w:id="2956" w:name="Prior_History_15"/>
      <w:bookmarkEnd w:id="2956"/>
      <w:r>
        <w:rPr>
          <w:rFonts w:ascii="Arial" w:eastAsia="Arial" w:hAnsi="Arial" w:cs="Arial"/>
          <w:b/>
          <w:color w:val="000000"/>
          <w:sz w:val="20"/>
        </w:rPr>
        <w:t>Prior History:</w:t>
      </w:r>
      <w:r>
        <w:rPr>
          <w:rFonts w:ascii="Arial" w:eastAsia="Arial" w:hAnsi="Arial" w:cs="Arial"/>
          <w:color w:val="000000"/>
          <w:sz w:val="20"/>
        </w:rPr>
        <w:t> </w:t>
      </w:r>
      <w:bookmarkStart w:id="2957" w:name="Bookmark_para_2_15"/>
      <w:bookmarkEnd w:id="2957"/>
      <w:r>
        <w:rPr>
          <w:rFonts w:ascii="Arial" w:eastAsia="Arial" w:hAnsi="Arial" w:cs="Arial"/>
          <w:color w:val="000000"/>
          <w:sz w:val="20"/>
        </w:rPr>
        <w:t> [*1] ON APPEAL FROM THE UNITED STATES DISTRICT COURT FOR THE WESTERN DISTRICT OF TENNESSEE.</w:t>
      </w:r>
    </w:p>
    <w:p w:rsidR="00022B47" w:rsidRDefault="00000000">
      <w:pPr>
        <w:pStyle w:val="Normal16"/>
        <w:widowControl w:val="0"/>
        <w:spacing w:before="120" w:line="260" w:lineRule="atLeast"/>
      </w:pPr>
      <w:r>
        <w:rPr>
          <w:rFonts w:ascii="Arial" w:eastAsia="Arial" w:hAnsi="Arial" w:cs="Arial"/>
          <w:color w:val="000000"/>
          <w:sz w:val="20"/>
        </w:rPr>
        <w:t>Phillips v. Shelby Cnty. Gov't, 2022 U.S. Dist. LEXIS 117121, 2022 WL 3337768 (W.D. Tenn., Apr. 14, 2022)</w:t>
      </w:r>
    </w:p>
    <w:p w:rsidR="00022B47" w:rsidRDefault="00000000">
      <w:pPr>
        <w:pStyle w:val="Normal16"/>
        <w:widowControl w:val="0"/>
        <w:spacing w:before="240" w:line="260" w:lineRule="atLeast"/>
      </w:pPr>
      <w:bookmarkStart w:id="2958" w:name="Counsel_15"/>
      <w:bookmarkEnd w:id="2958"/>
      <w:r>
        <w:rPr>
          <w:rFonts w:ascii="Arial" w:eastAsia="Arial" w:hAnsi="Arial" w:cs="Arial"/>
          <w:b/>
          <w:color w:val="000000"/>
          <w:sz w:val="20"/>
        </w:rPr>
        <w:t>Counsel:</w:t>
      </w:r>
      <w:r>
        <w:rPr>
          <w:rFonts w:ascii="Arial" w:eastAsia="Arial" w:hAnsi="Arial" w:cs="Arial"/>
          <w:color w:val="000000"/>
          <w:sz w:val="20"/>
        </w:rPr>
        <w:t> For BARBARA PHILLIPS, Plaintiff - Appellant: Stephanie Moss, Moss Law Group, Atlanta, GA.</w:t>
      </w:r>
    </w:p>
    <w:p w:rsidR="00022B47" w:rsidRDefault="00000000">
      <w:pPr>
        <w:pStyle w:val="Normal16"/>
        <w:widowControl w:val="0"/>
        <w:spacing w:before="120" w:line="260" w:lineRule="atLeast"/>
      </w:pPr>
      <w:r>
        <w:rPr>
          <w:rFonts w:ascii="Arial" w:eastAsia="Arial" w:hAnsi="Arial" w:cs="Arial"/>
          <w:color w:val="000000"/>
          <w:sz w:val="20"/>
        </w:rPr>
        <w:t>BARBARA PHILLIPS, Plaintiff - Appellant, Pro se, Memphis, TN.</w:t>
      </w:r>
    </w:p>
    <w:p w:rsidR="00022B47" w:rsidRDefault="00000000">
      <w:pPr>
        <w:pStyle w:val="Normal16"/>
        <w:widowControl w:val="0"/>
        <w:spacing w:before="120" w:line="260" w:lineRule="atLeast"/>
      </w:pPr>
      <w:r>
        <w:rPr>
          <w:rFonts w:ascii="Arial" w:eastAsia="Arial" w:hAnsi="Arial" w:cs="Arial"/>
          <w:color w:val="000000"/>
          <w:sz w:val="20"/>
        </w:rPr>
        <w:t>For SHELBY COUNTY, TN GOVERNMENT, Sheriff's Office, Defendant - Appellee: Robert Joseph Leibovich, Shelby County Attorney, Memphis, TN.</w:t>
      </w:r>
    </w:p>
    <w:p w:rsidR="00022B47" w:rsidRDefault="00000000">
      <w:pPr>
        <w:pStyle w:val="Normal16"/>
        <w:widowControl w:val="0"/>
        <w:spacing w:before="240" w:line="260" w:lineRule="atLeast"/>
      </w:pPr>
      <w:bookmarkStart w:id="2959" w:name="Judges_15"/>
      <w:bookmarkEnd w:id="2959"/>
      <w:r>
        <w:rPr>
          <w:rFonts w:ascii="Arial" w:eastAsia="Arial" w:hAnsi="Arial" w:cs="Arial"/>
          <w:b/>
          <w:color w:val="000000"/>
          <w:sz w:val="20"/>
        </w:rPr>
        <w:t>Judges:</w:t>
      </w:r>
      <w:r>
        <w:rPr>
          <w:rFonts w:ascii="Arial" w:eastAsia="Arial" w:hAnsi="Arial" w:cs="Arial"/>
          <w:color w:val="000000"/>
          <w:sz w:val="20"/>
        </w:rPr>
        <w:t> Before: SUTTON, Chief Judge; CLAY and BUSH, Circuit Judges.</w:t>
      </w:r>
    </w:p>
    <w:p w:rsidR="00022B47" w:rsidRDefault="00000000">
      <w:pPr>
        <w:pStyle w:val="Normal16"/>
        <w:keepNext/>
        <w:widowControl w:val="0"/>
        <w:spacing w:before="240" w:line="340" w:lineRule="atLeast"/>
      </w:pPr>
      <w:bookmarkStart w:id="2960" w:name="Opinion_15"/>
      <w:bookmarkEnd w:id="2960"/>
      <w:r>
        <w:rPr>
          <w:rFonts w:ascii="Arial" w:eastAsia="Arial" w:hAnsi="Arial" w:cs="Arial"/>
          <w:b/>
          <w:color w:val="000000"/>
          <w:sz w:val="28"/>
        </w:rPr>
        <w:t>Opinion</w:t>
      </w:r>
    </w:p>
    <w:p w:rsidR="00022B47" w:rsidRDefault="0025213E">
      <w:pPr>
        <w:pStyle w:val="Normal16"/>
        <w:spacing w:line="60" w:lineRule="exact"/>
      </w:pPr>
      <w:r>
        <w:rPr>
          <w:noProof/>
        </w:rPr>
        <mc:AlternateContent>
          <mc:Choice Requires="wps">
            <w:drawing>
              <wp:anchor distT="0" distB="0" distL="114300" distR="114300" simplePos="0" relativeHeight="251692032"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301143179"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3EBB40" id="Line 35"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16"/>
        <w:spacing w:line="120" w:lineRule="exact"/>
      </w:pPr>
    </w:p>
    <w:p w:rsidR="00022B47" w:rsidRDefault="00000000">
      <w:pPr>
        <w:pStyle w:val="Normal16"/>
        <w:widowControl w:val="0"/>
        <w:spacing w:before="240" w:line="260" w:lineRule="atLeast"/>
      </w:pPr>
      <w:r>
        <w:br/>
      </w:r>
      <w:r>
        <w:rPr>
          <w:rFonts w:ascii="Arial" w:eastAsia="Arial" w:hAnsi="Arial" w:cs="Arial"/>
          <w:color w:val="000000"/>
          <w:sz w:val="20"/>
          <w:u w:val="single"/>
        </w:rPr>
        <w:t>ORDER</w:t>
      </w:r>
    </w:p>
    <w:p w:rsidR="00022B47" w:rsidRDefault="00000000">
      <w:pPr>
        <w:pStyle w:val="Normal16"/>
        <w:widowControl w:val="0"/>
        <w:spacing w:before="200" w:line="260" w:lineRule="atLeast"/>
        <w:jc w:val="both"/>
      </w:pPr>
      <w:bookmarkStart w:id="2961" w:name="Bookmark_para_3_15"/>
      <w:bookmarkEnd w:id="2961"/>
      <w:r>
        <w:rPr>
          <w:rFonts w:ascii="Arial" w:eastAsia="Arial" w:hAnsi="Arial" w:cs="Arial"/>
          <w:color w:val="000000"/>
          <w:sz w:val="20"/>
        </w:rPr>
        <w:t>This matter is before the court upon initial consideration of appellate jurisdiction.</w:t>
      </w:r>
    </w:p>
    <w:p w:rsidR="00022B47" w:rsidRDefault="00000000">
      <w:pPr>
        <w:pStyle w:val="Normal16"/>
        <w:widowControl w:val="0"/>
        <w:spacing w:before="200" w:line="260" w:lineRule="atLeast"/>
        <w:jc w:val="both"/>
      </w:pPr>
      <w:bookmarkStart w:id="2962" w:name="Bookmark_para_4_15"/>
      <w:bookmarkEnd w:id="2962"/>
      <w:r>
        <w:rPr>
          <w:rFonts w:ascii="Arial" w:eastAsia="Arial" w:hAnsi="Arial" w:cs="Arial"/>
          <w:color w:val="000000"/>
          <w:sz w:val="20"/>
        </w:rPr>
        <w:t>Barbara Phillips filed a complaint alleging violations of the Americans with Disabilities Act ("ADA"), Title VII of the Civil Rights Act of 1964, and the Family and Medical Leave Act. The defendant moved to dismiss, and a magistrate judge recommended granting the motion. Phillips objected and moved for leave to amend the complaint. The district court adopted the magistrate judge's report in part and granted in part the defendant's motion to dismiss. The district court also granted in part Phillips's request for leave to amend, as to her ADA claim for failure to accommodate only, and directed Phillips to amend her complaint as to that claim within 30 days of the entry of the court's July 1, 2022, order.</w:t>
      </w:r>
    </w:p>
    <w:p w:rsidR="00022B47" w:rsidRDefault="00000000">
      <w:pPr>
        <w:pStyle w:val="Normal16"/>
        <w:widowControl w:val="0"/>
        <w:spacing w:before="200" w:line="260" w:lineRule="atLeast"/>
        <w:jc w:val="both"/>
      </w:pPr>
      <w:bookmarkStart w:id="2963" w:name="Bookmark_para_5_15"/>
      <w:bookmarkEnd w:id="2963"/>
      <w:r>
        <w:rPr>
          <w:rFonts w:ascii="Arial" w:eastAsia="Arial" w:hAnsi="Arial" w:cs="Arial"/>
          <w:color w:val="000000"/>
          <w:sz w:val="20"/>
        </w:rPr>
        <w:t>Phillips filed a motion for reconsideration and asserted [*2]  that she should be allowed to amend each claim in her complaint. The district court denied the motion for reconsideration on September 13, 2022. On October 3, 2022, Phillips filed a notice of appeal from the district court's September 13, 2022, order.</w:t>
      </w:r>
    </w:p>
    <w:p w:rsidR="00022B47" w:rsidRDefault="00000000">
      <w:pPr>
        <w:pStyle w:val="Normal16"/>
        <w:widowControl w:val="0"/>
        <w:spacing w:before="200" w:line="260" w:lineRule="atLeast"/>
        <w:jc w:val="both"/>
      </w:pPr>
      <w:bookmarkStart w:id="2964" w:name="Bookmark_para_6_15"/>
      <w:bookmarkStart w:id="2965" w:name="Bookmark_I66TNPF028T4DJ0020000400"/>
      <w:bookmarkEnd w:id="2964"/>
      <w:bookmarkEnd w:id="2965"/>
      <w:r>
        <w:rPr>
          <w:rFonts w:ascii="Arial" w:eastAsia="Arial" w:hAnsi="Arial" w:cs="Arial"/>
          <w:color w:val="000000"/>
          <w:sz w:val="20"/>
        </w:rPr>
        <w:t xml:space="preserve">We lack jurisdiction over this appeal. </w:t>
      </w:r>
      <w:bookmarkStart w:id="2966" w:name="Bookmark_I66TNPF12SF7XB0010000400"/>
      <w:bookmarkEnd w:id="2966"/>
      <w:r>
        <w:rPr>
          <w:rFonts w:ascii="Arial" w:eastAsia="Arial" w:hAnsi="Arial" w:cs="Arial"/>
          <w:color w:val="000000"/>
          <w:sz w:val="20"/>
        </w:rPr>
        <w:t xml:space="preserve">The district court's order disposed of fewer than all of the claims or parties involved in this action and did not direct entry of a final, appealable judgment under Federal Rule of Civil Procedure 54(b). </w:t>
      </w:r>
      <w:r>
        <w:rPr>
          <w:rFonts w:ascii="Arial" w:eastAsia="Arial" w:hAnsi="Arial" w:cs="Arial"/>
          <w:i/>
          <w:color w:val="000000"/>
          <w:sz w:val="20"/>
        </w:rPr>
        <w:t xml:space="preserve">See </w:t>
      </w:r>
      <w:bookmarkStart w:id="2967" w:name="Bookmark_I66TNPF028T4DJ0010000400"/>
      <w:bookmarkEnd w:id="2967"/>
      <w:r>
        <w:rPr>
          <w:rFonts w:ascii="Arial" w:eastAsia="Arial" w:hAnsi="Arial" w:cs="Arial"/>
          <w:i/>
          <w:color w:val="000000"/>
          <w:sz w:val="20"/>
        </w:rPr>
        <w:t>Liberty Mut. Ins. Co. v. Wetzel</w:t>
      </w:r>
      <w:r>
        <w:rPr>
          <w:rFonts w:ascii="Arial" w:eastAsia="Arial" w:hAnsi="Arial" w:cs="Arial"/>
          <w:color w:val="000000"/>
          <w:sz w:val="20"/>
        </w:rPr>
        <w:t xml:space="preserve">, 424 U.S. 737, 742-45, 96 S. Ct. 1202, 47 L. Ed. 2d 435 (1976); </w:t>
      </w:r>
      <w:bookmarkStart w:id="2968" w:name="Bookmark_I66TNPF028T4DJ0030000400"/>
      <w:bookmarkEnd w:id="2968"/>
      <w:r>
        <w:rPr>
          <w:rFonts w:ascii="Arial" w:eastAsia="Arial" w:hAnsi="Arial" w:cs="Arial"/>
          <w:i/>
          <w:color w:val="000000"/>
          <w:sz w:val="20"/>
        </w:rPr>
        <w:t>Solomon v. Aetna Life Ins. Co.</w:t>
      </w:r>
      <w:r>
        <w:rPr>
          <w:rFonts w:ascii="Arial" w:eastAsia="Arial" w:hAnsi="Arial" w:cs="Arial"/>
          <w:color w:val="000000"/>
          <w:sz w:val="20"/>
        </w:rPr>
        <w:t xml:space="preserve">, 782 F.2d 58, 59-60 (6th Cir. 1986). </w:t>
      </w:r>
      <w:bookmarkStart w:id="2969" w:name="Bookmark_I66TNPF12SF7XB0010000400_2"/>
      <w:bookmarkEnd w:id="2969"/>
      <w:r>
        <w:rPr>
          <w:rFonts w:ascii="Arial" w:eastAsia="Arial" w:hAnsi="Arial" w:cs="Arial"/>
          <w:color w:val="000000"/>
          <w:sz w:val="20"/>
        </w:rPr>
        <w:t xml:space="preserve">The partial dismissal is also not an immediately appealable "collateral" order under the doctrine announced in </w:t>
      </w:r>
      <w:bookmarkStart w:id="2970" w:name="Bookmark_I66TNPF028T4DJ0050000400"/>
      <w:bookmarkEnd w:id="2970"/>
      <w:r>
        <w:rPr>
          <w:rFonts w:ascii="Arial" w:eastAsia="Arial" w:hAnsi="Arial" w:cs="Arial"/>
          <w:i/>
          <w:color w:val="000000"/>
          <w:sz w:val="20"/>
        </w:rPr>
        <w:t>Cohen v. Beneficial Indus. Loan Corp.</w:t>
      </w:r>
      <w:r>
        <w:rPr>
          <w:rFonts w:ascii="Arial" w:eastAsia="Arial" w:hAnsi="Arial" w:cs="Arial"/>
          <w:color w:val="000000"/>
          <w:sz w:val="20"/>
        </w:rPr>
        <w:t xml:space="preserve">, 337 U.S. 541, 546-47, 69 S. Ct. 1221, 93 L. Ed. 1528 (1949). </w:t>
      </w:r>
      <w:bookmarkStart w:id="2971" w:name="Bookmark_I66TNPF12SF7XB0030000400"/>
      <w:bookmarkEnd w:id="2971"/>
      <w:r>
        <w:rPr>
          <w:rFonts w:ascii="Arial" w:eastAsia="Arial" w:hAnsi="Arial" w:cs="Arial"/>
          <w:color w:val="000000"/>
          <w:sz w:val="20"/>
        </w:rPr>
        <w:t xml:space="preserve">Further, although the district court noted in its denial of Phillips's motion for reconsideration that Phillips had failed to amend her complaint within the time allowed by its July 1, 2022, order, the district court has yet to enter a final judgment regarding her ADA claim for failure to accommodate. Therefore, we lack appellate jurisdiction over this interlocutory appeal. </w:t>
      </w:r>
      <w:r>
        <w:rPr>
          <w:rFonts w:ascii="Arial" w:eastAsia="Arial" w:hAnsi="Arial" w:cs="Arial"/>
          <w:i/>
          <w:color w:val="000000"/>
          <w:sz w:val="20"/>
        </w:rPr>
        <w:t xml:space="preserve">See </w:t>
      </w:r>
      <w:bookmarkStart w:id="2972" w:name="Bookmark_I66TNPF12SF7XB0020000400"/>
      <w:bookmarkEnd w:id="2972"/>
      <w:r>
        <w:rPr>
          <w:rFonts w:ascii="Arial" w:eastAsia="Arial" w:hAnsi="Arial" w:cs="Arial"/>
          <w:i/>
          <w:color w:val="000000"/>
          <w:sz w:val="20"/>
        </w:rPr>
        <w:t>Gillis v. U.S. Dep't of Health &amp; Hum. Servs.</w:t>
      </w:r>
      <w:r>
        <w:rPr>
          <w:rFonts w:ascii="Arial" w:eastAsia="Arial" w:hAnsi="Arial" w:cs="Arial"/>
          <w:color w:val="000000"/>
          <w:sz w:val="20"/>
        </w:rPr>
        <w:t>, 759 F.2d 565, 568-69 (6th Cir. 1985).</w:t>
      </w:r>
    </w:p>
    <w:p w:rsidR="00022B47" w:rsidRDefault="00000000">
      <w:pPr>
        <w:pStyle w:val="Normal16"/>
        <w:widowControl w:val="0"/>
        <w:spacing w:before="200" w:line="260" w:lineRule="atLeast"/>
        <w:jc w:val="both"/>
      </w:pPr>
      <w:bookmarkStart w:id="2973" w:name="Bookmark_para_7_15"/>
      <w:bookmarkEnd w:id="2973"/>
      <w:r>
        <w:rPr>
          <w:rFonts w:ascii="Arial" w:eastAsia="Arial" w:hAnsi="Arial" w:cs="Arial"/>
          <w:color w:val="000000"/>
          <w:sz w:val="20"/>
        </w:rPr>
        <w:t xml:space="preserve">Accordingly, we </w:t>
      </w:r>
      <w:r>
        <w:rPr>
          <w:rFonts w:ascii="Arial" w:eastAsia="Arial" w:hAnsi="Arial" w:cs="Arial"/>
          <w:b/>
          <w:color w:val="000000"/>
          <w:sz w:val="20"/>
        </w:rPr>
        <w:t>DISMISS</w:t>
      </w:r>
      <w:r>
        <w:rPr>
          <w:rFonts w:ascii="Arial" w:eastAsia="Arial" w:hAnsi="Arial" w:cs="Arial"/>
          <w:color w:val="000000"/>
          <w:sz w:val="20"/>
        </w:rPr>
        <w:t xml:space="preserve"> the appeal for lack of jurisdiction.</w:t>
      </w:r>
    </w:p>
    <w:p w:rsidR="00022B47" w:rsidRDefault="00022B47">
      <w:pPr>
        <w:pStyle w:val="Normal16"/>
      </w:pPr>
    </w:p>
    <w:p w:rsidR="00022B47" w:rsidRDefault="00000000">
      <w:pPr>
        <w:pStyle w:val="Normal16"/>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693056"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932374290"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091D9D" id="Line 36"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17"/>
        <w:sectPr w:rsidR="00022B47">
          <w:headerReference w:type="even" r:id="rId109"/>
          <w:headerReference w:type="default" r:id="rId110"/>
          <w:footerReference w:type="even" r:id="rId111"/>
          <w:footerReference w:type="default" r:id="rId112"/>
          <w:headerReference w:type="first" r:id="rId113"/>
          <w:footerReference w:type="first" r:id="rId114"/>
          <w:pgSz w:w="12240" w:h="15840"/>
          <w:pgMar w:top="840" w:right="1000" w:bottom="840" w:left="1000" w:header="400" w:footer="400" w:gutter="0"/>
          <w:cols w:space="720"/>
          <w:titlePg/>
        </w:sectPr>
      </w:pPr>
    </w:p>
    <w:p w:rsidR="00022B47" w:rsidRDefault="00022B47">
      <w:pPr>
        <w:pStyle w:val="Normal17"/>
      </w:pPr>
    </w:p>
    <w:p w:rsidR="00022B47" w:rsidRDefault="00000000">
      <w:pPr>
        <w:pStyle w:val="Heading116"/>
        <w:keepNext w:val="0"/>
        <w:widowControl w:val="0"/>
        <w:spacing w:after="200" w:line="340" w:lineRule="atLeast"/>
        <w:jc w:val="center"/>
      </w:pPr>
      <w:r>
        <w:rPr>
          <w:rFonts w:eastAsia="Arial"/>
          <w:color w:val="000000"/>
          <w:sz w:val="28"/>
        </w:rPr>
        <w:t>Laufer v. Acheson Hotels, LLC</w:t>
      </w:r>
    </w:p>
    <w:p w:rsidR="00022B47" w:rsidRDefault="00000000">
      <w:pPr>
        <w:pStyle w:val="Normal17"/>
        <w:widowControl w:val="0"/>
        <w:spacing w:before="120" w:line="260" w:lineRule="atLeast"/>
        <w:jc w:val="center"/>
      </w:pPr>
      <w:r>
        <w:rPr>
          <w:rFonts w:ascii="Arial" w:eastAsia="Arial" w:hAnsi="Arial" w:cs="Arial"/>
          <w:color w:val="000000"/>
          <w:sz w:val="20"/>
        </w:rPr>
        <w:t>United States Court of Appeals for the First Circuit</w:t>
      </w:r>
    </w:p>
    <w:p w:rsidR="00022B47" w:rsidRDefault="00000000">
      <w:pPr>
        <w:pStyle w:val="Normal17"/>
        <w:widowControl w:val="0"/>
        <w:spacing w:before="120" w:line="260" w:lineRule="atLeast"/>
        <w:jc w:val="center"/>
      </w:pPr>
      <w:r>
        <w:rPr>
          <w:rFonts w:ascii="Arial" w:eastAsia="Arial" w:hAnsi="Arial" w:cs="Arial"/>
          <w:color w:val="000000"/>
          <w:sz w:val="20"/>
        </w:rPr>
        <w:t>October 5, 2022, Decided</w:t>
      </w:r>
    </w:p>
    <w:p w:rsidR="00022B47" w:rsidRDefault="00000000">
      <w:pPr>
        <w:pStyle w:val="Normal17"/>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21-1410</w:t>
      </w:r>
    </w:p>
    <w:p w:rsidR="00022B47" w:rsidRDefault="00022B47">
      <w:pPr>
        <w:pStyle w:val="Normal17"/>
        <w:widowControl w:val="0"/>
        <w:spacing w:line="240" w:lineRule="atLeast"/>
        <w:jc w:val="both"/>
      </w:pPr>
      <w:bookmarkStart w:id="2974" w:name="Bookmark_18"/>
      <w:bookmarkEnd w:id="2974"/>
    </w:p>
    <w:p w:rsidR="00022B47" w:rsidRDefault="00000000">
      <w:pPr>
        <w:pStyle w:val="Normal17"/>
        <w:widowControl w:val="0"/>
        <w:spacing w:before="200" w:line="240" w:lineRule="atLeast"/>
      </w:pPr>
      <w:bookmarkStart w:id="2975" w:name="Reporter_16"/>
      <w:bookmarkEnd w:id="2975"/>
      <w:r>
        <w:rPr>
          <w:rFonts w:ascii="Arial" w:eastAsia="Arial" w:hAnsi="Arial" w:cs="Arial"/>
          <w:b/>
          <w:color w:val="000000"/>
          <w:sz w:val="18"/>
        </w:rPr>
        <w:t>Reporter</w:t>
      </w:r>
    </w:p>
    <w:p w:rsidR="00022B47" w:rsidRDefault="00000000">
      <w:pPr>
        <w:pStyle w:val="Normal17"/>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50 F.4th 259 *; 2022 U.S. App. LEXIS 27807 **</w:t>
      </w:r>
    </w:p>
    <w:p w:rsidR="00022B47" w:rsidRDefault="00000000">
      <w:pPr>
        <w:pStyle w:val="Normal17"/>
        <w:widowControl w:val="0"/>
        <w:spacing w:before="120" w:line="260" w:lineRule="atLeast"/>
      </w:pPr>
      <w:r>
        <w:rPr>
          <w:rFonts w:ascii="Arial" w:eastAsia="Arial" w:hAnsi="Arial" w:cs="Arial"/>
          <w:color w:val="000000"/>
          <w:sz w:val="20"/>
        </w:rPr>
        <w:t>DEBORAH LAUFER, Plaintiff, Appellant, v. ACHESON HOTELS, LLC, Defendant, Appellee.</w:t>
      </w:r>
    </w:p>
    <w:p w:rsidR="00022B47" w:rsidRDefault="00000000">
      <w:pPr>
        <w:pStyle w:val="Normal17"/>
        <w:widowControl w:val="0"/>
        <w:spacing w:before="240" w:line="260" w:lineRule="atLeast"/>
      </w:pPr>
      <w:bookmarkStart w:id="2976" w:name="Subsequent_History_1"/>
      <w:bookmarkEnd w:id="2976"/>
      <w:r>
        <w:rPr>
          <w:rFonts w:ascii="Arial" w:eastAsia="Arial" w:hAnsi="Arial" w:cs="Arial"/>
          <w:b/>
          <w:color w:val="000000"/>
          <w:sz w:val="20"/>
        </w:rPr>
        <w:t>Subsequent History:</w:t>
      </w:r>
      <w:r>
        <w:rPr>
          <w:rFonts w:ascii="Arial" w:eastAsia="Arial" w:hAnsi="Arial" w:cs="Arial"/>
          <w:color w:val="000000"/>
          <w:sz w:val="20"/>
        </w:rPr>
        <w:t> US Supreme Court certiorari granted by Acheson Hotels, LLC v. Laufer, 2023 U.S. LEXIS 1375 (U.S., Mar. 27, 2023)</w:t>
      </w:r>
    </w:p>
    <w:p w:rsidR="00022B47" w:rsidRDefault="00000000">
      <w:pPr>
        <w:pStyle w:val="Normal17"/>
        <w:widowControl w:val="0"/>
        <w:spacing w:before="240" w:line="260" w:lineRule="atLeast"/>
        <w:jc w:val="both"/>
      </w:pPr>
      <w:bookmarkStart w:id="2977" w:name="Prior_History_16"/>
      <w:bookmarkEnd w:id="2977"/>
      <w:r>
        <w:rPr>
          <w:rFonts w:ascii="Arial" w:eastAsia="Arial" w:hAnsi="Arial" w:cs="Arial"/>
          <w:b/>
          <w:color w:val="000000"/>
          <w:sz w:val="20"/>
        </w:rPr>
        <w:t>Prior History:</w:t>
      </w:r>
      <w:r>
        <w:rPr>
          <w:rFonts w:ascii="Arial" w:eastAsia="Arial" w:hAnsi="Arial" w:cs="Arial"/>
          <w:color w:val="000000"/>
          <w:sz w:val="20"/>
        </w:rPr>
        <w:t> </w:t>
      </w:r>
      <w:bookmarkStart w:id="2978" w:name="Bookmark_para_1_16"/>
      <w:bookmarkEnd w:id="2978"/>
      <w:r>
        <w:rPr>
          <w:rFonts w:ascii="Arial" w:eastAsia="Arial" w:hAnsi="Arial" w:cs="Arial"/>
          <w:color w:val="000000"/>
          <w:sz w:val="20"/>
        </w:rPr>
        <w:t> [**1] APPEAL FROM THE UNITED STATES DISTRICT COURT FOR THE DISTRICT OF MAINE. Hon. George Z. Singal, U.S. District Judge.</w:t>
      </w:r>
    </w:p>
    <w:p w:rsidR="00022B47" w:rsidRDefault="00000000">
      <w:pPr>
        <w:pStyle w:val="Normal17"/>
        <w:widowControl w:val="0"/>
        <w:spacing w:before="120" w:line="260" w:lineRule="atLeast"/>
      </w:pPr>
      <w:r>
        <w:rPr>
          <w:rFonts w:ascii="Arial" w:eastAsia="Arial" w:hAnsi="Arial" w:cs="Arial"/>
          <w:color w:val="000000"/>
          <w:sz w:val="20"/>
        </w:rPr>
        <w:t>Laufer v. Acheson Hotels, LLC, 2021 U.S. Dist. LEXIS 93703, 2021 WL 1993555 (D. Me., May 18, 2021)</w:t>
      </w:r>
    </w:p>
    <w:p w:rsidR="00022B47" w:rsidRDefault="00000000">
      <w:pPr>
        <w:pStyle w:val="Normal17"/>
        <w:widowControl w:val="0"/>
        <w:spacing w:before="240" w:line="260" w:lineRule="atLeast"/>
      </w:pPr>
      <w:bookmarkStart w:id="2979" w:name="Counsel_16"/>
      <w:bookmarkEnd w:id="2979"/>
      <w:r>
        <w:rPr>
          <w:rFonts w:ascii="Arial" w:eastAsia="Arial" w:hAnsi="Arial" w:cs="Arial"/>
          <w:b/>
          <w:color w:val="000000"/>
          <w:sz w:val="20"/>
        </w:rPr>
        <w:t>Counsel:</w:t>
      </w:r>
      <w:r>
        <w:rPr>
          <w:rFonts w:ascii="Arial" w:eastAsia="Arial" w:hAnsi="Arial" w:cs="Arial"/>
          <w:color w:val="000000"/>
          <w:sz w:val="20"/>
        </w:rPr>
        <w:t> Thomas B. Bacon, with whom Thomas B. Bacon, P.A. was on brief, for appellant.</w:t>
      </w:r>
    </w:p>
    <w:p w:rsidR="00022B47" w:rsidRDefault="00000000">
      <w:pPr>
        <w:pStyle w:val="Normal17"/>
        <w:widowControl w:val="0"/>
        <w:spacing w:before="120" w:line="260" w:lineRule="atLeast"/>
      </w:pPr>
      <w:r>
        <w:rPr>
          <w:rFonts w:ascii="Arial" w:eastAsia="Arial" w:hAnsi="Arial" w:cs="Arial"/>
          <w:color w:val="000000"/>
          <w:sz w:val="20"/>
        </w:rPr>
        <w:t>Sally A. Morris, with whom Jennifer H. Rohde and Sally A. Morris, Attorney at Law, LLC, were on brief, for appellee.</w:t>
      </w:r>
    </w:p>
    <w:p w:rsidR="00022B47" w:rsidRDefault="00000000">
      <w:pPr>
        <w:pStyle w:val="Normal17"/>
        <w:widowControl w:val="0"/>
        <w:spacing w:before="240" w:line="260" w:lineRule="atLeast"/>
      </w:pPr>
      <w:bookmarkStart w:id="2980" w:name="Judges_16"/>
      <w:bookmarkEnd w:id="2980"/>
      <w:r>
        <w:rPr>
          <w:rFonts w:ascii="Arial" w:eastAsia="Arial" w:hAnsi="Arial" w:cs="Arial"/>
          <w:b/>
          <w:color w:val="000000"/>
          <w:sz w:val="20"/>
        </w:rPr>
        <w:t>Judges:</w:t>
      </w:r>
      <w:r>
        <w:rPr>
          <w:rFonts w:ascii="Arial" w:eastAsia="Arial" w:hAnsi="Arial" w:cs="Arial"/>
          <w:color w:val="000000"/>
          <w:sz w:val="20"/>
        </w:rPr>
        <w:t> Before Kayatta, Howard, and Thompson, Circuit Judges.</w:t>
      </w:r>
    </w:p>
    <w:p w:rsidR="00022B47" w:rsidRDefault="00000000">
      <w:pPr>
        <w:pStyle w:val="Normal17"/>
        <w:widowControl w:val="0"/>
        <w:spacing w:before="240" w:line="260" w:lineRule="atLeast"/>
      </w:pPr>
      <w:bookmarkStart w:id="2981" w:name="Opinion_by_8"/>
      <w:bookmarkEnd w:id="2981"/>
      <w:r>
        <w:rPr>
          <w:rFonts w:ascii="Arial" w:eastAsia="Arial" w:hAnsi="Arial" w:cs="Arial"/>
          <w:b/>
          <w:color w:val="000000"/>
          <w:sz w:val="20"/>
        </w:rPr>
        <w:t>Opinion by:</w:t>
      </w:r>
      <w:r>
        <w:rPr>
          <w:rFonts w:ascii="Arial" w:eastAsia="Arial" w:hAnsi="Arial" w:cs="Arial"/>
          <w:color w:val="000000"/>
          <w:sz w:val="20"/>
        </w:rPr>
        <w:t> THOMPSON</w:t>
      </w:r>
    </w:p>
    <w:p w:rsidR="00022B47" w:rsidRDefault="00000000">
      <w:pPr>
        <w:pStyle w:val="Normal17"/>
        <w:keepNext/>
        <w:widowControl w:val="0"/>
        <w:spacing w:before="240" w:line="340" w:lineRule="atLeast"/>
      </w:pPr>
      <w:bookmarkStart w:id="2982" w:name="Opinion_16"/>
      <w:bookmarkEnd w:id="2982"/>
      <w:r>
        <w:rPr>
          <w:rFonts w:ascii="Arial" w:eastAsia="Arial" w:hAnsi="Arial" w:cs="Arial"/>
          <w:b/>
          <w:color w:val="000000"/>
          <w:sz w:val="28"/>
        </w:rPr>
        <w:t>Opinion</w:t>
      </w:r>
    </w:p>
    <w:p w:rsidR="00022B47" w:rsidRDefault="0025213E">
      <w:pPr>
        <w:pStyle w:val="Normal17"/>
        <w:spacing w:line="60" w:lineRule="exact"/>
      </w:pPr>
      <w:r>
        <w:rPr>
          <w:noProof/>
        </w:rPr>
        <mc:AlternateContent>
          <mc:Choice Requires="wps">
            <w:drawing>
              <wp:anchor distT="0" distB="0" distL="114300" distR="114300" simplePos="0" relativeHeight="25169408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330248043"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DFDA4C" id="Line 37"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17"/>
      </w:pPr>
    </w:p>
    <w:p w:rsidR="00022B47" w:rsidRDefault="00000000">
      <w:pPr>
        <w:pStyle w:val="Normal17"/>
        <w:widowControl w:val="0"/>
        <w:spacing w:before="200" w:line="260" w:lineRule="atLeast"/>
        <w:jc w:val="both"/>
      </w:pPr>
      <w:bookmarkStart w:id="2983" w:name="Bookmark_para_2_16"/>
      <w:bookmarkEnd w:id="2983"/>
      <w:r>
        <w:rPr>
          <w:rFonts w:ascii="Arial" w:eastAsia="Arial" w:hAnsi="Arial" w:cs="Arial"/>
          <w:color w:val="000000"/>
          <w:sz w:val="20"/>
        </w:rPr>
        <w:t xml:space="preserve"> [*263]  </w:t>
      </w:r>
      <w:r>
        <w:rPr>
          <w:rFonts w:ascii="Arial" w:eastAsia="Arial" w:hAnsi="Arial" w:cs="Arial"/>
          <w:b/>
          <w:color w:val="000000"/>
          <w:sz w:val="20"/>
        </w:rPr>
        <w:t xml:space="preserve">THOMPSON, </w:t>
      </w:r>
      <w:r>
        <w:rPr>
          <w:rFonts w:ascii="Arial" w:eastAsia="Arial" w:hAnsi="Arial" w:cs="Arial"/>
          <w:b/>
          <w:color w:val="000000"/>
          <w:sz w:val="20"/>
          <w:u w:val="single"/>
        </w:rPr>
        <w:t>Circuit Judge</w:t>
      </w:r>
      <w:r>
        <w:rPr>
          <w:rFonts w:ascii="Arial" w:eastAsia="Arial" w:hAnsi="Arial" w:cs="Arial"/>
          <w:color w:val="000000"/>
          <w:sz w:val="20"/>
        </w:rPr>
        <w:t xml:space="preserve">. We're asked today to weigh in for the first time on an Article III standing question that has divided the circuit courts. Certain regulations under the Americans with Disabilities Act ("ADA") require places of public lodging to make information about the hotel's accessibility available on any reservation portal to those with disabilities. In the age of websites, that means a disabled person can comb the web looking for non-compliant websites, even if she has no plans whatsoever to actually book a room at the hotel. Thus, the information could be viewed as irrelevant to her -- except to whether the website is complying with the law. Has she suffered a concrete and particularized injury in fact to have standing to sue in federal court? </w:t>
      </w:r>
      <w:bookmarkStart w:id="2984" w:name="Bookmark_I67W5G6Y2D6MY00010000400"/>
      <w:bookmarkStart w:id="2985" w:name="Bookmark_I66K3W6H2D6NGD0010000400"/>
      <w:bookmarkEnd w:id="2984"/>
      <w:bookmarkEnd w:id="2985"/>
      <w:r>
        <w:rPr>
          <w:rFonts w:ascii="Arial" w:eastAsia="Arial" w:hAnsi="Arial" w:cs="Arial"/>
          <w:color w:val="000000"/>
          <w:sz w:val="20"/>
        </w:rPr>
        <w:t>Contrary to the district court's thinking, we think the answer is yes.</w:t>
      </w:r>
      <w:r>
        <w:rPr>
          <w:rFonts w:ascii="Arial" w:eastAsia="Arial" w:hAnsi="Arial" w:cs="Arial"/>
          <w:vertAlign w:val="superscript"/>
        </w:rPr>
        <w:footnoteReference w:customMarkFollows="1" w:id="63"/>
        <w:t>1</w:t>
      </w:r>
      <w:r>
        <w:rPr>
          <w:rFonts w:ascii="Arial" w:eastAsia="Arial" w:hAnsi="Arial" w:cs="Arial"/>
          <w:color w:val="000000"/>
          <w:sz w:val="20"/>
        </w:rPr>
        <w:t xml:space="preserve"> We further conclude that Laufer [**2]  has standing to pursue injunctive relief and that the case is not moot. So we reverse.</w:t>
      </w:r>
    </w:p>
    <w:p w:rsidR="00022B47" w:rsidRDefault="00000000">
      <w:pPr>
        <w:pStyle w:val="Normal17"/>
        <w:widowControl w:val="0"/>
        <w:spacing w:before="240" w:line="260" w:lineRule="atLeast"/>
      </w:pPr>
      <w:r>
        <w:br/>
      </w:r>
      <w:r>
        <w:rPr>
          <w:rFonts w:ascii="Arial" w:eastAsia="Arial" w:hAnsi="Arial" w:cs="Arial"/>
          <w:b/>
          <w:color w:val="000000"/>
          <w:sz w:val="20"/>
        </w:rPr>
        <w:t>I</w:t>
      </w:r>
      <w:r>
        <w:rPr>
          <w:rFonts w:ascii="Arial" w:eastAsia="Arial" w:hAnsi="Arial" w:cs="Arial"/>
          <w:color w:val="000000"/>
          <w:sz w:val="20"/>
        </w:rPr>
        <w:t>.</w:t>
      </w:r>
    </w:p>
    <w:p w:rsidR="00022B47" w:rsidRDefault="00000000">
      <w:pPr>
        <w:pStyle w:val="Normal17"/>
        <w:widowControl w:val="0"/>
        <w:spacing w:before="240" w:line="260" w:lineRule="atLeast"/>
      </w:pPr>
      <w:r>
        <w:br/>
      </w:r>
      <w:r>
        <w:rPr>
          <w:rFonts w:ascii="Arial" w:eastAsia="Arial" w:hAnsi="Arial" w:cs="Arial"/>
          <w:b/>
          <w:color w:val="000000"/>
          <w:sz w:val="20"/>
        </w:rPr>
        <w:t>A</w:t>
      </w:r>
      <w:r>
        <w:rPr>
          <w:rFonts w:ascii="Arial" w:eastAsia="Arial" w:hAnsi="Arial" w:cs="Arial"/>
          <w:color w:val="000000"/>
          <w:sz w:val="20"/>
        </w:rPr>
        <w:t>.</w:t>
      </w:r>
    </w:p>
    <w:p w:rsidR="00022B47" w:rsidRDefault="00000000">
      <w:pPr>
        <w:pStyle w:val="Normal17"/>
        <w:widowControl w:val="0"/>
        <w:spacing w:before="200" w:line="260" w:lineRule="atLeast"/>
        <w:jc w:val="both"/>
      </w:pPr>
      <w:bookmarkStart w:id="2994" w:name="Bookmark_para_3_16"/>
      <w:bookmarkEnd w:id="2994"/>
      <w:r>
        <w:rPr>
          <w:rFonts w:ascii="Arial" w:eastAsia="Arial" w:hAnsi="Arial" w:cs="Arial"/>
          <w:color w:val="000000"/>
          <w:sz w:val="20"/>
        </w:rPr>
        <w:t>Deborah Laufer is disabled. She can't walk more than a few steps without assistance and instead uses a wheelchair or a cane to move around. She also has limited use of her hands and is vision impaired. Among other requirements to accommodate her disabilities, she needs special accessible parking and has to use passageways wide enough and properly graded for her wheelchair. Certain surfaces also need to be lowered so she can reach them, pipes under a sink need to be wrapped so she doesn't scrape her legs on them, and bathrooms need grab bars so she can transfer from her wheelchair.</w:t>
      </w:r>
    </w:p>
    <w:p w:rsidR="00022B47" w:rsidRDefault="00000000">
      <w:pPr>
        <w:pStyle w:val="Normal17"/>
        <w:widowControl w:val="0"/>
        <w:spacing w:before="200" w:line="260" w:lineRule="atLeast"/>
        <w:jc w:val="both"/>
      </w:pPr>
      <w:bookmarkStart w:id="2995" w:name="Bookmark_para_4_16"/>
      <w:bookmarkEnd w:id="2995"/>
      <w:r>
        <w:rPr>
          <w:rFonts w:ascii="Arial" w:eastAsia="Arial" w:hAnsi="Arial" w:cs="Arial"/>
          <w:color w:val="000000"/>
          <w:sz w:val="20"/>
        </w:rPr>
        <w:t>Defendant Acheson Hotels, LLC, operates The Coast Village Inn and Cottages in a small town on Maine's southern coast. It accepts reservations for the Inn on its own and other travel-related websites. When Laufer first visited Acheson's website, she found that it didn't identify accessible  [*264]  rooms, didn't provide an option for booking an accessible room, and didn't give her sufficient information to determine whether the rooms and features of the Inn were accessible to her. She also says she faced the same dearth [**3]  of information when she visited the Inn's reservation service through thirteen other third-party websites, including Expedia.com, Hotels.com, and Booking.com. And she alleges that she plans to revisit these websites "[i]n the near future" to see if they still lack this information she needs.</w:t>
      </w:r>
    </w:p>
    <w:p w:rsidR="00022B47" w:rsidRDefault="00000000">
      <w:pPr>
        <w:pStyle w:val="Normal17"/>
        <w:widowControl w:val="0"/>
        <w:spacing w:before="240" w:line="260" w:lineRule="atLeast"/>
      </w:pPr>
      <w:r>
        <w:br/>
      </w:r>
      <w:r>
        <w:rPr>
          <w:rFonts w:ascii="Arial" w:eastAsia="Arial" w:hAnsi="Arial" w:cs="Arial"/>
          <w:b/>
          <w:color w:val="000000"/>
          <w:sz w:val="20"/>
        </w:rPr>
        <w:t>B</w:t>
      </w:r>
      <w:r>
        <w:rPr>
          <w:rFonts w:ascii="Arial" w:eastAsia="Arial" w:hAnsi="Arial" w:cs="Arial"/>
          <w:color w:val="000000"/>
          <w:sz w:val="20"/>
        </w:rPr>
        <w:t>.</w:t>
      </w:r>
    </w:p>
    <w:p w:rsidR="00022B47" w:rsidRDefault="00000000">
      <w:pPr>
        <w:pStyle w:val="Normal17"/>
        <w:widowControl w:val="0"/>
        <w:spacing w:before="200" w:line="260" w:lineRule="atLeast"/>
        <w:jc w:val="both"/>
      </w:pPr>
      <w:bookmarkStart w:id="2996" w:name="Bookmark_para_5_16"/>
      <w:bookmarkStart w:id="2997" w:name="Bookmark_I66K8CD628T4S10020000400"/>
      <w:bookmarkEnd w:id="2996"/>
      <w:bookmarkEnd w:id="2997"/>
      <w:r>
        <w:rPr>
          <w:rFonts w:ascii="Arial" w:eastAsia="Arial" w:hAnsi="Arial" w:cs="Arial"/>
          <w:color w:val="000000"/>
          <w:sz w:val="20"/>
        </w:rPr>
        <w:t xml:space="preserve">That brings us to the next piece of the story: the statutory background that brings color to Laufer's claim. </w:t>
      </w:r>
      <w:bookmarkStart w:id="2998" w:name="Bookmark_LNHNREFclscc1_14"/>
      <w:bookmarkEnd w:id="2998"/>
      <w:r>
        <w:rPr>
          <w:rFonts w:ascii="Arial" w:eastAsia="Arial" w:hAnsi="Arial" w:cs="Arial"/>
          <w:color w:val="000000"/>
          <w:sz w:val="20"/>
        </w:rPr>
        <w:t xml:space="preserve">Congress enacted the ADA recognizing that "many people with physical or mental disabilities have been precluded from [participating in all aspects of society] because of discrimination," 42 U.S.C. § 12101(a)(1), and that those with disabilities, "as a group, occupy an inferior status in our society," </w:t>
      </w:r>
      <w:r>
        <w:rPr>
          <w:rFonts w:ascii="Arial" w:eastAsia="Arial" w:hAnsi="Arial" w:cs="Arial"/>
          <w:color w:val="000000"/>
          <w:sz w:val="20"/>
          <w:u w:val="single"/>
        </w:rPr>
        <w:t>id.</w:t>
      </w:r>
      <w:r>
        <w:rPr>
          <w:rFonts w:ascii="Arial" w:eastAsia="Arial" w:hAnsi="Arial" w:cs="Arial"/>
          <w:color w:val="000000"/>
          <w:sz w:val="20"/>
        </w:rPr>
        <w:t xml:space="preserve"> § 12101(a)(6). Congress found that "individuals with disabilities continually encounter various forms of discrimination, including . . . failure to make modifications to existing facilities and practices, . . . segregation, and relegation to lesser services, programs, activities, benefits, jobs, or other opportunities." </w:t>
      </w:r>
      <w:r>
        <w:rPr>
          <w:rFonts w:ascii="Arial" w:eastAsia="Arial" w:hAnsi="Arial" w:cs="Arial"/>
          <w:color w:val="000000"/>
          <w:sz w:val="20"/>
          <w:u w:val="single"/>
        </w:rPr>
        <w:t>Id.</w:t>
      </w:r>
      <w:r>
        <w:rPr>
          <w:rFonts w:ascii="Arial" w:eastAsia="Arial" w:hAnsi="Arial" w:cs="Arial"/>
          <w:color w:val="000000"/>
          <w:sz w:val="20"/>
        </w:rPr>
        <w:t xml:space="preserve"> § 12101(a)(5); </w:t>
      </w:r>
      <w:r>
        <w:rPr>
          <w:rFonts w:ascii="Arial" w:eastAsia="Arial" w:hAnsi="Arial" w:cs="Arial"/>
          <w:color w:val="000000"/>
          <w:sz w:val="20"/>
          <w:u w:val="single"/>
        </w:rPr>
        <w:t xml:space="preserve">see also </w:t>
      </w:r>
      <w:bookmarkStart w:id="2999" w:name="Bookmark_I66K8CD628T4S10010000400"/>
      <w:bookmarkEnd w:id="2999"/>
      <w:r>
        <w:rPr>
          <w:rFonts w:ascii="Arial" w:eastAsia="Arial" w:hAnsi="Arial" w:cs="Arial"/>
          <w:color w:val="000000"/>
          <w:sz w:val="20"/>
          <w:u w:val="single"/>
        </w:rPr>
        <w:t>Tennessee v. Lane</w:t>
      </w:r>
      <w:r>
        <w:rPr>
          <w:rFonts w:ascii="Arial" w:eastAsia="Arial" w:hAnsi="Arial" w:cs="Arial"/>
          <w:color w:val="000000"/>
          <w:sz w:val="20"/>
        </w:rPr>
        <w:t xml:space="preserve">, 541 U.S. 509, 536-37, 124 S. Ct. 1978, 158 L. Ed. 2d 820 (2004) (Ginsburg, J., concurring) (describing the congressional impetus of the ADA); </w:t>
      </w:r>
      <w:bookmarkStart w:id="3000" w:name="Bookmark_I66K8CD628T4S10030000400"/>
      <w:bookmarkEnd w:id="3000"/>
      <w:r>
        <w:rPr>
          <w:rFonts w:ascii="Arial" w:eastAsia="Arial" w:hAnsi="Arial" w:cs="Arial"/>
          <w:color w:val="000000"/>
          <w:sz w:val="20"/>
          <w:u w:val="single"/>
        </w:rPr>
        <w:t>Cushing v. Packard</w:t>
      </w:r>
      <w:r>
        <w:rPr>
          <w:rFonts w:ascii="Arial" w:eastAsia="Arial" w:hAnsi="Arial" w:cs="Arial"/>
          <w:color w:val="000000"/>
          <w:sz w:val="20"/>
        </w:rPr>
        <w:t>, 30 F.4th 27, 59 (1st Cir. 2022) (Thompson, J., dissenting) (same).</w:t>
      </w:r>
    </w:p>
    <w:p w:rsidR="00022B47" w:rsidRDefault="00000000">
      <w:pPr>
        <w:pStyle w:val="Normal17"/>
        <w:widowControl w:val="0"/>
        <w:spacing w:before="200" w:line="260" w:lineRule="atLeast"/>
        <w:jc w:val="both"/>
      </w:pPr>
      <w:bookmarkStart w:id="3001" w:name="Bookmark_para_6_16"/>
      <w:bookmarkStart w:id="3002" w:name="Bookmark_LNHNREFclscc2_14"/>
      <w:bookmarkEnd w:id="3001"/>
      <w:bookmarkEnd w:id="3002"/>
      <w:r>
        <w:rPr>
          <w:rFonts w:ascii="Arial" w:eastAsia="Arial" w:hAnsi="Arial" w:cs="Arial"/>
          <w:color w:val="000000"/>
          <w:sz w:val="20"/>
        </w:rPr>
        <w:t xml:space="preserve">Title III of the ADA provides that "[n]o individual shall be discriminated against [**4]  on the basis of disability in the full and equal enjoyment of the goods, services, facilities, privileges, advantages, or accommodations of any place of public accommodation by any person who owns . . . or operates a place of public accommodation." 42 U.S.C. § 12182(a). Specifically, the ADA makes it discriminatory to provide disabled individuals with an "opportunity to participate in or benefit from a good, service, facility, privilege, advantage, or accommodation" unequal to those without disabilities. </w:t>
      </w:r>
      <w:r>
        <w:rPr>
          <w:rFonts w:ascii="Arial" w:eastAsia="Arial" w:hAnsi="Arial" w:cs="Arial"/>
          <w:color w:val="000000"/>
          <w:sz w:val="20"/>
          <w:u w:val="single"/>
        </w:rPr>
        <w:t>Id.</w:t>
      </w:r>
      <w:r>
        <w:rPr>
          <w:rFonts w:ascii="Arial" w:eastAsia="Arial" w:hAnsi="Arial" w:cs="Arial"/>
          <w:color w:val="000000"/>
          <w:sz w:val="20"/>
        </w:rPr>
        <w:t xml:space="preserve"> § 12182(b)(1)(A)(ii). And it defines discrimination to include the "failure to make reasonable modifications in policies, practices, or procedures, when such modifications are necessary to afford such goods, services, facilities, privileges, advantages, or accommodations to individuals with disabilities." </w:t>
      </w:r>
      <w:r>
        <w:rPr>
          <w:rFonts w:ascii="Arial" w:eastAsia="Arial" w:hAnsi="Arial" w:cs="Arial"/>
          <w:color w:val="000000"/>
          <w:sz w:val="20"/>
          <w:u w:val="single"/>
        </w:rPr>
        <w:t>Id.</w:t>
      </w:r>
      <w:r>
        <w:rPr>
          <w:rFonts w:ascii="Arial" w:eastAsia="Arial" w:hAnsi="Arial" w:cs="Arial"/>
          <w:color w:val="000000"/>
          <w:sz w:val="20"/>
        </w:rPr>
        <w:t xml:space="preserve"> § 12182(b)(2)(A)(ii). Laufer qualifies as disabled within the meaning of the ADA.</w:t>
      </w:r>
    </w:p>
    <w:p w:rsidR="00022B47" w:rsidRDefault="00000000">
      <w:pPr>
        <w:pStyle w:val="Normal17"/>
        <w:widowControl w:val="0"/>
        <w:spacing w:before="200" w:line="260" w:lineRule="atLeast"/>
        <w:jc w:val="both"/>
      </w:pPr>
      <w:bookmarkStart w:id="3003" w:name="Bookmark_para_7_16"/>
      <w:bookmarkStart w:id="3004" w:name="Bookmark_LNHNREFclscc3_14"/>
      <w:bookmarkEnd w:id="3003"/>
      <w:bookmarkEnd w:id="3004"/>
      <w:r>
        <w:rPr>
          <w:rFonts w:ascii="Arial" w:eastAsia="Arial" w:hAnsi="Arial" w:cs="Arial"/>
          <w:color w:val="000000"/>
          <w:sz w:val="20"/>
        </w:rPr>
        <w:t xml:space="preserve">The ADA also delegates to the Attorney General the authority to promulgate regulations to carry out § 12182. </w:t>
      </w:r>
      <w:r>
        <w:rPr>
          <w:rFonts w:ascii="Arial" w:eastAsia="Arial" w:hAnsi="Arial" w:cs="Arial"/>
          <w:color w:val="000000"/>
          <w:sz w:val="20"/>
          <w:u w:val="single"/>
        </w:rPr>
        <w:t>Id.</w:t>
      </w:r>
      <w:r>
        <w:rPr>
          <w:rFonts w:ascii="Arial" w:eastAsia="Arial" w:hAnsi="Arial" w:cs="Arial"/>
          <w:color w:val="000000"/>
          <w:sz w:val="20"/>
        </w:rPr>
        <w:t xml:space="preserve"> § 12186(b). One of those regulations pertains to hotel reservations.</w:t>
      </w:r>
      <w:r>
        <w:rPr>
          <w:rFonts w:ascii="Arial" w:eastAsia="Arial" w:hAnsi="Arial" w:cs="Arial"/>
          <w:vertAlign w:val="superscript"/>
        </w:rPr>
        <w:footnoteReference w:customMarkFollows="1" w:id="64"/>
        <w:t>2</w:t>
      </w:r>
      <w:r>
        <w:rPr>
          <w:rFonts w:ascii="Arial" w:eastAsia="Arial" w:hAnsi="Arial" w:cs="Arial"/>
          <w:color w:val="000000"/>
          <w:sz w:val="20"/>
        </w:rPr>
        <w:t xml:space="preserve"> 28 C.F.R. § 36.302(e). The regulation provides that a "public accommodation" operating a "place of lodging" must "with respect to reservations made by any means . . . [i]dentify and describe accessible features [**5]  in the hotels and guest rooms offered through its reservations service in enough detail to reasonably permit individuals with disabilities to assess independently whether a given hotel or guest room meets his or her accessibility needs." </w:t>
      </w:r>
      <w:r>
        <w:rPr>
          <w:rFonts w:ascii="Arial" w:eastAsia="Arial" w:hAnsi="Arial" w:cs="Arial"/>
          <w:color w:val="000000"/>
          <w:sz w:val="20"/>
          <w:u w:val="single"/>
        </w:rPr>
        <w:t>Id.</w:t>
      </w:r>
      <w:r>
        <w:rPr>
          <w:rFonts w:ascii="Arial" w:eastAsia="Arial" w:hAnsi="Arial" w:cs="Arial"/>
          <w:color w:val="000000"/>
          <w:sz w:val="20"/>
        </w:rPr>
        <w:t xml:space="preserve"> § 36.302(e)(1)(ii).</w:t>
      </w:r>
    </w:p>
    <w:p w:rsidR="00022B47" w:rsidRDefault="00000000">
      <w:pPr>
        <w:pStyle w:val="Normal17"/>
        <w:widowControl w:val="0"/>
        <w:spacing w:before="200" w:line="260" w:lineRule="atLeast"/>
        <w:jc w:val="both"/>
      </w:pPr>
      <w:bookmarkStart w:id="3006" w:name="Bookmark_para_8_15"/>
      <w:bookmarkEnd w:id="3006"/>
      <w:r>
        <w:rPr>
          <w:rFonts w:ascii="Arial" w:eastAsia="Arial" w:hAnsi="Arial" w:cs="Arial"/>
          <w:color w:val="000000"/>
          <w:sz w:val="20"/>
        </w:rPr>
        <w:t xml:space="preserve">The Department of Justice's guidance on these regulations says that "basic nondiscrimination principles mandate that individuals with disabilities should be able to reserve hotel rooms with the same efficiency, immediacy, and convenience as those  [*265]  who do not need accessible guest rooms." 28 C.F.R. pt. 36, app. A (2010), </w:t>
      </w:r>
      <w:r>
        <w:rPr>
          <w:rFonts w:ascii="Arial" w:eastAsia="Arial" w:hAnsi="Arial" w:cs="Arial"/>
          <w:color w:val="000000"/>
          <w:sz w:val="20"/>
          <w:u w:val="single"/>
        </w:rPr>
        <w:t>Guidance on Revisions to ADA Regulation on Nondiscrimination on the Basis of Disability by Public Accommodations and Commercial Facilities</w:t>
      </w:r>
      <w:r>
        <w:rPr>
          <w:rFonts w:ascii="Arial" w:eastAsia="Arial" w:hAnsi="Arial" w:cs="Arial"/>
          <w:color w:val="000000"/>
          <w:sz w:val="20"/>
        </w:rPr>
        <w:t xml:space="preserve"> ("</w:t>
      </w:r>
      <w:r>
        <w:rPr>
          <w:rFonts w:ascii="Arial" w:eastAsia="Arial" w:hAnsi="Arial" w:cs="Arial"/>
          <w:color w:val="000000"/>
          <w:sz w:val="20"/>
          <w:u w:val="single"/>
        </w:rPr>
        <w:t>DOJ Guidance</w:t>
      </w:r>
      <w:r>
        <w:rPr>
          <w:rFonts w:ascii="Arial" w:eastAsia="Arial" w:hAnsi="Arial" w:cs="Arial"/>
          <w:color w:val="000000"/>
          <w:sz w:val="20"/>
        </w:rPr>
        <w:t xml:space="preserve">"). The Reservation Rule, DOJ says, "is essential to ensure that individuals with disabilities receive the information they need to benefit from the services offered by the place of lodging." </w:t>
      </w:r>
      <w:r>
        <w:rPr>
          <w:rFonts w:ascii="Arial" w:eastAsia="Arial" w:hAnsi="Arial" w:cs="Arial"/>
          <w:color w:val="000000"/>
          <w:sz w:val="20"/>
          <w:u w:val="single"/>
        </w:rPr>
        <w:t>Id.</w:t>
      </w:r>
      <w:r>
        <w:rPr>
          <w:rFonts w:ascii="Arial" w:eastAsia="Arial" w:hAnsi="Arial" w:cs="Arial"/>
          <w:color w:val="000000"/>
          <w:sz w:val="20"/>
        </w:rPr>
        <w:t xml:space="preserve"> And although "a reservations system is not intended to be an accessibility survey," public accommodations still must provide some detail -- "enough detail" -- to allow individuals with disabilities to know what services they can enjoy. </w:t>
      </w:r>
      <w:r>
        <w:rPr>
          <w:rFonts w:ascii="Arial" w:eastAsia="Arial" w:hAnsi="Arial" w:cs="Arial"/>
          <w:color w:val="000000"/>
          <w:sz w:val="20"/>
          <w:u w:val="single"/>
        </w:rPr>
        <w:t>Id.</w:t>
      </w:r>
    </w:p>
    <w:p w:rsidR="00022B47" w:rsidRDefault="00000000">
      <w:pPr>
        <w:pStyle w:val="Normal17"/>
        <w:widowControl w:val="0"/>
        <w:spacing w:before="200" w:line="260" w:lineRule="atLeast"/>
        <w:jc w:val="both"/>
      </w:pPr>
      <w:bookmarkStart w:id="3007" w:name="Bookmark_para_9_15"/>
      <w:bookmarkStart w:id="3008" w:name="Bookmark_LNHNREFclscc4_14"/>
      <w:bookmarkEnd w:id="3007"/>
      <w:bookmarkEnd w:id="3008"/>
      <w:r>
        <w:rPr>
          <w:rFonts w:ascii="Arial" w:eastAsia="Arial" w:hAnsi="Arial" w:cs="Arial"/>
          <w:color w:val="000000"/>
          <w:sz w:val="20"/>
        </w:rPr>
        <w:t>When a public accommodation violates the ADA and discriminates against [**6]  a disabled person, the ADA and the regulations promulgated under it permit private individuals to bring enforcement actions in federal court. 42 U.S.C. § 12188(a); 28 C.F.R. § 36.501.</w:t>
      </w:r>
    </w:p>
    <w:p w:rsidR="00022B47" w:rsidRDefault="00000000">
      <w:pPr>
        <w:pStyle w:val="Normal17"/>
        <w:widowControl w:val="0"/>
        <w:spacing w:before="240" w:line="260" w:lineRule="atLeast"/>
      </w:pPr>
      <w:r>
        <w:br/>
      </w:r>
      <w:r>
        <w:rPr>
          <w:rFonts w:ascii="Arial" w:eastAsia="Arial" w:hAnsi="Arial" w:cs="Arial"/>
          <w:b/>
          <w:color w:val="000000"/>
          <w:sz w:val="20"/>
        </w:rPr>
        <w:t>C</w:t>
      </w:r>
      <w:r>
        <w:rPr>
          <w:rFonts w:ascii="Arial" w:eastAsia="Arial" w:hAnsi="Arial" w:cs="Arial"/>
          <w:color w:val="000000"/>
          <w:sz w:val="20"/>
        </w:rPr>
        <w:t>.</w:t>
      </w:r>
    </w:p>
    <w:p w:rsidR="00022B47" w:rsidRDefault="00000000">
      <w:pPr>
        <w:pStyle w:val="Normal17"/>
        <w:widowControl w:val="0"/>
        <w:spacing w:before="200" w:line="260" w:lineRule="atLeast"/>
        <w:jc w:val="both"/>
      </w:pPr>
      <w:bookmarkStart w:id="3009" w:name="Bookmark_para_10_15"/>
      <w:bookmarkEnd w:id="3009"/>
      <w:r>
        <w:rPr>
          <w:rFonts w:ascii="Arial" w:eastAsia="Arial" w:hAnsi="Arial" w:cs="Arial"/>
          <w:color w:val="000000"/>
          <w:sz w:val="20"/>
        </w:rPr>
        <w:t>And that's what Laufer did. Availing herself of that procedure, Laufer sued Acheson in the District of Maine. Which she's familiar doing: Laufer is a self-proclaimed ADA "tester" and advocate for disabled persons and has filed hundreds of other ADA-related suits in federal courts from coast to coast. Against Acheson, she brought a single claim for violation of 42 U.S.C. § 12181 and 28 C.F.R. § 36.302(e) (the Reservation Rule) and sought declaratory and injunctive relief, as well as attorney's fees and costs.</w:t>
      </w:r>
    </w:p>
    <w:p w:rsidR="00022B47" w:rsidRDefault="00000000">
      <w:pPr>
        <w:pStyle w:val="Normal17"/>
        <w:widowControl w:val="0"/>
        <w:spacing w:before="200" w:line="260" w:lineRule="atLeast"/>
        <w:jc w:val="both"/>
      </w:pPr>
      <w:bookmarkStart w:id="3010" w:name="Bookmark_para_11_15"/>
      <w:bookmarkEnd w:id="3010"/>
      <w:r>
        <w:rPr>
          <w:rFonts w:ascii="Arial" w:eastAsia="Arial" w:hAnsi="Arial" w:cs="Arial"/>
          <w:color w:val="000000"/>
          <w:sz w:val="20"/>
        </w:rPr>
        <w:t>Responding, Acheson moved to dismiss. Pointing to Laufer's hundreds of other ADA suits around the country, Acheson said that Laufer had no real intention of booking a room at its Inn. So, Acheson said, Laufer lacks Article III standing to bring her suit, and the court accordingly lacks subject-matter jurisdiction over the case. Laufer opposed the motion and amended her complaint to detail her plans to visit Maine. The district court took Acheson's side and dismissed the case for lack of standing. Laufer timely appealed.</w:t>
      </w:r>
    </w:p>
    <w:p w:rsidR="00022B47" w:rsidRDefault="00000000">
      <w:pPr>
        <w:pStyle w:val="Normal17"/>
        <w:widowControl w:val="0"/>
        <w:spacing w:before="240" w:line="260" w:lineRule="atLeast"/>
      </w:pPr>
      <w:r>
        <w:br/>
      </w:r>
      <w:r>
        <w:rPr>
          <w:rFonts w:ascii="Arial" w:eastAsia="Arial" w:hAnsi="Arial" w:cs="Arial"/>
          <w:b/>
          <w:color w:val="000000"/>
          <w:sz w:val="20"/>
        </w:rPr>
        <w:t>II</w:t>
      </w:r>
      <w:r>
        <w:rPr>
          <w:rFonts w:ascii="Arial" w:eastAsia="Arial" w:hAnsi="Arial" w:cs="Arial"/>
          <w:color w:val="000000"/>
          <w:sz w:val="20"/>
        </w:rPr>
        <w:t>.</w:t>
      </w:r>
    </w:p>
    <w:p w:rsidR="00022B47" w:rsidRDefault="00000000">
      <w:pPr>
        <w:pStyle w:val="Normal17"/>
        <w:widowControl w:val="0"/>
        <w:spacing w:before="200" w:line="260" w:lineRule="atLeast"/>
        <w:jc w:val="both"/>
      </w:pPr>
      <w:bookmarkStart w:id="3011" w:name="Bookmark_para_12_15"/>
      <w:bookmarkStart w:id="3012" w:name="Bookmark_LNHNREFclscc5_14"/>
      <w:bookmarkEnd w:id="3011"/>
      <w:bookmarkEnd w:id="3012"/>
      <w:r>
        <w:rPr>
          <w:rFonts w:ascii="Arial" w:eastAsia="Arial" w:hAnsi="Arial" w:cs="Arial"/>
          <w:color w:val="000000"/>
          <w:sz w:val="20"/>
        </w:rPr>
        <w:t xml:space="preserve">Acheson moved under Rule 12(b)(1). </w:t>
      </w:r>
      <w:bookmarkStart w:id="3013" w:name="Bookmark_I66K8CD62D6N9W0010000400"/>
      <w:bookmarkEnd w:id="3013"/>
      <w:r>
        <w:rPr>
          <w:rFonts w:ascii="Arial" w:eastAsia="Arial" w:hAnsi="Arial" w:cs="Arial"/>
          <w:color w:val="000000"/>
          <w:sz w:val="20"/>
          <w:u w:val="single"/>
        </w:rPr>
        <w:t>See</w:t>
      </w:r>
      <w:r>
        <w:rPr>
          <w:rFonts w:ascii="Arial" w:eastAsia="Arial" w:hAnsi="Arial" w:cs="Arial"/>
          <w:color w:val="000000"/>
          <w:sz w:val="20"/>
        </w:rPr>
        <w:t xml:space="preserve"> Fed. R. Civ. P. 12(b)(1). </w:t>
      </w:r>
      <w:bookmarkStart w:id="3014" w:name="Bookmark_I66K8CD62D6N9W0030000400"/>
      <w:bookmarkEnd w:id="3014"/>
      <w:r>
        <w:rPr>
          <w:rFonts w:ascii="Arial" w:eastAsia="Arial" w:hAnsi="Arial" w:cs="Arial"/>
          <w:color w:val="000000"/>
          <w:sz w:val="20"/>
        </w:rPr>
        <w:t xml:space="preserve">There are two species [**7]  of 12(b)(1) attacks on subject-matter jurisdiction: facial and factual challenges. </w:t>
      </w:r>
      <w:bookmarkStart w:id="3015" w:name="Bookmark_I66K8CD62D6N9W0050000400"/>
      <w:bookmarkEnd w:id="3015"/>
      <w:r>
        <w:rPr>
          <w:rFonts w:ascii="Arial" w:eastAsia="Arial" w:hAnsi="Arial" w:cs="Arial"/>
          <w:color w:val="000000"/>
          <w:sz w:val="20"/>
          <w:u w:val="single"/>
        </w:rPr>
        <w:t xml:space="preserve">See </w:t>
      </w:r>
      <w:bookmarkStart w:id="3016" w:name="Bookmark_I66K8CD628T4S10050000400"/>
      <w:bookmarkEnd w:id="3016"/>
      <w:r>
        <w:rPr>
          <w:rFonts w:ascii="Arial" w:eastAsia="Arial" w:hAnsi="Arial" w:cs="Arial"/>
          <w:color w:val="000000"/>
          <w:sz w:val="20"/>
          <w:u w:val="single"/>
        </w:rPr>
        <w:t>Torres-Negron v. J &amp; N Records, LLC</w:t>
      </w:r>
      <w:r>
        <w:rPr>
          <w:rFonts w:ascii="Arial" w:eastAsia="Arial" w:hAnsi="Arial" w:cs="Arial"/>
          <w:color w:val="000000"/>
          <w:sz w:val="20"/>
        </w:rPr>
        <w:t xml:space="preserve">, 504 F.3d 151, 162 (1st Cir. 2007). </w:t>
      </w:r>
      <w:bookmarkStart w:id="3017" w:name="Bookmark_I66K8CD62D6N9W0050000400_2"/>
      <w:bookmarkStart w:id="3018" w:name="Bookmark_I66K8CD62D6N9W0030000400_2"/>
      <w:bookmarkEnd w:id="3017"/>
      <w:bookmarkEnd w:id="3018"/>
      <w:r>
        <w:rPr>
          <w:rFonts w:ascii="Arial" w:eastAsia="Arial" w:hAnsi="Arial" w:cs="Arial"/>
          <w:color w:val="000000"/>
          <w:sz w:val="20"/>
        </w:rPr>
        <w:t xml:space="preserve">When the attack is facial, the relevant facts are the well-pleaded allegations in the complaint, which the court must take as true. </w:t>
      </w:r>
      <w:bookmarkStart w:id="3019" w:name="Bookmark_I66K8CD62D6N9W0020000400"/>
      <w:bookmarkEnd w:id="3019"/>
      <w:r>
        <w:rPr>
          <w:rFonts w:ascii="Arial" w:eastAsia="Arial" w:hAnsi="Arial" w:cs="Arial"/>
          <w:color w:val="000000"/>
          <w:sz w:val="20"/>
          <w:u w:val="single"/>
        </w:rPr>
        <w:t>Toddle Inn Franchising, LLC v. KPJ Assocs., LLC</w:t>
      </w:r>
      <w:r>
        <w:rPr>
          <w:rFonts w:ascii="Arial" w:eastAsia="Arial" w:hAnsi="Arial" w:cs="Arial"/>
          <w:color w:val="000000"/>
          <w:sz w:val="20"/>
        </w:rPr>
        <w:t xml:space="preserve">, 8 F.4th 56, 61 n.5 (1st Cir. 2021). If the attack is factual, then the court "need not accept the plaintiff's allegations as true but can 'weigh the evidence and satisfy itself as to the existence of its power to hear the case.'" </w:t>
      </w:r>
      <w:r>
        <w:rPr>
          <w:rFonts w:ascii="Arial" w:eastAsia="Arial" w:hAnsi="Arial" w:cs="Arial"/>
          <w:color w:val="000000"/>
          <w:sz w:val="20"/>
          <w:u w:val="single"/>
        </w:rPr>
        <w:t>Id.</w:t>
      </w:r>
      <w:r>
        <w:rPr>
          <w:rFonts w:ascii="Arial" w:eastAsia="Arial" w:hAnsi="Arial" w:cs="Arial"/>
          <w:color w:val="000000"/>
          <w:sz w:val="20"/>
        </w:rPr>
        <w:t xml:space="preserve"> (quoting </w:t>
      </w:r>
      <w:bookmarkStart w:id="3020" w:name="Bookmark_I66K8CD62D6N9W0040000400"/>
      <w:bookmarkEnd w:id="3020"/>
      <w:r>
        <w:rPr>
          <w:rFonts w:ascii="Arial" w:eastAsia="Arial" w:hAnsi="Arial" w:cs="Arial"/>
          <w:color w:val="000000"/>
          <w:sz w:val="20"/>
          <w:u w:val="single"/>
        </w:rPr>
        <w:t>Torres-Negron</w:t>
      </w:r>
      <w:r>
        <w:rPr>
          <w:rFonts w:ascii="Arial" w:eastAsia="Arial" w:hAnsi="Arial" w:cs="Arial"/>
          <w:color w:val="000000"/>
          <w:sz w:val="20"/>
        </w:rPr>
        <w:t>, 504 F.3d at 163).</w:t>
      </w:r>
    </w:p>
    <w:p w:rsidR="00022B47" w:rsidRDefault="00000000">
      <w:pPr>
        <w:pStyle w:val="Normal17"/>
        <w:widowControl w:val="0"/>
        <w:spacing w:before="200" w:line="260" w:lineRule="atLeast"/>
        <w:jc w:val="both"/>
      </w:pPr>
      <w:bookmarkStart w:id="3021" w:name="Bookmark_para_13_15"/>
      <w:bookmarkStart w:id="3022" w:name="Bookmark_I66K8CD628T4S90020000400"/>
      <w:bookmarkEnd w:id="3021"/>
      <w:bookmarkEnd w:id="3022"/>
      <w:r>
        <w:rPr>
          <w:rFonts w:ascii="Arial" w:eastAsia="Arial" w:hAnsi="Arial" w:cs="Arial"/>
          <w:color w:val="000000"/>
          <w:sz w:val="20"/>
        </w:rPr>
        <w:t xml:space="preserve">The challenge here was only facial, so we, too, take the complaint's well-pleaded allegations as true when analyzing our jurisdiction. </w:t>
      </w:r>
      <w:bookmarkStart w:id="3023" w:name="Bookmark_I66K8CD628T4S90040000400"/>
      <w:bookmarkEnd w:id="3023"/>
      <w:r>
        <w:rPr>
          <w:rFonts w:ascii="Arial" w:eastAsia="Arial" w:hAnsi="Arial" w:cs="Arial"/>
          <w:color w:val="000000"/>
          <w:sz w:val="20"/>
          <w:u w:val="single"/>
        </w:rPr>
        <w:t>See id.</w:t>
      </w:r>
      <w:r>
        <w:rPr>
          <w:rFonts w:ascii="Arial" w:eastAsia="Arial" w:hAnsi="Arial" w:cs="Arial"/>
          <w:color w:val="000000"/>
          <w:sz w:val="20"/>
        </w:rPr>
        <w:t xml:space="preserve"> Our review of the allegations mirrors the plausibility standard for Rule 12(b)(6) motions. </w:t>
      </w:r>
      <w:bookmarkStart w:id="3024" w:name="Bookmark_I66K8CD628T4S90010000400"/>
      <w:bookmarkEnd w:id="3024"/>
      <w:r>
        <w:rPr>
          <w:rFonts w:ascii="Arial" w:eastAsia="Arial" w:hAnsi="Arial" w:cs="Arial"/>
          <w:color w:val="000000"/>
          <w:sz w:val="20"/>
          <w:u w:val="single"/>
        </w:rPr>
        <w:t>Hochendoner v. Genzyme Corp.</w:t>
      </w:r>
      <w:r>
        <w:rPr>
          <w:rFonts w:ascii="Arial" w:eastAsia="Arial" w:hAnsi="Arial" w:cs="Arial"/>
          <w:color w:val="000000"/>
          <w:sz w:val="20"/>
        </w:rPr>
        <w:t xml:space="preserve">, 823 F.3d 724, 730 (1st Cir. 2016). </w:t>
      </w:r>
      <w:bookmarkStart w:id="3025" w:name="Bookmark_I66K8CD628T4S90040000400_2"/>
      <w:bookmarkStart w:id="3026" w:name="Bookmark_I66K8CD72SF7TX0030000400"/>
      <w:bookmarkEnd w:id="3025"/>
      <w:bookmarkEnd w:id="3026"/>
      <w:r>
        <w:rPr>
          <w:rFonts w:ascii="Arial" w:eastAsia="Arial" w:hAnsi="Arial" w:cs="Arial"/>
          <w:color w:val="000000"/>
          <w:sz w:val="20"/>
        </w:rPr>
        <w:t xml:space="preserve">At the end of the day, then, our question is whether the plaintiff's complaint -- taking as true all of Laufer's factual allegations, drawing all inferences in her favor, but discarding legal conclusions and threadbare recitations of the elements, </w:t>
      </w:r>
      <w:r>
        <w:rPr>
          <w:rFonts w:ascii="Arial" w:eastAsia="Arial" w:hAnsi="Arial" w:cs="Arial"/>
          <w:color w:val="000000"/>
          <w:sz w:val="20"/>
          <w:u w:val="single"/>
        </w:rPr>
        <w:t xml:space="preserve">see </w:t>
      </w:r>
      <w:bookmarkStart w:id="3027" w:name="Bookmark_I66K8CD628T4S90030000400"/>
      <w:bookmarkEnd w:id="3027"/>
      <w:r>
        <w:rPr>
          <w:rFonts w:ascii="Arial" w:eastAsia="Arial" w:hAnsi="Arial" w:cs="Arial"/>
          <w:color w:val="000000"/>
          <w:sz w:val="20"/>
          <w:u w:val="single"/>
        </w:rPr>
        <w:t>Zell v. Ricci</w:t>
      </w:r>
      <w:r>
        <w:rPr>
          <w:rFonts w:ascii="Arial" w:eastAsia="Arial" w:hAnsi="Arial" w:cs="Arial"/>
          <w:color w:val="000000"/>
          <w:sz w:val="20"/>
        </w:rPr>
        <w:t xml:space="preserve">, 957 F.3d 1, 7 (1st Cir. 2020) -- contains enough factual heft to demonstrate that the court has subject-matter jurisdiction, </w:t>
      </w:r>
      <w:r>
        <w:rPr>
          <w:rFonts w:ascii="Arial" w:eastAsia="Arial" w:hAnsi="Arial" w:cs="Arial"/>
          <w:color w:val="000000"/>
          <w:sz w:val="20"/>
          <w:u w:val="single"/>
        </w:rPr>
        <w:t xml:space="preserve">see </w:t>
      </w:r>
      <w:bookmarkStart w:id="3028" w:name="Bookmark_I66K8CD628T4S90050000400"/>
      <w:bookmarkEnd w:id="3028"/>
      <w:r>
        <w:rPr>
          <w:rFonts w:ascii="Arial" w:eastAsia="Arial" w:hAnsi="Arial" w:cs="Arial"/>
          <w:color w:val="000000"/>
          <w:sz w:val="20"/>
          <w:u w:val="single"/>
        </w:rPr>
        <w:t>Katz v. Pershing, LLC</w:t>
      </w:r>
      <w:r>
        <w:rPr>
          <w:rFonts w:ascii="Arial" w:eastAsia="Arial" w:hAnsi="Arial" w:cs="Arial"/>
          <w:color w:val="000000"/>
          <w:sz w:val="20"/>
        </w:rPr>
        <w:t xml:space="preserve">, 672 F.3d 64, 70 (1st Cir. 2012). </w:t>
      </w:r>
      <w:bookmarkStart w:id="3029" w:name="Bookmark_I66K8CD72SF7TX0030000400_2"/>
      <w:bookmarkEnd w:id="3029"/>
      <w:r>
        <w:rPr>
          <w:rFonts w:ascii="Arial" w:eastAsia="Arial" w:hAnsi="Arial" w:cs="Arial"/>
          <w:color w:val="000000"/>
          <w:sz w:val="20"/>
        </w:rPr>
        <w:t xml:space="preserve">We review the district court's decision </w:t>
      </w:r>
      <w:r>
        <w:rPr>
          <w:rFonts w:ascii="Arial" w:eastAsia="Arial" w:hAnsi="Arial" w:cs="Arial"/>
          <w:color w:val="000000"/>
          <w:sz w:val="20"/>
          <w:u w:val="single"/>
        </w:rPr>
        <w:t>de novo</w:t>
      </w:r>
      <w:r>
        <w:rPr>
          <w:rFonts w:ascii="Arial" w:eastAsia="Arial" w:hAnsi="Arial" w:cs="Arial"/>
          <w:color w:val="000000"/>
          <w:sz w:val="20"/>
        </w:rPr>
        <w:t xml:space="preserve">, meaning we look at things with fresh eyes and without any deference to the able district  [*266]  judge's analysis. </w:t>
      </w:r>
      <w:bookmarkStart w:id="3030" w:name="Bookmark_I66K8CD72SF7TX0020000400"/>
      <w:bookmarkEnd w:id="3030"/>
      <w:r>
        <w:rPr>
          <w:rFonts w:ascii="Arial" w:eastAsia="Arial" w:hAnsi="Arial" w:cs="Arial"/>
          <w:color w:val="000000"/>
          <w:sz w:val="20"/>
          <w:u w:val="single"/>
        </w:rPr>
        <w:t>Amrhein v. eClinical Works, LLC</w:t>
      </w:r>
      <w:r>
        <w:rPr>
          <w:rFonts w:ascii="Arial" w:eastAsia="Arial" w:hAnsi="Arial" w:cs="Arial"/>
          <w:color w:val="000000"/>
          <w:sz w:val="20"/>
        </w:rPr>
        <w:t>, 954 F.3d 328, 330 (1st Cir. 2020).</w:t>
      </w:r>
    </w:p>
    <w:p w:rsidR="00022B47" w:rsidRDefault="00000000">
      <w:pPr>
        <w:pStyle w:val="Normal17"/>
        <w:widowControl w:val="0"/>
        <w:spacing w:before="240" w:line="260" w:lineRule="atLeast"/>
      </w:pPr>
      <w:r>
        <w:br/>
      </w:r>
      <w:r>
        <w:rPr>
          <w:rFonts w:ascii="Arial" w:eastAsia="Arial" w:hAnsi="Arial" w:cs="Arial"/>
          <w:b/>
          <w:color w:val="000000"/>
          <w:sz w:val="20"/>
        </w:rPr>
        <w:t>III</w:t>
      </w:r>
      <w:r>
        <w:rPr>
          <w:rFonts w:ascii="Arial" w:eastAsia="Arial" w:hAnsi="Arial" w:cs="Arial"/>
          <w:color w:val="000000"/>
          <w:sz w:val="20"/>
        </w:rPr>
        <w:t>.</w:t>
      </w:r>
    </w:p>
    <w:p w:rsidR="00022B47" w:rsidRDefault="00000000">
      <w:pPr>
        <w:pStyle w:val="Normal17"/>
        <w:widowControl w:val="0"/>
        <w:spacing w:before="240" w:line="260" w:lineRule="atLeast"/>
      </w:pPr>
      <w:r>
        <w:br/>
      </w:r>
      <w:r>
        <w:rPr>
          <w:rFonts w:ascii="Arial" w:eastAsia="Arial" w:hAnsi="Arial" w:cs="Arial"/>
          <w:b/>
          <w:color w:val="000000"/>
          <w:sz w:val="20"/>
        </w:rPr>
        <w:t>A</w:t>
      </w:r>
      <w:r>
        <w:rPr>
          <w:rFonts w:ascii="Arial" w:eastAsia="Arial" w:hAnsi="Arial" w:cs="Arial"/>
          <w:color w:val="000000"/>
          <w:sz w:val="20"/>
        </w:rPr>
        <w:t>.</w:t>
      </w:r>
    </w:p>
    <w:p w:rsidR="00022B47" w:rsidRDefault="00000000">
      <w:pPr>
        <w:pStyle w:val="Normal17"/>
        <w:widowControl w:val="0"/>
        <w:spacing w:before="200" w:line="260" w:lineRule="atLeast"/>
        <w:jc w:val="both"/>
      </w:pPr>
      <w:bookmarkStart w:id="3031" w:name="Bookmark_para_14_15"/>
      <w:bookmarkStart w:id="3032" w:name="Bookmark_I66K8CD72SF7TX0050000400"/>
      <w:bookmarkStart w:id="3033" w:name="Bookmark_LNHNREFclscc6_12"/>
      <w:bookmarkEnd w:id="3031"/>
      <w:bookmarkEnd w:id="3032"/>
      <w:bookmarkEnd w:id="3033"/>
      <w:r>
        <w:rPr>
          <w:rFonts w:ascii="Arial" w:eastAsia="Arial" w:hAnsi="Arial" w:cs="Arial"/>
          <w:color w:val="000000"/>
          <w:sz w:val="20"/>
        </w:rPr>
        <w:t xml:space="preserve">Article III of the Constitution gives the federal courts the power [**8]  to hear only "Cases" and "Controversies." U.S. Const. art. III, § 2. That constitutional limitation means courts can resolve only "genuine, live dispute[s] between adverse parties." </w:t>
      </w:r>
      <w:bookmarkStart w:id="3034" w:name="Bookmark_I66K8CD72SF7TX0040000400"/>
      <w:bookmarkEnd w:id="3034"/>
      <w:r>
        <w:rPr>
          <w:rFonts w:ascii="Arial" w:eastAsia="Arial" w:hAnsi="Arial" w:cs="Arial"/>
          <w:color w:val="000000"/>
          <w:sz w:val="20"/>
          <w:u w:val="single"/>
        </w:rPr>
        <w:t>Carney v. Adams</w:t>
      </w:r>
      <w:r>
        <w:rPr>
          <w:rFonts w:ascii="Arial" w:eastAsia="Arial" w:hAnsi="Arial" w:cs="Arial"/>
          <w:color w:val="000000"/>
          <w:sz w:val="20"/>
        </w:rPr>
        <w:t xml:space="preserve">, 141 S. Ct. 493, 498, 208 L. Ed. 2d 305 (2020). Out of that general rule has emerged the multi-faceted doctrine of standing, </w:t>
      </w:r>
      <w:r>
        <w:rPr>
          <w:rFonts w:ascii="Arial" w:eastAsia="Arial" w:hAnsi="Arial" w:cs="Arial"/>
          <w:color w:val="000000"/>
          <w:sz w:val="20"/>
          <w:u w:val="single"/>
        </w:rPr>
        <w:t>see id.</w:t>
      </w:r>
      <w:r>
        <w:rPr>
          <w:rFonts w:ascii="Arial" w:eastAsia="Arial" w:hAnsi="Arial" w:cs="Arial"/>
          <w:color w:val="000000"/>
          <w:sz w:val="20"/>
        </w:rPr>
        <w:t>, a doctrine simple to describe but often tricky to apply.</w:t>
      </w:r>
    </w:p>
    <w:p w:rsidR="00022B47" w:rsidRDefault="00000000">
      <w:pPr>
        <w:pStyle w:val="Normal17"/>
        <w:widowControl w:val="0"/>
        <w:spacing w:before="200" w:line="260" w:lineRule="atLeast"/>
        <w:jc w:val="both"/>
      </w:pPr>
      <w:bookmarkStart w:id="3035" w:name="Bookmark_para_15_15"/>
      <w:bookmarkStart w:id="3036" w:name="Bookmark_I66K8CD72HM6PP0020000400"/>
      <w:bookmarkStart w:id="3037" w:name="Bookmark_I66K8CD72HM6PP0040000400"/>
      <w:bookmarkEnd w:id="3035"/>
      <w:bookmarkEnd w:id="3036"/>
      <w:bookmarkEnd w:id="3037"/>
      <w:r>
        <w:rPr>
          <w:rFonts w:ascii="Arial" w:eastAsia="Arial" w:hAnsi="Arial" w:cs="Arial"/>
          <w:color w:val="000000"/>
          <w:sz w:val="20"/>
        </w:rPr>
        <w:t xml:space="preserve">To have standing, a plaintiff has to show three things: that she "(1) suffered an injury in fact, (2) that is fairly traceable to the challenged conduct of the defendant, and (3) that is likely to be redressed by a favorable judicial decision." </w:t>
      </w:r>
      <w:bookmarkStart w:id="3038" w:name="Bookmark_I66K8CD72HM6PP0010000400"/>
      <w:bookmarkEnd w:id="3038"/>
      <w:r>
        <w:rPr>
          <w:rFonts w:ascii="Arial" w:eastAsia="Arial" w:hAnsi="Arial" w:cs="Arial"/>
          <w:color w:val="000000"/>
          <w:sz w:val="20"/>
          <w:u w:val="single"/>
        </w:rPr>
        <w:t>Spokeo, Inc. v. Robins</w:t>
      </w:r>
      <w:r>
        <w:rPr>
          <w:rFonts w:ascii="Arial" w:eastAsia="Arial" w:hAnsi="Arial" w:cs="Arial"/>
          <w:color w:val="000000"/>
          <w:sz w:val="20"/>
        </w:rPr>
        <w:t xml:space="preserve">, 578 U.S. 330, 338, 136 S. Ct. 1540, 194 L. Ed. 2d 635 (2016). We're focused on the first part here -- injury in fact. An injury in fact, as we use that term of art, means "the invasion of a legally protected interest that is concrete and particularized and actual or imminent, not conjectural or hypothetical." </w:t>
      </w:r>
      <w:bookmarkStart w:id="3039" w:name="Bookmark_I66K8CD72HM6PP0030000400"/>
      <w:bookmarkEnd w:id="3039"/>
      <w:r>
        <w:rPr>
          <w:rFonts w:ascii="Arial" w:eastAsia="Arial" w:hAnsi="Arial" w:cs="Arial"/>
          <w:color w:val="000000"/>
          <w:sz w:val="20"/>
          <w:u w:val="single"/>
        </w:rPr>
        <w:t>Amrhein</w:t>
      </w:r>
      <w:r>
        <w:rPr>
          <w:rFonts w:ascii="Arial" w:eastAsia="Arial" w:hAnsi="Arial" w:cs="Arial"/>
          <w:color w:val="000000"/>
          <w:sz w:val="20"/>
        </w:rPr>
        <w:t xml:space="preserve">, 954 F.3d at 330 (cleaned up) (quoting </w:t>
      </w:r>
      <w:bookmarkStart w:id="3040" w:name="Bookmark_I66K8CD72HM6PP0050000400"/>
      <w:bookmarkEnd w:id="3040"/>
      <w:r>
        <w:rPr>
          <w:rFonts w:ascii="Arial" w:eastAsia="Arial" w:hAnsi="Arial" w:cs="Arial"/>
          <w:color w:val="000000"/>
          <w:sz w:val="20"/>
          <w:u w:val="single"/>
        </w:rPr>
        <w:t>Spokeo</w:t>
      </w:r>
      <w:r>
        <w:rPr>
          <w:rFonts w:ascii="Arial" w:eastAsia="Arial" w:hAnsi="Arial" w:cs="Arial"/>
          <w:color w:val="000000"/>
          <w:sz w:val="20"/>
        </w:rPr>
        <w:t>, 578 U.S. at 339). (What that all means we'll get into more detail on later.)</w:t>
      </w:r>
    </w:p>
    <w:p w:rsidR="00022B47" w:rsidRDefault="00000000">
      <w:pPr>
        <w:pStyle w:val="Normal17"/>
        <w:widowControl w:val="0"/>
        <w:spacing w:before="200" w:line="260" w:lineRule="atLeast"/>
        <w:jc w:val="both"/>
      </w:pPr>
      <w:bookmarkStart w:id="3041" w:name="Bookmark_para_16_15"/>
      <w:bookmarkStart w:id="3042" w:name="Bookmark_I66K8CD82HM6PS0030000400"/>
      <w:bookmarkStart w:id="3043" w:name="Bookmark_I66K8CD82HM6PS0050000400"/>
      <w:bookmarkStart w:id="3044" w:name="Bookmark_LNHNREFclscc7_11"/>
      <w:bookmarkEnd w:id="3041"/>
      <w:bookmarkEnd w:id="3042"/>
      <w:bookmarkEnd w:id="3043"/>
      <w:bookmarkEnd w:id="3044"/>
      <w:r>
        <w:rPr>
          <w:rFonts w:ascii="Arial" w:eastAsia="Arial" w:hAnsi="Arial" w:cs="Arial"/>
          <w:color w:val="000000"/>
          <w:sz w:val="20"/>
        </w:rPr>
        <w:t xml:space="preserve">Standing doctrine serves many purposes. </w:t>
      </w:r>
      <w:bookmarkStart w:id="3045" w:name="Bookmark_I66K8CD82HM6PX0020000400"/>
      <w:bookmarkEnd w:id="3045"/>
      <w:r>
        <w:rPr>
          <w:rFonts w:ascii="Arial" w:eastAsia="Arial" w:hAnsi="Arial" w:cs="Arial"/>
          <w:color w:val="000000"/>
          <w:sz w:val="20"/>
        </w:rPr>
        <w:t xml:space="preserve">"It tends to assure that the legal questions presented to the court will be resolved, not in the rarified atmosphere of a debating society, but in a concrete factual context conducive to a realistic appreciation of the consequences of judicial action." </w:t>
      </w:r>
      <w:bookmarkStart w:id="3046" w:name="Bookmark_I66K8CD82HM6PS0020000400"/>
      <w:bookmarkEnd w:id="3046"/>
      <w:r>
        <w:rPr>
          <w:rFonts w:ascii="Arial" w:eastAsia="Arial" w:hAnsi="Arial" w:cs="Arial"/>
          <w:color w:val="000000"/>
          <w:sz w:val="20"/>
          <w:u w:val="single"/>
        </w:rPr>
        <w:t>Valley Forge Christian Coll. v. Ams. United for Separation of Church &amp; State, Inc.</w:t>
      </w:r>
      <w:r>
        <w:rPr>
          <w:rFonts w:ascii="Arial" w:eastAsia="Arial" w:hAnsi="Arial" w:cs="Arial"/>
          <w:color w:val="000000"/>
          <w:sz w:val="20"/>
        </w:rPr>
        <w:t xml:space="preserve">, 454 U.S. 464, 472, 102 S. Ct. 752, 70 L. Ed. 2d 700 (1982). It also ensures the federal [**9]  courts aren't morphed into "no more than a vehicle for the vindication of the value interests of concerned bystanders." </w:t>
      </w:r>
      <w:r>
        <w:rPr>
          <w:rFonts w:ascii="Arial" w:eastAsia="Arial" w:hAnsi="Arial" w:cs="Arial"/>
          <w:color w:val="000000"/>
          <w:sz w:val="20"/>
          <w:u w:val="single"/>
        </w:rPr>
        <w:t>Id.</w:t>
      </w:r>
      <w:r>
        <w:rPr>
          <w:rFonts w:ascii="Arial" w:eastAsia="Arial" w:hAnsi="Arial" w:cs="Arial"/>
          <w:color w:val="000000"/>
          <w:sz w:val="20"/>
        </w:rPr>
        <w:t xml:space="preserve"> (quoting </w:t>
      </w:r>
      <w:bookmarkStart w:id="3047" w:name="Bookmark_I66K8CD82HM6PS0040000400"/>
      <w:bookmarkEnd w:id="3047"/>
      <w:r>
        <w:rPr>
          <w:rFonts w:ascii="Arial" w:eastAsia="Arial" w:hAnsi="Arial" w:cs="Arial"/>
          <w:color w:val="000000"/>
          <w:sz w:val="20"/>
          <w:u w:val="single"/>
        </w:rPr>
        <w:t>United States v. SCRAP</w:t>
      </w:r>
      <w:r>
        <w:rPr>
          <w:rFonts w:ascii="Arial" w:eastAsia="Arial" w:hAnsi="Arial" w:cs="Arial"/>
          <w:color w:val="000000"/>
          <w:sz w:val="20"/>
        </w:rPr>
        <w:t xml:space="preserve">, 412 U.S. 669, 687, 93 S. Ct. 2405, 37 L. Ed. 2d 254 (1973)). </w:t>
      </w:r>
      <w:bookmarkStart w:id="3048" w:name="Bookmark_I66K8CD82HM6PX0020000400_2"/>
      <w:bookmarkEnd w:id="3048"/>
      <w:r>
        <w:rPr>
          <w:rFonts w:ascii="Arial" w:eastAsia="Arial" w:hAnsi="Arial" w:cs="Arial"/>
          <w:color w:val="000000"/>
          <w:sz w:val="20"/>
        </w:rPr>
        <w:t xml:space="preserve">And it reflects separation-of-powers principles that the courts shouldn't be used to "usurp the powers of the political branches." </w:t>
      </w:r>
      <w:bookmarkStart w:id="3049" w:name="Bookmark_I66K8CD82HM6PX0010000400"/>
      <w:bookmarkEnd w:id="3049"/>
      <w:r>
        <w:rPr>
          <w:rFonts w:ascii="Arial" w:eastAsia="Arial" w:hAnsi="Arial" w:cs="Arial"/>
          <w:color w:val="000000"/>
          <w:sz w:val="20"/>
          <w:u w:val="single"/>
        </w:rPr>
        <w:t>Clapper v. Amnesty Int'l USA</w:t>
      </w:r>
      <w:r>
        <w:rPr>
          <w:rFonts w:ascii="Arial" w:eastAsia="Arial" w:hAnsi="Arial" w:cs="Arial"/>
          <w:color w:val="000000"/>
          <w:sz w:val="20"/>
        </w:rPr>
        <w:t>, 568 U.S. 398, 408, 133 S. Ct. 1138, 185 L. Ed. 2d 264 (2013).</w:t>
      </w:r>
    </w:p>
    <w:p w:rsidR="00022B47" w:rsidRDefault="00000000">
      <w:pPr>
        <w:pStyle w:val="Normal17"/>
        <w:widowControl w:val="0"/>
        <w:spacing w:before="200" w:line="260" w:lineRule="atLeast"/>
        <w:jc w:val="both"/>
      </w:pPr>
      <w:bookmarkStart w:id="3050" w:name="Bookmark_para_17_14"/>
      <w:bookmarkStart w:id="3051" w:name="Bookmark_I66K8CD82HM6PX0040000400"/>
      <w:bookmarkStart w:id="3052" w:name="Bookmark_LNHNREFclscc8_11"/>
      <w:bookmarkEnd w:id="3050"/>
      <w:bookmarkEnd w:id="3051"/>
      <w:bookmarkEnd w:id="3052"/>
      <w:r>
        <w:rPr>
          <w:rFonts w:ascii="Arial" w:eastAsia="Arial" w:hAnsi="Arial" w:cs="Arial"/>
          <w:color w:val="000000"/>
          <w:sz w:val="20"/>
        </w:rPr>
        <w:t xml:space="preserve">Article III standing operates as a limit on federal courts' jurisdiction. </w:t>
      </w:r>
      <w:r>
        <w:rPr>
          <w:rFonts w:ascii="Arial" w:eastAsia="Arial" w:hAnsi="Arial" w:cs="Arial"/>
          <w:color w:val="000000"/>
          <w:sz w:val="20"/>
          <w:u w:val="single"/>
        </w:rPr>
        <w:t>Id.</w:t>
      </w:r>
      <w:r>
        <w:rPr>
          <w:rFonts w:ascii="Arial" w:eastAsia="Arial" w:hAnsi="Arial" w:cs="Arial"/>
          <w:color w:val="000000"/>
          <w:sz w:val="20"/>
        </w:rPr>
        <w:t xml:space="preserve"> And because it is jurisdictional, it cannot be waived or forfeited and can be raised at any time, by anyone. </w:t>
      </w:r>
      <w:r>
        <w:rPr>
          <w:rFonts w:ascii="Arial" w:eastAsia="Arial" w:hAnsi="Arial" w:cs="Arial"/>
          <w:color w:val="000000"/>
          <w:sz w:val="20"/>
          <w:u w:val="single"/>
        </w:rPr>
        <w:t xml:space="preserve">See </w:t>
      </w:r>
      <w:bookmarkStart w:id="3053" w:name="Bookmark_I66K8CD82HM6PX0030000400"/>
      <w:bookmarkEnd w:id="3053"/>
      <w:r>
        <w:rPr>
          <w:rFonts w:ascii="Arial" w:eastAsia="Arial" w:hAnsi="Arial" w:cs="Arial"/>
          <w:color w:val="000000"/>
          <w:sz w:val="20"/>
          <w:u w:val="single"/>
        </w:rPr>
        <w:t>Va. House of Delegates v. Bethune-Hill</w:t>
      </w:r>
      <w:r>
        <w:rPr>
          <w:rFonts w:ascii="Arial" w:eastAsia="Arial" w:hAnsi="Arial" w:cs="Arial"/>
          <w:color w:val="000000"/>
          <w:sz w:val="20"/>
        </w:rPr>
        <w:t xml:space="preserve">, 139 S. Ct. 1945, 1951, 204 L. Ed. 2d 305 (2019). When it is raised, the burden of showing standing rests on the party invoking the court's jurisdiction. </w:t>
      </w:r>
      <w:r>
        <w:rPr>
          <w:rFonts w:ascii="Arial" w:eastAsia="Arial" w:hAnsi="Arial" w:cs="Arial"/>
          <w:color w:val="000000"/>
          <w:sz w:val="20"/>
          <w:u w:val="single"/>
        </w:rPr>
        <w:t>Id.</w:t>
      </w:r>
      <w:r>
        <w:rPr>
          <w:rFonts w:ascii="Arial" w:eastAsia="Arial" w:hAnsi="Arial" w:cs="Arial"/>
          <w:color w:val="000000"/>
          <w:sz w:val="20"/>
        </w:rPr>
        <w:t xml:space="preserve"> Meeting that burden is mission critical for their case -- no standing, no jurisdiction, and the case must be dismissed.</w:t>
      </w:r>
    </w:p>
    <w:p w:rsidR="00022B47" w:rsidRDefault="00000000">
      <w:pPr>
        <w:pStyle w:val="Normal17"/>
        <w:widowControl w:val="0"/>
        <w:spacing w:before="240" w:line="260" w:lineRule="atLeast"/>
      </w:pPr>
      <w:r>
        <w:br/>
      </w:r>
      <w:r>
        <w:rPr>
          <w:rFonts w:ascii="Arial" w:eastAsia="Arial" w:hAnsi="Arial" w:cs="Arial"/>
          <w:b/>
          <w:color w:val="000000"/>
          <w:sz w:val="20"/>
        </w:rPr>
        <w:t>B</w:t>
      </w:r>
      <w:r>
        <w:rPr>
          <w:rFonts w:ascii="Arial" w:eastAsia="Arial" w:hAnsi="Arial" w:cs="Arial"/>
          <w:color w:val="000000"/>
          <w:sz w:val="20"/>
        </w:rPr>
        <w:t>.</w:t>
      </w:r>
    </w:p>
    <w:p w:rsidR="00022B47" w:rsidRDefault="00000000">
      <w:pPr>
        <w:pStyle w:val="Normal17"/>
        <w:widowControl w:val="0"/>
        <w:spacing w:before="200" w:line="260" w:lineRule="atLeast"/>
        <w:jc w:val="both"/>
      </w:pPr>
      <w:bookmarkStart w:id="3054" w:name="Bookmark_para_18_14"/>
      <w:bookmarkEnd w:id="3054"/>
      <w:r>
        <w:rPr>
          <w:rFonts w:ascii="Arial" w:eastAsia="Arial" w:hAnsi="Arial" w:cs="Arial"/>
          <w:color w:val="000000"/>
          <w:sz w:val="20"/>
        </w:rPr>
        <w:t>Acheson first asserts that the Reservation Rule did not require it to reveal all the information Laufer wants, and so she suffered no injury via a violation of the rule. But we don't have to untangle Acheson's argument on the merits of Laufer's claim to determine her standing.</w:t>
      </w:r>
    </w:p>
    <w:p w:rsidR="00022B47" w:rsidRDefault="00000000">
      <w:pPr>
        <w:pStyle w:val="Normal17"/>
        <w:widowControl w:val="0"/>
        <w:spacing w:before="200" w:line="260" w:lineRule="atLeast"/>
        <w:jc w:val="both"/>
      </w:pPr>
      <w:bookmarkStart w:id="3055" w:name="Bookmark_para_19_14"/>
      <w:bookmarkStart w:id="3056" w:name="Bookmark_I66K8CD82N1RJB0010000400"/>
      <w:bookmarkStart w:id="3057" w:name="Bookmark_I66K8CD92HM6R70020000400"/>
      <w:bookmarkStart w:id="3058" w:name="Bookmark_I66K8CD92D6NBS0030000400"/>
      <w:bookmarkStart w:id="3059" w:name="Bookmark_LNHNREFclscc9_11"/>
      <w:bookmarkEnd w:id="3055"/>
      <w:bookmarkEnd w:id="3056"/>
      <w:bookmarkEnd w:id="3057"/>
      <w:bookmarkEnd w:id="3058"/>
      <w:bookmarkEnd w:id="3059"/>
      <w:r>
        <w:rPr>
          <w:rFonts w:ascii="Arial" w:eastAsia="Arial" w:hAnsi="Arial" w:cs="Arial"/>
          <w:color w:val="000000"/>
          <w:sz w:val="20"/>
        </w:rPr>
        <w:t xml:space="preserve">Standing is, "[i]n essence," a question of "whether the litigant is entitled to have the court decide the merits of the dispute or of particular issues." </w:t>
      </w:r>
      <w:bookmarkStart w:id="3060" w:name="Bookmark_I66K8CD82HM6PX0050000400"/>
      <w:bookmarkEnd w:id="3060"/>
      <w:r>
        <w:rPr>
          <w:rFonts w:ascii="Arial" w:eastAsia="Arial" w:hAnsi="Arial" w:cs="Arial"/>
          <w:color w:val="000000"/>
          <w:sz w:val="20"/>
          <w:u w:val="single"/>
        </w:rPr>
        <w:t>Allen v. Wright</w:t>
      </w:r>
      <w:r>
        <w:rPr>
          <w:rFonts w:ascii="Arial" w:eastAsia="Arial" w:hAnsi="Arial" w:cs="Arial"/>
          <w:color w:val="000000"/>
          <w:sz w:val="20"/>
        </w:rPr>
        <w:t xml:space="preserve">, 468 U.S. 737, 750-51, 104 S. Ct. 3315, 82 L. Ed. 2d 556 (1984) (quoting </w:t>
      </w:r>
      <w:bookmarkStart w:id="3061" w:name="Bookmark_I66K8CD82N1RJB0020000400"/>
      <w:bookmarkEnd w:id="3061"/>
      <w:r>
        <w:rPr>
          <w:rFonts w:ascii="Arial" w:eastAsia="Arial" w:hAnsi="Arial" w:cs="Arial"/>
          <w:color w:val="000000"/>
          <w:sz w:val="20"/>
          <w:u w:val="single"/>
        </w:rPr>
        <w:t>Warth v. Seldin</w:t>
      </w:r>
      <w:r>
        <w:rPr>
          <w:rFonts w:ascii="Arial" w:eastAsia="Arial" w:hAnsi="Arial" w:cs="Arial"/>
          <w:color w:val="000000"/>
          <w:sz w:val="20"/>
        </w:rPr>
        <w:t xml:space="preserve">, 422 U.S. 490, 498, 95 S. Ct. 2197, 45 L. Ed. 2d 343 (1975)), </w:t>
      </w:r>
      <w:r>
        <w:rPr>
          <w:rFonts w:ascii="Arial" w:eastAsia="Arial" w:hAnsi="Arial" w:cs="Arial"/>
          <w:color w:val="000000"/>
          <w:sz w:val="20"/>
          <w:u w:val="single"/>
        </w:rPr>
        <w:t xml:space="preserve">abrogated on other grounds by </w:t>
      </w:r>
      <w:bookmarkStart w:id="3062" w:name="Bookmark_I66K8CD82N1RJB0040000400"/>
      <w:bookmarkEnd w:id="3062"/>
      <w:r>
        <w:rPr>
          <w:rFonts w:ascii="Arial" w:eastAsia="Arial" w:hAnsi="Arial" w:cs="Arial"/>
          <w:color w:val="000000"/>
          <w:sz w:val="20"/>
          <w:u w:val="single"/>
        </w:rPr>
        <w:t>Lexmark Int'l, Inc. v. Static Control Components, Inc.</w:t>
      </w:r>
      <w:r>
        <w:rPr>
          <w:rFonts w:ascii="Arial" w:eastAsia="Arial" w:hAnsi="Arial" w:cs="Arial"/>
          <w:color w:val="000000"/>
          <w:sz w:val="20"/>
        </w:rPr>
        <w:t xml:space="preserve">, 572 U.S. 118, 134 S. Ct. 1377, 188 L. Ed. 2d 392  [*267]  (2014). "[S]tanding in no way depends on the merits of [**10]  the plaintiff's contention that particular conduct is illegal." </w:t>
      </w:r>
      <w:bookmarkStart w:id="3063" w:name="Bookmark_I66K8CD92HM6R70010000400"/>
      <w:bookmarkEnd w:id="3063"/>
      <w:r>
        <w:rPr>
          <w:rFonts w:ascii="Arial" w:eastAsia="Arial" w:hAnsi="Arial" w:cs="Arial"/>
          <w:color w:val="000000"/>
          <w:sz w:val="20"/>
          <w:u w:val="single"/>
        </w:rPr>
        <w:t>Hochendoner</w:t>
      </w:r>
      <w:r>
        <w:rPr>
          <w:rFonts w:ascii="Arial" w:eastAsia="Arial" w:hAnsi="Arial" w:cs="Arial"/>
          <w:color w:val="000000"/>
          <w:sz w:val="20"/>
        </w:rPr>
        <w:t xml:space="preserve">, 823 F.3d at 734 (quoting </w:t>
      </w:r>
      <w:bookmarkStart w:id="3064" w:name="Bookmark_I66K8CD92HM6R70030000400"/>
      <w:bookmarkEnd w:id="3064"/>
      <w:r>
        <w:rPr>
          <w:rFonts w:ascii="Arial" w:eastAsia="Arial" w:hAnsi="Arial" w:cs="Arial"/>
          <w:color w:val="000000"/>
          <w:sz w:val="20"/>
          <w:u w:val="single"/>
        </w:rPr>
        <w:t>Warth</w:t>
      </w:r>
      <w:r>
        <w:rPr>
          <w:rFonts w:ascii="Arial" w:eastAsia="Arial" w:hAnsi="Arial" w:cs="Arial"/>
          <w:color w:val="000000"/>
          <w:sz w:val="20"/>
        </w:rPr>
        <w:t xml:space="preserve">, 422 U.S. at 500); </w:t>
      </w:r>
      <w:r>
        <w:rPr>
          <w:rFonts w:ascii="Arial" w:eastAsia="Arial" w:hAnsi="Arial" w:cs="Arial"/>
          <w:color w:val="000000"/>
          <w:sz w:val="20"/>
          <w:u w:val="single"/>
        </w:rPr>
        <w:t xml:space="preserve">see </w:t>
      </w:r>
      <w:bookmarkStart w:id="3065" w:name="Bookmark_I66K8CD92HM6R70050000400"/>
      <w:bookmarkEnd w:id="3065"/>
      <w:r>
        <w:rPr>
          <w:rFonts w:ascii="Arial" w:eastAsia="Arial" w:hAnsi="Arial" w:cs="Arial"/>
          <w:color w:val="000000"/>
          <w:sz w:val="20"/>
          <w:u w:val="single"/>
        </w:rPr>
        <w:t>FEC v. Ted Cruz for Senate</w:t>
      </w:r>
      <w:r>
        <w:rPr>
          <w:rFonts w:ascii="Arial" w:eastAsia="Arial" w:hAnsi="Arial" w:cs="Arial"/>
          <w:color w:val="000000"/>
          <w:sz w:val="20"/>
        </w:rPr>
        <w:t xml:space="preserve">, 142 S. Ct. 1638, 1647, 212 L. Ed. 2d 654 (2022). </w:t>
      </w:r>
      <w:bookmarkStart w:id="3066" w:name="Bookmark_I66K8CD92D6NC40020000400"/>
      <w:bookmarkEnd w:id="3066"/>
      <w:r>
        <w:rPr>
          <w:rFonts w:ascii="Arial" w:eastAsia="Arial" w:hAnsi="Arial" w:cs="Arial"/>
          <w:color w:val="000000"/>
          <w:sz w:val="20"/>
        </w:rPr>
        <w:t xml:space="preserve">In other words, that a plaintiff's ultimate recovery "may be uncertain or even unlikely . . . is of no moment" to us now. </w:t>
      </w:r>
      <w:r>
        <w:rPr>
          <w:rFonts w:ascii="Arial" w:eastAsia="Arial" w:hAnsi="Arial" w:cs="Arial"/>
          <w:color w:val="000000"/>
          <w:sz w:val="20"/>
          <w:u w:val="single"/>
        </w:rPr>
        <w:t xml:space="preserve">See </w:t>
      </w:r>
      <w:bookmarkStart w:id="3067" w:name="Bookmark_I66K8CD92D6NBS0020000400"/>
      <w:bookmarkEnd w:id="3067"/>
      <w:r>
        <w:rPr>
          <w:rFonts w:ascii="Arial" w:eastAsia="Arial" w:hAnsi="Arial" w:cs="Arial"/>
          <w:color w:val="000000"/>
          <w:sz w:val="20"/>
          <w:u w:val="single"/>
        </w:rPr>
        <w:t>Mission Prod. Holdings, Inc. v. Tempnology, LLC</w:t>
      </w:r>
      <w:r>
        <w:rPr>
          <w:rFonts w:ascii="Arial" w:eastAsia="Arial" w:hAnsi="Arial" w:cs="Arial"/>
          <w:color w:val="000000"/>
          <w:sz w:val="20"/>
        </w:rPr>
        <w:t xml:space="preserve">, 139 S. Ct. 1652, 1660, 203 L. Ed. 2d 876 (2019); </w:t>
      </w:r>
      <w:r>
        <w:rPr>
          <w:rFonts w:ascii="Arial" w:eastAsia="Arial" w:hAnsi="Arial" w:cs="Arial"/>
          <w:color w:val="000000"/>
          <w:sz w:val="20"/>
          <w:u w:val="single"/>
        </w:rPr>
        <w:t xml:space="preserve">see also </w:t>
      </w:r>
      <w:bookmarkStart w:id="3068" w:name="Bookmark_I66K8CD92D6NBS0040000400"/>
      <w:bookmarkEnd w:id="3068"/>
      <w:r>
        <w:rPr>
          <w:rFonts w:ascii="Arial" w:eastAsia="Arial" w:hAnsi="Arial" w:cs="Arial"/>
          <w:color w:val="000000"/>
          <w:sz w:val="20"/>
          <w:u w:val="single"/>
        </w:rPr>
        <w:t>Ariz. State Legislature v. Ariz. Indep. Redistricting Comm'n</w:t>
      </w:r>
      <w:r>
        <w:rPr>
          <w:rFonts w:ascii="Arial" w:eastAsia="Arial" w:hAnsi="Arial" w:cs="Arial"/>
          <w:color w:val="000000"/>
          <w:sz w:val="20"/>
        </w:rPr>
        <w:t xml:space="preserve">, 576 U.S. 787, 800, 135 S. Ct. 2652, 192 L. Ed. 2d 704 (2015) ("one must not confuse weakness on the merits with absence of Article III standing" (cleaned up)). </w:t>
      </w:r>
      <w:bookmarkStart w:id="3069" w:name="Bookmark_I66K8CD92D6NC40020000400_2"/>
      <w:bookmarkEnd w:id="3069"/>
      <w:r>
        <w:rPr>
          <w:rFonts w:ascii="Arial" w:eastAsia="Arial" w:hAnsi="Arial" w:cs="Arial"/>
          <w:color w:val="000000"/>
          <w:sz w:val="20"/>
        </w:rPr>
        <w:t xml:space="preserve">At this point, our only question is, putting the merits aside, whether Laufer plausibly alleges she was injured under her theory of the underlying legal claim. </w:t>
      </w:r>
      <w:r>
        <w:rPr>
          <w:rFonts w:ascii="Arial" w:eastAsia="Arial" w:hAnsi="Arial" w:cs="Arial"/>
          <w:color w:val="000000"/>
          <w:sz w:val="20"/>
          <w:u w:val="single"/>
        </w:rPr>
        <w:t xml:space="preserve">See </w:t>
      </w:r>
      <w:bookmarkStart w:id="3070" w:name="Bookmark_I66K8CD92D6NC40010000400"/>
      <w:bookmarkEnd w:id="3070"/>
      <w:r>
        <w:rPr>
          <w:rFonts w:ascii="Arial" w:eastAsia="Arial" w:hAnsi="Arial" w:cs="Arial"/>
          <w:color w:val="000000"/>
          <w:sz w:val="20"/>
          <w:u w:val="single"/>
        </w:rPr>
        <w:t>Hochendoner</w:t>
      </w:r>
      <w:r>
        <w:rPr>
          <w:rFonts w:ascii="Arial" w:eastAsia="Arial" w:hAnsi="Arial" w:cs="Arial"/>
          <w:color w:val="000000"/>
          <w:sz w:val="20"/>
        </w:rPr>
        <w:t xml:space="preserve">, 823 F.3d at 734; </w:t>
      </w:r>
      <w:r>
        <w:rPr>
          <w:rFonts w:ascii="Arial" w:eastAsia="Arial" w:hAnsi="Arial" w:cs="Arial"/>
          <w:color w:val="000000"/>
          <w:sz w:val="20"/>
          <w:u w:val="single"/>
        </w:rPr>
        <w:t xml:space="preserve">see also </w:t>
      </w:r>
      <w:bookmarkStart w:id="3071" w:name="Bookmark_I66K8CD92D6NC40030000400"/>
      <w:bookmarkEnd w:id="3071"/>
      <w:r>
        <w:rPr>
          <w:rFonts w:ascii="Arial" w:eastAsia="Arial" w:hAnsi="Arial" w:cs="Arial"/>
          <w:color w:val="000000"/>
          <w:sz w:val="20"/>
          <w:u w:val="single"/>
        </w:rPr>
        <w:t>Cruz</w:t>
      </w:r>
      <w:r>
        <w:rPr>
          <w:rFonts w:ascii="Arial" w:eastAsia="Arial" w:hAnsi="Arial" w:cs="Arial"/>
          <w:color w:val="000000"/>
          <w:sz w:val="20"/>
        </w:rPr>
        <w:t>, 142 S. Ct. at 1647-48 ("For standing purposes, we accept as valid the merits of appellees' legal claims.").</w:t>
      </w:r>
    </w:p>
    <w:p w:rsidR="00022B47" w:rsidRDefault="00000000">
      <w:pPr>
        <w:pStyle w:val="Normal17"/>
        <w:widowControl w:val="0"/>
        <w:spacing w:before="200" w:line="260" w:lineRule="atLeast"/>
        <w:jc w:val="both"/>
      </w:pPr>
      <w:bookmarkStart w:id="3072" w:name="Bookmark_para_20_14"/>
      <w:bookmarkStart w:id="3073" w:name="Bookmark_I66K8CD92N1RJW0010000400"/>
      <w:bookmarkEnd w:id="3072"/>
      <w:bookmarkEnd w:id="3073"/>
      <w:r>
        <w:rPr>
          <w:rFonts w:ascii="Arial" w:eastAsia="Arial" w:hAnsi="Arial" w:cs="Arial"/>
          <w:color w:val="000000"/>
          <w:sz w:val="20"/>
        </w:rPr>
        <w:t xml:space="preserve">Nor is Laufer's claim "so implausible that it is insufficient to preserve jurisdiction." </w:t>
      </w:r>
      <w:r>
        <w:rPr>
          <w:rFonts w:ascii="Arial" w:eastAsia="Arial" w:hAnsi="Arial" w:cs="Arial"/>
          <w:color w:val="000000"/>
          <w:sz w:val="20"/>
          <w:u w:val="single"/>
        </w:rPr>
        <w:t xml:space="preserve">See </w:t>
      </w:r>
      <w:bookmarkStart w:id="3074" w:name="Bookmark_I66K8CD92D6NC40050000400"/>
      <w:bookmarkEnd w:id="3074"/>
      <w:r>
        <w:rPr>
          <w:rFonts w:ascii="Arial" w:eastAsia="Arial" w:hAnsi="Arial" w:cs="Arial"/>
          <w:color w:val="000000"/>
          <w:sz w:val="20"/>
          <w:u w:val="single"/>
        </w:rPr>
        <w:t>Chafin v. Chafin</w:t>
      </w:r>
      <w:r>
        <w:rPr>
          <w:rFonts w:ascii="Arial" w:eastAsia="Arial" w:hAnsi="Arial" w:cs="Arial"/>
          <w:color w:val="000000"/>
          <w:sz w:val="20"/>
        </w:rPr>
        <w:t xml:space="preserve">, 568 U.S. 165, 174, 133 S. Ct. 1017, 185 L. Ed. 2d 1 (2013). Though Acheson thinks Laufer could've just picked up the phone to ask for the information and that this was supposed to be an interactive process, the regulations clearly provide that hotels' reservation portals still must provide some detail -- "enough detail" -- to allow individuals with disabilities to know what services they can enjoy. 28 C.F.R. § 36.302(e); </w:t>
      </w:r>
      <w:r>
        <w:rPr>
          <w:rFonts w:ascii="Arial" w:eastAsia="Arial" w:hAnsi="Arial" w:cs="Arial"/>
          <w:color w:val="000000"/>
          <w:sz w:val="20"/>
          <w:u w:val="single"/>
        </w:rPr>
        <w:t>DOJ Guidance</w:t>
      </w:r>
      <w:r>
        <w:rPr>
          <w:rFonts w:ascii="Arial" w:eastAsia="Arial" w:hAnsi="Arial" w:cs="Arial"/>
          <w:color w:val="000000"/>
          <w:sz w:val="20"/>
        </w:rPr>
        <w:t>, 28 C.F.R. pt. 36, app. A (2010). Which Laufer alleges Acheson's portals didn't do.</w:t>
      </w:r>
    </w:p>
    <w:p w:rsidR="00022B47" w:rsidRDefault="00000000">
      <w:pPr>
        <w:pStyle w:val="Normal17"/>
        <w:widowControl w:val="0"/>
        <w:spacing w:before="200" w:line="260" w:lineRule="atLeast"/>
        <w:jc w:val="both"/>
      </w:pPr>
      <w:bookmarkStart w:id="3075" w:name="Bookmark_para_21_14"/>
      <w:bookmarkEnd w:id="3075"/>
      <w:r>
        <w:rPr>
          <w:rFonts w:ascii="Arial" w:eastAsia="Arial" w:hAnsi="Arial" w:cs="Arial"/>
          <w:color w:val="000000"/>
          <w:sz w:val="20"/>
        </w:rPr>
        <w:t>So for our standing analysis, we assume, in line with Laufer's theory, that the Reservation Rule requires Acheson to [**11]  give her certain information. And we further assume, as she alleges in her complaint, that Acheson's website and other third-party reservation services didn't provide that information.</w:t>
      </w:r>
    </w:p>
    <w:p w:rsidR="00022B47" w:rsidRDefault="00000000">
      <w:pPr>
        <w:pStyle w:val="Normal17"/>
        <w:widowControl w:val="0"/>
        <w:spacing w:before="240" w:line="260" w:lineRule="atLeast"/>
      </w:pPr>
      <w:r>
        <w:br/>
      </w:r>
      <w:r>
        <w:rPr>
          <w:rFonts w:ascii="Arial" w:eastAsia="Arial" w:hAnsi="Arial" w:cs="Arial"/>
          <w:b/>
          <w:color w:val="000000"/>
          <w:sz w:val="20"/>
        </w:rPr>
        <w:t>C</w:t>
      </w:r>
      <w:r>
        <w:rPr>
          <w:rFonts w:ascii="Arial" w:eastAsia="Arial" w:hAnsi="Arial" w:cs="Arial"/>
          <w:color w:val="000000"/>
          <w:sz w:val="20"/>
        </w:rPr>
        <w:t>.</w:t>
      </w:r>
    </w:p>
    <w:p w:rsidR="00022B47" w:rsidRDefault="00000000">
      <w:pPr>
        <w:pStyle w:val="Normal17"/>
        <w:widowControl w:val="0"/>
        <w:spacing w:before="200" w:line="260" w:lineRule="atLeast"/>
        <w:jc w:val="both"/>
      </w:pPr>
      <w:bookmarkStart w:id="3076" w:name="Bookmark_para_22_13"/>
      <w:bookmarkEnd w:id="3076"/>
      <w:r>
        <w:rPr>
          <w:rFonts w:ascii="Arial" w:eastAsia="Arial" w:hAnsi="Arial" w:cs="Arial"/>
          <w:color w:val="000000"/>
          <w:sz w:val="20"/>
        </w:rPr>
        <w:t>That brings us to our next question: Is Acheson's failure to provide that information a sufficiently concrete injury to Laufer to give her standing?</w:t>
      </w:r>
    </w:p>
    <w:p w:rsidR="00022B47" w:rsidRDefault="00000000">
      <w:pPr>
        <w:pStyle w:val="Normal17"/>
        <w:widowControl w:val="0"/>
        <w:spacing w:before="200" w:line="260" w:lineRule="atLeast"/>
        <w:jc w:val="both"/>
      </w:pPr>
      <w:bookmarkStart w:id="3077" w:name="Bookmark_para_23_12"/>
      <w:bookmarkEnd w:id="3077"/>
      <w:r>
        <w:rPr>
          <w:rFonts w:ascii="Arial" w:eastAsia="Arial" w:hAnsi="Arial" w:cs="Arial"/>
          <w:color w:val="000000"/>
          <w:sz w:val="20"/>
        </w:rPr>
        <w:t>Acheson thinks not. It says Laufer never had any intention of traveling to Maine or booking a room at its Inn.</w:t>
      </w:r>
      <w:r>
        <w:rPr>
          <w:rFonts w:ascii="Arial" w:eastAsia="Arial" w:hAnsi="Arial" w:cs="Arial"/>
          <w:vertAlign w:val="superscript"/>
        </w:rPr>
        <w:footnoteReference w:customMarkFollows="1" w:id="65"/>
        <w:t>3</w:t>
      </w:r>
      <w:r>
        <w:rPr>
          <w:rFonts w:ascii="Arial" w:eastAsia="Arial" w:hAnsi="Arial" w:cs="Arial"/>
          <w:color w:val="000000"/>
          <w:sz w:val="20"/>
        </w:rPr>
        <w:t xml:space="preserve"> Instead, Laufer was just sitting on her computer hunting websites for ADA non-compliance from over a thousand miles away in her Florida home. Whatever information she was denied, then, she never needed. And, its argument goes, that destroys her standing -- it makes her risk of harm counterfactual since "there was no prospect that she would have tried to exercise" her statutory rights to information about accommodations at the Inn she never wanted to go to. So, Acheson says, her injury is not concrete enough -- to be concrete enough, Laufer would need to allege that her informational drought harmed her in some way.</w:t>
      </w:r>
    </w:p>
    <w:p w:rsidR="00022B47" w:rsidRDefault="00000000">
      <w:pPr>
        <w:pStyle w:val="Normal17"/>
        <w:widowControl w:val="0"/>
        <w:spacing w:before="240" w:line="260" w:lineRule="atLeast"/>
      </w:pPr>
      <w:r>
        <w:br/>
      </w:r>
      <w:r>
        <w:rPr>
          <w:rFonts w:ascii="Arial" w:eastAsia="Arial" w:hAnsi="Arial" w:cs="Arial"/>
          <w:b/>
          <w:color w:val="000000"/>
          <w:sz w:val="20"/>
        </w:rPr>
        <w:t>1</w:t>
      </w:r>
      <w:r>
        <w:rPr>
          <w:rFonts w:ascii="Arial" w:eastAsia="Arial" w:hAnsi="Arial" w:cs="Arial"/>
          <w:color w:val="000000"/>
          <w:sz w:val="20"/>
        </w:rPr>
        <w:t>.</w:t>
      </w:r>
    </w:p>
    <w:p w:rsidR="00022B47" w:rsidRDefault="00000000">
      <w:pPr>
        <w:pStyle w:val="Normal17"/>
        <w:widowControl w:val="0"/>
        <w:spacing w:before="200" w:line="260" w:lineRule="atLeast"/>
        <w:jc w:val="both"/>
      </w:pPr>
      <w:bookmarkStart w:id="3079" w:name="Bookmark_para_24_12"/>
      <w:bookmarkEnd w:id="3079"/>
      <w:r>
        <w:rPr>
          <w:rFonts w:ascii="Arial" w:eastAsia="Arial" w:hAnsi="Arial" w:cs="Arial"/>
          <w:color w:val="000000"/>
          <w:sz w:val="20"/>
        </w:rPr>
        <w:t>First we zoom out to take a broader look at what makes an injury concrete.</w:t>
      </w:r>
    </w:p>
    <w:p w:rsidR="00022B47" w:rsidRDefault="00000000">
      <w:pPr>
        <w:pStyle w:val="Normal17"/>
        <w:widowControl w:val="0"/>
        <w:spacing w:before="200" w:line="260" w:lineRule="atLeast"/>
        <w:jc w:val="both"/>
      </w:pPr>
      <w:bookmarkStart w:id="3080" w:name="Bookmark_para_25_12"/>
      <w:bookmarkStart w:id="3081" w:name="Bookmark_I66K8CD92N1RJW0030000400"/>
      <w:bookmarkStart w:id="3082" w:name="Bookmark_I66K8CD92N1RJW0050000400"/>
      <w:bookmarkStart w:id="3083" w:name="Bookmark_LNHNREFclscc10_11"/>
      <w:bookmarkEnd w:id="3080"/>
      <w:bookmarkEnd w:id="3081"/>
      <w:bookmarkEnd w:id="3082"/>
      <w:bookmarkEnd w:id="3083"/>
      <w:r>
        <w:rPr>
          <w:rFonts w:ascii="Arial" w:eastAsia="Arial" w:hAnsi="Arial" w:cs="Arial"/>
          <w:color w:val="000000"/>
          <w:sz w:val="20"/>
        </w:rPr>
        <w:t>Concrete injuries must be "'</w:t>
      </w:r>
      <w:r>
        <w:rPr>
          <w:rFonts w:ascii="Arial" w:eastAsia="Arial" w:hAnsi="Arial" w:cs="Arial"/>
          <w:color w:val="000000"/>
          <w:sz w:val="20"/>
          <w:u w:val="single"/>
        </w:rPr>
        <w:t>de facto</w:t>
      </w:r>
      <w:r>
        <w:rPr>
          <w:rFonts w:ascii="Arial" w:eastAsia="Arial" w:hAnsi="Arial" w:cs="Arial"/>
          <w:color w:val="000000"/>
          <w:sz w:val="20"/>
        </w:rPr>
        <w:t xml:space="preserve">'; that is, [they] must [**12]  actually exist." </w:t>
      </w:r>
      <w:bookmarkStart w:id="3084" w:name="Bookmark_I66K8CD92N1RJW0020000400"/>
      <w:bookmarkEnd w:id="3084"/>
      <w:r>
        <w:rPr>
          <w:rFonts w:ascii="Arial" w:eastAsia="Arial" w:hAnsi="Arial" w:cs="Arial"/>
          <w:color w:val="000000"/>
          <w:sz w:val="20"/>
          <w:u w:val="single"/>
        </w:rPr>
        <w:t>Spokeo</w:t>
      </w:r>
      <w:r>
        <w:rPr>
          <w:rFonts w:ascii="Arial" w:eastAsia="Arial" w:hAnsi="Arial" w:cs="Arial"/>
          <w:color w:val="000000"/>
          <w:sz w:val="20"/>
        </w:rPr>
        <w:t xml:space="preserve">, 578 U.S. at 340. </w:t>
      </w:r>
      <w:bookmarkStart w:id="3085" w:name="Bookmark_I66K8CDB2HM6RK0020000400"/>
      <w:bookmarkEnd w:id="3085"/>
      <w:r>
        <w:rPr>
          <w:rFonts w:ascii="Arial" w:eastAsia="Arial" w:hAnsi="Arial" w:cs="Arial"/>
          <w:color w:val="000000"/>
          <w:sz w:val="20"/>
        </w:rPr>
        <w:t xml:space="preserve">Although easier to recognize, the injury doesn't have to be "tangible," </w:t>
      </w:r>
      <w:r>
        <w:rPr>
          <w:rFonts w:ascii="Arial" w:eastAsia="Arial" w:hAnsi="Arial" w:cs="Arial"/>
          <w:color w:val="000000"/>
          <w:sz w:val="20"/>
          <w:u w:val="single"/>
        </w:rPr>
        <w:t>id.</w:t>
      </w:r>
      <w:r>
        <w:rPr>
          <w:rFonts w:ascii="Arial" w:eastAsia="Arial" w:hAnsi="Arial" w:cs="Arial"/>
          <w:color w:val="000000"/>
          <w:sz w:val="20"/>
        </w:rPr>
        <w:t xml:space="preserve">, "like a picked pocket or a broken leg," to be concrete, </w:t>
      </w:r>
      <w:bookmarkStart w:id="3086" w:name="Bookmark_I66K8CD92N1RJW0040000400"/>
      <w:bookmarkEnd w:id="3086"/>
      <w:r>
        <w:rPr>
          <w:rFonts w:ascii="Arial" w:eastAsia="Arial" w:hAnsi="Arial" w:cs="Arial"/>
          <w:color w:val="000000"/>
          <w:sz w:val="20"/>
          <w:u w:val="single"/>
        </w:rPr>
        <w:t>Amrhein</w:t>
      </w:r>
      <w:r>
        <w:rPr>
          <w:rFonts w:ascii="Arial" w:eastAsia="Arial" w:hAnsi="Arial" w:cs="Arial"/>
          <w:color w:val="000000"/>
          <w:sz w:val="20"/>
        </w:rPr>
        <w:t xml:space="preserve">, 954 F.3d at 330. Intangible  [*268]  injuries -- like "the suppression of free speech or religious exercise" or the invasion of common-law rights "actionable without wallet injury" -- can also be concrete. </w:t>
      </w:r>
      <w:bookmarkStart w:id="3087" w:name="Bookmark_I66K8CDB2HM6RK0020000400_2"/>
      <w:bookmarkStart w:id="3088" w:name="Bookmark_I66K8CDB2HM6RK0010000400"/>
      <w:bookmarkEnd w:id="3087"/>
      <w:bookmarkEnd w:id="3088"/>
      <w:r>
        <w:rPr>
          <w:rFonts w:ascii="Arial" w:eastAsia="Arial" w:hAnsi="Arial" w:cs="Arial"/>
          <w:color w:val="000000"/>
          <w:sz w:val="20"/>
          <w:u w:val="single"/>
        </w:rPr>
        <w:t>Id.</w:t>
      </w:r>
      <w:r>
        <w:rPr>
          <w:rFonts w:ascii="Arial" w:eastAsia="Arial" w:hAnsi="Arial" w:cs="Arial"/>
          <w:color w:val="000000"/>
          <w:sz w:val="20"/>
        </w:rPr>
        <w:t xml:space="preserve"> at 331; </w:t>
      </w:r>
      <w:r>
        <w:rPr>
          <w:rFonts w:ascii="Arial" w:eastAsia="Arial" w:hAnsi="Arial" w:cs="Arial"/>
          <w:color w:val="000000"/>
          <w:sz w:val="20"/>
          <w:u w:val="single"/>
        </w:rPr>
        <w:t xml:space="preserve">see </w:t>
      </w:r>
      <w:bookmarkStart w:id="3089" w:name="Bookmark_I66K8CDB2HM6RK0030000400"/>
      <w:bookmarkEnd w:id="3089"/>
      <w:r>
        <w:rPr>
          <w:rFonts w:ascii="Arial" w:eastAsia="Arial" w:hAnsi="Arial" w:cs="Arial"/>
          <w:color w:val="000000"/>
          <w:sz w:val="20"/>
          <w:u w:val="single"/>
        </w:rPr>
        <w:t>Spokeo</w:t>
      </w:r>
      <w:r>
        <w:rPr>
          <w:rFonts w:ascii="Arial" w:eastAsia="Arial" w:hAnsi="Arial" w:cs="Arial"/>
          <w:color w:val="000000"/>
          <w:sz w:val="20"/>
        </w:rPr>
        <w:t xml:space="preserve">, 578 U.S. at 340; </w:t>
      </w:r>
      <w:bookmarkStart w:id="3090" w:name="Bookmark_I66K8CDB2HM6RK0050000400"/>
      <w:bookmarkEnd w:id="3090"/>
      <w:r>
        <w:rPr>
          <w:rFonts w:ascii="Arial" w:eastAsia="Arial" w:hAnsi="Arial" w:cs="Arial"/>
          <w:color w:val="000000"/>
          <w:sz w:val="20"/>
          <w:u w:val="single"/>
        </w:rPr>
        <w:t>Valley Forge Christian Coll.</w:t>
      </w:r>
      <w:r>
        <w:rPr>
          <w:rFonts w:ascii="Arial" w:eastAsia="Arial" w:hAnsi="Arial" w:cs="Arial"/>
          <w:color w:val="000000"/>
          <w:sz w:val="20"/>
        </w:rPr>
        <w:t>, 454 U.S. at 486 (noneconomic injuries can count just as much as economic ones, and collecting cases).</w:t>
      </w:r>
    </w:p>
    <w:p w:rsidR="00022B47" w:rsidRDefault="00000000">
      <w:pPr>
        <w:pStyle w:val="Normal17"/>
        <w:widowControl w:val="0"/>
        <w:spacing w:before="200" w:line="260" w:lineRule="atLeast"/>
        <w:jc w:val="both"/>
      </w:pPr>
      <w:bookmarkStart w:id="3091" w:name="Bookmark_para_26_11"/>
      <w:bookmarkStart w:id="3092" w:name="Bookmark_I66K8CDB2D6NC60030000400"/>
      <w:bookmarkStart w:id="3093" w:name="Bookmark_I66K8CDB2D6NC60050000400"/>
      <w:bookmarkStart w:id="3094" w:name="Bookmark_LNHNREFclscc11_10"/>
      <w:bookmarkEnd w:id="3091"/>
      <w:bookmarkEnd w:id="3092"/>
      <w:bookmarkEnd w:id="3093"/>
      <w:bookmarkEnd w:id="3094"/>
      <w:r>
        <w:rPr>
          <w:rFonts w:ascii="Arial" w:eastAsia="Arial" w:hAnsi="Arial" w:cs="Arial"/>
          <w:color w:val="000000"/>
          <w:sz w:val="20"/>
        </w:rPr>
        <w:t xml:space="preserve">Because they're less obvious, intangible injuries can raise more of a question on whether there's an Article III case or controversy. </w:t>
      </w:r>
      <w:bookmarkStart w:id="3095" w:name="Bookmark_I66K8CDB2SF7VY0020000400"/>
      <w:bookmarkEnd w:id="3095"/>
      <w:r>
        <w:rPr>
          <w:rFonts w:ascii="Arial" w:eastAsia="Arial" w:hAnsi="Arial" w:cs="Arial"/>
          <w:color w:val="000000"/>
          <w:sz w:val="20"/>
          <w:u w:val="single"/>
        </w:rPr>
        <w:t xml:space="preserve">See </w:t>
      </w:r>
      <w:bookmarkStart w:id="3096" w:name="Bookmark_I66K8CDB2D6NC60020000400"/>
      <w:bookmarkEnd w:id="3096"/>
      <w:r>
        <w:rPr>
          <w:rFonts w:ascii="Arial" w:eastAsia="Arial" w:hAnsi="Arial" w:cs="Arial"/>
          <w:color w:val="000000"/>
          <w:sz w:val="20"/>
          <w:u w:val="single"/>
        </w:rPr>
        <w:t>Amrhein</w:t>
      </w:r>
      <w:r>
        <w:rPr>
          <w:rFonts w:ascii="Arial" w:eastAsia="Arial" w:hAnsi="Arial" w:cs="Arial"/>
          <w:color w:val="000000"/>
          <w:sz w:val="20"/>
        </w:rPr>
        <w:t xml:space="preserve">, 954 F.3d at 331. </w:t>
      </w:r>
      <w:bookmarkStart w:id="3097" w:name="Bookmark_I66K8CDB2HM6RP0030000400"/>
      <w:bookmarkEnd w:id="3097"/>
      <w:r>
        <w:rPr>
          <w:rFonts w:ascii="Arial" w:eastAsia="Arial" w:hAnsi="Arial" w:cs="Arial"/>
          <w:color w:val="000000"/>
          <w:sz w:val="20"/>
        </w:rPr>
        <w:t xml:space="preserve">In determining whether an intangible harm rises to the level of a concrete injury, the Supreme Court has told us that "both history" (particularly "whether an alleged intangible harm has a close relationship to a harm that has traditionally been regarded as providing a basis for a lawsuit in English or American courts") and "the judgment of Congress play important roles." </w:t>
      </w:r>
      <w:bookmarkStart w:id="3098" w:name="Bookmark_I66K8CDB2D6NC60040000400"/>
      <w:bookmarkEnd w:id="3098"/>
      <w:r>
        <w:rPr>
          <w:rFonts w:ascii="Arial" w:eastAsia="Arial" w:hAnsi="Arial" w:cs="Arial"/>
          <w:color w:val="000000"/>
          <w:sz w:val="20"/>
          <w:u w:val="single"/>
        </w:rPr>
        <w:t>Spokeo</w:t>
      </w:r>
      <w:r>
        <w:rPr>
          <w:rFonts w:ascii="Arial" w:eastAsia="Arial" w:hAnsi="Arial" w:cs="Arial"/>
          <w:color w:val="000000"/>
          <w:sz w:val="20"/>
        </w:rPr>
        <w:t xml:space="preserve">, 578 U.S. at 340-41. </w:t>
      </w:r>
      <w:bookmarkStart w:id="3099" w:name="Bookmark_I66K8CDB2HM6RP0030000400_2"/>
      <w:bookmarkStart w:id="3100" w:name="Bookmark_I66K8CDB2SF7VY0020000400_2"/>
      <w:bookmarkStart w:id="3101" w:name="Bookmark_I66K8CDB28T4TM0040000400"/>
      <w:bookmarkEnd w:id="3099"/>
      <w:bookmarkEnd w:id="3100"/>
      <w:bookmarkEnd w:id="3101"/>
      <w:r>
        <w:rPr>
          <w:rFonts w:ascii="Arial" w:eastAsia="Arial" w:hAnsi="Arial" w:cs="Arial"/>
          <w:color w:val="000000"/>
          <w:sz w:val="20"/>
        </w:rPr>
        <w:t xml:space="preserve">"Congress," the Court has said, "is well positioned to identify intangible harms that meet minimum Article III requirements," </w:t>
      </w:r>
      <w:bookmarkStart w:id="3102" w:name="Bookmark_I66K8CDB2SF7VY0010000400"/>
      <w:bookmarkEnd w:id="3102"/>
      <w:r>
        <w:rPr>
          <w:rFonts w:ascii="Arial" w:eastAsia="Arial" w:hAnsi="Arial" w:cs="Arial"/>
          <w:color w:val="000000"/>
          <w:sz w:val="20"/>
          <w:u w:val="single"/>
        </w:rPr>
        <w:t>id.</w:t>
      </w:r>
      <w:r>
        <w:rPr>
          <w:rFonts w:ascii="Arial" w:eastAsia="Arial" w:hAnsi="Arial" w:cs="Arial"/>
          <w:color w:val="000000"/>
          <w:sz w:val="20"/>
        </w:rPr>
        <w:t xml:space="preserve"> at 341, and "may 'elevate to the status of legally cognizable injuries concrete, </w:t>
      </w:r>
      <w:r>
        <w:rPr>
          <w:rFonts w:ascii="Arial" w:eastAsia="Arial" w:hAnsi="Arial" w:cs="Arial"/>
          <w:color w:val="000000"/>
          <w:sz w:val="20"/>
          <w:u w:val="single"/>
        </w:rPr>
        <w:t>de facto</w:t>
      </w:r>
      <w:r>
        <w:rPr>
          <w:rFonts w:ascii="Arial" w:eastAsia="Arial" w:hAnsi="Arial" w:cs="Arial"/>
          <w:color w:val="000000"/>
          <w:sz w:val="20"/>
        </w:rPr>
        <w:t xml:space="preserve"> injuries that were previously inadequate in law,'" </w:t>
      </w:r>
      <w:bookmarkStart w:id="3103" w:name="Bookmark_I66K8CDB2SF7VY0030000400"/>
      <w:bookmarkEnd w:id="3103"/>
      <w:r>
        <w:rPr>
          <w:rFonts w:ascii="Arial" w:eastAsia="Arial" w:hAnsi="Arial" w:cs="Arial"/>
          <w:color w:val="000000"/>
          <w:sz w:val="20"/>
          <w:u w:val="single"/>
        </w:rPr>
        <w:t>TransUnion LLC v. Ramirez</w:t>
      </w:r>
      <w:r>
        <w:rPr>
          <w:rFonts w:ascii="Arial" w:eastAsia="Arial" w:hAnsi="Arial" w:cs="Arial"/>
          <w:color w:val="000000"/>
          <w:sz w:val="20"/>
        </w:rPr>
        <w:t xml:space="preserve">, 141 S. Ct. 2190, 2205, 210 L. Ed. 2d 568 (2021) (quoting [**13]  </w:t>
      </w:r>
      <w:bookmarkStart w:id="3104" w:name="Bookmark_I66K8CDB2SF7VY0050000400"/>
      <w:bookmarkEnd w:id="3104"/>
      <w:r>
        <w:rPr>
          <w:rFonts w:ascii="Arial" w:eastAsia="Arial" w:hAnsi="Arial" w:cs="Arial"/>
          <w:color w:val="000000"/>
          <w:sz w:val="20"/>
          <w:u w:val="single"/>
        </w:rPr>
        <w:t>Spokeo</w:t>
      </w:r>
      <w:r>
        <w:rPr>
          <w:rFonts w:ascii="Arial" w:eastAsia="Arial" w:hAnsi="Arial" w:cs="Arial"/>
          <w:color w:val="000000"/>
          <w:sz w:val="20"/>
        </w:rPr>
        <w:t xml:space="preserve">, 578 U.S. at 341). </w:t>
      </w:r>
      <w:bookmarkStart w:id="3105" w:name="Bookmark_I66K8CDB28T4TM0040000400_2"/>
      <w:bookmarkEnd w:id="3105"/>
      <w:r>
        <w:rPr>
          <w:rFonts w:ascii="Arial" w:eastAsia="Arial" w:hAnsi="Arial" w:cs="Arial"/>
          <w:color w:val="000000"/>
          <w:sz w:val="20"/>
        </w:rPr>
        <w:t xml:space="preserve">Yet still, not even Congress can "spin a 'bare procedural violation, divorced from any concrete harm' into an 'injury-in-fact,'" </w:t>
      </w:r>
      <w:bookmarkStart w:id="3106" w:name="Bookmark_I66K8CDB2HM6RP0020000400"/>
      <w:bookmarkEnd w:id="3106"/>
      <w:r>
        <w:rPr>
          <w:rFonts w:ascii="Arial" w:eastAsia="Arial" w:hAnsi="Arial" w:cs="Arial"/>
          <w:color w:val="000000"/>
          <w:sz w:val="20"/>
          <w:u w:val="single"/>
        </w:rPr>
        <w:t>Amrhein</w:t>
      </w:r>
      <w:r>
        <w:rPr>
          <w:rFonts w:ascii="Arial" w:eastAsia="Arial" w:hAnsi="Arial" w:cs="Arial"/>
          <w:color w:val="000000"/>
          <w:sz w:val="20"/>
        </w:rPr>
        <w:t xml:space="preserve">, 954 F.3d at 331 (quoting </w:t>
      </w:r>
      <w:bookmarkStart w:id="3107" w:name="Bookmark_I66K8CDB2HM6RP0040000400"/>
      <w:bookmarkEnd w:id="3107"/>
      <w:r>
        <w:rPr>
          <w:rFonts w:ascii="Arial" w:eastAsia="Arial" w:hAnsi="Arial" w:cs="Arial"/>
          <w:color w:val="000000"/>
          <w:sz w:val="20"/>
          <w:u w:val="single"/>
        </w:rPr>
        <w:t>Spokeo</w:t>
      </w:r>
      <w:r>
        <w:rPr>
          <w:rFonts w:ascii="Arial" w:eastAsia="Arial" w:hAnsi="Arial" w:cs="Arial"/>
          <w:color w:val="000000"/>
          <w:sz w:val="20"/>
        </w:rPr>
        <w:t xml:space="preserve">, 578 U.S. at 341) -- though the violation of some procedural rights Congress grants can, without any additional harm, be concrete enough, </w:t>
      </w:r>
      <w:bookmarkStart w:id="3108" w:name="Bookmark_I66K8CDB28T4TM0010000400"/>
      <w:bookmarkEnd w:id="3108"/>
      <w:r>
        <w:rPr>
          <w:rFonts w:ascii="Arial" w:eastAsia="Arial" w:hAnsi="Arial" w:cs="Arial"/>
          <w:color w:val="000000"/>
          <w:sz w:val="20"/>
          <w:u w:val="single"/>
        </w:rPr>
        <w:t>Spokeo</w:t>
      </w:r>
      <w:r>
        <w:rPr>
          <w:rFonts w:ascii="Arial" w:eastAsia="Arial" w:hAnsi="Arial" w:cs="Arial"/>
          <w:color w:val="000000"/>
          <w:sz w:val="20"/>
        </w:rPr>
        <w:t xml:space="preserve">, 578 U.S. at 342. </w:t>
      </w:r>
      <w:bookmarkStart w:id="3109" w:name="Bookmark_I66K8CDB28T4TM0040000400_3"/>
      <w:bookmarkEnd w:id="3109"/>
      <w:r>
        <w:rPr>
          <w:rFonts w:ascii="Arial" w:eastAsia="Arial" w:hAnsi="Arial" w:cs="Arial"/>
          <w:color w:val="000000"/>
          <w:sz w:val="20"/>
        </w:rPr>
        <w:t xml:space="preserve">In all, this just means that we judges must still "independently decide whether a plaintiff has suffered a concrete harm under Article III," even if Congress adamantly says they do. </w:t>
      </w:r>
      <w:bookmarkStart w:id="3110" w:name="Bookmark_I66K8CDB28T4TM0030000400"/>
      <w:bookmarkEnd w:id="3110"/>
      <w:r>
        <w:rPr>
          <w:rFonts w:ascii="Arial" w:eastAsia="Arial" w:hAnsi="Arial" w:cs="Arial"/>
          <w:color w:val="000000"/>
          <w:sz w:val="20"/>
          <w:u w:val="single"/>
        </w:rPr>
        <w:t>TransUnion</w:t>
      </w:r>
      <w:r>
        <w:rPr>
          <w:rFonts w:ascii="Arial" w:eastAsia="Arial" w:hAnsi="Arial" w:cs="Arial"/>
          <w:color w:val="000000"/>
          <w:sz w:val="20"/>
        </w:rPr>
        <w:t>, 141 S. Ct. at 2205.</w:t>
      </w:r>
    </w:p>
    <w:p w:rsidR="00022B47" w:rsidRDefault="00000000">
      <w:pPr>
        <w:pStyle w:val="Normal17"/>
        <w:widowControl w:val="0"/>
        <w:spacing w:before="240" w:line="260" w:lineRule="atLeast"/>
      </w:pPr>
      <w:r>
        <w:br/>
      </w:r>
      <w:r>
        <w:rPr>
          <w:rFonts w:ascii="Arial" w:eastAsia="Arial" w:hAnsi="Arial" w:cs="Arial"/>
          <w:b/>
          <w:color w:val="000000"/>
          <w:sz w:val="20"/>
        </w:rPr>
        <w:t>2</w:t>
      </w:r>
      <w:r>
        <w:rPr>
          <w:rFonts w:ascii="Arial" w:eastAsia="Arial" w:hAnsi="Arial" w:cs="Arial"/>
          <w:color w:val="000000"/>
          <w:sz w:val="20"/>
        </w:rPr>
        <w:t>.</w:t>
      </w:r>
    </w:p>
    <w:p w:rsidR="00022B47" w:rsidRDefault="00000000">
      <w:pPr>
        <w:pStyle w:val="Normal17"/>
        <w:widowControl w:val="0"/>
        <w:spacing w:before="200" w:line="260" w:lineRule="atLeast"/>
        <w:jc w:val="both"/>
      </w:pPr>
      <w:bookmarkStart w:id="3111" w:name="Bookmark_para_27_11"/>
      <w:bookmarkEnd w:id="3111"/>
      <w:r>
        <w:rPr>
          <w:rFonts w:ascii="Arial" w:eastAsia="Arial" w:hAnsi="Arial" w:cs="Arial"/>
          <w:color w:val="000000"/>
          <w:sz w:val="20"/>
        </w:rPr>
        <w:t>Our bearings set, back to Laufer's case. Does Laufer's self-admitted status as a tester -- that she had no intent to do anything but test the website's ADA compliance -- mean she hasn't suffered an injury?</w:t>
      </w:r>
    </w:p>
    <w:p w:rsidR="00022B47" w:rsidRDefault="00000000">
      <w:pPr>
        <w:pStyle w:val="Normal17"/>
        <w:widowControl w:val="0"/>
        <w:spacing w:before="200" w:line="260" w:lineRule="atLeast"/>
        <w:jc w:val="both"/>
      </w:pPr>
      <w:bookmarkStart w:id="3112" w:name="Bookmark_para_28_11"/>
      <w:bookmarkEnd w:id="3112"/>
      <w:r>
        <w:rPr>
          <w:rFonts w:ascii="Arial" w:eastAsia="Arial" w:hAnsi="Arial" w:cs="Arial"/>
          <w:color w:val="000000"/>
          <w:sz w:val="20"/>
        </w:rPr>
        <w:t xml:space="preserve">Acheson seems to accept that </w:t>
      </w:r>
      <w:bookmarkStart w:id="3113" w:name="Bookmark_LNHNREFclscc12_8"/>
      <w:bookmarkEnd w:id="3113"/>
      <w:r>
        <w:rPr>
          <w:rFonts w:ascii="Arial" w:eastAsia="Arial" w:hAnsi="Arial" w:cs="Arial"/>
          <w:color w:val="000000"/>
          <w:sz w:val="20"/>
        </w:rPr>
        <w:t xml:space="preserve">tester status alone doesn't defeat standing -- a party can set out to determine whether public accommodations are complying with a statute. </w:t>
      </w:r>
      <w:bookmarkStart w:id="3114" w:name="Bookmark_I66K8CDB2D6NC90010000400"/>
      <w:bookmarkEnd w:id="3114"/>
      <w:r>
        <w:rPr>
          <w:rFonts w:ascii="Arial" w:eastAsia="Arial" w:hAnsi="Arial" w:cs="Arial"/>
          <w:color w:val="000000"/>
          <w:sz w:val="20"/>
        </w:rPr>
        <w:t xml:space="preserve">That concession makes sense. We said just a year ago that a plaintiff's status as a tester does not destroy her standing. </w:t>
      </w:r>
      <w:bookmarkStart w:id="3115" w:name="Bookmark_I66K8CDB2D6NC90030000400"/>
      <w:bookmarkEnd w:id="3115"/>
      <w:r>
        <w:rPr>
          <w:rFonts w:ascii="Arial" w:eastAsia="Arial" w:hAnsi="Arial" w:cs="Arial"/>
          <w:color w:val="000000"/>
          <w:sz w:val="20"/>
          <w:u w:val="single"/>
        </w:rPr>
        <w:t xml:space="preserve">See </w:t>
      </w:r>
      <w:bookmarkStart w:id="3116" w:name="Bookmark_I66K8CDB28T4TM0050000400"/>
      <w:bookmarkEnd w:id="3116"/>
      <w:r>
        <w:rPr>
          <w:rFonts w:ascii="Arial" w:eastAsia="Arial" w:hAnsi="Arial" w:cs="Arial"/>
          <w:color w:val="000000"/>
          <w:sz w:val="20"/>
          <w:u w:val="single"/>
        </w:rPr>
        <w:t>Suárez-Torres v. Panaderia y Resposteria España, Inc.</w:t>
      </w:r>
      <w:r>
        <w:rPr>
          <w:rFonts w:ascii="Arial" w:eastAsia="Arial" w:hAnsi="Arial" w:cs="Arial"/>
          <w:color w:val="000000"/>
          <w:sz w:val="20"/>
        </w:rPr>
        <w:t xml:space="preserve">, 988 F.3d 542, 550-51 (1st Cir. 2021). </w:t>
      </w:r>
      <w:bookmarkStart w:id="3117" w:name="Bookmark_I66K8CDB2D6NC90030000400_2"/>
      <w:bookmarkEnd w:id="3117"/>
      <w:r>
        <w:rPr>
          <w:rFonts w:ascii="Arial" w:eastAsia="Arial" w:hAnsi="Arial" w:cs="Arial"/>
          <w:color w:val="000000"/>
          <w:sz w:val="20"/>
        </w:rPr>
        <w:t xml:space="preserve">That is, a plaintiff's deliberate choice to see if accommodations are obeying a statute doesn't mean that her injury in fact is any less real or concrete. </w:t>
      </w:r>
      <w:r>
        <w:rPr>
          <w:rFonts w:ascii="Arial" w:eastAsia="Arial" w:hAnsi="Arial" w:cs="Arial"/>
          <w:color w:val="000000"/>
          <w:sz w:val="20"/>
          <w:u w:val="single"/>
        </w:rPr>
        <w:t>Id.</w:t>
      </w:r>
      <w:r>
        <w:rPr>
          <w:rFonts w:ascii="Arial" w:eastAsia="Arial" w:hAnsi="Arial" w:cs="Arial"/>
          <w:color w:val="000000"/>
          <w:sz w:val="20"/>
        </w:rPr>
        <w:t xml:space="preserve"> And </w:t>
      </w:r>
      <w:bookmarkStart w:id="3118" w:name="Bookmark_I66K8CDB2D6NC90030000400_3"/>
      <w:bookmarkStart w:id="3119" w:name="Bookmark_I66K8CDB2D6NC90020000400"/>
      <w:bookmarkEnd w:id="3118"/>
      <w:bookmarkEnd w:id="3119"/>
      <w:r>
        <w:rPr>
          <w:rFonts w:ascii="Arial" w:eastAsia="Arial" w:hAnsi="Arial" w:cs="Arial"/>
          <w:color w:val="000000"/>
          <w:sz w:val="20"/>
          <w:u w:val="single"/>
        </w:rPr>
        <w:t>Suárez</w:t>
      </w:r>
      <w:r>
        <w:rPr>
          <w:rFonts w:ascii="Arial" w:eastAsia="Arial" w:hAnsi="Arial" w:cs="Arial"/>
          <w:color w:val="000000"/>
          <w:sz w:val="20"/>
        </w:rPr>
        <w:t xml:space="preserve"> broke no new ground -- the Supreme Court reached the same result forty years ago. </w:t>
      </w:r>
      <w:r>
        <w:rPr>
          <w:rFonts w:ascii="Arial" w:eastAsia="Arial" w:hAnsi="Arial" w:cs="Arial"/>
          <w:color w:val="000000"/>
          <w:sz w:val="20"/>
          <w:u w:val="single"/>
        </w:rPr>
        <w:t xml:space="preserve">See </w:t>
      </w:r>
      <w:bookmarkStart w:id="3120" w:name="Bookmark_I66K8CDB2D6NC90040000400"/>
      <w:bookmarkEnd w:id="3120"/>
      <w:r>
        <w:rPr>
          <w:rFonts w:ascii="Arial" w:eastAsia="Arial" w:hAnsi="Arial" w:cs="Arial"/>
          <w:color w:val="000000"/>
          <w:sz w:val="20"/>
          <w:u w:val="single"/>
        </w:rPr>
        <w:t>Havens Realty Corp. v. Coleman</w:t>
      </w:r>
      <w:r>
        <w:rPr>
          <w:rFonts w:ascii="Arial" w:eastAsia="Arial" w:hAnsi="Arial" w:cs="Arial"/>
          <w:color w:val="000000"/>
          <w:sz w:val="20"/>
        </w:rPr>
        <w:t>, 455 U.S. 363, 373-74, 102 S. Ct. 1114, 71 L. Ed. 2d 214 (1982).</w:t>
      </w:r>
    </w:p>
    <w:p w:rsidR="00022B47" w:rsidRDefault="00000000">
      <w:pPr>
        <w:pStyle w:val="Normal17"/>
        <w:widowControl w:val="0"/>
        <w:spacing w:before="200" w:line="260" w:lineRule="atLeast"/>
        <w:jc w:val="both"/>
      </w:pPr>
      <w:bookmarkStart w:id="3121" w:name="Bookmark_para_29_11"/>
      <w:bookmarkStart w:id="3122" w:name="Bookmark_I66K8CDB2D6NCC0020000400"/>
      <w:bookmarkEnd w:id="3121"/>
      <w:bookmarkEnd w:id="3122"/>
      <w:r>
        <w:rPr>
          <w:rFonts w:ascii="Arial" w:eastAsia="Arial" w:hAnsi="Arial" w:cs="Arial"/>
          <w:color w:val="000000"/>
          <w:sz w:val="20"/>
        </w:rPr>
        <w:t xml:space="preserve">But in [**14]  somewhat of a twist on that proposition, Acheson further posits that a lack of intent to do anything with the information -- like a tester does -- makes the information not relevant, and the injury accordingly not concrete for standing. To solve that puzzle, we start by turning back to one of the Supreme Court's earlier tester cases, </w:t>
      </w:r>
      <w:bookmarkStart w:id="3123" w:name="Bookmark_I66K8CDB2D6NCC0010000400"/>
      <w:bookmarkEnd w:id="3123"/>
      <w:r>
        <w:rPr>
          <w:rFonts w:ascii="Arial" w:eastAsia="Arial" w:hAnsi="Arial" w:cs="Arial"/>
          <w:color w:val="000000"/>
          <w:sz w:val="20"/>
          <w:u w:val="single"/>
        </w:rPr>
        <w:t>Havens Realty</w:t>
      </w:r>
      <w:r>
        <w:rPr>
          <w:rFonts w:ascii="Arial" w:eastAsia="Arial" w:hAnsi="Arial" w:cs="Arial"/>
          <w:color w:val="000000"/>
          <w:sz w:val="20"/>
        </w:rPr>
        <w:t>.</w:t>
      </w:r>
    </w:p>
    <w:p w:rsidR="00022B47" w:rsidRDefault="00000000">
      <w:pPr>
        <w:pStyle w:val="Normal17"/>
        <w:widowControl w:val="0"/>
        <w:spacing w:before="240" w:line="260" w:lineRule="atLeast"/>
      </w:pPr>
      <w:r>
        <w:br/>
      </w:r>
      <w:r>
        <w:rPr>
          <w:rFonts w:ascii="Arial" w:eastAsia="Arial" w:hAnsi="Arial" w:cs="Arial"/>
          <w:b/>
          <w:color w:val="000000"/>
          <w:sz w:val="20"/>
        </w:rPr>
        <w:t>a</w:t>
      </w:r>
      <w:r>
        <w:rPr>
          <w:rFonts w:ascii="Arial" w:eastAsia="Arial" w:hAnsi="Arial" w:cs="Arial"/>
          <w:color w:val="000000"/>
          <w:sz w:val="20"/>
        </w:rPr>
        <w:t>.</w:t>
      </w:r>
    </w:p>
    <w:p w:rsidR="00022B47" w:rsidRDefault="00000000">
      <w:pPr>
        <w:pStyle w:val="Normal17"/>
        <w:widowControl w:val="0"/>
        <w:spacing w:before="200" w:line="260" w:lineRule="atLeast"/>
        <w:jc w:val="both"/>
      </w:pPr>
      <w:bookmarkStart w:id="3124" w:name="Bookmark_para_30_10"/>
      <w:bookmarkStart w:id="3125" w:name="Bookmark_I66K8CDB2D6NCC0040000400"/>
      <w:bookmarkStart w:id="3126" w:name="Bookmark_I66K8CDB2D6NCC0030000400"/>
      <w:bookmarkEnd w:id="3124"/>
      <w:bookmarkEnd w:id="3125"/>
      <w:bookmarkEnd w:id="3126"/>
      <w:r>
        <w:rPr>
          <w:rFonts w:ascii="Arial" w:eastAsia="Arial" w:hAnsi="Arial" w:cs="Arial"/>
          <w:color w:val="000000"/>
          <w:sz w:val="20"/>
          <w:u w:val="single"/>
        </w:rPr>
        <w:t>Havens Realty</w:t>
      </w:r>
      <w:r>
        <w:rPr>
          <w:rFonts w:ascii="Arial" w:eastAsia="Arial" w:hAnsi="Arial" w:cs="Arial"/>
          <w:color w:val="000000"/>
          <w:sz w:val="20"/>
        </w:rPr>
        <w:t xml:space="preserve"> involved racial steering. One Black plaintiff asked Havens Realty on multiple occasions whether it had any units open to rent in its two apartment complexes. </w:t>
      </w:r>
      <w:bookmarkStart w:id="3127" w:name="Bookmark_I66K8CDB2N1RK40010000400"/>
      <w:bookmarkEnd w:id="3127"/>
      <w:r>
        <w:rPr>
          <w:rFonts w:ascii="Arial" w:eastAsia="Arial" w:hAnsi="Arial" w:cs="Arial"/>
          <w:color w:val="000000"/>
          <w:sz w:val="20"/>
          <w:u w:val="single"/>
        </w:rPr>
        <w:t>Id.</w:t>
      </w:r>
      <w:r>
        <w:rPr>
          <w:rFonts w:ascii="Arial" w:eastAsia="Arial" w:hAnsi="Arial" w:cs="Arial"/>
          <w:color w:val="000000"/>
          <w:sz w:val="20"/>
        </w:rPr>
        <w:t xml:space="preserve"> at 368. She was told no, but a white plaintiff who went to test that out was given the opposite  [*269]  answer -- there were vacancies. </w:t>
      </w:r>
      <w:r>
        <w:rPr>
          <w:rFonts w:ascii="Arial" w:eastAsia="Arial" w:hAnsi="Arial" w:cs="Arial"/>
          <w:color w:val="000000"/>
          <w:sz w:val="20"/>
          <w:u w:val="single"/>
        </w:rPr>
        <w:t>Id.</w:t>
      </w:r>
      <w:r>
        <w:rPr>
          <w:rFonts w:ascii="Arial" w:eastAsia="Arial" w:hAnsi="Arial" w:cs="Arial"/>
          <w:color w:val="000000"/>
          <w:sz w:val="20"/>
        </w:rPr>
        <w:t xml:space="preserve"> So they sued under section 804 of Fair Housing Act of 1968, 42 U.S.C. § 3604, which prohibited falsely representing the unavailability of a dwelling "because of race, color, religion, sex, or national origin." </w:t>
      </w:r>
      <w:bookmarkStart w:id="3128" w:name="Bookmark_I66K8CDB2D6NCC0050000400"/>
      <w:bookmarkEnd w:id="3128"/>
      <w:r>
        <w:rPr>
          <w:rFonts w:ascii="Arial" w:eastAsia="Arial" w:hAnsi="Arial" w:cs="Arial"/>
          <w:color w:val="000000"/>
          <w:sz w:val="20"/>
          <w:u w:val="single"/>
        </w:rPr>
        <w:t>Havens Realty</w:t>
      </w:r>
      <w:r>
        <w:rPr>
          <w:rFonts w:ascii="Arial" w:eastAsia="Arial" w:hAnsi="Arial" w:cs="Arial"/>
          <w:color w:val="000000"/>
          <w:sz w:val="20"/>
        </w:rPr>
        <w:t>, 455 U.S. at 373.</w:t>
      </w:r>
    </w:p>
    <w:p w:rsidR="00022B47" w:rsidRDefault="00000000">
      <w:pPr>
        <w:pStyle w:val="Normal17"/>
        <w:widowControl w:val="0"/>
        <w:spacing w:before="200" w:line="260" w:lineRule="atLeast"/>
        <w:jc w:val="both"/>
      </w:pPr>
      <w:bookmarkStart w:id="3129" w:name="Bookmark_para_31_10"/>
      <w:bookmarkStart w:id="3130" w:name="Bookmark_I66K8CDB2N1RK40030000400"/>
      <w:bookmarkEnd w:id="3129"/>
      <w:bookmarkEnd w:id="3130"/>
      <w:r>
        <w:rPr>
          <w:rFonts w:ascii="Arial" w:eastAsia="Arial" w:hAnsi="Arial" w:cs="Arial"/>
          <w:color w:val="000000"/>
          <w:sz w:val="20"/>
        </w:rPr>
        <w:t xml:space="preserve">Importantly, this Black plaintiff was a tester, too -- she had no intent of ever renting an apartment from the defendant and went posing as a renter only to figure out if the defendant was violating the law. </w:t>
      </w:r>
      <w:r>
        <w:rPr>
          <w:rFonts w:ascii="Arial" w:eastAsia="Arial" w:hAnsi="Arial" w:cs="Arial"/>
          <w:color w:val="000000"/>
          <w:sz w:val="20"/>
          <w:u w:val="single"/>
        </w:rPr>
        <w:t>Id.</w:t>
      </w:r>
      <w:r>
        <w:rPr>
          <w:rFonts w:ascii="Arial" w:eastAsia="Arial" w:hAnsi="Arial" w:cs="Arial"/>
          <w:color w:val="000000"/>
          <w:sz w:val="20"/>
        </w:rPr>
        <w:t xml:space="preserve"> Yet the Supreme Court said that she still had standing. </w:t>
      </w:r>
      <w:bookmarkStart w:id="3131" w:name="Bookmark_I66K8CDB2N1RK40050000400"/>
      <w:bookmarkStart w:id="3132" w:name="Bookmark_I66K8CDB2N1RK40020000400"/>
      <w:bookmarkEnd w:id="3131"/>
      <w:bookmarkEnd w:id="3132"/>
      <w:r>
        <w:rPr>
          <w:rFonts w:ascii="Arial" w:eastAsia="Arial" w:hAnsi="Arial" w:cs="Arial"/>
          <w:color w:val="000000"/>
          <w:sz w:val="20"/>
          <w:u w:val="single"/>
        </w:rPr>
        <w:t>Id.</w:t>
      </w:r>
      <w:r>
        <w:rPr>
          <w:rFonts w:ascii="Arial" w:eastAsia="Arial" w:hAnsi="Arial" w:cs="Arial"/>
          <w:color w:val="000000"/>
          <w:sz w:val="20"/>
        </w:rPr>
        <w:t xml:space="preserve"> at 374. </w:t>
      </w:r>
      <w:bookmarkStart w:id="3133" w:name="Bookmark_I66K8CDB2SF7W40020000400"/>
      <w:bookmarkEnd w:id="3133"/>
      <w:r>
        <w:rPr>
          <w:rFonts w:ascii="Arial" w:eastAsia="Arial" w:hAnsi="Arial" w:cs="Arial"/>
          <w:color w:val="000000"/>
          <w:sz w:val="20"/>
        </w:rPr>
        <w:t xml:space="preserve">Because she was the object of the misrepresentation and "suffered injury in precisely the form the statute was intended to guard against," [**15]  the Black tester plaintiff had standing. </w:t>
      </w:r>
      <w:bookmarkStart w:id="3134" w:name="Bookmark_I66K8CDB2SF7W40020000400_2"/>
      <w:bookmarkStart w:id="3135" w:name="Bookmark_I66K8CDB2N1RK40050000400_2"/>
      <w:bookmarkStart w:id="3136" w:name="Bookmark_I66K8CDB2N1RK40040000400"/>
      <w:bookmarkEnd w:id="3134"/>
      <w:bookmarkEnd w:id="3135"/>
      <w:bookmarkEnd w:id="3136"/>
      <w:r>
        <w:rPr>
          <w:rFonts w:ascii="Arial" w:eastAsia="Arial" w:hAnsi="Arial" w:cs="Arial"/>
          <w:color w:val="000000"/>
          <w:sz w:val="20"/>
          <w:u w:val="single"/>
        </w:rPr>
        <w:t>Id.</w:t>
      </w:r>
      <w:r>
        <w:rPr>
          <w:rFonts w:ascii="Arial" w:eastAsia="Arial" w:hAnsi="Arial" w:cs="Arial"/>
          <w:color w:val="000000"/>
          <w:sz w:val="20"/>
        </w:rPr>
        <w:t xml:space="preserve"> at 373-74. "That the tester may have approached the real estate agent fully expecting that [s]he would receive false information, and without any intention of buying or renting a home" was neither here nor there, our judicial superiors said -- it "does not negate the simple fact of injury within the meaning of [the statute]." </w:t>
      </w:r>
      <w:bookmarkStart w:id="3137" w:name="Bookmark_I66K8CDB2SF7W40010000400"/>
      <w:bookmarkEnd w:id="3137"/>
      <w:r>
        <w:rPr>
          <w:rFonts w:ascii="Arial" w:eastAsia="Arial" w:hAnsi="Arial" w:cs="Arial"/>
          <w:color w:val="000000"/>
          <w:sz w:val="20"/>
          <w:u w:val="single"/>
        </w:rPr>
        <w:t>Id.</w:t>
      </w:r>
      <w:r>
        <w:rPr>
          <w:rFonts w:ascii="Arial" w:eastAsia="Arial" w:hAnsi="Arial" w:cs="Arial"/>
          <w:color w:val="000000"/>
          <w:sz w:val="20"/>
        </w:rPr>
        <w:t xml:space="preserve"> at 374; </w:t>
      </w:r>
      <w:r>
        <w:rPr>
          <w:rFonts w:ascii="Arial" w:eastAsia="Arial" w:hAnsi="Arial" w:cs="Arial"/>
          <w:color w:val="000000"/>
          <w:sz w:val="20"/>
          <w:u w:val="single"/>
        </w:rPr>
        <w:t xml:space="preserve">see also </w:t>
      </w:r>
      <w:bookmarkStart w:id="3138" w:name="Bookmark_I66K8CDB2SF7W40030000400"/>
      <w:bookmarkEnd w:id="3138"/>
      <w:r>
        <w:rPr>
          <w:rFonts w:ascii="Arial" w:eastAsia="Arial" w:hAnsi="Arial" w:cs="Arial"/>
          <w:color w:val="000000"/>
          <w:sz w:val="20"/>
          <w:u w:val="single"/>
        </w:rPr>
        <w:t>Cruz</w:t>
      </w:r>
      <w:r>
        <w:rPr>
          <w:rFonts w:ascii="Arial" w:eastAsia="Arial" w:hAnsi="Arial" w:cs="Arial"/>
          <w:color w:val="000000"/>
          <w:sz w:val="20"/>
        </w:rPr>
        <w:t xml:space="preserve">, 142 S. Ct. at 1647 (noting that the Court has long held that an injury is an injury "even if [it] could be described in some sense as willingly incurred," citing </w:t>
      </w:r>
      <w:bookmarkStart w:id="3139" w:name="Bookmark_I66K8CDB2SF7W40020000400_3"/>
      <w:bookmarkStart w:id="3140" w:name="Bookmark_I66K8CDB2SF7W40050000400"/>
      <w:bookmarkEnd w:id="3139"/>
      <w:bookmarkEnd w:id="3140"/>
      <w:r>
        <w:rPr>
          <w:rFonts w:ascii="Arial" w:eastAsia="Arial" w:hAnsi="Arial" w:cs="Arial"/>
          <w:color w:val="000000"/>
          <w:sz w:val="20"/>
          <w:u w:val="single"/>
        </w:rPr>
        <w:t>Havens Realty</w:t>
      </w:r>
      <w:r>
        <w:rPr>
          <w:rFonts w:ascii="Arial" w:eastAsia="Arial" w:hAnsi="Arial" w:cs="Arial"/>
          <w:color w:val="000000"/>
          <w:sz w:val="20"/>
        </w:rPr>
        <w:t xml:space="preserve">); </w:t>
      </w:r>
      <w:bookmarkStart w:id="3141" w:name="Bookmark_I66K8CDB2HM6RT0020000400"/>
      <w:bookmarkEnd w:id="3141"/>
      <w:r>
        <w:rPr>
          <w:rFonts w:ascii="Arial" w:eastAsia="Arial" w:hAnsi="Arial" w:cs="Arial"/>
          <w:color w:val="000000"/>
          <w:sz w:val="20"/>
          <w:u w:val="single"/>
        </w:rPr>
        <w:t>Evers v. Dwyer</w:t>
      </w:r>
      <w:r>
        <w:rPr>
          <w:rFonts w:ascii="Arial" w:eastAsia="Arial" w:hAnsi="Arial" w:cs="Arial"/>
          <w:color w:val="000000"/>
          <w:sz w:val="20"/>
        </w:rPr>
        <w:t>, 358 U.S. 202, 204, 79 S. Ct. 178, 3 L. Ed. 2d 222 (1958) (a Black plaintiff's choice to board a segregated "bus for the purpose of instituting this litigation is not significant" to the standing inquiry).</w:t>
      </w:r>
    </w:p>
    <w:p w:rsidR="00022B47" w:rsidRDefault="00000000">
      <w:pPr>
        <w:pStyle w:val="Normal17"/>
        <w:widowControl w:val="0"/>
        <w:spacing w:before="200" w:line="260" w:lineRule="atLeast"/>
        <w:jc w:val="both"/>
      </w:pPr>
      <w:bookmarkStart w:id="3142" w:name="Bookmark_para_32_10"/>
      <w:bookmarkStart w:id="3143" w:name="Bookmark_I5C7WFRXB82000046KS0003X"/>
      <w:bookmarkStart w:id="3144" w:name="Bookmark_I66K8CDB2HM6RT0050000400"/>
      <w:bookmarkStart w:id="3145" w:name="Bookmark_I66K8CDB2HM6RT0040000400"/>
      <w:bookmarkEnd w:id="3142"/>
      <w:bookmarkEnd w:id="3143"/>
      <w:bookmarkEnd w:id="3144"/>
      <w:bookmarkEnd w:id="3145"/>
      <w:r>
        <w:rPr>
          <w:rFonts w:ascii="Arial" w:eastAsia="Arial" w:hAnsi="Arial" w:cs="Arial"/>
          <w:color w:val="000000"/>
          <w:sz w:val="20"/>
          <w:u w:val="single"/>
        </w:rPr>
        <w:t>Havens Realty</w:t>
      </w:r>
      <w:r>
        <w:rPr>
          <w:rFonts w:ascii="Arial" w:eastAsia="Arial" w:hAnsi="Arial" w:cs="Arial"/>
          <w:color w:val="000000"/>
          <w:sz w:val="20"/>
        </w:rPr>
        <w:t xml:space="preserve"> appears right on the nose for Laufer's case -- both to her status as a tester and the injury she suffered. </w:t>
      </w:r>
      <w:bookmarkStart w:id="3146" w:name="Bookmark_I66K8CDB2D6NCG0020000400"/>
      <w:bookmarkStart w:id="3147" w:name="Bookmark_LNHNREFclscc13_7"/>
      <w:bookmarkEnd w:id="3146"/>
      <w:bookmarkEnd w:id="3147"/>
      <w:r>
        <w:rPr>
          <w:rFonts w:ascii="Arial" w:eastAsia="Arial" w:hAnsi="Arial" w:cs="Arial"/>
          <w:color w:val="000000"/>
          <w:sz w:val="20"/>
        </w:rPr>
        <w:t xml:space="preserve">The Reservation Rule requires that places of lodging make available -- in their accommodation descriptions on their reservations services -- information about the accessible features in their hotels and guest rooms. 28 C.F.R. § 36.302(e)(1)(ii). </w:t>
      </w:r>
      <w:bookmarkStart w:id="3148" w:name="Bookmark_I66K8CDB2D6NCG0020000400_2"/>
      <w:bookmarkEnd w:id="3148"/>
      <w:r>
        <w:rPr>
          <w:rFonts w:ascii="Arial" w:eastAsia="Arial" w:hAnsi="Arial" w:cs="Arial"/>
          <w:color w:val="000000"/>
          <w:sz w:val="20"/>
        </w:rPr>
        <w:t xml:space="preserve">The purpose of this requirement is "to reasonably permit [Laufer] to assess independently whether a given hotel . . . meets . . . her accessibility needs." </w:t>
      </w:r>
      <w:r>
        <w:rPr>
          <w:rFonts w:ascii="Arial" w:eastAsia="Arial" w:hAnsi="Arial" w:cs="Arial"/>
          <w:color w:val="000000"/>
          <w:sz w:val="20"/>
          <w:u w:val="single"/>
        </w:rPr>
        <w:t>See id.</w:t>
      </w:r>
      <w:r>
        <w:rPr>
          <w:rFonts w:ascii="Arial" w:eastAsia="Arial" w:hAnsi="Arial" w:cs="Arial"/>
          <w:color w:val="000000"/>
          <w:sz w:val="20"/>
        </w:rPr>
        <w:t xml:space="preserve"> And that is precisely what Laufer was doing. [**16]  </w:t>
      </w:r>
      <w:bookmarkStart w:id="3149" w:name="Bookmark_I66K8CDB2D6NCG0040000400"/>
      <w:bookmarkEnd w:id="3149"/>
      <w:r>
        <w:rPr>
          <w:rFonts w:ascii="Arial" w:eastAsia="Arial" w:hAnsi="Arial" w:cs="Arial"/>
          <w:color w:val="000000"/>
          <w:sz w:val="20"/>
        </w:rPr>
        <w:t xml:space="preserve">Just as in </w:t>
      </w:r>
      <w:bookmarkStart w:id="3150" w:name="Bookmark_I66K8CDB2D6NCG0040000400_2"/>
      <w:bookmarkStart w:id="3151" w:name="Bookmark_I66K8CDB2D6NCG0020000400_3"/>
      <w:bookmarkStart w:id="3152" w:name="Bookmark_I66K8CDB2D6NCG0010000400"/>
      <w:bookmarkEnd w:id="3150"/>
      <w:bookmarkEnd w:id="3151"/>
      <w:bookmarkEnd w:id="3152"/>
      <w:r>
        <w:rPr>
          <w:rFonts w:ascii="Arial" w:eastAsia="Arial" w:hAnsi="Arial" w:cs="Arial"/>
          <w:color w:val="000000"/>
          <w:sz w:val="20"/>
          <w:u w:val="single"/>
        </w:rPr>
        <w:t>Havens Realty</w:t>
      </w:r>
      <w:bookmarkStart w:id="3153" w:name="Bookmark_I66K8CDB2N1RK70010000400"/>
      <w:bookmarkEnd w:id="3153"/>
      <w:r>
        <w:rPr>
          <w:rFonts w:ascii="Arial" w:eastAsia="Arial" w:hAnsi="Arial" w:cs="Arial"/>
          <w:color w:val="000000"/>
          <w:sz w:val="20"/>
        </w:rPr>
        <w:t xml:space="preserve">, there is no carveout that the information need only be turned over if the person trying to make a reservation actually wants to make a reservation. </w:t>
      </w:r>
      <w:r>
        <w:rPr>
          <w:rFonts w:ascii="Arial" w:eastAsia="Arial" w:hAnsi="Arial" w:cs="Arial"/>
          <w:color w:val="000000"/>
          <w:sz w:val="20"/>
          <w:u w:val="single"/>
        </w:rPr>
        <w:t>Compare id.</w:t>
      </w:r>
      <w:r>
        <w:rPr>
          <w:rFonts w:ascii="Arial" w:eastAsia="Arial" w:hAnsi="Arial" w:cs="Arial"/>
          <w:color w:val="000000"/>
          <w:sz w:val="20"/>
        </w:rPr>
        <w:t xml:space="preserve"> § 36.302(e), </w:t>
      </w:r>
      <w:r>
        <w:rPr>
          <w:rFonts w:ascii="Arial" w:eastAsia="Arial" w:hAnsi="Arial" w:cs="Arial"/>
          <w:color w:val="000000"/>
          <w:sz w:val="20"/>
          <w:u w:val="single"/>
        </w:rPr>
        <w:t xml:space="preserve">with </w:t>
      </w:r>
      <w:bookmarkStart w:id="3154" w:name="Bookmark_I66K8CDB2D6NCG0030000400"/>
      <w:bookmarkEnd w:id="3154"/>
      <w:r>
        <w:rPr>
          <w:rFonts w:ascii="Arial" w:eastAsia="Arial" w:hAnsi="Arial" w:cs="Arial"/>
          <w:color w:val="000000"/>
          <w:sz w:val="20"/>
          <w:u w:val="single"/>
        </w:rPr>
        <w:t>Havens Realty</w:t>
      </w:r>
      <w:r>
        <w:rPr>
          <w:rFonts w:ascii="Arial" w:eastAsia="Arial" w:hAnsi="Arial" w:cs="Arial"/>
          <w:color w:val="000000"/>
          <w:sz w:val="20"/>
        </w:rPr>
        <w:t xml:space="preserve">, 455 U.S. at 373-74 (noting that § 804(d) gave "all 'persons' a legal right to truthful information about available housing" and did not impose any "bona fide offer" requirement). </w:t>
      </w:r>
      <w:bookmarkStart w:id="3155" w:name="Bookmark_I66K8CDB2N1RK70010000400_2"/>
      <w:bookmarkEnd w:id="3155"/>
      <w:r>
        <w:rPr>
          <w:rFonts w:ascii="Arial" w:eastAsia="Arial" w:hAnsi="Arial" w:cs="Arial"/>
          <w:color w:val="000000"/>
          <w:sz w:val="20"/>
        </w:rPr>
        <w:t xml:space="preserve">So if the Black tester plaintiff had standing in </w:t>
      </w:r>
      <w:bookmarkStart w:id="3156" w:name="Bookmark_I66K8CDB2N1RK70010000400_3"/>
      <w:bookmarkStart w:id="3157" w:name="Bookmark_I66K8CDB2D6NCG0050000400"/>
      <w:bookmarkEnd w:id="3156"/>
      <w:bookmarkEnd w:id="3157"/>
      <w:r>
        <w:rPr>
          <w:rFonts w:ascii="Arial" w:eastAsia="Arial" w:hAnsi="Arial" w:cs="Arial"/>
          <w:color w:val="000000"/>
          <w:sz w:val="20"/>
          <w:u w:val="single"/>
        </w:rPr>
        <w:t>Havens Realty</w:t>
      </w:r>
      <w:bookmarkStart w:id="3158" w:name="Bookmark_I66K8CDB2N1RK70050000400"/>
      <w:bookmarkEnd w:id="3158"/>
      <w:r>
        <w:rPr>
          <w:rFonts w:ascii="Arial" w:eastAsia="Arial" w:hAnsi="Arial" w:cs="Arial"/>
          <w:color w:val="000000"/>
          <w:sz w:val="20"/>
        </w:rPr>
        <w:t xml:space="preserve"> where the statute gave her a right to truthful information, which she was denied, then </w:t>
      </w:r>
      <w:bookmarkStart w:id="3159" w:name="Bookmark_I66K8CDB2N1RK70020000400"/>
      <w:bookmarkEnd w:id="3159"/>
      <w:r>
        <w:rPr>
          <w:rFonts w:ascii="Arial" w:eastAsia="Arial" w:hAnsi="Arial" w:cs="Arial"/>
          <w:color w:val="000000"/>
          <w:sz w:val="20"/>
          <w:u w:val="single"/>
        </w:rPr>
        <w:t>Havens Realty</w:t>
      </w:r>
      <w:r>
        <w:rPr>
          <w:rFonts w:ascii="Arial" w:eastAsia="Arial" w:hAnsi="Arial" w:cs="Arial"/>
          <w:color w:val="000000"/>
          <w:sz w:val="20"/>
        </w:rPr>
        <w:t xml:space="preserve"> would mean that Laufer, too, has standing because she was denied information to which she has a legal entitlement. </w:t>
      </w:r>
      <w:bookmarkStart w:id="3160" w:name="Bookmark_I66K8CDB28T4TV0020000400"/>
      <w:bookmarkEnd w:id="3160"/>
      <w:r>
        <w:rPr>
          <w:rFonts w:ascii="Arial" w:eastAsia="Arial" w:hAnsi="Arial" w:cs="Arial"/>
          <w:color w:val="000000"/>
          <w:sz w:val="20"/>
        </w:rPr>
        <w:t xml:space="preserve">Just as the Black tester plaintiff's lack of intent to rent an apartment in </w:t>
      </w:r>
      <w:bookmarkStart w:id="3161" w:name="Bookmark_I66K8CDB28T4TV0020000400_2"/>
      <w:bookmarkStart w:id="3162" w:name="Bookmark_I66K8CDB2N1RK70050000400_2"/>
      <w:bookmarkStart w:id="3163" w:name="Bookmark_I66K8CDB2N1RK70040000400"/>
      <w:bookmarkEnd w:id="3161"/>
      <w:bookmarkEnd w:id="3162"/>
      <w:bookmarkEnd w:id="3163"/>
      <w:r>
        <w:rPr>
          <w:rFonts w:ascii="Arial" w:eastAsia="Arial" w:hAnsi="Arial" w:cs="Arial"/>
          <w:color w:val="000000"/>
          <w:sz w:val="20"/>
          <w:u w:val="single"/>
        </w:rPr>
        <w:t>Havens Realty</w:t>
      </w:r>
      <w:r>
        <w:rPr>
          <w:rFonts w:ascii="Arial" w:eastAsia="Arial" w:hAnsi="Arial" w:cs="Arial"/>
          <w:color w:val="000000"/>
          <w:sz w:val="20"/>
        </w:rPr>
        <w:t xml:space="preserve"> "d[id] not negate the simple fact of injury," neither does Laufer's lack of intent to book a room at Acheson's Inn negate her standing. </w:t>
      </w:r>
      <w:r>
        <w:rPr>
          <w:rFonts w:ascii="Arial" w:eastAsia="Arial" w:hAnsi="Arial" w:cs="Arial"/>
          <w:color w:val="000000"/>
          <w:sz w:val="20"/>
          <w:u w:val="single"/>
        </w:rPr>
        <w:t>See</w:t>
      </w:r>
      <w:r>
        <w:rPr>
          <w:rFonts w:ascii="Arial" w:eastAsia="Arial" w:hAnsi="Arial" w:cs="Arial"/>
          <w:color w:val="000000"/>
          <w:sz w:val="20"/>
        </w:rPr>
        <w:t xml:space="preserve"> </w:t>
      </w:r>
      <w:bookmarkStart w:id="3164" w:name="Bookmark_I66K8CDB28T4TV0010000400"/>
      <w:bookmarkEnd w:id="3164"/>
      <w:r>
        <w:rPr>
          <w:rFonts w:ascii="Arial" w:eastAsia="Arial" w:hAnsi="Arial" w:cs="Arial"/>
          <w:color w:val="000000"/>
          <w:sz w:val="20"/>
        </w:rPr>
        <w:t>455 U.S. at 373-74.</w:t>
      </w:r>
    </w:p>
    <w:p w:rsidR="00022B47" w:rsidRDefault="00000000">
      <w:pPr>
        <w:pStyle w:val="Normal17"/>
        <w:widowControl w:val="0"/>
        <w:spacing w:before="200" w:line="260" w:lineRule="atLeast"/>
        <w:jc w:val="both"/>
      </w:pPr>
      <w:bookmarkStart w:id="3165" w:name="Bookmark_para_33_9"/>
      <w:bookmarkStart w:id="3166" w:name="Bookmark_I66K8CDB28T4TV0040000400"/>
      <w:bookmarkStart w:id="3167" w:name="Bookmark_I66K8CDC2N1RKF0020000400"/>
      <w:bookmarkStart w:id="3168" w:name="Bookmark_LNHNREFclscc14_5"/>
      <w:bookmarkEnd w:id="3165"/>
      <w:bookmarkEnd w:id="3166"/>
      <w:bookmarkEnd w:id="3167"/>
      <w:bookmarkEnd w:id="3168"/>
      <w:r>
        <w:rPr>
          <w:rFonts w:ascii="Arial" w:eastAsia="Arial" w:hAnsi="Arial" w:cs="Arial"/>
          <w:color w:val="000000"/>
          <w:sz w:val="20"/>
        </w:rPr>
        <w:t xml:space="preserve">Adding on, the Supreme Court has repeatedly said that denial of information to which plaintiffs have a legal right can be a concrete injury in fact. </w:t>
      </w:r>
      <w:r>
        <w:rPr>
          <w:rFonts w:ascii="Arial" w:eastAsia="Arial" w:hAnsi="Arial" w:cs="Arial"/>
          <w:color w:val="000000"/>
          <w:sz w:val="20"/>
          <w:u w:val="single"/>
        </w:rPr>
        <w:t xml:space="preserve">See </w:t>
      </w:r>
      <w:bookmarkStart w:id="3169" w:name="Bookmark_I66K8CDB28T4TV0030000400"/>
      <w:bookmarkEnd w:id="3169"/>
      <w:r>
        <w:rPr>
          <w:rFonts w:ascii="Arial" w:eastAsia="Arial" w:hAnsi="Arial" w:cs="Arial"/>
          <w:color w:val="000000"/>
          <w:sz w:val="20"/>
          <w:u w:val="single"/>
        </w:rPr>
        <w:t>FEC v. Akins</w:t>
      </w:r>
      <w:r>
        <w:rPr>
          <w:rFonts w:ascii="Arial" w:eastAsia="Arial" w:hAnsi="Arial" w:cs="Arial"/>
          <w:color w:val="000000"/>
          <w:sz w:val="20"/>
        </w:rPr>
        <w:t xml:space="preserve">, 524 U.S. 11, 20-21, 118 S. Ct. 1777, 141 L. Ed. 2d 10 (1998); </w:t>
      </w:r>
      <w:bookmarkStart w:id="3170" w:name="Bookmark_I66K8CDB28T4TV0050000400"/>
      <w:bookmarkEnd w:id="3170"/>
      <w:r>
        <w:rPr>
          <w:rFonts w:ascii="Arial" w:eastAsia="Arial" w:hAnsi="Arial" w:cs="Arial"/>
          <w:color w:val="000000"/>
          <w:sz w:val="20"/>
          <w:u w:val="single"/>
        </w:rPr>
        <w:t>Public Citizen v. United States Dep't of Justice</w:t>
      </w:r>
      <w:r>
        <w:rPr>
          <w:rFonts w:ascii="Arial" w:eastAsia="Arial" w:hAnsi="Arial" w:cs="Arial"/>
          <w:color w:val="000000"/>
          <w:sz w:val="20"/>
        </w:rPr>
        <w:t xml:space="preserve">, 491 U.S. 440, 449-50 (1989); </w:t>
      </w:r>
      <w:r>
        <w:rPr>
          <w:rFonts w:ascii="Arial" w:eastAsia="Arial" w:hAnsi="Arial" w:cs="Arial"/>
          <w:color w:val="000000"/>
          <w:sz w:val="20"/>
          <w:u w:val="single"/>
        </w:rPr>
        <w:t xml:space="preserve">see also </w:t>
      </w:r>
      <w:bookmarkStart w:id="3171" w:name="Bookmark_I66K8CDC2HM6S10020000400"/>
      <w:bookmarkEnd w:id="3171"/>
      <w:r>
        <w:rPr>
          <w:rFonts w:ascii="Arial" w:eastAsia="Arial" w:hAnsi="Arial" w:cs="Arial"/>
          <w:color w:val="000000"/>
          <w:sz w:val="20"/>
          <w:u w:val="single"/>
        </w:rPr>
        <w:t>Spokeo</w:t>
      </w:r>
      <w:r>
        <w:rPr>
          <w:rFonts w:ascii="Arial" w:eastAsia="Arial" w:hAnsi="Arial" w:cs="Arial"/>
          <w:color w:val="000000"/>
          <w:sz w:val="20"/>
        </w:rPr>
        <w:t xml:space="preserve">, 578 U.S. at 342 (noting that "the violation of a procedural right granted by statute can be sufficient in some circumstances to constitute injury in fact," citing </w:t>
      </w:r>
      <w:bookmarkStart w:id="3172" w:name="Bookmark_I66K8CDC2HM6S10040000400"/>
      <w:bookmarkEnd w:id="3172"/>
      <w:r>
        <w:rPr>
          <w:rFonts w:ascii="Arial" w:eastAsia="Arial" w:hAnsi="Arial" w:cs="Arial"/>
          <w:color w:val="000000"/>
          <w:sz w:val="20"/>
          <w:u w:val="single"/>
        </w:rPr>
        <w:t>Akins</w:t>
      </w:r>
      <w:r>
        <w:rPr>
          <w:rFonts w:ascii="Arial" w:eastAsia="Arial" w:hAnsi="Arial" w:cs="Arial"/>
          <w:color w:val="000000"/>
          <w:sz w:val="20"/>
        </w:rPr>
        <w:t xml:space="preserve"> and </w:t>
      </w:r>
      <w:r>
        <w:rPr>
          <w:rFonts w:ascii="Arial" w:eastAsia="Arial" w:hAnsi="Arial" w:cs="Arial"/>
          <w:color w:val="000000"/>
          <w:sz w:val="20"/>
          <w:u w:val="single"/>
        </w:rPr>
        <w:t>Public Citizen</w:t>
      </w:r>
      <w:r>
        <w:rPr>
          <w:rFonts w:ascii="Arial" w:eastAsia="Arial" w:hAnsi="Arial" w:cs="Arial"/>
          <w:color w:val="000000"/>
          <w:sz w:val="20"/>
        </w:rPr>
        <w:t xml:space="preserve">). </w:t>
      </w:r>
      <w:bookmarkStart w:id="3173" w:name="Bookmark_I66K8CDC2SF7WG0010000400"/>
      <w:bookmarkStart w:id="3174" w:name="Bookmark_I66K8CDC2N1RKF0020000400_2"/>
      <w:bookmarkStart w:id="3175" w:name="Bookmark_I66K8CDB28T4TV0040000400_2"/>
      <w:bookmarkStart w:id="3176" w:name="Bookmark_I66K8CDC2N1RKF0010000400"/>
      <w:bookmarkEnd w:id="3173"/>
      <w:bookmarkEnd w:id="3174"/>
      <w:bookmarkEnd w:id="3175"/>
      <w:bookmarkEnd w:id="3176"/>
      <w:r>
        <w:rPr>
          <w:rFonts w:ascii="Arial" w:eastAsia="Arial" w:hAnsi="Arial" w:cs="Arial"/>
          <w:color w:val="000000"/>
          <w:sz w:val="20"/>
          <w:u w:val="single"/>
        </w:rPr>
        <w:t>Akins</w:t>
      </w:r>
      <w:bookmarkStart w:id="3177" w:name="Bookmark_I66K8CDC2SF7WG0030000400"/>
      <w:bookmarkEnd w:id="3177"/>
      <w:r>
        <w:rPr>
          <w:rFonts w:ascii="Arial" w:eastAsia="Arial" w:hAnsi="Arial" w:cs="Arial"/>
          <w:color w:val="000000"/>
          <w:sz w:val="20"/>
        </w:rPr>
        <w:t xml:space="preserve"> was a suit where a group of voters sought (among other things) [**17]  information about a list of donors to a political organization they said was subject to public-disclosure requirements  [*270]  under elections laws. </w:t>
      </w:r>
      <w:bookmarkStart w:id="3178" w:name="Bookmark_I66K8CDC2N1RKF0030000400"/>
      <w:bookmarkEnd w:id="3178"/>
      <w:r>
        <w:rPr>
          <w:rFonts w:ascii="Arial" w:eastAsia="Arial" w:hAnsi="Arial" w:cs="Arial"/>
          <w:color w:val="000000"/>
          <w:sz w:val="20"/>
        </w:rPr>
        <w:t xml:space="preserve">524 U.S. at 15, 21. </w:t>
      </w:r>
      <w:bookmarkStart w:id="3179" w:name="Bookmark_I66K8CDC2SF7WG0050000400"/>
      <w:bookmarkEnd w:id="3179"/>
      <w:r>
        <w:rPr>
          <w:rFonts w:ascii="Arial" w:eastAsia="Arial" w:hAnsi="Arial" w:cs="Arial"/>
          <w:color w:val="000000"/>
          <w:sz w:val="20"/>
        </w:rPr>
        <w:t xml:space="preserve">Noting that "[t]here [wa]s no reason to doubt [the voters'] claim that the information would help them . . . evaluate candidates for public office," the Court said that they suffered an injury in fact because they "fail[ed] to obtain information which," at least under their view of the law, "must be publicly disclosed pursuant to a statute." </w:t>
      </w:r>
      <w:bookmarkStart w:id="3180" w:name="Bookmark_I66K8CDC2N1RKF0050000400"/>
      <w:bookmarkEnd w:id="3180"/>
      <w:r>
        <w:rPr>
          <w:rFonts w:ascii="Arial" w:eastAsia="Arial" w:hAnsi="Arial" w:cs="Arial"/>
          <w:color w:val="000000"/>
          <w:sz w:val="20"/>
          <w:u w:val="single"/>
        </w:rPr>
        <w:t>Id.</w:t>
      </w:r>
      <w:r>
        <w:rPr>
          <w:rFonts w:ascii="Arial" w:eastAsia="Arial" w:hAnsi="Arial" w:cs="Arial"/>
          <w:color w:val="000000"/>
          <w:sz w:val="20"/>
        </w:rPr>
        <w:t xml:space="preserve"> at 21. </w:t>
      </w:r>
      <w:bookmarkStart w:id="3181" w:name="Bookmark_I66K8CDC2SF7WG0050000400_2"/>
      <w:bookmarkStart w:id="3182" w:name="Bookmark_I66K8CDC2SF7WG0030000400_2"/>
      <w:bookmarkStart w:id="3183" w:name="Bookmark_I66K8CDC2HM6S40020000400"/>
      <w:bookmarkEnd w:id="3181"/>
      <w:bookmarkEnd w:id="3182"/>
      <w:bookmarkEnd w:id="3183"/>
      <w:r>
        <w:rPr>
          <w:rFonts w:ascii="Arial" w:eastAsia="Arial" w:hAnsi="Arial" w:cs="Arial"/>
          <w:color w:val="000000"/>
          <w:sz w:val="20"/>
        </w:rPr>
        <w:t xml:space="preserve">Similarly, </w:t>
      </w:r>
      <w:r>
        <w:rPr>
          <w:rFonts w:ascii="Arial" w:eastAsia="Arial" w:hAnsi="Arial" w:cs="Arial"/>
          <w:color w:val="000000"/>
          <w:sz w:val="20"/>
          <w:u w:val="single"/>
        </w:rPr>
        <w:t>Public Citizen</w:t>
      </w:r>
      <w:r>
        <w:rPr>
          <w:rFonts w:ascii="Arial" w:eastAsia="Arial" w:hAnsi="Arial" w:cs="Arial"/>
          <w:color w:val="000000"/>
          <w:sz w:val="20"/>
        </w:rPr>
        <w:t xml:space="preserve"> was a suit by advocacy groups to obtain information they asserted was subject to public disclosure under the Federal Advisory Committee Act. </w:t>
      </w:r>
      <w:bookmarkStart w:id="3184" w:name="Bookmark_I66K8CDC2SF7WG0020000400"/>
      <w:bookmarkEnd w:id="3184"/>
      <w:r>
        <w:rPr>
          <w:rFonts w:ascii="Arial" w:eastAsia="Arial" w:hAnsi="Arial" w:cs="Arial"/>
          <w:color w:val="000000"/>
          <w:sz w:val="20"/>
        </w:rPr>
        <w:t xml:space="preserve">491 U.S. at 447-48. </w:t>
      </w:r>
      <w:bookmarkStart w:id="3185" w:name="Bookmark_I66K8CDC2HM6S40020000400_2"/>
      <w:bookmarkEnd w:id="3185"/>
      <w:r>
        <w:rPr>
          <w:rFonts w:ascii="Arial" w:eastAsia="Arial" w:hAnsi="Arial" w:cs="Arial"/>
          <w:color w:val="000000"/>
          <w:sz w:val="20"/>
        </w:rPr>
        <w:t xml:space="preserve">The Court said that the groups suffered an injury in fact because they were denied information the statute gave them the right to. </w:t>
      </w:r>
      <w:bookmarkStart w:id="3186" w:name="Bookmark_I66K8CDC2SF7WG0040000400"/>
      <w:bookmarkEnd w:id="3186"/>
      <w:r>
        <w:rPr>
          <w:rFonts w:ascii="Arial" w:eastAsia="Arial" w:hAnsi="Arial" w:cs="Arial"/>
          <w:color w:val="000000"/>
          <w:sz w:val="20"/>
          <w:u w:val="single"/>
        </w:rPr>
        <w:t>Id.</w:t>
      </w:r>
      <w:r>
        <w:rPr>
          <w:rFonts w:ascii="Arial" w:eastAsia="Arial" w:hAnsi="Arial" w:cs="Arial"/>
          <w:color w:val="000000"/>
          <w:sz w:val="20"/>
        </w:rPr>
        <w:t xml:space="preserve"> at 449. </w:t>
      </w:r>
      <w:bookmarkStart w:id="3187" w:name="Bookmark_I66K8CDC2HM6S40020000400_3"/>
      <w:bookmarkEnd w:id="3187"/>
      <w:r>
        <w:rPr>
          <w:rFonts w:ascii="Arial" w:eastAsia="Arial" w:hAnsi="Arial" w:cs="Arial"/>
          <w:color w:val="000000"/>
          <w:sz w:val="20"/>
        </w:rPr>
        <w:t xml:space="preserve">As the Court put it: "Our decisions interpreting the Freedom of Information Act have never suggested that those requesting information under it need show more than that they sought and were denied specific agency records." </w:t>
      </w:r>
      <w:r>
        <w:rPr>
          <w:rFonts w:ascii="Arial" w:eastAsia="Arial" w:hAnsi="Arial" w:cs="Arial"/>
          <w:color w:val="000000"/>
          <w:sz w:val="20"/>
          <w:u w:val="single"/>
        </w:rPr>
        <w:t>Id.</w:t>
      </w:r>
      <w:r>
        <w:rPr>
          <w:rFonts w:ascii="Arial" w:eastAsia="Arial" w:hAnsi="Arial" w:cs="Arial"/>
          <w:color w:val="000000"/>
          <w:sz w:val="20"/>
        </w:rPr>
        <w:t xml:space="preserve">; </w:t>
      </w:r>
      <w:r>
        <w:rPr>
          <w:rFonts w:ascii="Arial" w:eastAsia="Arial" w:hAnsi="Arial" w:cs="Arial"/>
          <w:color w:val="000000"/>
          <w:sz w:val="20"/>
          <w:u w:val="single"/>
        </w:rPr>
        <w:t xml:space="preserve">accord </w:t>
      </w:r>
      <w:bookmarkStart w:id="3188" w:name="Bookmark_I66K8CDC2HM6S40010000400"/>
      <w:bookmarkEnd w:id="3188"/>
      <w:r>
        <w:rPr>
          <w:rFonts w:ascii="Arial" w:eastAsia="Arial" w:hAnsi="Arial" w:cs="Arial"/>
          <w:color w:val="000000"/>
          <w:sz w:val="20"/>
          <w:u w:val="single"/>
        </w:rPr>
        <w:t>Maloney v. Murphy</w:t>
      </w:r>
      <w:r>
        <w:rPr>
          <w:rFonts w:ascii="Arial" w:eastAsia="Arial" w:hAnsi="Arial" w:cs="Arial"/>
          <w:color w:val="000000"/>
          <w:sz w:val="20"/>
        </w:rPr>
        <w:t xml:space="preserve">, 984 F.3d 50, 60, 450 U.S. App. D.C. 261 (D.C. Cir. 2020) (holding that a FOIA "requester's circumstances -- why he wants the information, what he plans to do with it, what harm he suffered from the failure to disclose -- are irrelevant to his standing" (quoting [**18]  </w:t>
      </w:r>
      <w:bookmarkStart w:id="3189" w:name="Bookmark_I66K8CDC2HM6S40030000400"/>
      <w:bookmarkEnd w:id="3189"/>
      <w:r>
        <w:rPr>
          <w:rFonts w:ascii="Arial" w:eastAsia="Arial" w:hAnsi="Arial" w:cs="Arial"/>
          <w:color w:val="000000"/>
          <w:sz w:val="20"/>
          <w:u w:val="single"/>
        </w:rPr>
        <w:t>Zivotofsky v. Sec'y of State</w:t>
      </w:r>
      <w:r>
        <w:rPr>
          <w:rFonts w:ascii="Arial" w:eastAsia="Arial" w:hAnsi="Arial" w:cs="Arial"/>
          <w:color w:val="000000"/>
          <w:sz w:val="20"/>
        </w:rPr>
        <w:t>, 444 F.3d 614, 617, 370 U.S. App. D.C. 269 (D.C. Cir. 2006))).</w:t>
      </w:r>
    </w:p>
    <w:p w:rsidR="00022B47" w:rsidRDefault="00000000">
      <w:pPr>
        <w:pStyle w:val="Normal17"/>
        <w:widowControl w:val="0"/>
        <w:spacing w:before="200" w:line="260" w:lineRule="atLeast"/>
        <w:jc w:val="both"/>
      </w:pPr>
      <w:bookmarkStart w:id="3190" w:name="Bookmark_para_34_9"/>
      <w:bookmarkStart w:id="3191" w:name="Bookmark_I66K8CDC28T4V50010000400"/>
      <w:bookmarkStart w:id="3192" w:name="Bookmark_LNHNREFclscc15_5"/>
      <w:bookmarkEnd w:id="3190"/>
      <w:bookmarkEnd w:id="3191"/>
      <w:bookmarkEnd w:id="3192"/>
      <w:r>
        <w:rPr>
          <w:rFonts w:ascii="Arial" w:eastAsia="Arial" w:hAnsi="Arial" w:cs="Arial"/>
          <w:color w:val="000000"/>
          <w:sz w:val="20"/>
        </w:rPr>
        <w:t xml:space="preserve">So to sum it up so far: </w:t>
      </w:r>
      <w:r>
        <w:rPr>
          <w:rFonts w:ascii="Arial" w:eastAsia="Arial" w:hAnsi="Arial" w:cs="Arial"/>
          <w:color w:val="000000"/>
          <w:sz w:val="20"/>
          <w:u w:val="single"/>
        </w:rPr>
        <w:t>Havens Realty, Akins</w:t>
      </w:r>
      <w:r>
        <w:rPr>
          <w:rFonts w:ascii="Arial" w:eastAsia="Arial" w:hAnsi="Arial" w:cs="Arial"/>
          <w:color w:val="000000"/>
          <w:sz w:val="20"/>
        </w:rPr>
        <w:t xml:space="preserve">, and </w:t>
      </w:r>
      <w:r>
        <w:rPr>
          <w:rFonts w:ascii="Arial" w:eastAsia="Arial" w:hAnsi="Arial" w:cs="Arial"/>
          <w:color w:val="000000"/>
          <w:sz w:val="20"/>
          <w:u w:val="single"/>
        </w:rPr>
        <w:t>Public Citizen</w:t>
      </w:r>
      <w:r>
        <w:rPr>
          <w:rFonts w:ascii="Arial" w:eastAsia="Arial" w:hAnsi="Arial" w:cs="Arial"/>
          <w:color w:val="000000"/>
          <w:sz w:val="20"/>
        </w:rPr>
        <w:t xml:space="preserve"> make clear that a denial of information that a plaintiff is statutorily entitled to have can make for a concrete injury in fact. And </w:t>
      </w:r>
      <w:bookmarkStart w:id="3193" w:name="Bookmark_I66K8CDC2HM6S40050000400"/>
      <w:bookmarkEnd w:id="3193"/>
      <w:r>
        <w:rPr>
          <w:rFonts w:ascii="Arial" w:eastAsia="Arial" w:hAnsi="Arial" w:cs="Arial"/>
          <w:color w:val="000000"/>
          <w:sz w:val="20"/>
          <w:u w:val="single"/>
        </w:rPr>
        <w:t>Havens Realty</w:t>
      </w:r>
      <w:r>
        <w:rPr>
          <w:rFonts w:ascii="Arial" w:eastAsia="Arial" w:hAnsi="Arial" w:cs="Arial"/>
          <w:color w:val="000000"/>
          <w:sz w:val="20"/>
        </w:rPr>
        <w:t xml:space="preserve"> and </w:t>
      </w:r>
      <w:r>
        <w:rPr>
          <w:rFonts w:ascii="Arial" w:eastAsia="Arial" w:hAnsi="Arial" w:cs="Arial"/>
          <w:color w:val="000000"/>
          <w:sz w:val="20"/>
          <w:u w:val="single"/>
        </w:rPr>
        <w:t>Public Citizen</w:t>
      </w:r>
      <w:r>
        <w:rPr>
          <w:rFonts w:ascii="Arial" w:eastAsia="Arial" w:hAnsi="Arial" w:cs="Arial"/>
          <w:color w:val="000000"/>
          <w:sz w:val="20"/>
        </w:rPr>
        <w:t xml:space="preserve"> tell us that the denial of information to a member of a protected class alone can suffice to make an injury in fact -- that person's intended use of the information is not relevant.</w:t>
      </w:r>
    </w:p>
    <w:p w:rsidR="00022B47" w:rsidRDefault="00000000">
      <w:pPr>
        <w:pStyle w:val="Normal17"/>
        <w:widowControl w:val="0"/>
        <w:spacing w:before="240" w:line="260" w:lineRule="atLeast"/>
      </w:pPr>
      <w:r>
        <w:br/>
      </w:r>
      <w:r>
        <w:rPr>
          <w:rFonts w:ascii="Arial" w:eastAsia="Arial" w:hAnsi="Arial" w:cs="Arial"/>
          <w:b/>
          <w:color w:val="000000"/>
          <w:sz w:val="20"/>
        </w:rPr>
        <w:t>b</w:t>
      </w:r>
      <w:r>
        <w:rPr>
          <w:rFonts w:ascii="Arial" w:eastAsia="Arial" w:hAnsi="Arial" w:cs="Arial"/>
          <w:color w:val="000000"/>
          <w:sz w:val="20"/>
        </w:rPr>
        <w:t>.</w:t>
      </w:r>
    </w:p>
    <w:p w:rsidR="00022B47" w:rsidRDefault="00000000">
      <w:pPr>
        <w:pStyle w:val="Normal17"/>
        <w:widowControl w:val="0"/>
        <w:spacing w:before="200" w:line="260" w:lineRule="atLeast"/>
        <w:jc w:val="both"/>
      </w:pPr>
      <w:bookmarkStart w:id="3194" w:name="Bookmark_para_35_9"/>
      <w:bookmarkStart w:id="3195" w:name="Bookmark_I66K8CDC28T4V50030000400"/>
      <w:bookmarkEnd w:id="3194"/>
      <w:bookmarkEnd w:id="3195"/>
      <w:r>
        <w:rPr>
          <w:rFonts w:ascii="Arial" w:eastAsia="Arial" w:hAnsi="Arial" w:cs="Arial"/>
          <w:color w:val="000000"/>
          <w:sz w:val="20"/>
        </w:rPr>
        <w:t xml:space="preserve">Were that the whole landscape, this case would prove quite simple. But there's a wrinkle. Acheson jumps all over three lines in a Supreme Court decision from last year, </w:t>
      </w:r>
      <w:bookmarkStart w:id="3196" w:name="Bookmark_I66K8CDC28T4V50030000400_2"/>
      <w:bookmarkStart w:id="3197" w:name="Bookmark_I66K8CDC28T4V50020000400"/>
      <w:bookmarkEnd w:id="3196"/>
      <w:bookmarkEnd w:id="3197"/>
      <w:r>
        <w:rPr>
          <w:rFonts w:ascii="Arial" w:eastAsia="Arial" w:hAnsi="Arial" w:cs="Arial"/>
          <w:color w:val="000000"/>
          <w:sz w:val="20"/>
          <w:u w:val="single"/>
        </w:rPr>
        <w:t>TransUnion</w:t>
      </w:r>
      <w:r>
        <w:rPr>
          <w:rFonts w:ascii="Arial" w:eastAsia="Arial" w:hAnsi="Arial" w:cs="Arial"/>
          <w:color w:val="000000"/>
          <w:sz w:val="20"/>
        </w:rPr>
        <w:t xml:space="preserve">, which Acheson says marked a sea change in the law of informational standing that casts doubt on </w:t>
      </w:r>
      <w:bookmarkStart w:id="3198" w:name="Bookmark_I66K8CDC28T4V50040000400"/>
      <w:bookmarkEnd w:id="3198"/>
      <w:r>
        <w:rPr>
          <w:rFonts w:ascii="Arial" w:eastAsia="Arial" w:hAnsi="Arial" w:cs="Arial"/>
          <w:color w:val="000000"/>
          <w:sz w:val="20"/>
          <w:u w:val="single"/>
        </w:rPr>
        <w:t>Havens Realty</w:t>
      </w:r>
      <w:r>
        <w:rPr>
          <w:rFonts w:ascii="Arial" w:eastAsia="Arial" w:hAnsi="Arial" w:cs="Arial"/>
          <w:color w:val="000000"/>
          <w:sz w:val="20"/>
        </w:rPr>
        <w:t>'s application to this case.</w:t>
      </w:r>
    </w:p>
    <w:p w:rsidR="00022B47" w:rsidRDefault="00000000">
      <w:pPr>
        <w:pStyle w:val="Normal17"/>
        <w:widowControl w:val="0"/>
        <w:spacing w:before="200" w:line="260" w:lineRule="atLeast"/>
        <w:jc w:val="both"/>
      </w:pPr>
      <w:bookmarkStart w:id="3199" w:name="Bookmark_para_36_9"/>
      <w:bookmarkStart w:id="3200" w:name="Bookmark_I66K8CDC2D6NCV0020000400"/>
      <w:bookmarkStart w:id="3201" w:name="Bookmark_I66K8CDC2SF7WN0010000400"/>
      <w:bookmarkStart w:id="3202" w:name="Bookmark_I66K8CDC2D6NCV0010000400"/>
      <w:bookmarkEnd w:id="3199"/>
      <w:bookmarkEnd w:id="3200"/>
      <w:bookmarkEnd w:id="3201"/>
      <w:bookmarkEnd w:id="3202"/>
      <w:r>
        <w:rPr>
          <w:rFonts w:ascii="Arial" w:eastAsia="Arial" w:hAnsi="Arial" w:cs="Arial"/>
          <w:color w:val="000000"/>
          <w:sz w:val="20"/>
          <w:u w:val="single"/>
        </w:rPr>
        <w:t>TransUnion</w:t>
      </w:r>
      <w:bookmarkStart w:id="3203" w:name="Bookmark_I66K8CDC2SF7WN0030000400"/>
      <w:bookmarkEnd w:id="3203"/>
      <w:r>
        <w:rPr>
          <w:rFonts w:ascii="Arial" w:eastAsia="Arial" w:hAnsi="Arial" w:cs="Arial"/>
          <w:color w:val="000000"/>
          <w:sz w:val="20"/>
        </w:rPr>
        <w:t xml:space="preserve"> involved a class action brought by consumers against a credit-reporting agency under the Fair Credit Reporting Act. </w:t>
      </w:r>
      <w:bookmarkStart w:id="3204" w:name="Bookmark_I66K8CDC2D6NCV0030000400"/>
      <w:bookmarkEnd w:id="3204"/>
      <w:r>
        <w:rPr>
          <w:rFonts w:ascii="Arial" w:eastAsia="Arial" w:hAnsi="Arial" w:cs="Arial"/>
          <w:color w:val="000000"/>
          <w:sz w:val="20"/>
        </w:rPr>
        <w:t xml:space="preserve">141 S. Ct. at 2200. Part of the claim was that the credit-reporting agency didn't provide information in the format required by the FCRA. </w:t>
      </w:r>
      <w:r>
        <w:rPr>
          <w:rFonts w:ascii="Arial" w:eastAsia="Arial" w:hAnsi="Arial" w:cs="Arial"/>
          <w:color w:val="000000"/>
          <w:sz w:val="20"/>
          <w:u w:val="single"/>
        </w:rPr>
        <w:t xml:space="preserve">See </w:t>
      </w:r>
      <w:bookmarkStart w:id="3205" w:name="Bookmark_I66K8CDC2D6NCV0050000400"/>
      <w:bookmarkEnd w:id="3205"/>
      <w:r>
        <w:rPr>
          <w:rFonts w:ascii="Arial" w:eastAsia="Arial" w:hAnsi="Arial" w:cs="Arial"/>
          <w:color w:val="000000"/>
          <w:sz w:val="20"/>
          <w:u w:val="single"/>
        </w:rPr>
        <w:t>id.</w:t>
      </w:r>
      <w:r>
        <w:rPr>
          <w:rFonts w:ascii="Arial" w:eastAsia="Arial" w:hAnsi="Arial" w:cs="Arial"/>
          <w:color w:val="000000"/>
          <w:sz w:val="20"/>
        </w:rPr>
        <w:t xml:space="preserve"> at 2214. </w:t>
      </w:r>
      <w:bookmarkStart w:id="3206" w:name="Bookmark_I66K8CDC2SF7WN0030000400_2"/>
      <w:bookmarkStart w:id="3207" w:name="Bookmark_I66K8CDC2SF7WN0050000400"/>
      <w:bookmarkEnd w:id="3206"/>
      <w:bookmarkEnd w:id="3207"/>
      <w:r>
        <w:rPr>
          <w:rFonts w:ascii="Arial" w:eastAsia="Arial" w:hAnsi="Arial" w:cs="Arial"/>
          <w:color w:val="000000"/>
          <w:sz w:val="20"/>
        </w:rPr>
        <w:t xml:space="preserve">The Court addressed the plaintiffs' standing, drawing on the Court's explanation of intangible injuries in </w:t>
      </w:r>
      <w:bookmarkStart w:id="3208" w:name="Bookmark_I66K8CDC2SF7WN0050000400_2"/>
      <w:bookmarkStart w:id="3209" w:name="Bookmark_I66K8CDC2SF7WN0030000400_3"/>
      <w:bookmarkStart w:id="3210" w:name="Bookmark_I66K8CDC2SF7WN0020000400"/>
      <w:bookmarkEnd w:id="3208"/>
      <w:bookmarkEnd w:id="3209"/>
      <w:bookmarkEnd w:id="3210"/>
      <w:r>
        <w:rPr>
          <w:rFonts w:ascii="Arial" w:eastAsia="Arial" w:hAnsi="Arial" w:cs="Arial"/>
          <w:color w:val="000000"/>
          <w:sz w:val="20"/>
          <w:u w:val="single"/>
        </w:rPr>
        <w:t>Spokeo</w:t>
      </w:r>
      <w:r>
        <w:rPr>
          <w:rFonts w:ascii="Arial" w:eastAsia="Arial" w:hAnsi="Arial" w:cs="Arial"/>
          <w:color w:val="000000"/>
          <w:sz w:val="20"/>
        </w:rPr>
        <w:t xml:space="preserve">. </w:t>
      </w:r>
      <w:bookmarkStart w:id="3211" w:name="Bookmark_I66K8CDC2HM6SB0040000400"/>
      <w:bookmarkEnd w:id="3211"/>
      <w:r>
        <w:rPr>
          <w:rFonts w:ascii="Arial" w:eastAsia="Arial" w:hAnsi="Arial" w:cs="Arial"/>
          <w:color w:val="000000"/>
          <w:sz w:val="20"/>
        </w:rPr>
        <w:t xml:space="preserve">(Recall that </w:t>
      </w:r>
      <w:bookmarkStart w:id="3212" w:name="Bookmark_I66K8CDC2HM6SB0040000400_2"/>
      <w:bookmarkStart w:id="3213" w:name="Bookmark_I66K8CDC2SF7WN0050000400_3"/>
      <w:bookmarkStart w:id="3214" w:name="Bookmark_I66K8CDC2SF7WN0040000400"/>
      <w:bookmarkEnd w:id="3212"/>
      <w:bookmarkEnd w:id="3213"/>
      <w:bookmarkEnd w:id="3214"/>
      <w:r>
        <w:rPr>
          <w:rFonts w:ascii="Arial" w:eastAsia="Arial" w:hAnsi="Arial" w:cs="Arial"/>
          <w:color w:val="000000"/>
          <w:sz w:val="20"/>
          <w:u w:val="single"/>
        </w:rPr>
        <w:t>Spokeo</w:t>
      </w:r>
      <w:r>
        <w:rPr>
          <w:rFonts w:ascii="Arial" w:eastAsia="Arial" w:hAnsi="Arial" w:cs="Arial"/>
          <w:color w:val="000000"/>
          <w:sz w:val="20"/>
        </w:rPr>
        <w:t xml:space="preserve"> teaches that Congress's judgment is important to finding intangible-but-nonetheless-concrete harms, but its judgment is not the end all be all since there must [**19]  still be a concrete injury accompanying a bare procedural violation -- though the Court did caveat that the violation of </w:t>
      </w:r>
      <w:r>
        <w:rPr>
          <w:rFonts w:ascii="Arial" w:eastAsia="Arial" w:hAnsi="Arial" w:cs="Arial"/>
          <w:color w:val="000000"/>
          <w:sz w:val="20"/>
          <w:u w:val="single"/>
        </w:rPr>
        <w:t>some</w:t>
      </w:r>
      <w:r>
        <w:rPr>
          <w:rFonts w:ascii="Arial" w:eastAsia="Arial" w:hAnsi="Arial" w:cs="Arial"/>
          <w:color w:val="000000"/>
          <w:sz w:val="20"/>
        </w:rPr>
        <w:t xml:space="preserve"> statutory procedural rights could pose a concrete injury even without additional harm. </w:t>
      </w:r>
      <w:r>
        <w:rPr>
          <w:rFonts w:ascii="Arial" w:eastAsia="Arial" w:hAnsi="Arial" w:cs="Arial"/>
          <w:color w:val="000000"/>
          <w:sz w:val="20"/>
          <w:u w:val="single"/>
        </w:rPr>
        <w:t>See</w:t>
      </w:r>
      <w:r>
        <w:rPr>
          <w:rFonts w:ascii="Arial" w:eastAsia="Arial" w:hAnsi="Arial" w:cs="Arial"/>
          <w:color w:val="000000"/>
          <w:sz w:val="20"/>
        </w:rPr>
        <w:t xml:space="preserve"> </w:t>
      </w:r>
      <w:bookmarkStart w:id="3215" w:name="Bookmark_I66K8CDC2HM6SB0010000400"/>
      <w:bookmarkEnd w:id="3215"/>
      <w:r>
        <w:rPr>
          <w:rFonts w:ascii="Arial" w:eastAsia="Arial" w:hAnsi="Arial" w:cs="Arial"/>
          <w:color w:val="000000"/>
          <w:sz w:val="20"/>
        </w:rPr>
        <w:t xml:space="preserve">578 U.S. at 340-42.) </w:t>
      </w:r>
      <w:bookmarkStart w:id="3216" w:name="Bookmark_I66K8CDC28T4V60030000400"/>
      <w:bookmarkEnd w:id="3216"/>
      <w:r>
        <w:rPr>
          <w:rFonts w:ascii="Arial" w:eastAsia="Arial" w:hAnsi="Arial" w:cs="Arial"/>
          <w:color w:val="000000"/>
          <w:sz w:val="20"/>
        </w:rPr>
        <w:t xml:space="preserve">An </w:t>
      </w:r>
      <w:r>
        <w:rPr>
          <w:rFonts w:ascii="Arial" w:eastAsia="Arial" w:hAnsi="Arial" w:cs="Arial"/>
          <w:color w:val="000000"/>
          <w:sz w:val="20"/>
          <w:u w:val="single"/>
        </w:rPr>
        <w:t>amicus</w:t>
      </w:r>
      <w:r>
        <w:rPr>
          <w:rFonts w:ascii="Arial" w:eastAsia="Arial" w:hAnsi="Arial" w:cs="Arial"/>
          <w:color w:val="000000"/>
          <w:sz w:val="20"/>
        </w:rPr>
        <w:t xml:space="preserve"> threw in the argument that the plaintiffs had standing for an informational injury, citing to </w:t>
      </w:r>
      <w:bookmarkStart w:id="3217" w:name="Bookmark_I66K8CDC28T4V60030000400_2"/>
      <w:bookmarkStart w:id="3218" w:name="Bookmark_I66K8CDC2HM6SB0040000400_3"/>
      <w:bookmarkStart w:id="3219" w:name="Bookmark_I66K8CDC2HM6SB0030000400"/>
      <w:bookmarkEnd w:id="3217"/>
      <w:bookmarkEnd w:id="3218"/>
      <w:bookmarkEnd w:id="3219"/>
      <w:r>
        <w:rPr>
          <w:rFonts w:ascii="Arial" w:eastAsia="Arial" w:hAnsi="Arial" w:cs="Arial"/>
          <w:color w:val="000000"/>
          <w:sz w:val="20"/>
          <w:u w:val="single"/>
        </w:rPr>
        <w:t>Akins</w:t>
      </w:r>
      <w:r>
        <w:rPr>
          <w:rFonts w:ascii="Arial" w:eastAsia="Arial" w:hAnsi="Arial" w:cs="Arial"/>
          <w:color w:val="000000"/>
          <w:sz w:val="20"/>
        </w:rPr>
        <w:t xml:space="preserve"> and </w:t>
      </w:r>
      <w:r>
        <w:rPr>
          <w:rFonts w:ascii="Arial" w:eastAsia="Arial" w:hAnsi="Arial" w:cs="Arial"/>
          <w:color w:val="000000"/>
          <w:sz w:val="20"/>
          <w:u w:val="single"/>
        </w:rPr>
        <w:t>Public Citizen</w:t>
      </w:r>
      <w:r>
        <w:rPr>
          <w:rFonts w:ascii="Arial" w:eastAsia="Arial" w:hAnsi="Arial" w:cs="Arial"/>
          <w:color w:val="000000"/>
          <w:sz w:val="20"/>
        </w:rPr>
        <w:t xml:space="preserve">. </w:t>
      </w:r>
      <w:bookmarkStart w:id="3220" w:name="Bookmark_I66K8CDC2HM6SB0050000400"/>
      <w:bookmarkEnd w:id="3220"/>
      <w:r>
        <w:rPr>
          <w:rFonts w:ascii="Arial" w:eastAsia="Arial" w:hAnsi="Arial" w:cs="Arial"/>
          <w:color w:val="000000"/>
          <w:sz w:val="20"/>
        </w:rPr>
        <w:t xml:space="preserve">141 S. Ct. at 2214. </w:t>
      </w:r>
      <w:bookmarkStart w:id="3221" w:name="Bookmark_I66K8CDC28T4V60050000400"/>
      <w:bookmarkEnd w:id="3221"/>
      <w:r>
        <w:rPr>
          <w:rFonts w:ascii="Arial" w:eastAsia="Arial" w:hAnsi="Arial" w:cs="Arial"/>
          <w:color w:val="000000"/>
          <w:sz w:val="20"/>
        </w:rPr>
        <w:t xml:space="preserve">Which the Court rejected, saying </w:t>
      </w:r>
      <w:bookmarkStart w:id="3222" w:name="Bookmark_I66K8CDC28T4V60050000400_2"/>
      <w:bookmarkStart w:id="3223" w:name="Bookmark_I66K8CDC28T4V60030000400_3"/>
      <w:bookmarkStart w:id="3224" w:name="Bookmark_I66K8CDC28T4V60020000400"/>
      <w:bookmarkEnd w:id="3222"/>
      <w:bookmarkEnd w:id="3223"/>
      <w:bookmarkEnd w:id="3224"/>
      <w:r>
        <w:rPr>
          <w:rFonts w:ascii="Arial" w:eastAsia="Arial" w:hAnsi="Arial" w:cs="Arial"/>
          <w:color w:val="000000"/>
          <w:sz w:val="20"/>
          <w:u w:val="single"/>
        </w:rPr>
        <w:t>Akins</w:t>
      </w:r>
      <w:r>
        <w:rPr>
          <w:rFonts w:ascii="Arial" w:eastAsia="Arial" w:hAnsi="Arial" w:cs="Arial"/>
          <w:color w:val="000000"/>
          <w:sz w:val="20"/>
        </w:rPr>
        <w:t xml:space="preserve"> and </w:t>
      </w:r>
      <w:r>
        <w:rPr>
          <w:rFonts w:ascii="Arial" w:eastAsia="Arial" w:hAnsi="Arial" w:cs="Arial"/>
          <w:color w:val="000000"/>
          <w:sz w:val="20"/>
          <w:u w:val="single"/>
        </w:rPr>
        <w:t>Public Citizen</w:t>
      </w:r>
      <w:r>
        <w:rPr>
          <w:rFonts w:ascii="Arial" w:eastAsia="Arial" w:hAnsi="Arial" w:cs="Arial"/>
          <w:color w:val="000000"/>
          <w:sz w:val="20"/>
        </w:rPr>
        <w:t xml:space="preserve"> didn't "control" because the plaintiffs weren't denied any information; rather, they received it in the wrong format. </w:t>
      </w:r>
      <w:r>
        <w:rPr>
          <w:rFonts w:ascii="Arial" w:eastAsia="Arial" w:hAnsi="Arial" w:cs="Arial"/>
          <w:color w:val="000000"/>
          <w:sz w:val="20"/>
          <w:u w:val="single"/>
        </w:rPr>
        <w:t>Id.</w:t>
      </w:r>
      <w:r>
        <w:rPr>
          <w:rFonts w:ascii="Arial" w:eastAsia="Arial" w:hAnsi="Arial" w:cs="Arial"/>
          <w:color w:val="000000"/>
          <w:sz w:val="20"/>
        </w:rPr>
        <w:t xml:space="preserve"> But -- and here's where it gets important for us -- the Court added a "[m]oreover": It said the plaintiffs "identified no 'downstream consequences' from failing to receive the required information" and that "'[a]n asserted informational injury that causes no adverse effects cannot satisfy Article III.'" </w:t>
      </w:r>
      <w:r>
        <w:rPr>
          <w:rFonts w:ascii="Arial" w:eastAsia="Arial" w:hAnsi="Arial" w:cs="Arial"/>
          <w:color w:val="000000"/>
          <w:sz w:val="20"/>
          <w:u w:val="single"/>
        </w:rPr>
        <w:t>Id.</w:t>
      </w:r>
      <w:r>
        <w:rPr>
          <w:rFonts w:ascii="Arial" w:eastAsia="Arial" w:hAnsi="Arial" w:cs="Arial"/>
          <w:color w:val="000000"/>
          <w:sz w:val="20"/>
        </w:rPr>
        <w:t xml:space="preserve"> (quoting </w:t>
      </w:r>
      <w:bookmarkStart w:id="3225" w:name="Bookmark_I66K8CDC28T4V60040000400"/>
      <w:bookmarkEnd w:id="3225"/>
      <w:r>
        <w:rPr>
          <w:rFonts w:ascii="Arial" w:eastAsia="Arial" w:hAnsi="Arial" w:cs="Arial"/>
          <w:color w:val="000000"/>
          <w:sz w:val="20"/>
          <w:u w:val="single"/>
        </w:rPr>
        <w:t>Trichell  [*271]  v. Midland Credit Mgmt., Inc.</w:t>
      </w:r>
      <w:r>
        <w:rPr>
          <w:rFonts w:ascii="Arial" w:eastAsia="Arial" w:hAnsi="Arial" w:cs="Arial"/>
          <w:color w:val="000000"/>
          <w:sz w:val="20"/>
        </w:rPr>
        <w:t>, 964 F.3d 990, 1004 (11th Cir. 2020)).</w:t>
      </w:r>
    </w:p>
    <w:p w:rsidR="00022B47" w:rsidRDefault="00000000">
      <w:pPr>
        <w:pStyle w:val="Normal17"/>
        <w:widowControl w:val="0"/>
        <w:spacing w:before="200" w:line="260" w:lineRule="atLeast"/>
        <w:jc w:val="both"/>
      </w:pPr>
      <w:bookmarkStart w:id="3226" w:name="Bookmark_para_37_7"/>
      <w:bookmarkStart w:id="3227" w:name="Bookmark_I66K8CDC2HM6SD0020000400"/>
      <w:bookmarkEnd w:id="3226"/>
      <w:bookmarkEnd w:id="3227"/>
      <w:r>
        <w:rPr>
          <w:rFonts w:ascii="Arial" w:eastAsia="Arial" w:hAnsi="Arial" w:cs="Arial"/>
          <w:color w:val="000000"/>
          <w:sz w:val="20"/>
        </w:rPr>
        <w:t xml:space="preserve">With that "moreover" morsel in mind, Acheson presses that </w:t>
      </w:r>
      <w:bookmarkStart w:id="3228" w:name="Bookmark_I66K8CDC2HM6SD0010000400"/>
      <w:bookmarkEnd w:id="3228"/>
      <w:r>
        <w:rPr>
          <w:rFonts w:ascii="Arial" w:eastAsia="Arial" w:hAnsi="Arial" w:cs="Arial"/>
          <w:color w:val="000000"/>
          <w:sz w:val="20"/>
          <w:u w:val="single"/>
        </w:rPr>
        <w:t>Havens Realty</w:t>
      </w:r>
      <w:r>
        <w:rPr>
          <w:rFonts w:ascii="Arial" w:eastAsia="Arial" w:hAnsi="Arial" w:cs="Arial"/>
          <w:color w:val="000000"/>
          <w:sz w:val="20"/>
        </w:rPr>
        <w:t xml:space="preserve"> and </w:t>
      </w:r>
      <w:r>
        <w:rPr>
          <w:rFonts w:ascii="Arial" w:eastAsia="Arial" w:hAnsi="Arial" w:cs="Arial"/>
          <w:color w:val="000000"/>
          <w:sz w:val="20"/>
          <w:u w:val="single"/>
        </w:rPr>
        <w:t>Public Citizen</w:t>
      </w:r>
      <w:r>
        <w:rPr>
          <w:rFonts w:ascii="Arial" w:eastAsia="Arial" w:hAnsi="Arial" w:cs="Arial"/>
          <w:color w:val="000000"/>
          <w:sz w:val="20"/>
        </w:rPr>
        <w:t xml:space="preserve"> don't survive </w:t>
      </w:r>
      <w:bookmarkStart w:id="3229" w:name="Bookmark_I66K8CDC2HM6SD0030000400"/>
      <w:bookmarkEnd w:id="3229"/>
      <w:r>
        <w:rPr>
          <w:rFonts w:ascii="Arial" w:eastAsia="Arial" w:hAnsi="Arial" w:cs="Arial"/>
          <w:color w:val="000000"/>
          <w:sz w:val="20"/>
          <w:u w:val="single"/>
        </w:rPr>
        <w:t>Spokeo</w:t>
      </w:r>
      <w:r>
        <w:rPr>
          <w:rFonts w:ascii="Arial" w:eastAsia="Arial" w:hAnsi="Arial" w:cs="Arial"/>
          <w:color w:val="000000"/>
          <w:sz w:val="20"/>
        </w:rPr>
        <w:t xml:space="preserve"> and </w:t>
      </w:r>
      <w:bookmarkStart w:id="3230" w:name="Bookmark_I66K8CDC2HM6SD0020000400_2"/>
      <w:bookmarkStart w:id="3231" w:name="Bookmark_I66K8CDC2HM6SD0050000400"/>
      <w:bookmarkEnd w:id="3230"/>
      <w:bookmarkEnd w:id="3231"/>
      <w:r>
        <w:rPr>
          <w:rFonts w:ascii="Arial" w:eastAsia="Arial" w:hAnsi="Arial" w:cs="Arial"/>
          <w:color w:val="000000"/>
          <w:sz w:val="20"/>
          <w:u w:val="single"/>
        </w:rPr>
        <w:t>TransUnion</w:t>
      </w:r>
      <w:bookmarkStart w:id="3232" w:name="Bookmark_I5C7WFRWW18000046KS0003M"/>
      <w:bookmarkStart w:id="3233" w:name="Bookmark_I5C7WFRX07K000046KS0003P"/>
      <w:bookmarkStart w:id="3234" w:name="Bookmark_I5C7WFRX3DY000046KS0003S"/>
      <w:bookmarkStart w:id="3235" w:name="Bookmark_I66K8CDC28T4V80030000400"/>
      <w:bookmarkEnd w:id="3232"/>
      <w:bookmarkEnd w:id="3233"/>
      <w:bookmarkEnd w:id="3234"/>
      <w:bookmarkEnd w:id="3235"/>
      <w:r>
        <w:rPr>
          <w:rFonts w:ascii="Arial" w:eastAsia="Arial" w:hAnsi="Arial" w:cs="Arial"/>
          <w:color w:val="000000"/>
          <w:sz w:val="20"/>
        </w:rPr>
        <w:t xml:space="preserve">. And to be sure, it has some support behind it from our sibling circuits who have addressed suits like this one since </w:t>
      </w:r>
      <w:r>
        <w:rPr>
          <w:rFonts w:ascii="Arial" w:eastAsia="Arial" w:hAnsi="Arial" w:cs="Arial"/>
          <w:color w:val="000000"/>
          <w:sz w:val="20"/>
          <w:u w:val="single"/>
        </w:rPr>
        <w:t xml:space="preserve">TransUnion. See </w:t>
      </w:r>
      <w:bookmarkStart w:id="3236" w:name="Bookmark_I66K8CDC28T4V80020000400"/>
      <w:bookmarkEnd w:id="3236"/>
      <w:r>
        <w:rPr>
          <w:rFonts w:ascii="Arial" w:eastAsia="Arial" w:hAnsi="Arial" w:cs="Arial"/>
          <w:color w:val="000000"/>
          <w:sz w:val="20"/>
          <w:u w:val="single"/>
        </w:rPr>
        <w:t>Harty v. W. Point Realty, Inc.</w:t>
      </w:r>
      <w:r>
        <w:rPr>
          <w:rFonts w:ascii="Arial" w:eastAsia="Arial" w:hAnsi="Arial" w:cs="Arial"/>
          <w:color w:val="000000"/>
          <w:sz w:val="20"/>
        </w:rPr>
        <w:t>, 28 F.4th 435, 444 (2d Cir. 2022) (concluding an ADA-Reservation-Rule tester plaintiff can't show a concrete injury from the denial of information without also showing downstream [**20]  consequences post-</w:t>
      </w:r>
      <w:bookmarkStart w:id="3237" w:name="Bookmark_I66K8CDC28T4V80030000400_2"/>
      <w:bookmarkStart w:id="3238" w:name="Bookmark_I66K8CDC28T4V80040000400"/>
      <w:bookmarkEnd w:id="3237"/>
      <w:bookmarkEnd w:id="3238"/>
      <w:r>
        <w:rPr>
          <w:rFonts w:ascii="Arial" w:eastAsia="Arial" w:hAnsi="Arial" w:cs="Arial"/>
          <w:color w:val="000000"/>
          <w:sz w:val="20"/>
          <w:u w:val="single"/>
        </w:rPr>
        <w:t>TransUnion</w:t>
      </w:r>
      <w:r>
        <w:rPr>
          <w:rFonts w:ascii="Arial" w:eastAsia="Arial" w:hAnsi="Arial" w:cs="Arial"/>
          <w:color w:val="000000"/>
          <w:sz w:val="20"/>
        </w:rPr>
        <w:t xml:space="preserve">); </w:t>
      </w:r>
      <w:bookmarkStart w:id="3239" w:name="Bookmark_I66K8CDC2SF7WT0010000400"/>
      <w:bookmarkEnd w:id="3239"/>
      <w:r>
        <w:rPr>
          <w:rFonts w:ascii="Arial" w:eastAsia="Arial" w:hAnsi="Arial" w:cs="Arial"/>
          <w:color w:val="000000"/>
          <w:sz w:val="20"/>
          <w:u w:val="single"/>
        </w:rPr>
        <w:t>Laufer v. Looper</w:t>
      </w:r>
      <w:r>
        <w:rPr>
          <w:rFonts w:ascii="Arial" w:eastAsia="Arial" w:hAnsi="Arial" w:cs="Arial"/>
          <w:color w:val="000000"/>
          <w:sz w:val="20"/>
        </w:rPr>
        <w:t xml:space="preserve">, 22 F.4th 871, 879-81, 883 (10th Cir. 2022) (same); </w:t>
      </w:r>
      <w:r>
        <w:rPr>
          <w:rFonts w:ascii="Arial" w:eastAsia="Arial" w:hAnsi="Arial" w:cs="Arial"/>
          <w:color w:val="000000"/>
          <w:sz w:val="20"/>
          <w:u w:val="single"/>
        </w:rPr>
        <w:t xml:space="preserve">see also </w:t>
      </w:r>
      <w:bookmarkStart w:id="3240" w:name="Bookmark_I66K8CDC2SF7WT0030000400"/>
      <w:bookmarkEnd w:id="3240"/>
      <w:r>
        <w:rPr>
          <w:rFonts w:ascii="Arial" w:eastAsia="Arial" w:hAnsi="Arial" w:cs="Arial"/>
          <w:color w:val="000000"/>
          <w:sz w:val="20"/>
          <w:u w:val="single"/>
        </w:rPr>
        <w:t>Laufer v. Mann Hosp. L.L.C.</w:t>
      </w:r>
      <w:r>
        <w:rPr>
          <w:rFonts w:ascii="Arial" w:eastAsia="Arial" w:hAnsi="Arial" w:cs="Arial"/>
          <w:color w:val="000000"/>
          <w:sz w:val="20"/>
        </w:rPr>
        <w:t>, 996 F.3d 269, 273 (5th Cir. 2021) (concluding Laufer had no standing because she couldn't show the information she was denied had "some relevance" to her).</w:t>
      </w:r>
    </w:p>
    <w:p w:rsidR="00022B47" w:rsidRDefault="00000000">
      <w:pPr>
        <w:pStyle w:val="Normal17"/>
        <w:widowControl w:val="0"/>
        <w:spacing w:before="200" w:line="260" w:lineRule="atLeast"/>
        <w:jc w:val="both"/>
      </w:pPr>
      <w:bookmarkStart w:id="3241" w:name="Bookmark_para_38_7"/>
      <w:bookmarkStart w:id="3242" w:name="Bookmark_I66K8CDD2SF7WY0010000400"/>
      <w:bookmarkEnd w:id="3241"/>
      <w:bookmarkEnd w:id="3242"/>
      <w:r>
        <w:rPr>
          <w:rFonts w:ascii="Arial" w:eastAsia="Arial" w:hAnsi="Arial" w:cs="Arial"/>
          <w:color w:val="000000"/>
          <w:sz w:val="20"/>
        </w:rPr>
        <w:t xml:space="preserve">Here's the issue: We can't overrule prior Supreme Court cases -- that much the Court has made clear. </w:t>
      </w:r>
      <w:bookmarkStart w:id="3243" w:name="Bookmark_LNHNREFclscc16_3"/>
      <w:bookmarkEnd w:id="3243"/>
      <w:r>
        <w:rPr>
          <w:rFonts w:ascii="Arial" w:eastAsia="Arial" w:hAnsi="Arial" w:cs="Arial"/>
          <w:color w:val="000000"/>
          <w:sz w:val="20"/>
        </w:rPr>
        <w:t xml:space="preserve">"And because overruling Supreme Court precedent is the Court's job, not ours, we must follow [precedent] until the Court specifically tells us not to" -- even if we think those older decisions are in tension with newer ones. </w:t>
      </w:r>
      <w:r>
        <w:rPr>
          <w:rFonts w:ascii="Arial" w:eastAsia="Arial" w:hAnsi="Arial" w:cs="Arial"/>
          <w:color w:val="000000"/>
          <w:sz w:val="20"/>
          <w:u w:val="single"/>
        </w:rPr>
        <w:t xml:space="preserve">See </w:t>
      </w:r>
      <w:bookmarkStart w:id="3244" w:name="Bookmark_I66K8CDC2SF7WT0050000400"/>
      <w:bookmarkEnd w:id="3244"/>
      <w:r>
        <w:rPr>
          <w:rFonts w:ascii="Arial" w:eastAsia="Arial" w:hAnsi="Arial" w:cs="Arial"/>
          <w:color w:val="000000"/>
          <w:sz w:val="20"/>
          <w:u w:val="single"/>
        </w:rPr>
        <w:t>United States v. Morosco</w:t>
      </w:r>
      <w:r>
        <w:rPr>
          <w:rFonts w:ascii="Arial" w:eastAsia="Arial" w:hAnsi="Arial" w:cs="Arial"/>
          <w:color w:val="000000"/>
          <w:sz w:val="20"/>
        </w:rPr>
        <w:t xml:space="preserve">, 822 F.3d 1, 7 (1st Cir. 2016); </w:t>
      </w:r>
      <w:r>
        <w:rPr>
          <w:rFonts w:ascii="Arial" w:eastAsia="Arial" w:hAnsi="Arial" w:cs="Arial"/>
          <w:color w:val="000000"/>
          <w:sz w:val="20"/>
          <w:u w:val="single"/>
        </w:rPr>
        <w:t xml:space="preserve">see also </w:t>
      </w:r>
      <w:bookmarkStart w:id="3245" w:name="Bookmark_I66K8CDD2SF7WY0020000400"/>
      <w:bookmarkEnd w:id="3245"/>
      <w:r>
        <w:rPr>
          <w:rFonts w:ascii="Arial" w:eastAsia="Arial" w:hAnsi="Arial" w:cs="Arial"/>
          <w:color w:val="000000"/>
          <w:sz w:val="20"/>
          <w:u w:val="single"/>
        </w:rPr>
        <w:t>Scheiber v. Dolby Lab'ys, Inc.</w:t>
      </w:r>
      <w:r>
        <w:rPr>
          <w:rFonts w:ascii="Arial" w:eastAsia="Arial" w:hAnsi="Arial" w:cs="Arial"/>
          <w:color w:val="000000"/>
          <w:sz w:val="20"/>
        </w:rPr>
        <w:t>, 293 F.3d 1014, 1018 (7th Cir. 2002) (Posner, J.) ("[W]e have no authority to overrule a Supreme Court decision no matter how dubious its reasoning strikes us, or even how out of touch with the Supreme Court's current thinking the decision seems.").</w:t>
      </w:r>
    </w:p>
    <w:p w:rsidR="00022B47" w:rsidRDefault="00000000">
      <w:pPr>
        <w:pStyle w:val="Normal17"/>
        <w:widowControl w:val="0"/>
        <w:spacing w:before="200" w:line="260" w:lineRule="atLeast"/>
        <w:jc w:val="both"/>
      </w:pPr>
      <w:bookmarkStart w:id="3246" w:name="Bookmark_para_39_5"/>
      <w:bookmarkStart w:id="3247" w:name="Bookmark_I66K8CDD2SF7WY0050000400"/>
      <w:bookmarkStart w:id="3248" w:name="Bookmark_I66K8CDD2N1RM10020000400"/>
      <w:bookmarkEnd w:id="3246"/>
      <w:bookmarkEnd w:id="3247"/>
      <w:bookmarkEnd w:id="3248"/>
      <w:r>
        <w:rPr>
          <w:rFonts w:ascii="Arial" w:eastAsia="Arial" w:hAnsi="Arial" w:cs="Arial"/>
          <w:color w:val="000000"/>
          <w:sz w:val="20"/>
        </w:rPr>
        <w:t xml:space="preserve">As we said before, we think </w:t>
      </w:r>
      <w:bookmarkStart w:id="3249" w:name="Bookmark_I66K8CDD2SF7WY0040000400"/>
      <w:bookmarkEnd w:id="3249"/>
      <w:r>
        <w:rPr>
          <w:rFonts w:ascii="Arial" w:eastAsia="Arial" w:hAnsi="Arial" w:cs="Arial"/>
          <w:color w:val="000000"/>
          <w:sz w:val="20"/>
          <w:u w:val="single"/>
        </w:rPr>
        <w:t>Havens Realty</w:t>
      </w:r>
      <w:r>
        <w:rPr>
          <w:rFonts w:ascii="Arial" w:eastAsia="Arial" w:hAnsi="Arial" w:cs="Arial"/>
          <w:color w:val="000000"/>
          <w:sz w:val="20"/>
        </w:rPr>
        <w:t xml:space="preserve"> shows the clear path here -- it is so similar to Laufer's case as to render any distinction insufficiently material. We're thus bound by that decision unless the Supreme Court tells us that </w:t>
      </w:r>
      <w:bookmarkStart w:id="3250" w:name="Bookmark_I66K8CDD2N1RM10020000400_2"/>
      <w:bookmarkStart w:id="3251" w:name="Bookmark_I66K8CDD2SF7WY0050000400_2"/>
      <w:bookmarkStart w:id="3252" w:name="Bookmark_I66K8CDD2N1RM10010000400"/>
      <w:bookmarkEnd w:id="3250"/>
      <w:bookmarkEnd w:id="3251"/>
      <w:bookmarkEnd w:id="3252"/>
      <w:r>
        <w:rPr>
          <w:rFonts w:ascii="Arial" w:eastAsia="Arial" w:hAnsi="Arial" w:cs="Arial"/>
          <w:color w:val="000000"/>
          <w:sz w:val="20"/>
          <w:u w:val="single"/>
        </w:rPr>
        <w:t>TransUnion</w:t>
      </w:r>
      <w:r>
        <w:rPr>
          <w:rFonts w:ascii="Arial" w:eastAsia="Arial" w:hAnsi="Arial" w:cs="Arial"/>
          <w:color w:val="000000"/>
          <w:sz w:val="20"/>
        </w:rPr>
        <w:t xml:space="preserve"> overruled it.</w:t>
      </w:r>
      <w:r>
        <w:rPr>
          <w:rFonts w:ascii="Arial" w:eastAsia="Arial" w:hAnsi="Arial" w:cs="Arial"/>
          <w:vertAlign w:val="superscript"/>
        </w:rPr>
        <w:footnoteReference w:customMarkFollows="1" w:id="66"/>
        <w:t>4</w:t>
      </w:r>
      <w:r>
        <w:rPr>
          <w:rFonts w:ascii="Arial" w:eastAsia="Arial" w:hAnsi="Arial" w:cs="Arial"/>
          <w:color w:val="000000"/>
          <w:sz w:val="20"/>
        </w:rPr>
        <w:t xml:space="preserve"> Under Laufer's theory, she had a right to the information that she alleges Acheson didn't give her. And the statute makes that denial of information discrimination against disabled persons and gives Laufer the right to sue in response. That Laufer had [**21]  no intent to use the information for anything but a lawsuit doesn't change things -- she was still injured in precisely the way the statute was designed to protect.</w:t>
      </w:r>
    </w:p>
    <w:p w:rsidR="00022B47" w:rsidRDefault="00000000">
      <w:pPr>
        <w:pStyle w:val="Normal17"/>
        <w:widowControl w:val="0"/>
        <w:spacing w:before="240" w:line="260" w:lineRule="atLeast"/>
      </w:pPr>
      <w:r>
        <w:br/>
      </w:r>
      <w:r>
        <w:rPr>
          <w:rFonts w:ascii="Arial" w:eastAsia="Arial" w:hAnsi="Arial" w:cs="Arial"/>
          <w:b/>
          <w:color w:val="000000"/>
          <w:sz w:val="20"/>
        </w:rPr>
        <w:t>c</w:t>
      </w:r>
      <w:r>
        <w:rPr>
          <w:rFonts w:ascii="Arial" w:eastAsia="Arial" w:hAnsi="Arial" w:cs="Arial"/>
          <w:color w:val="000000"/>
          <w:sz w:val="20"/>
        </w:rPr>
        <w:t>.</w:t>
      </w:r>
    </w:p>
    <w:p w:rsidR="00022B47" w:rsidRDefault="00000000">
      <w:pPr>
        <w:pStyle w:val="Normal17"/>
        <w:widowControl w:val="0"/>
        <w:spacing w:before="240" w:line="260" w:lineRule="atLeast"/>
      </w:pPr>
      <w:r>
        <w:br/>
      </w:r>
      <w:r>
        <w:rPr>
          <w:rFonts w:ascii="Arial" w:eastAsia="Arial" w:hAnsi="Arial" w:cs="Arial"/>
          <w:b/>
          <w:color w:val="000000"/>
          <w:sz w:val="20"/>
        </w:rPr>
        <w:t>i</w:t>
      </w:r>
      <w:r>
        <w:rPr>
          <w:rFonts w:ascii="Arial" w:eastAsia="Arial" w:hAnsi="Arial" w:cs="Arial"/>
          <w:color w:val="000000"/>
          <w:sz w:val="20"/>
        </w:rPr>
        <w:t>.</w:t>
      </w:r>
    </w:p>
    <w:p w:rsidR="00022B47" w:rsidRDefault="00000000">
      <w:pPr>
        <w:pStyle w:val="Normal17"/>
        <w:widowControl w:val="0"/>
        <w:spacing w:before="200" w:line="260" w:lineRule="atLeast"/>
        <w:jc w:val="both"/>
      </w:pPr>
      <w:bookmarkStart w:id="3277" w:name="Bookmark_para_40_5"/>
      <w:bookmarkStart w:id="3278" w:name="Bookmark_I66K8CDF2HM6SY0050000400"/>
      <w:bookmarkEnd w:id="3277"/>
      <w:bookmarkEnd w:id="3278"/>
      <w:r>
        <w:rPr>
          <w:rFonts w:ascii="Arial" w:eastAsia="Arial" w:hAnsi="Arial" w:cs="Arial"/>
          <w:color w:val="000000"/>
          <w:sz w:val="20"/>
        </w:rPr>
        <w:t xml:space="preserve">Acheson's various attempts to distinguish </w:t>
      </w:r>
      <w:bookmarkStart w:id="3279" w:name="Bookmark_I66K8CDF2HM6SY0040000400"/>
      <w:bookmarkEnd w:id="3279"/>
      <w:r>
        <w:rPr>
          <w:rFonts w:ascii="Arial" w:eastAsia="Arial" w:hAnsi="Arial" w:cs="Arial"/>
          <w:color w:val="000000"/>
          <w:sz w:val="20"/>
          <w:u w:val="single"/>
        </w:rPr>
        <w:t>Havens Realty</w:t>
      </w:r>
      <w:r>
        <w:rPr>
          <w:rFonts w:ascii="Arial" w:eastAsia="Arial" w:hAnsi="Arial" w:cs="Arial"/>
          <w:color w:val="000000"/>
          <w:sz w:val="20"/>
        </w:rPr>
        <w:t xml:space="preserve"> don't change our view that it governs here.</w:t>
      </w:r>
    </w:p>
    <w:p w:rsidR="00022B47" w:rsidRDefault="00000000">
      <w:pPr>
        <w:pStyle w:val="Normal17"/>
        <w:widowControl w:val="0"/>
        <w:spacing w:before="200" w:line="260" w:lineRule="atLeast"/>
        <w:jc w:val="both"/>
      </w:pPr>
      <w:bookmarkStart w:id="3280" w:name="Bookmark_para_41_5"/>
      <w:bookmarkStart w:id="3281" w:name="Bookmark_I66K8CDF28T4VV0020000400"/>
      <w:bookmarkEnd w:id="3280"/>
      <w:bookmarkEnd w:id="3281"/>
      <w:r>
        <w:rPr>
          <w:rFonts w:ascii="Arial" w:eastAsia="Arial" w:hAnsi="Arial" w:cs="Arial"/>
          <w:color w:val="000000"/>
          <w:sz w:val="20"/>
        </w:rPr>
        <w:t xml:space="preserve">Acheson says that the denial of information here wasn't in itself discriminatory,  [*272]  but the lies to the plaintiff in </w:t>
      </w:r>
      <w:bookmarkStart w:id="3282" w:name="Bookmark_I66K8CDF28T4VV0010000400"/>
      <w:bookmarkEnd w:id="3282"/>
      <w:r>
        <w:rPr>
          <w:rFonts w:ascii="Arial" w:eastAsia="Arial" w:hAnsi="Arial" w:cs="Arial"/>
          <w:color w:val="000000"/>
          <w:sz w:val="20"/>
          <w:u w:val="single"/>
        </w:rPr>
        <w:t>Havens Realty</w:t>
      </w:r>
      <w:bookmarkStart w:id="3283" w:name="Bookmark_I66K8CDF2D6NDH0010000400"/>
      <w:bookmarkEnd w:id="3283"/>
      <w:r>
        <w:rPr>
          <w:rFonts w:ascii="Arial" w:eastAsia="Arial" w:hAnsi="Arial" w:cs="Arial"/>
          <w:color w:val="000000"/>
          <w:sz w:val="20"/>
        </w:rPr>
        <w:t xml:space="preserve"> were. Yes, the misinformation in </w:t>
      </w:r>
      <w:bookmarkStart w:id="3284" w:name="Bookmark_I66K8CDF28T4VV0030000400"/>
      <w:bookmarkEnd w:id="3284"/>
      <w:r>
        <w:rPr>
          <w:rFonts w:ascii="Arial" w:eastAsia="Arial" w:hAnsi="Arial" w:cs="Arial"/>
          <w:color w:val="000000"/>
          <w:sz w:val="20"/>
          <w:u w:val="single"/>
        </w:rPr>
        <w:t>Havens Realty</w:t>
      </w:r>
      <w:r>
        <w:rPr>
          <w:rFonts w:ascii="Arial" w:eastAsia="Arial" w:hAnsi="Arial" w:cs="Arial"/>
          <w:color w:val="000000"/>
          <w:sz w:val="20"/>
        </w:rPr>
        <w:t xml:space="preserve"> certainly looks like it was borne out of racial animus. </w:t>
      </w:r>
      <w:bookmarkStart w:id="3285" w:name="Bookmark_I66K8CDF2D6NDH0010000400_2"/>
      <w:bookmarkEnd w:id="3285"/>
      <w:r>
        <w:rPr>
          <w:rFonts w:ascii="Arial" w:eastAsia="Arial" w:hAnsi="Arial" w:cs="Arial"/>
          <w:color w:val="000000"/>
          <w:sz w:val="20"/>
        </w:rPr>
        <w:t xml:space="preserve">Yet still, Acheson's distinction is hard to square up. </w:t>
      </w:r>
      <w:bookmarkStart w:id="3286" w:name="Bookmark_LNHNREFclscc18_1"/>
      <w:bookmarkEnd w:id="3286"/>
      <w:r>
        <w:rPr>
          <w:rFonts w:ascii="Arial" w:eastAsia="Arial" w:hAnsi="Arial" w:cs="Arial"/>
          <w:color w:val="000000"/>
          <w:sz w:val="20"/>
        </w:rPr>
        <w:t xml:space="preserve">The regulations here specifically make the denial of accessibility information actionable discrimination against disabled persons, </w:t>
      </w:r>
      <w:r>
        <w:rPr>
          <w:rFonts w:ascii="Arial" w:eastAsia="Arial" w:hAnsi="Arial" w:cs="Arial"/>
          <w:color w:val="000000"/>
          <w:sz w:val="20"/>
          <w:u w:val="single"/>
        </w:rPr>
        <w:t>see</w:t>
      </w:r>
      <w:r>
        <w:rPr>
          <w:rFonts w:ascii="Arial" w:eastAsia="Arial" w:hAnsi="Arial" w:cs="Arial"/>
          <w:color w:val="000000"/>
          <w:sz w:val="20"/>
        </w:rPr>
        <w:t xml:space="preserve"> 28 C.F.R. § 36.501; </w:t>
      </w:r>
      <w:r>
        <w:rPr>
          <w:rFonts w:ascii="Arial" w:eastAsia="Arial" w:hAnsi="Arial" w:cs="Arial"/>
          <w:color w:val="000000"/>
          <w:sz w:val="20"/>
          <w:u w:val="single"/>
        </w:rPr>
        <w:t>DOJ Guidance</w:t>
      </w:r>
      <w:r>
        <w:rPr>
          <w:rFonts w:ascii="Arial" w:eastAsia="Arial" w:hAnsi="Arial" w:cs="Arial"/>
          <w:color w:val="000000"/>
          <w:sz w:val="20"/>
        </w:rPr>
        <w:t xml:space="preserve">, 28 C.F.R. pt. 36, app. A (2010) (noting the Reservation Rule is borne out of "basic nondiscrimination principles") -- just as the statute made the denial of information in </w:t>
      </w:r>
      <w:bookmarkStart w:id="3287" w:name="Bookmark_I66K8CDF2D6NDH0010000400_3"/>
      <w:bookmarkStart w:id="3288" w:name="Bookmark_I66K8CDF28T4VV0050000400"/>
      <w:bookmarkEnd w:id="3287"/>
      <w:bookmarkEnd w:id="3288"/>
      <w:r>
        <w:rPr>
          <w:rFonts w:ascii="Arial" w:eastAsia="Arial" w:hAnsi="Arial" w:cs="Arial"/>
          <w:color w:val="000000"/>
          <w:sz w:val="20"/>
          <w:u w:val="single"/>
        </w:rPr>
        <w:t>Havens Realty</w:t>
      </w:r>
      <w:r>
        <w:rPr>
          <w:rFonts w:ascii="Arial" w:eastAsia="Arial" w:hAnsi="Arial" w:cs="Arial"/>
          <w:color w:val="000000"/>
          <w:sz w:val="20"/>
        </w:rPr>
        <w:t xml:space="preserve"> actionable racial discrimination.</w:t>
      </w:r>
    </w:p>
    <w:p w:rsidR="00022B47" w:rsidRDefault="00000000">
      <w:pPr>
        <w:pStyle w:val="Normal17"/>
        <w:widowControl w:val="0"/>
        <w:spacing w:before="200" w:line="260" w:lineRule="atLeast"/>
        <w:jc w:val="both"/>
      </w:pPr>
      <w:bookmarkStart w:id="3289" w:name="Bookmark_para_42_5"/>
      <w:bookmarkStart w:id="3290" w:name="Bookmark_I66K8CDF2D6NDH0030000400"/>
      <w:bookmarkStart w:id="3291" w:name="Bookmark_I66K8CDF2N1RM90020000400"/>
      <w:bookmarkEnd w:id="3289"/>
      <w:bookmarkEnd w:id="3290"/>
      <w:bookmarkEnd w:id="3291"/>
      <w:r>
        <w:rPr>
          <w:rFonts w:ascii="Arial" w:eastAsia="Arial" w:hAnsi="Arial" w:cs="Arial"/>
          <w:color w:val="000000"/>
          <w:sz w:val="20"/>
        </w:rPr>
        <w:t xml:space="preserve">Next, echoing our colleagues in the Fifth Circuit, Acheson claims that the misrepresentation in </w:t>
      </w:r>
      <w:bookmarkStart w:id="3292" w:name="Bookmark_I66K8CDF2D6NDH0020000400"/>
      <w:bookmarkEnd w:id="3292"/>
      <w:r>
        <w:rPr>
          <w:rFonts w:ascii="Arial" w:eastAsia="Arial" w:hAnsi="Arial" w:cs="Arial"/>
          <w:color w:val="000000"/>
          <w:sz w:val="20"/>
          <w:u w:val="single"/>
        </w:rPr>
        <w:t>Havens Realty</w:t>
      </w:r>
      <w:r>
        <w:rPr>
          <w:rFonts w:ascii="Arial" w:eastAsia="Arial" w:hAnsi="Arial" w:cs="Arial"/>
          <w:color w:val="000000"/>
          <w:sz w:val="20"/>
        </w:rPr>
        <w:t xml:space="preserve"> had "some relevance" to the tester plaintiff, but the information Laufer wanted here didn't since she never wanted to book a room at the Inn. </w:t>
      </w:r>
      <w:r>
        <w:rPr>
          <w:rFonts w:ascii="Arial" w:eastAsia="Arial" w:hAnsi="Arial" w:cs="Arial"/>
          <w:color w:val="000000"/>
          <w:sz w:val="20"/>
          <w:u w:val="single"/>
        </w:rPr>
        <w:t xml:space="preserve">See </w:t>
      </w:r>
      <w:bookmarkStart w:id="3293" w:name="Bookmark_I66K8CDF2D6NDH0040000400"/>
      <w:bookmarkEnd w:id="3293"/>
      <w:r>
        <w:rPr>
          <w:rFonts w:ascii="Arial" w:eastAsia="Arial" w:hAnsi="Arial" w:cs="Arial"/>
          <w:color w:val="000000"/>
          <w:sz w:val="20"/>
          <w:u w:val="single"/>
        </w:rPr>
        <w:t>Mann Hosp.</w:t>
      </w:r>
      <w:r>
        <w:rPr>
          <w:rFonts w:ascii="Arial" w:eastAsia="Arial" w:hAnsi="Arial" w:cs="Arial"/>
          <w:color w:val="000000"/>
          <w:sz w:val="20"/>
        </w:rPr>
        <w:t xml:space="preserve">, 996 F.3d at 273. </w:t>
      </w:r>
      <w:bookmarkStart w:id="3294" w:name="Bookmark_I66K8CDF2N1RM90040000400"/>
      <w:bookmarkEnd w:id="3294"/>
      <w:r>
        <w:rPr>
          <w:rFonts w:ascii="Arial" w:eastAsia="Arial" w:hAnsi="Arial" w:cs="Arial"/>
          <w:color w:val="000000"/>
          <w:sz w:val="20"/>
        </w:rPr>
        <w:t xml:space="preserve">But the only relevance the misrepresentation had to the Black tester plaintiff [**22]  in </w:t>
      </w:r>
      <w:bookmarkStart w:id="3295" w:name="Bookmark_I66K8CDF2N1RM90040000400_2"/>
      <w:bookmarkStart w:id="3296" w:name="Bookmark_I66K8CDF2N1RM90020000400_2"/>
      <w:bookmarkStart w:id="3297" w:name="Bookmark_I66K8CDF2D6NDH0030000400_2"/>
      <w:bookmarkStart w:id="3298" w:name="Bookmark_I66K8CDF2N1RM90010000400"/>
      <w:bookmarkEnd w:id="3295"/>
      <w:bookmarkEnd w:id="3296"/>
      <w:bookmarkEnd w:id="3297"/>
      <w:bookmarkEnd w:id="3298"/>
      <w:r>
        <w:rPr>
          <w:rFonts w:ascii="Arial" w:eastAsia="Arial" w:hAnsi="Arial" w:cs="Arial"/>
          <w:color w:val="000000"/>
          <w:sz w:val="20"/>
          <w:u w:val="single"/>
        </w:rPr>
        <w:t>Havens Realty</w:t>
      </w:r>
      <w:r>
        <w:rPr>
          <w:rFonts w:ascii="Arial" w:eastAsia="Arial" w:hAnsi="Arial" w:cs="Arial"/>
          <w:color w:val="000000"/>
          <w:sz w:val="20"/>
        </w:rPr>
        <w:t xml:space="preserve"> was to help her figure out if the defendant was breaking the law by engaging in racial steering. </w:t>
      </w:r>
      <w:bookmarkStart w:id="3299" w:name="Bookmark_I66K8CDF2SF7XB0010000400"/>
      <w:bookmarkEnd w:id="3299"/>
      <w:r>
        <w:rPr>
          <w:rFonts w:ascii="Arial" w:eastAsia="Arial" w:hAnsi="Arial" w:cs="Arial"/>
          <w:color w:val="000000"/>
          <w:sz w:val="20"/>
          <w:u w:val="single"/>
        </w:rPr>
        <w:t>See</w:t>
      </w:r>
      <w:r>
        <w:rPr>
          <w:rFonts w:ascii="Arial" w:eastAsia="Arial" w:hAnsi="Arial" w:cs="Arial"/>
          <w:color w:val="000000"/>
          <w:sz w:val="20"/>
        </w:rPr>
        <w:t xml:space="preserve"> </w:t>
      </w:r>
      <w:bookmarkStart w:id="3300" w:name="Bookmark_I66K8CDF2N1RM90030000400"/>
      <w:bookmarkEnd w:id="3300"/>
      <w:r>
        <w:rPr>
          <w:rFonts w:ascii="Arial" w:eastAsia="Arial" w:hAnsi="Arial" w:cs="Arial"/>
          <w:color w:val="000000"/>
          <w:sz w:val="20"/>
        </w:rPr>
        <w:t xml:space="preserve">455 U.S. at 373-74. </w:t>
      </w:r>
      <w:bookmarkStart w:id="3301" w:name="Bookmark_I66K8CDF2SF7XB0010000400_2"/>
      <w:bookmarkEnd w:id="3301"/>
      <w:r>
        <w:rPr>
          <w:rFonts w:ascii="Arial" w:eastAsia="Arial" w:hAnsi="Arial" w:cs="Arial"/>
          <w:color w:val="000000"/>
          <w:sz w:val="20"/>
        </w:rPr>
        <w:t xml:space="preserve">And she had standing. </w:t>
      </w:r>
      <w:r>
        <w:rPr>
          <w:rFonts w:ascii="Arial" w:eastAsia="Arial" w:hAnsi="Arial" w:cs="Arial"/>
          <w:color w:val="000000"/>
          <w:sz w:val="20"/>
          <w:u w:val="single"/>
        </w:rPr>
        <w:t>Id.</w:t>
      </w:r>
      <w:r>
        <w:rPr>
          <w:rFonts w:ascii="Arial" w:eastAsia="Arial" w:hAnsi="Arial" w:cs="Arial"/>
          <w:color w:val="000000"/>
          <w:sz w:val="20"/>
        </w:rPr>
        <w:t xml:space="preserve"> Same goes here. </w:t>
      </w:r>
      <w:r>
        <w:rPr>
          <w:rFonts w:ascii="Arial" w:eastAsia="Arial" w:hAnsi="Arial" w:cs="Arial"/>
          <w:color w:val="000000"/>
          <w:sz w:val="20"/>
          <w:u w:val="single"/>
        </w:rPr>
        <w:t xml:space="preserve">See also </w:t>
      </w:r>
      <w:bookmarkStart w:id="3302" w:name="Bookmark_I66K8CDF2N1RM90050000400"/>
      <w:bookmarkEnd w:id="3302"/>
      <w:r>
        <w:rPr>
          <w:rFonts w:ascii="Arial" w:eastAsia="Arial" w:hAnsi="Arial" w:cs="Arial"/>
          <w:color w:val="000000"/>
          <w:sz w:val="20"/>
          <w:u w:val="single"/>
        </w:rPr>
        <w:t>Laufer v. Arpan LLC</w:t>
      </w:r>
      <w:r>
        <w:rPr>
          <w:rFonts w:ascii="Arial" w:eastAsia="Arial" w:hAnsi="Arial" w:cs="Arial"/>
          <w:color w:val="000000"/>
          <w:sz w:val="20"/>
        </w:rPr>
        <w:t>, 29 F.4th 1268, 1281 (11th Cir. 2022) (Jordan, J., concurring) (explaining why this distinction doesn't work).</w:t>
      </w:r>
      <w:r>
        <w:rPr>
          <w:rFonts w:ascii="Arial" w:eastAsia="Arial" w:hAnsi="Arial" w:cs="Arial"/>
          <w:vertAlign w:val="superscript"/>
        </w:rPr>
        <w:footnoteReference w:customMarkFollows="1" w:id="67"/>
        <w:t>5</w:t>
      </w:r>
    </w:p>
    <w:p w:rsidR="00022B47" w:rsidRDefault="00000000">
      <w:pPr>
        <w:pStyle w:val="Normal17"/>
        <w:widowControl w:val="0"/>
        <w:spacing w:before="200" w:line="260" w:lineRule="atLeast"/>
        <w:jc w:val="both"/>
      </w:pPr>
      <w:bookmarkStart w:id="3318" w:name="Bookmark_para_43_5"/>
      <w:bookmarkEnd w:id="3318"/>
      <w:r>
        <w:rPr>
          <w:rFonts w:ascii="Arial" w:eastAsia="Arial" w:hAnsi="Arial" w:cs="Arial"/>
          <w:color w:val="000000"/>
          <w:sz w:val="20"/>
        </w:rPr>
        <w:t xml:space="preserve">Further, Acheson posits that Laufer wasn't injured in the way the statute was designed to protect since she wasn't prevented from reserving a room. </w:t>
      </w:r>
      <w:bookmarkStart w:id="3319" w:name="Bookmark_LNHNREFclscc19_0"/>
      <w:bookmarkEnd w:id="3319"/>
      <w:r>
        <w:rPr>
          <w:rFonts w:ascii="Arial" w:eastAsia="Arial" w:hAnsi="Arial" w:cs="Arial"/>
          <w:color w:val="000000"/>
          <w:sz w:val="20"/>
        </w:rPr>
        <w:t xml:space="preserve">Au contraire: The regulation was not designed only to make sure that a disabled person could book a room -- the Reservation Rule's requirements are meant to ensure that disabled persons can "assess independently whether a given hotel or guest room meets his or her accessibility needs." 28 C.F.R. § 36.302(e)(1)(ii). The rule recognizes that the public information on accessibility features is necessary to make sure disabled persons are "able to reserve hotel rooms with the same efficiency, immediacy, and convenience as those who do not need accessible guest rooms." </w:t>
      </w:r>
      <w:r>
        <w:rPr>
          <w:rFonts w:ascii="Arial" w:eastAsia="Arial" w:hAnsi="Arial" w:cs="Arial"/>
          <w:color w:val="000000"/>
          <w:sz w:val="20"/>
          <w:u w:val="single"/>
        </w:rPr>
        <w:t>DOJ Guidance</w:t>
      </w:r>
      <w:r>
        <w:rPr>
          <w:rFonts w:ascii="Arial" w:eastAsia="Arial" w:hAnsi="Arial" w:cs="Arial"/>
          <w:color w:val="000000"/>
          <w:sz w:val="20"/>
        </w:rPr>
        <w:t>, 28 C.F.R. pt. 36, app. A (2010). Denying Laufer the same "efficiency, immediacy, and convenience" as those not requiring accommodations is exactly the discrimination the regulations are trying to stamp out.</w:t>
      </w:r>
    </w:p>
    <w:p w:rsidR="00022B47" w:rsidRDefault="00000000">
      <w:pPr>
        <w:pStyle w:val="Normal17"/>
        <w:widowControl w:val="0"/>
        <w:spacing w:before="240" w:line="260" w:lineRule="atLeast"/>
      </w:pPr>
      <w:r>
        <w:br/>
      </w:r>
      <w:r>
        <w:rPr>
          <w:rFonts w:ascii="Arial" w:eastAsia="Arial" w:hAnsi="Arial" w:cs="Arial"/>
          <w:b/>
          <w:color w:val="000000"/>
          <w:sz w:val="20"/>
        </w:rPr>
        <w:t>ii</w:t>
      </w:r>
      <w:r>
        <w:rPr>
          <w:rFonts w:ascii="Arial" w:eastAsia="Arial" w:hAnsi="Arial" w:cs="Arial"/>
          <w:color w:val="000000"/>
          <w:sz w:val="20"/>
        </w:rPr>
        <w:t>.</w:t>
      </w:r>
    </w:p>
    <w:p w:rsidR="00022B47" w:rsidRDefault="00000000">
      <w:pPr>
        <w:pStyle w:val="Normal17"/>
        <w:widowControl w:val="0"/>
        <w:spacing w:before="200" w:line="260" w:lineRule="atLeast"/>
        <w:jc w:val="both"/>
      </w:pPr>
      <w:bookmarkStart w:id="3320" w:name="Bookmark_para_44_5"/>
      <w:bookmarkStart w:id="3321" w:name="Bookmark_I66K8CDF2D6NDT0050000400"/>
      <w:bookmarkEnd w:id="3320"/>
      <w:bookmarkEnd w:id="3321"/>
      <w:r>
        <w:rPr>
          <w:rFonts w:ascii="Arial" w:eastAsia="Arial" w:hAnsi="Arial" w:cs="Arial"/>
          <w:color w:val="000000"/>
          <w:sz w:val="20"/>
        </w:rPr>
        <w:t xml:space="preserve">Nor, with respect, do we find our [**23]  sibling circuits' explanations of why Laufer doesn't have standing under </w:t>
      </w:r>
      <w:bookmarkStart w:id="3322" w:name="Bookmark_I66K8CDF2D6NDT0040000400"/>
      <w:bookmarkEnd w:id="3322"/>
      <w:r>
        <w:rPr>
          <w:rFonts w:ascii="Arial" w:eastAsia="Arial" w:hAnsi="Arial" w:cs="Arial"/>
          <w:color w:val="000000"/>
          <w:sz w:val="20"/>
          <w:u w:val="single"/>
        </w:rPr>
        <w:t>Havens Realty</w:t>
      </w:r>
      <w:r>
        <w:rPr>
          <w:rFonts w:ascii="Arial" w:eastAsia="Arial" w:hAnsi="Arial" w:cs="Arial"/>
          <w:color w:val="000000"/>
          <w:sz w:val="20"/>
        </w:rPr>
        <w:t xml:space="preserve">, or </w:t>
      </w:r>
      <w:r>
        <w:rPr>
          <w:rFonts w:ascii="Arial" w:eastAsia="Arial" w:hAnsi="Arial" w:cs="Arial"/>
          <w:color w:val="000000"/>
          <w:sz w:val="20"/>
          <w:u w:val="single"/>
        </w:rPr>
        <w:t>Public Citizen</w:t>
      </w:r>
      <w:r>
        <w:rPr>
          <w:rFonts w:ascii="Arial" w:eastAsia="Arial" w:hAnsi="Arial" w:cs="Arial"/>
          <w:color w:val="000000"/>
          <w:sz w:val="20"/>
        </w:rPr>
        <w:t>, persuasive.</w:t>
      </w:r>
    </w:p>
    <w:p w:rsidR="00022B47" w:rsidRDefault="00000000">
      <w:pPr>
        <w:pStyle w:val="Normal17"/>
        <w:widowControl w:val="0"/>
        <w:spacing w:before="200" w:line="260" w:lineRule="atLeast"/>
        <w:jc w:val="both"/>
      </w:pPr>
      <w:bookmarkStart w:id="3323" w:name="Bookmark_para_45_5"/>
      <w:bookmarkStart w:id="3324" w:name="Bookmark_I66K8CDF2N1RMJ0020000400"/>
      <w:bookmarkStart w:id="3325" w:name="Bookmark_I66K8CDF2SF7XK0050000400"/>
      <w:bookmarkEnd w:id="3323"/>
      <w:bookmarkEnd w:id="3324"/>
      <w:bookmarkEnd w:id="3325"/>
      <w:r>
        <w:rPr>
          <w:rFonts w:ascii="Arial" w:eastAsia="Arial" w:hAnsi="Arial" w:cs="Arial"/>
          <w:color w:val="000000"/>
          <w:sz w:val="20"/>
        </w:rPr>
        <w:t xml:space="preserve">The Second Circuit recently said a Reservation-Rule tester plaintiff had no concrete injury because he couldn't "show . . . an 'interest in using the information beyond bringing his lawsuit.'" </w:t>
      </w:r>
      <w:bookmarkStart w:id="3326" w:name="Bookmark_I66K8CDF2N1RMJ0010000400"/>
      <w:bookmarkEnd w:id="3326"/>
      <w:r>
        <w:rPr>
          <w:rFonts w:ascii="Arial" w:eastAsia="Arial" w:hAnsi="Arial" w:cs="Arial"/>
          <w:color w:val="000000"/>
          <w:sz w:val="20"/>
          <w:u w:val="single"/>
        </w:rPr>
        <w:t>Harty</w:t>
      </w:r>
      <w:r>
        <w:rPr>
          <w:rFonts w:ascii="Arial" w:eastAsia="Arial" w:hAnsi="Arial" w:cs="Arial"/>
          <w:color w:val="000000"/>
          <w:sz w:val="20"/>
        </w:rPr>
        <w:t xml:space="preserve">, 28 F.4th at 444 (cleaned up, then a new alteration added) (quoting </w:t>
      </w:r>
      <w:bookmarkStart w:id="3327" w:name="Bookmark_I66K8CDF2N1RMJ0030000400"/>
      <w:bookmarkEnd w:id="3327"/>
      <w:r>
        <w:rPr>
          <w:rFonts w:ascii="Arial" w:eastAsia="Arial" w:hAnsi="Arial" w:cs="Arial"/>
          <w:color w:val="000000"/>
          <w:sz w:val="20"/>
          <w:u w:val="single"/>
        </w:rPr>
        <w:t>Looper</w:t>
      </w:r>
      <w:r>
        <w:rPr>
          <w:rFonts w:ascii="Arial" w:eastAsia="Arial" w:hAnsi="Arial" w:cs="Arial"/>
          <w:color w:val="000000"/>
          <w:sz w:val="20"/>
        </w:rPr>
        <w:t xml:space="preserve">, 22 F.4th at 881); </w:t>
      </w:r>
      <w:r>
        <w:rPr>
          <w:rFonts w:ascii="Arial" w:eastAsia="Arial" w:hAnsi="Arial" w:cs="Arial"/>
          <w:color w:val="000000"/>
          <w:sz w:val="20"/>
          <w:u w:val="single"/>
        </w:rPr>
        <w:t xml:space="preserve">see also </w:t>
      </w:r>
      <w:bookmarkStart w:id="3328" w:name="Bookmark_I66K8CDF2N1RMJ0050000400"/>
      <w:bookmarkEnd w:id="3328"/>
      <w:r>
        <w:rPr>
          <w:rFonts w:ascii="Arial" w:eastAsia="Arial" w:hAnsi="Arial" w:cs="Arial"/>
          <w:color w:val="000000"/>
          <w:sz w:val="20"/>
          <w:u w:val="single"/>
        </w:rPr>
        <w:t>Laufer v. Ganesha Hosp.  [*273]  LLC</w:t>
      </w:r>
      <w:r>
        <w:rPr>
          <w:rFonts w:ascii="Arial" w:eastAsia="Arial" w:hAnsi="Arial" w:cs="Arial"/>
          <w:color w:val="000000"/>
          <w:sz w:val="20"/>
        </w:rPr>
        <w:t xml:space="preserve">, No. 21-995, 2022 U.S. App. LEXIS 18437, 2022 WL 2444747, at *2 (2d Cir. July 5, 2022) (summary order) (applying </w:t>
      </w:r>
      <w:bookmarkStart w:id="3329" w:name="Bookmark_I66K8CDF2SF7XK0020000400"/>
      <w:bookmarkEnd w:id="3329"/>
      <w:r>
        <w:rPr>
          <w:rFonts w:ascii="Arial" w:eastAsia="Arial" w:hAnsi="Arial" w:cs="Arial"/>
          <w:color w:val="000000"/>
          <w:sz w:val="20"/>
          <w:u w:val="single"/>
        </w:rPr>
        <w:t>Harty</w:t>
      </w:r>
      <w:r>
        <w:rPr>
          <w:rFonts w:ascii="Arial" w:eastAsia="Arial" w:hAnsi="Arial" w:cs="Arial"/>
          <w:color w:val="000000"/>
          <w:sz w:val="20"/>
        </w:rPr>
        <w:t xml:space="preserve"> to a suit brought by Laufer in Connecticut). </w:t>
      </w:r>
      <w:bookmarkStart w:id="3330" w:name="Bookmark_I66K8CDG2N1RMN0020000400"/>
      <w:bookmarkEnd w:id="3330"/>
      <w:r>
        <w:rPr>
          <w:rFonts w:ascii="Arial" w:eastAsia="Arial" w:hAnsi="Arial" w:cs="Arial"/>
          <w:color w:val="000000"/>
          <w:sz w:val="20"/>
        </w:rPr>
        <w:t xml:space="preserve">So </w:t>
      </w:r>
      <w:bookmarkStart w:id="3331" w:name="Bookmark_I66K8CDG2N1RMN0020000400_2"/>
      <w:bookmarkStart w:id="3332" w:name="Bookmark_I66K8CDF2SF7XK0050000400_2"/>
      <w:bookmarkStart w:id="3333" w:name="Bookmark_I66K8CDF2N1RMJ0020000400_2"/>
      <w:bookmarkStart w:id="3334" w:name="Bookmark_I66K8CDF2SF7XK0040000400"/>
      <w:bookmarkEnd w:id="3331"/>
      <w:bookmarkEnd w:id="3332"/>
      <w:bookmarkEnd w:id="3333"/>
      <w:bookmarkEnd w:id="3334"/>
      <w:r>
        <w:rPr>
          <w:rFonts w:ascii="Arial" w:eastAsia="Arial" w:hAnsi="Arial" w:cs="Arial"/>
          <w:color w:val="000000"/>
          <w:sz w:val="20"/>
          <w:u w:val="single"/>
        </w:rPr>
        <w:t>Havens Realty</w:t>
      </w:r>
      <w:r>
        <w:rPr>
          <w:rFonts w:ascii="Arial" w:eastAsia="Arial" w:hAnsi="Arial" w:cs="Arial"/>
          <w:color w:val="000000"/>
          <w:sz w:val="20"/>
        </w:rPr>
        <w:t xml:space="preserve"> didn't help the plaintiff, the court said, because it shows testers can have standing only when they suffer some actual injury. </w:t>
      </w:r>
      <w:bookmarkStart w:id="3335" w:name="Bookmark_I66K8CDG2N1RMN0010000400"/>
      <w:bookmarkEnd w:id="3335"/>
      <w:r>
        <w:rPr>
          <w:rFonts w:ascii="Arial" w:eastAsia="Arial" w:hAnsi="Arial" w:cs="Arial"/>
          <w:color w:val="000000"/>
          <w:sz w:val="20"/>
          <w:u w:val="single"/>
        </w:rPr>
        <w:t>Harty</w:t>
      </w:r>
      <w:r>
        <w:rPr>
          <w:rFonts w:ascii="Arial" w:eastAsia="Arial" w:hAnsi="Arial" w:cs="Arial"/>
          <w:color w:val="000000"/>
          <w:sz w:val="20"/>
        </w:rPr>
        <w:t xml:space="preserve">, 28 F.4th at 444. </w:t>
      </w:r>
      <w:bookmarkStart w:id="3336" w:name="Bookmark_I66K8CDG2N1RMN0040000400"/>
      <w:bookmarkEnd w:id="3336"/>
      <w:r>
        <w:rPr>
          <w:rFonts w:ascii="Arial" w:eastAsia="Arial" w:hAnsi="Arial" w:cs="Arial"/>
          <w:color w:val="000000"/>
          <w:sz w:val="20"/>
        </w:rPr>
        <w:t xml:space="preserve">But that distinction really doesn't do anything. No one disputes that being a tester alone doesn't give you standing -- the question is whether the test left her with some injury. And our judicial neighbors did not explain why the ADA tester plaintiff didn't suffer an injury but the Black tester plaintiff in </w:t>
      </w:r>
      <w:bookmarkStart w:id="3337" w:name="Bookmark_I66K8CDG2N1RMN0040000400_2"/>
      <w:bookmarkStart w:id="3338" w:name="Bookmark_I66K8CDG2N1RMN0030000400"/>
      <w:bookmarkEnd w:id="3337"/>
      <w:bookmarkEnd w:id="3338"/>
      <w:r>
        <w:rPr>
          <w:rFonts w:ascii="Arial" w:eastAsia="Arial" w:hAnsi="Arial" w:cs="Arial"/>
          <w:color w:val="000000"/>
          <w:sz w:val="20"/>
          <w:u w:val="single"/>
        </w:rPr>
        <w:t>Havens Realty</w:t>
      </w:r>
      <w:r>
        <w:rPr>
          <w:rFonts w:ascii="Arial" w:eastAsia="Arial" w:hAnsi="Arial" w:cs="Arial"/>
          <w:color w:val="000000"/>
          <w:sz w:val="20"/>
        </w:rPr>
        <w:t xml:space="preserve"> did, even though her only "interest in using the information" was testing compliance and bringing her lawsuit -- just as with an ADA-Reservation-Rule tester.</w:t>
      </w:r>
    </w:p>
    <w:p w:rsidR="00022B47" w:rsidRDefault="00000000">
      <w:pPr>
        <w:pStyle w:val="Normal17"/>
        <w:widowControl w:val="0"/>
        <w:spacing w:before="200" w:line="260" w:lineRule="atLeast"/>
        <w:jc w:val="both"/>
      </w:pPr>
      <w:bookmarkStart w:id="3339" w:name="Bookmark_para_46_5"/>
      <w:bookmarkStart w:id="3340" w:name="Bookmark_I66K8CDG2SF7XN0010000400"/>
      <w:bookmarkStart w:id="3341" w:name="Bookmark_I66K8CDG2SF7XN0030000400"/>
      <w:bookmarkEnd w:id="3339"/>
      <w:bookmarkEnd w:id="3340"/>
      <w:bookmarkEnd w:id="3341"/>
      <w:r>
        <w:rPr>
          <w:rFonts w:ascii="Arial" w:eastAsia="Arial" w:hAnsi="Arial" w:cs="Arial"/>
          <w:color w:val="000000"/>
          <w:sz w:val="20"/>
        </w:rPr>
        <w:t xml:space="preserve">The Tenth Circuit suggested there lies some distinction in the fact that </w:t>
      </w:r>
      <w:bookmarkStart w:id="3342" w:name="Bookmark_I66K8CDG2N1RMN0050000400"/>
      <w:bookmarkEnd w:id="3342"/>
      <w:r>
        <w:rPr>
          <w:rFonts w:ascii="Arial" w:eastAsia="Arial" w:hAnsi="Arial" w:cs="Arial"/>
          <w:color w:val="000000"/>
          <w:sz w:val="20"/>
          <w:u w:val="single"/>
        </w:rPr>
        <w:t>Havens Realty</w:t>
      </w:r>
      <w:r>
        <w:rPr>
          <w:rFonts w:ascii="Arial" w:eastAsia="Arial" w:hAnsi="Arial" w:cs="Arial"/>
          <w:color w:val="000000"/>
          <w:sz w:val="20"/>
        </w:rPr>
        <w:t xml:space="preserve"> involved a misrepresentation, but the ADA-Reservation-Rule cases involve a lack of any representation. [**24]  </w:t>
      </w:r>
      <w:r>
        <w:rPr>
          <w:rFonts w:ascii="Arial" w:eastAsia="Arial" w:hAnsi="Arial" w:cs="Arial"/>
          <w:color w:val="000000"/>
          <w:sz w:val="20"/>
          <w:u w:val="single"/>
        </w:rPr>
        <w:t xml:space="preserve">See </w:t>
      </w:r>
      <w:bookmarkStart w:id="3343" w:name="Bookmark_I66K8CDG2SF7XN0020000400"/>
      <w:bookmarkEnd w:id="3343"/>
      <w:r>
        <w:rPr>
          <w:rFonts w:ascii="Arial" w:eastAsia="Arial" w:hAnsi="Arial" w:cs="Arial"/>
          <w:color w:val="000000"/>
          <w:sz w:val="20"/>
          <w:u w:val="single"/>
        </w:rPr>
        <w:t>Looper</w:t>
      </w:r>
      <w:r>
        <w:rPr>
          <w:rFonts w:ascii="Arial" w:eastAsia="Arial" w:hAnsi="Arial" w:cs="Arial"/>
          <w:color w:val="000000"/>
          <w:sz w:val="20"/>
        </w:rPr>
        <w:t xml:space="preserve">, 22 F.4th at 879. </w:t>
      </w:r>
      <w:bookmarkStart w:id="3344" w:name="Bookmark_I66K8CDG2SF7XN0050000400"/>
      <w:bookmarkEnd w:id="3344"/>
      <w:r>
        <w:rPr>
          <w:rFonts w:ascii="Arial" w:eastAsia="Arial" w:hAnsi="Arial" w:cs="Arial"/>
          <w:color w:val="000000"/>
          <w:sz w:val="20"/>
        </w:rPr>
        <w:t xml:space="preserve">Yet that seems a distinction without a difference. In either case, in order to shine a light on unlawful discrimination, the law conferred on the plaintiff "a legal right to truthful information" about an accommodation. </w:t>
      </w:r>
      <w:bookmarkStart w:id="3345" w:name="Bookmark_I66K8CDG2SF7XN0040000400"/>
      <w:bookmarkEnd w:id="3345"/>
      <w:r>
        <w:rPr>
          <w:rFonts w:ascii="Arial" w:eastAsia="Arial" w:hAnsi="Arial" w:cs="Arial"/>
          <w:color w:val="000000"/>
          <w:sz w:val="20"/>
          <w:u w:val="single"/>
        </w:rPr>
        <w:t>Havens Realty</w:t>
      </w:r>
      <w:r>
        <w:rPr>
          <w:rFonts w:ascii="Arial" w:eastAsia="Arial" w:hAnsi="Arial" w:cs="Arial"/>
          <w:color w:val="000000"/>
          <w:sz w:val="20"/>
        </w:rPr>
        <w:t xml:space="preserve">, 455 U.S. at 373; </w:t>
      </w:r>
      <w:r>
        <w:rPr>
          <w:rFonts w:ascii="Arial" w:eastAsia="Arial" w:hAnsi="Arial" w:cs="Arial"/>
          <w:color w:val="000000"/>
          <w:sz w:val="20"/>
          <w:u w:val="single"/>
        </w:rPr>
        <w:t xml:space="preserve">see also </w:t>
      </w:r>
      <w:bookmarkStart w:id="3346" w:name="Bookmark_I66K8CDG28T4W60010000400"/>
      <w:bookmarkEnd w:id="3346"/>
      <w:r>
        <w:rPr>
          <w:rFonts w:ascii="Arial" w:eastAsia="Arial" w:hAnsi="Arial" w:cs="Arial"/>
          <w:color w:val="000000"/>
          <w:sz w:val="20"/>
          <w:u w:val="single"/>
        </w:rPr>
        <w:t>Arpan</w:t>
      </w:r>
      <w:r>
        <w:rPr>
          <w:rFonts w:ascii="Arial" w:eastAsia="Arial" w:hAnsi="Arial" w:cs="Arial"/>
          <w:color w:val="000000"/>
          <w:sz w:val="20"/>
        </w:rPr>
        <w:t>, 29 F.4th at 1282 (Jordan, J., concurring).</w:t>
      </w:r>
    </w:p>
    <w:p w:rsidR="00022B47" w:rsidRDefault="00000000">
      <w:pPr>
        <w:pStyle w:val="Normal17"/>
        <w:widowControl w:val="0"/>
        <w:spacing w:before="200" w:line="260" w:lineRule="atLeast"/>
        <w:jc w:val="both"/>
      </w:pPr>
      <w:bookmarkStart w:id="3347" w:name="Bookmark_para_47_5"/>
      <w:bookmarkStart w:id="3348" w:name="Bookmark_I66K8CDG28T4W60040000400"/>
      <w:bookmarkStart w:id="3349" w:name="Bookmark_I66K8CDG2N1RMP0010000400"/>
      <w:bookmarkEnd w:id="3347"/>
      <w:bookmarkEnd w:id="3348"/>
      <w:bookmarkEnd w:id="3349"/>
      <w:r>
        <w:rPr>
          <w:rFonts w:ascii="Arial" w:eastAsia="Arial" w:hAnsi="Arial" w:cs="Arial"/>
          <w:color w:val="000000"/>
          <w:sz w:val="20"/>
        </w:rPr>
        <w:t xml:space="preserve">The Tenth Circuit also thought that </w:t>
      </w:r>
      <w:bookmarkStart w:id="3350" w:name="Bookmark_I66K8CDG28T4W60030000400"/>
      <w:bookmarkEnd w:id="3350"/>
      <w:r>
        <w:rPr>
          <w:rFonts w:ascii="Arial" w:eastAsia="Arial" w:hAnsi="Arial" w:cs="Arial"/>
          <w:color w:val="000000"/>
          <w:sz w:val="20"/>
          <w:u w:val="single"/>
        </w:rPr>
        <w:t>Akins</w:t>
      </w:r>
      <w:r>
        <w:rPr>
          <w:rFonts w:ascii="Arial" w:eastAsia="Arial" w:hAnsi="Arial" w:cs="Arial"/>
          <w:color w:val="000000"/>
          <w:sz w:val="20"/>
        </w:rPr>
        <w:t xml:space="preserve"> and </w:t>
      </w:r>
      <w:r>
        <w:rPr>
          <w:rFonts w:ascii="Arial" w:eastAsia="Arial" w:hAnsi="Arial" w:cs="Arial"/>
          <w:color w:val="000000"/>
          <w:sz w:val="20"/>
          <w:u w:val="single"/>
        </w:rPr>
        <w:t>Public Citizen</w:t>
      </w:r>
      <w:r>
        <w:rPr>
          <w:rFonts w:ascii="Arial" w:eastAsia="Arial" w:hAnsi="Arial" w:cs="Arial"/>
          <w:color w:val="000000"/>
          <w:sz w:val="20"/>
        </w:rPr>
        <w:t xml:space="preserve"> made clear years ago that there needed to be a downstream consequence from the denial of information. </w:t>
      </w:r>
      <w:bookmarkStart w:id="3351" w:name="Bookmark_I66K8CDG2N1RMP0030000400"/>
      <w:bookmarkEnd w:id="3351"/>
      <w:r>
        <w:rPr>
          <w:rFonts w:ascii="Arial" w:eastAsia="Arial" w:hAnsi="Arial" w:cs="Arial"/>
          <w:color w:val="000000"/>
          <w:sz w:val="20"/>
          <w:u w:val="single"/>
        </w:rPr>
        <w:t xml:space="preserve">See </w:t>
      </w:r>
      <w:bookmarkStart w:id="3352" w:name="Bookmark_I66K8CDG28T4W60050000400"/>
      <w:bookmarkEnd w:id="3352"/>
      <w:r>
        <w:rPr>
          <w:rFonts w:ascii="Arial" w:eastAsia="Arial" w:hAnsi="Arial" w:cs="Arial"/>
          <w:color w:val="000000"/>
          <w:sz w:val="20"/>
          <w:u w:val="single"/>
        </w:rPr>
        <w:t>Looper</w:t>
      </w:r>
      <w:r>
        <w:rPr>
          <w:rFonts w:ascii="Arial" w:eastAsia="Arial" w:hAnsi="Arial" w:cs="Arial"/>
          <w:color w:val="000000"/>
          <w:sz w:val="20"/>
        </w:rPr>
        <w:t xml:space="preserve">, 22 F.4th at 881. </w:t>
      </w:r>
      <w:bookmarkStart w:id="3353" w:name="Bookmark_I66K8CDG2N1RMP0030000400_2"/>
      <w:bookmarkStart w:id="3354" w:name="Bookmark_I66K8CDG2SF7XP0020000400"/>
      <w:bookmarkEnd w:id="3353"/>
      <w:bookmarkEnd w:id="3354"/>
      <w:r>
        <w:rPr>
          <w:rFonts w:ascii="Arial" w:eastAsia="Arial" w:hAnsi="Arial" w:cs="Arial"/>
          <w:color w:val="000000"/>
          <w:sz w:val="20"/>
        </w:rPr>
        <w:t xml:space="preserve">True, the Court in both cases described what the plaintiffs wanted to do with the information they sought. </w:t>
      </w:r>
      <w:r>
        <w:rPr>
          <w:rFonts w:ascii="Arial" w:eastAsia="Arial" w:hAnsi="Arial" w:cs="Arial"/>
          <w:color w:val="000000"/>
          <w:sz w:val="20"/>
          <w:u w:val="single"/>
        </w:rPr>
        <w:t xml:space="preserve">See </w:t>
      </w:r>
      <w:bookmarkStart w:id="3355" w:name="Bookmark_I66K8CDG2N1RMP0020000400"/>
      <w:bookmarkEnd w:id="3355"/>
      <w:r>
        <w:rPr>
          <w:rFonts w:ascii="Arial" w:eastAsia="Arial" w:hAnsi="Arial" w:cs="Arial"/>
          <w:color w:val="000000"/>
          <w:sz w:val="20"/>
          <w:u w:val="single"/>
        </w:rPr>
        <w:t>Akins</w:t>
      </w:r>
      <w:r>
        <w:rPr>
          <w:rFonts w:ascii="Arial" w:eastAsia="Arial" w:hAnsi="Arial" w:cs="Arial"/>
          <w:color w:val="000000"/>
          <w:sz w:val="20"/>
        </w:rPr>
        <w:t xml:space="preserve">, 524 U.S. at 21 (noting the plaintiffs wanted to use the information "to evaluate candidates for public office" and "the role that [the organization]'s financial assistance might play in a specific election"); </w:t>
      </w:r>
      <w:bookmarkStart w:id="3356" w:name="Bookmark_I66K8CDG2N1RMP0040000400"/>
      <w:bookmarkEnd w:id="3356"/>
      <w:r>
        <w:rPr>
          <w:rFonts w:ascii="Arial" w:eastAsia="Arial" w:hAnsi="Arial" w:cs="Arial"/>
          <w:color w:val="000000"/>
          <w:sz w:val="20"/>
          <w:u w:val="single"/>
        </w:rPr>
        <w:t>Pub. Citizen</w:t>
      </w:r>
      <w:r>
        <w:rPr>
          <w:rFonts w:ascii="Arial" w:eastAsia="Arial" w:hAnsi="Arial" w:cs="Arial"/>
          <w:color w:val="000000"/>
          <w:sz w:val="20"/>
        </w:rPr>
        <w:t xml:space="preserve">, 491 U.S. at 449 (noting the plaintiff wanted to "monitor [the organization's] workings and participate more effectively in the judicial selection process"). </w:t>
      </w:r>
      <w:bookmarkStart w:id="3357" w:name="Bookmark_I66K8CDG2SF7XP0020000400_2"/>
      <w:bookmarkStart w:id="3358" w:name="Bookmark_I66K8CDG2HM6TC0010000400"/>
      <w:bookmarkEnd w:id="3357"/>
      <w:bookmarkEnd w:id="3358"/>
      <w:r>
        <w:rPr>
          <w:rFonts w:ascii="Arial" w:eastAsia="Arial" w:hAnsi="Arial" w:cs="Arial"/>
          <w:color w:val="000000"/>
          <w:sz w:val="20"/>
        </w:rPr>
        <w:t xml:space="preserve">But, for one thing, that doesn't show why </w:t>
      </w:r>
      <w:bookmarkStart w:id="3359" w:name="Bookmark_I66K8CDG2HM6TC0010000400_2"/>
      <w:bookmarkStart w:id="3360" w:name="Bookmark_I66K8CDG2SF7XP0020000400_3"/>
      <w:bookmarkStart w:id="3361" w:name="Bookmark_I66K8CDG2SF7XP0010000400"/>
      <w:bookmarkEnd w:id="3359"/>
      <w:bookmarkEnd w:id="3360"/>
      <w:bookmarkEnd w:id="3361"/>
      <w:r>
        <w:rPr>
          <w:rFonts w:ascii="Arial" w:eastAsia="Arial" w:hAnsi="Arial" w:cs="Arial"/>
          <w:color w:val="000000"/>
          <w:sz w:val="20"/>
          <w:u w:val="single"/>
        </w:rPr>
        <w:t>Havens Realty</w:t>
      </w:r>
      <w:bookmarkStart w:id="3362" w:name="Bookmark_I66K8CDG28T4W70020000400"/>
      <w:bookmarkEnd w:id="3362"/>
      <w:r>
        <w:rPr>
          <w:rFonts w:ascii="Arial" w:eastAsia="Arial" w:hAnsi="Arial" w:cs="Arial"/>
          <w:color w:val="000000"/>
          <w:sz w:val="20"/>
        </w:rPr>
        <w:t xml:space="preserve"> wouldn't still apply and give standing, since the Black tester plaintiff there wanted the information only to test the defendant's compliance with the law. </w:t>
      </w:r>
      <w:r>
        <w:rPr>
          <w:rFonts w:ascii="Arial" w:eastAsia="Arial" w:hAnsi="Arial" w:cs="Arial"/>
          <w:color w:val="000000"/>
          <w:sz w:val="20"/>
          <w:u w:val="single"/>
        </w:rPr>
        <w:t>See</w:t>
      </w:r>
      <w:r>
        <w:rPr>
          <w:rFonts w:ascii="Arial" w:eastAsia="Arial" w:hAnsi="Arial" w:cs="Arial"/>
          <w:color w:val="000000"/>
          <w:sz w:val="20"/>
        </w:rPr>
        <w:t xml:space="preserve"> </w:t>
      </w:r>
      <w:bookmarkStart w:id="3363" w:name="Bookmark_I66K8CDG2SF7XP0030000400"/>
      <w:bookmarkEnd w:id="3363"/>
      <w:r>
        <w:rPr>
          <w:rFonts w:ascii="Arial" w:eastAsia="Arial" w:hAnsi="Arial" w:cs="Arial"/>
          <w:color w:val="000000"/>
          <w:sz w:val="20"/>
        </w:rPr>
        <w:t xml:space="preserve">455 U.S. at 373-74. And, for another, it's hard to square with the Court's clear statement in </w:t>
      </w:r>
      <w:r>
        <w:rPr>
          <w:rFonts w:ascii="Arial" w:eastAsia="Arial" w:hAnsi="Arial" w:cs="Arial"/>
          <w:color w:val="000000"/>
          <w:sz w:val="20"/>
          <w:u w:val="single"/>
        </w:rPr>
        <w:t>Public Citizen</w:t>
      </w:r>
      <w:r>
        <w:rPr>
          <w:rFonts w:ascii="Arial" w:eastAsia="Arial" w:hAnsi="Arial" w:cs="Arial"/>
          <w:color w:val="000000"/>
          <w:sz w:val="20"/>
        </w:rPr>
        <w:t xml:space="preserve"> that the Court's "decisions interpreting [**25]  the Freedom of Information Act have never suggested that those requesting information under it need show more than that they sought and were denied specific agency records." </w:t>
      </w:r>
      <w:bookmarkStart w:id="3364" w:name="Bookmark_I66K8CDG2SF7XP0050000400"/>
      <w:bookmarkEnd w:id="3364"/>
      <w:r>
        <w:rPr>
          <w:rFonts w:ascii="Arial" w:eastAsia="Arial" w:hAnsi="Arial" w:cs="Arial"/>
          <w:color w:val="000000"/>
          <w:sz w:val="20"/>
        </w:rPr>
        <w:t xml:space="preserve">491 U.S. at 449; </w:t>
      </w:r>
      <w:r>
        <w:rPr>
          <w:rFonts w:ascii="Arial" w:eastAsia="Arial" w:hAnsi="Arial" w:cs="Arial"/>
          <w:color w:val="000000"/>
          <w:sz w:val="20"/>
          <w:u w:val="single"/>
        </w:rPr>
        <w:t xml:space="preserve">see also </w:t>
      </w:r>
      <w:bookmarkStart w:id="3365" w:name="Bookmark_I66K8CDG2HM6TC0020000400"/>
      <w:bookmarkEnd w:id="3365"/>
      <w:r>
        <w:rPr>
          <w:rFonts w:ascii="Arial" w:eastAsia="Arial" w:hAnsi="Arial" w:cs="Arial"/>
          <w:color w:val="000000"/>
          <w:sz w:val="20"/>
          <w:u w:val="single"/>
        </w:rPr>
        <w:t>Maloney</w:t>
      </w:r>
      <w:r>
        <w:rPr>
          <w:rFonts w:ascii="Arial" w:eastAsia="Arial" w:hAnsi="Arial" w:cs="Arial"/>
          <w:color w:val="000000"/>
          <w:sz w:val="20"/>
        </w:rPr>
        <w:t xml:space="preserve">, 984 F.3d at 60 (the D.C. Circuit holding that a FOIA "requester's circumstances -- why he wants the information, what he plans to do with it, what harm he suffered from the failure to disclose -- are irrelevant to his standing" (quoting </w:t>
      </w:r>
      <w:bookmarkStart w:id="3366" w:name="Bookmark_I66K8CDG2HM6TC0040000400"/>
      <w:bookmarkEnd w:id="3366"/>
      <w:r>
        <w:rPr>
          <w:rFonts w:ascii="Arial" w:eastAsia="Arial" w:hAnsi="Arial" w:cs="Arial"/>
          <w:color w:val="000000"/>
          <w:sz w:val="20"/>
          <w:u w:val="single"/>
        </w:rPr>
        <w:t>Zivotofsky</w:t>
      </w:r>
      <w:r>
        <w:rPr>
          <w:rFonts w:ascii="Arial" w:eastAsia="Arial" w:hAnsi="Arial" w:cs="Arial"/>
          <w:color w:val="000000"/>
          <w:sz w:val="20"/>
        </w:rPr>
        <w:t xml:space="preserve">, 444 F.3d at 617)). </w:t>
      </w:r>
      <w:bookmarkStart w:id="3367" w:name="Bookmark_I66K8CDG28T4W70020000400_2"/>
      <w:bookmarkStart w:id="3368" w:name="Bookmark_I66K8CDG28T4W70040000400"/>
      <w:bookmarkEnd w:id="3367"/>
      <w:bookmarkEnd w:id="3368"/>
      <w:r>
        <w:rPr>
          <w:rFonts w:ascii="Arial" w:eastAsia="Arial" w:hAnsi="Arial" w:cs="Arial"/>
          <w:color w:val="000000"/>
          <w:sz w:val="20"/>
        </w:rPr>
        <w:t xml:space="preserve">That the plaintiff had a reason it wanted the information then seems more a matter of factual context than a legal rule. Moreover, the Court recently reaffirmed that "the violation of a procedural right granted by statute can be sufficient in some circumstances" such that plaintiffs "need not allege any </w:t>
      </w:r>
      <w:r>
        <w:rPr>
          <w:rFonts w:ascii="Arial" w:eastAsia="Arial" w:hAnsi="Arial" w:cs="Arial"/>
          <w:color w:val="000000"/>
          <w:sz w:val="20"/>
          <w:u w:val="single"/>
        </w:rPr>
        <w:t>additional</w:t>
      </w:r>
      <w:r>
        <w:rPr>
          <w:rFonts w:ascii="Arial" w:eastAsia="Arial" w:hAnsi="Arial" w:cs="Arial"/>
          <w:color w:val="000000"/>
          <w:sz w:val="20"/>
        </w:rPr>
        <w:t xml:space="preserve"> harm beyond the one Congress has identified," specifically citing </w:t>
      </w:r>
      <w:bookmarkStart w:id="3369" w:name="Bookmark_I66K8CDG28T4W70040000400_2"/>
      <w:bookmarkStart w:id="3370" w:name="Bookmark_I66K8CDG28T4W70020000400_3"/>
      <w:bookmarkStart w:id="3371" w:name="Bookmark_I66K8CDG28T4W70010000400"/>
      <w:bookmarkEnd w:id="3369"/>
      <w:bookmarkEnd w:id="3370"/>
      <w:bookmarkEnd w:id="3371"/>
      <w:r>
        <w:rPr>
          <w:rFonts w:ascii="Arial" w:eastAsia="Arial" w:hAnsi="Arial" w:cs="Arial"/>
          <w:color w:val="000000"/>
          <w:sz w:val="20"/>
          <w:u w:val="single"/>
        </w:rPr>
        <w:t>Akins</w:t>
      </w:r>
      <w:bookmarkStart w:id="3372" w:name="Bookmark_I66K8CDG2D6NDY0010000400"/>
      <w:bookmarkEnd w:id="3372"/>
      <w:r>
        <w:rPr>
          <w:rFonts w:ascii="Arial" w:eastAsia="Arial" w:hAnsi="Arial" w:cs="Arial"/>
          <w:color w:val="000000"/>
          <w:sz w:val="20"/>
        </w:rPr>
        <w:t xml:space="preserve"> and </w:t>
      </w:r>
      <w:r>
        <w:rPr>
          <w:rFonts w:ascii="Arial" w:eastAsia="Arial" w:hAnsi="Arial" w:cs="Arial"/>
          <w:color w:val="000000"/>
          <w:sz w:val="20"/>
          <w:u w:val="single"/>
        </w:rPr>
        <w:t xml:space="preserve">Public Citizen. </w:t>
      </w:r>
      <w:bookmarkStart w:id="3373" w:name="Bookmark_I66K8CDG28T4W70030000400"/>
      <w:bookmarkEnd w:id="3373"/>
      <w:r>
        <w:rPr>
          <w:rFonts w:ascii="Arial" w:eastAsia="Arial" w:hAnsi="Arial" w:cs="Arial"/>
          <w:color w:val="000000"/>
          <w:sz w:val="20"/>
          <w:u w:val="single"/>
        </w:rPr>
        <w:t>Spokeo</w:t>
      </w:r>
      <w:r>
        <w:rPr>
          <w:rFonts w:ascii="Arial" w:eastAsia="Arial" w:hAnsi="Arial" w:cs="Arial"/>
          <w:color w:val="000000"/>
          <w:sz w:val="20"/>
        </w:rPr>
        <w:t xml:space="preserve">, 578 U.S. at 342. </w:t>
      </w:r>
      <w:bookmarkStart w:id="3374" w:name="Bookmark_I66K8CDG2D6NDY0010000400_2"/>
      <w:bookmarkEnd w:id="3374"/>
      <w:r>
        <w:rPr>
          <w:rFonts w:ascii="Arial" w:eastAsia="Arial" w:hAnsi="Arial" w:cs="Arial"/>
          <w:color w:val="000000"/>
          <w:sz w:val="20"/>
        </w:rPr>
        <w:t xml:space="preserve">And when giving its parenthetical explanations of </w:t>
      </w:r>
      <w:bookmarkStart w:id="3375" w:name="Bookmark_I66K8CDG2D6NDY0010000400_3"/>
      <w:bookmarkStart w:id="3376" w:name="Bookmark_I66K8CDG28T4W70050000400"/>
      <w:bookmarkEnd w:id="3375"/>
      <w:bookmarkEnd w:id="3376"/>
      <w:r>
        <w:rPr>
          <w:rFonts w:ascii="Arial" w:eastAsia="Arial" w:hAnsi="Arial" w:cs="Arial"/>
          <w:color w:val="000000"/>
          <w:sz w:val="20"/>
          <w:u w:val="single"/>
        </w:rPr>
        <w:t>Akins</w:t>
      </w:r>
      <w:r>
        <w:rPr>
          <w:rFonts w:ascii="Arial" w:eastAsia="Arial" w:hAnsi="Arial" w:cs="Arial"/>
          <w:color w:val="000000"/>
          <w:sz w:val="20"/>
        </w:rPr>
        <w:t xml:space="preserve"> and </w:t>
      </w:r>
      <w:r>
        <w:rPr>
          <w:rFonts w:ascii="Arial" w:eastAsia="Arial" w:hAnsi="Arial" w:cs="Arial"/>
          <w:color w:val="000000"/>
          <w:sz w:val="20"/>
          <w:u w:val="single"/>
        </w:rPr>
        <w:t>Public Citizen</w:t>
      </w:r>
      <w:r>
        <w:rPr>
          <w:rFonts w:ascii="Arial" w:eastAsia="Arial" w:hAnsi="Arial" w:cs="Arial"/>
          <w:color w:val="000000"/>
          <w:sz w:val="20"/>
        </w:rPr>
        <w:t xml:space="preserve">, the Court did not mention any of the "downstream effects" the plaintiffs in those cases may have suffered from the denial of information or their purpose for the information -- just that they were denied information a statute gave them the right to have. </w:t>
      </w:r>
      <w:r>
        <w:rPr>
          <w:rFonts w:ascii="Arial" w:eastAsia="Arial" w:hAnsi="Arial" w:cs="Arial"/>
          <w:color w:val="000000"/>
          <w:sz w:val="20"/>
          <w:u w:val="single"/>
        </w:rPr>
        <w:t>See id.</w:t>
      </w:r>
    </w:p>
    <w:p w:rsidR="00022B47" w:rsidRDefault="00000000">
      <w:pPr>
        <w:pStyle w:val="Normal17"/>
        <w:widowControl w:val="0"/>
        <w:spacing w:before="200" w:line="260" w:lineRule="atLeast"/>
        <w:jc w:val="both"/>
      </w:pPr>
      <w:bookmarkStart w:id="3377" w:name="Bookmark_para_48_5"/>
      <w:bookmarkStart w:id="3378" w:name="Bookmark_I66K8CDG2D6NDY0030000400"/>
      <w:bookmarkStart w:id="3379" w:name="Bookmark_I66K8CDG2D6NDY0050000400"/>
      <w:bookmarkEnd w:id="3377"/>
      <w:bookmarkEnd w:id="3378"/>
      <w:bookmarkEnd w:id="3379"/>
      <w:r>
        <w:rPr>
          <w:rFonts w:ascii="Arial" w:eastAsia="Arial" w:hAnsi="Arial" w:cs="Arial"/>
          <w:color w:val="000000"/>
          <w:sz w:val="20"/>
        </w:rPr>
        <w:t xml:space="preserve">We understand that our sibling circuits thought </w:t>
      </w:r>
      <w:bookmarkStart w:id="3380" w:name="Bookmark_I66K8CDG2D6NDY0020000400"/>
      <w:bookmarkEnd w:id="3380"/>
      <w:r>
        <w:rPr>
          <w:rFonts w:ascii="Arial" w:eastAsia="Arial" w:hAnsi="Arial" w:cs="Arial"/>
          <w:color w:val="000000"/>
          <w:sz w:val="20"/>
          <w:u w:val="single"/>
        </w:rPr>
        <w:t>Havens Realty</w:t>
      </w:r>
      <w:r>
        <w:rPr>
          <w:rFonts w:ascii="Arial" w:eastAsia="Arial" w:hAnsi="Arial" w:cs="Arial"/>
          <w:color w:val="000000"/>
          <w:sz w:val="20"/>
        </w:rPr>
        <w:t xml:space="preserve"> doesn't decide this case. But [**26]  we respectfully disagree. None  [*274]  has convincingly explained why </w:t>
      </w:r>
      <w:bookmarkStart w:id="3381" w:name="Bookmark_I66K8CDG2D6NDY0050000400_2"/>
      <w:bookmarkStart w:id="3382" w:name="Bookmark_I66K8CDG2D6NDY0030000400_2"/>
      <w:bookmarkStart w:id="3383" w:name="Bookmark_I66K8CDG2D6NDY0040000400"/>
      <w:bookmarkEnd w:id="3381"/>
      <w:bookmarkEnd w:id="3382"/>
      <w:bookmarkEnd w:id="3383"/>
      <w:r>
        <w:rPr>
          <w:rFonts w:ascii="Arial" w:eastAsia="Arial" w:hAnsi="Arial" w:cs="Arial"/>
          <w:color w:val="000000"/>
          <w:sz w:val="20"/>
          <w:u w:val="single"/>
        </w:rPr>
        <w:t>Havens Realty</w:t>
      </w:r>
      <w:r>
        <w:rPr>
          <w:rFonts w:ascii="Arial" w:eastAsia="Arial" w:hAnsi="Arial" w:cs="Arial"/>
          <w:color w:val="000000"/>
          <w:sz w:val="20"/>
        </w:rPr>
        <w:t xml:space="preserve"> can't illuminate the path to decision.</w:t>
      </w:r>
      <w:r>
        <w:rPr>
          <w:rFonts w:ascii="Arial" w:eastAsia="Arial" w:hAnsi="Arial" w:cs="Arial"/>
          <w:vertAlign w:val="superscript"/>
        </w:rPr>
        <w:footnoteReference w:customMarkFollows="1" w:id="68"/>
        <w:t>6</w:t>
      </w:r>
    </w:p>
    <w:p w:rsidR="00022B47" w:rsidRDefault="00000000">
      <w:pPr>
        <w:pStyle w:val="Normal17"/>
        <w:widowControl w:val="0"/>
        <w:spacing w:before="240" w:line="260" w:lineRule="atLeast"/>
      </w:pPr>
      <w:r>
        <w:br/>
      </w:r>
      <w:r>
        <w:rPr>
          <w:rFonts w:ascii="Arial" w:eastAsia="Arial" w:hAnsi="Arial" w:cs="Arial"/>
          <w:b/>
          <w:color w:val="000000"/>
          <w:sz w:val="20"/>
        </w:rPr>
        <w:t>d</w:t>
      </w:r>
      <w:r>
        <w:rPr>
          <w:rFonts w:ascii="Arial" w:eastAsia="Arial" w:hAnsi="Arial" w:cs="Arial"/>
          <w:color w:val="000000"/>
          <w:sz w:val="20"/>
        </w:rPr>
        <w:t>.</w:t>
      </w:r>
    </w:p>
    <w:p w:rsidR="00022B47" w:rsidRDefault="00000000">
      <w:pPr>
        <w:pStyle w:val="Normal17"/>
        <w:widowControl w:val="0"/>
        <w:spacing w:before="200" w:line="260" w:lineRule="atLeast"/>
        <w:jc w:val="both"/>
      </w:pPr>
      <w:bookmarkStart w:id="3391" w:name="Bookmark_para_49_5"/>
      <w:bookmarkStart w:id="3392" w:name="Bookmark_I66K8CDG2N1RMT0050000400"/>
      <w:bookmarkStart w:id="3393" w:name="Bookmark_I66K8CDG2D6NF70020000400"/>
      <w:bookmarkEnd w:id="3391"/>
      <w:bookmarkEnd w:id="3392"/>
      <w:bookmarkEnd w:id="3393"/>
      <w:r>
        <w:rPr>
          <w:rFonts w:ascii="Arial" w:eastAsia="Arial" w:hAnsi="Arial" w:cs="Arial"/>
          <w:color w:val="000000"/>
          <w:sz w:val="20"/>
        </w:rPr>
        <w:t xml:space="preserve">What's more, Laufer suffered a concrete injury in fact even if </w:t>
      </w:r>
      <w:bookmarkStart w:id="3394" w:name="Bookmark_I66K8CDG2N1RMT0040000400"/>
      <w:bookmarkEnd w:id="3394"/>
      <w:r>
        <w:rPr>
          <w:rFonts w:ascii="Arial" w:eastAsia="Arial" w:hAnsi="Arial" w:cs="Arial"/>
          <w:color w:val="000000"/>
          <w:sz w:val="20"/>
          <w:u w:val="single"/>
        </w:rPr>
        <w:t>TransUnion</w:t>
      </w:r>
      <w:r>
        <w:rPr>
          <w:rFonts w:ascii="Arial" w:eastAsia="Arial" w:hAnsi="Arial" w:cs="Arial"/>
          <w:color w:val="000000"/>
          <w:sz w:val="20"/>
        </w:rPr>
        <w:t xml:space="preserve"> ushered in a new era of informational injury. </w:t>
      </w:r>
      <w:bookmarkStart w:id="3395" w:name="Bookmark_I66K8CDG2HM6TP0030000400"/>
      <w:bookmarkStart w:id="3396" w:name="Bookmark_I66K8CDG2D6NF70020000400_2"/>
      <w:bookmarkStart w:id="3397" w:name="Bookmark_I66K8CDG2N1RMT0050000400_2"/>
      <w:bookmarkStart w:id="3398" w:name="Bookmark_I66K8CDG2D6NF70010000400"/>
      <w:bookmarkEnd w:id="3395"/>
      <w:bookmarkEnd w:id="3396"/>
      <w:bookmarkEnd w:id="3397"/>
      <w:bookmarkEnd w:id="3398"/>
      <w:r>
        <w:rPr>
          <w:rFonts w:ascii="Arial" w:eastAsia="Arial" w:hAnsi="Arial" w:cs="Arial"/>
          <w:color w:val="000000"/>
          <w:sz w:val="20"/>
          <w:u w:val="single"/>
        </w:rPr>
        <w:t>TransUnion</w:t>
      </w:r>
      <w:r>
        <w:rPr>
          <w:rFonts w:ascii="Arial" w:eastAsia="Arial" w:hAnsi="Arial" w:cs="Arial"/>
          <w:color w:val="000000"/>
          <w:sz w:val="20"/>
        </w:rPr>
        <w:t xml:space="preserve"> </w:t>
      </w:r>
      <w:bookmarkStart w:id="3399" w:name="Bookmark_LNHNREFclscc20_0"/>
      <w:bookmarkEnd w:id="3399"/>
      <w:r>
        <w:rPr>
          <w:rFonts w:ascii="Arial" w:eastAsia="Arial" w:hAnsi="Arial" w:cs="Arial"/>
          <w:color w:val="000000"/>
          <w:sz w:val="20"/>
        </w:rPr>
        <w:t xml:space="preserve">says that informational injuries need to "cause[] . . . adverse effects" to satisfy Article III. </w:t>
      </w:r>
      <w:bookmarkStart w:id="3400" w:name="Bookmark_I66K8CDG2D6NF70030000400"/>
      <w:bookmarkEnd w:id="3400"/>
      <w:r>
        <w:rPr>
          <w:rFonts w:ascii="Arial" w:eastAsia="Arial" w:hAnsi="Arial" w:cs="Arial"/>
          <w:color w:val="000000"/>
          <w:sz w:val="20"/>
        </w:rPr>
        <w:t xml:space="preserve">141 S. Ct. at 2214 (quoting </w:t>
      </w:r>
      <w:bookmarkStart w:id="3401" w:name="Bookmark_I66K8CDG2D6NF70050000400"/>
      <w:bookmarkEnd w:id="3401"/>
      <w:r>
        <w:rPr>
          <w:rFonts w:ascii="Arial" w:eastAsia="Arial" w:hAnsi="Arial" w:cs="Arial"/>
          <w:color w:val="000000"/>
          <w:sz w:val="20"/>
          <w:u w:val="single"/>
        </w:rPr>
        <w:t>Trichell</w:t>
      </w:r>
      <w:r>
        <w:rPr>
          <w:rFonts w:ascii="Arial" w:eastAsia="Arial" w:hAnsi="Arial" w:cs="Arial"/>
          <w:color w:val="000000"/>
          <w:sz w:val="20"/>
        </w:rPr>
        <w:t xml:space="preserve">, 964 F.3d at 1004). </w:t>
      </w:r>
      <w:bookmarkStart w:id="3402" w:name="Bookmark_I66K8CDG2HM6TP0050000400"/>
      <w:bookmarkEnd w:id="3402"/>
      <w:r>
        <w:rPr>
          <w:rFonts w:ascii="Arial" w:eastAsia="Arial" w:hAnsi="Arial" w:cs="Arial"/>
          <w:color w:val="000000"/>
          <w:sz w:val="20"/>
        </w:rPr>
        <w:t xml:space="preserve">One could read the informational injury to the Black tester plaintiff in </w:t>
      </w:r>
      <w:bookmarkStart w:id="3403" w:name="Bookmark_I66K8CDG2HM6TP0050000400_2"/>
      <w:bookmarkStart w:id="3404" w:name="Bookmark_I66K8CDG2HM6TP0030000400_2"/>
      <w:bookmarkStart w:id="3405" w:name="Bookmark_I66K8CDG2HM6TP0020000400"/>
      <w:bookmarkEnd w:id="3403"/>
      <w:bookmarkEnd w:id="3404"/>
      <w:bookmarkEnd w:id="3405"/>
      <w:r>
        <w:rPr>
          <w:rFonts w:ascii="Arial" w:eastAsia="Arial" w:hAnsi="Arial" w:cs="Arial"/>
          <w:color w:val="000000"/>
          <w:sz w:val="20"/>
          <w:u w:val="single"/>
        </w:rPr>
        <w:t>Havens Realty</w:t>
      </w:r>
      <w:r>
        <w:rPr>
          <w:rFonts w:ascii="Arial" w:eastAsia="Arial" w:hAnsi="Arial" w:cs="Arial"/>
          <w:color w:val="000000"/>
          <w:sz w:val="20"/>
        </w:rPr>
        <w:t xml:space="preserve"> as doing so: She was discriminated against in violation of the law. </w:t>
      </w:r>
      <w:bookmarkStart w:id="3406" w:name="Bookmark_LNHNREFclscc21_0"/>
      <w:bookmarkEnd w:id="3406"/>
      <w:r>
        <w:rPr>
          <w:rFonts w:ascii="Arial" w:eastAsia="Arial" w:hAnsi="Arial" w:cs="Arial"/>
          <w:color w:val="000000"/>
          <w:sz w:val="20"/>
        </w:rPr>
        <w:t xml:space="preserve">Dignitary harm or stigmatic injuries caused by discrimination have long been held a concrete injury in fact, even without informational injury. </w:t>
      </w:r>
      <w:bookmarkStart w:id="3407" w:name="Bookmark_I66K8CDG2SF7Y60010000400"/>
      <w:bookmarkEnd w:id="3407"/>
      <w:r>
        <w:rPr>
          <w:rFonts w:ascii="Arial" w:eastAsia="Arial" w:hAnsi="Arial" w:cs="Arial"/>
          <w:color w:val="000000"/>
          <w:sz w:val="20"/>
          <w:u w:val="single"/>
        </w:rPr>
        <w:t xml:space="preserve">See </w:t>
      </w:r>
      <w:bookmarkStart w:id="3408" w:name="Bookmark_I66K8CDG2HM6TP0040000400"/>
      <w:bookmarkEnd w:id="3408"/>
      <w:r>
        <w:rPr>
          <w:rFonts w:ascii="Arial" w:eastAsia="Arial" w:hAnsi="Arial" w:cs="Arial"/>
          <w:color w:val="000000"/>
          <w:sz w:val="20"/>
          <w:u w:val="single"/>
        </w:rPr>
        <w:t>Heckler v. Mathews</w:t>
      </w:r>
      <w:r>
        <w:rPr>
          <w:rFonts w:ascii="Arial" w:eastAsia="Arial" w:hAnsi="Arial" w:cs="Arial"/>
          <w:color w:val="000000"/>
          <w:sz w:val="20"/>
        </w:rPr>
        <w:t xml:space="preserve">, 465 U.S. 728, 738-40, 104 S. Ct. 1387, 79 L. Ed. 2d 646 (1984); </w:t>
      </w:r>
      <w:r>
        <w:rPr>
          <w:rFonts w:ascii="Arial" w:eastAsia="Arial" w:hAnsi="Arial" w:cs="Arial"/>
          <w:color w:val="000000"/>
          <w:sz w:val="20"/>
          <w:u w:val="single"/>
        </w:rPr>
        <w:t xml:space="preserve">see also </w:t>
      </w:r>
      <w:bookmarkStart w:id="3409" w:name="Bookmark_I66K8CDG2SF7Y30010000400"/>
      <w:bookmarkEnd w:id="3409"/>
      <w:r>
        <w:rPr>
          <w:rFonts w:ascii="Arial" w:eastAsia="Arial" w:hAnsi="Arial" w:cs="Arial"/>
          <w:color w:val="000000"/>
          <w:sz w:val="20"/>
          <w:u w:val="single"/>
        </w:rPr>
        <w:t>Allen</w:t>
      </w:r>
      <w:r>
        <w:rPr>
          <w:rFonts w:ascii="Arial" w:eastAsia="Arial" w:hAnsi="Arial" w:cs="Arial"/>
          <w:color w:val="000000"/>
          <w:sz w:val="20"/>
        </w:rPr>
        <w:t xml:space="preserve">, 468 U.S. at 755 (individuals personally denied equal treatment under the law can have standing); </w:t>
      </w:r>
      <w:bookmarkStart w:id="3410" w:name="Bookmark_I66K8CDG2SF7Y30030000400"/>
      <w:bookmarkEnd w:id="3410"/>
      <w:r>
        <w:rPr>
          <w:rFonts w:ascii="Arial" w:eastAsia="Arial" w:hAnsi="Arial" w:cs="Arial"/>
          <w:color w:val="000000"/>
          <w:sz w:val="20"/>
          <w:u w:val="single"/>
        </w:rPr>
        <w:t>Carello v. Aurora Policemen Credit Union</w:t>
      </w:r>
      <w:r>
        <w:rPr>
          <w:rFonts w:ascii="Arial" w:eastAsia="Arial" w:hAnsi="Arial" w:cs="Arial"/>
          <w:color w:val="000000"/>
          <w:sz w:val="20"/>
        </w:rPr>
        <w:t xml:space="preserve">, 930 F.3d 830, 833-34 (7th Cir. 2019) (Barrett, J.) </w:t>
      </w:r>
      <w:bookmarkStart w:id="3411" w:name="Bookmark_I66K8CDG2SF7Y60010000400_2"/>
      <w:bookmarkStart w:id="3412" w:name="Bookmark_I66K8CDG2SF7Y60030000400"/>
      <w:bookmarkEnd w:id="3411"/>
      <w:bookmarkEnd w:id="3412"/>
      <w:r>
        <w:rPr>
          <w:rFonts w:ascii="Arial" w:eastAsia="Arial" w:hAnsi="Arial" w:cs="Arial"/>
          <w:color w:val="000000"/>
          <w:sz w:val="20"/>
        </w:rPr>
        <w:t xml:space="preserve">("There is no doubt that dignitary harm is cognizable; stigmatic injury is 'one of the most serious consequences' of discrimination." (citation omitted)). "[D]iscrimination itself, by perpetuating 'archaic and stereotypic notions' or by stigmatizing members of the disfavored group as 'innately inferior' and therefore as less worthy participants in the political community, can cause serious noneconomic injuries to those persons who are personally denied equal treatment solely [**27]  because of their membership in a disfavored group." </w:t>
      </w:r>
      <w:bookmarkStart w:id="3413" w:name="Bookmark_I66K8CDG2SF7Y30050000400"/>
      <w:bookmarkEnd w:id="3413"/>
      <w:r>
        <w:rPr>
          <w:rFonts w:ascii="Arial" w:eastAsia="Arial" w:hAnsi="Arial" w:cs="Arial"/>
          <w:color w:val="000000"/>
          <w:sz w:val="20"/>
          <w:u w:val="single"/>
        </w:rPr>
        <w:t>Heckler</w:t>
      </w:r>
      <w:r>
        <w:rPr>
          <w:rFonts w:ascii="Arial" w:eastAsia="Arial" w:hAnsi="Arial" w:cs="Arial"/>
          <w:color w:val="000000"/>
          <w:sz w:val="20"/>
        </w:rPr>
        <w:t xml:space="preserve">, 465 U.S. at 739-40 (citation omitted). </w:t>
      </w:r>
      <w:bookmarkStart w:id="3414" w:name="Bookmark_I66K8CDG2SF7Y60030000400_2"/>
      <w:bookmarkEnd w:id="3414"/>
      <w:r>
        <w:rPr>
          <w:rFonts w:ascii="Arial" w:eastAsia="Arial" w:hAnsi="Arial" w:cs="Arial"/>
          <w:color w:val="000000"/>
          <w:sz w:val="20"/>
        </w:rPr>
        <w:t xml:space="preserve">Indeed, </w:t>
      </w:r>
      <w:bookmarkStart w:id="3415" w:name="Bookmark_I66K8CDG2SF7Y60030000400_3"/>
      <w:bookmarkStart w:id="3416" w:name="Bookmark_I66K8CDG2SF7Y60020000400"/>
      <w:bookmarkEnd w:id="3415"/>
      <w:bookmarkEnd w:id="3416"/>
      <w:r>
        <w:rPr>
          <w:rFonts w:ascii="Arial" w:eastAsia="Arial" w:hAnsi="Arial" w:cs="Arial"/>
          <w:color w:val="000000"/>
          <w:sz w:val="20"/>
          <w:u w:val="single"/>
        </w:rPr>
        <w:t>TransUnion</w:t>
      </w:r>
      <w:r>
        <w:rPr>
          <w:rFonts w:ascii="Arial" w:eastAsia="Arial" w:hAnsi="Arial" w:cs="Arial"/>
          <w:color w:val="000000"/>
          <w:sz w:val="20"/>
        </w:rPr>
        <w:t xml:space="preserve"> itself cited </w:t>
      </w:r>
      <w:bookmarkStart w:id="3417" w:name="Bookmark_I66K8CDG2SF7Y60040000400"/>
      <w:bookmarkEnd w:id="3417"/>
      <w:r>
        <w:rPr>
          <w:rFonts w:ascii="Arial" w:eastAsia="Arial" w:hAnsi="Arial" w:cs="Arial"/>
          <w:color w:val="000000"/>
          <w:sz w:val="20"/>
          <w:u w:val="single"/>
        </w:rPr>
        <w:t>Allen</w:t>
      </w:r>
      <w:r>
        <w:rPr>
          <w:rFonts w:ascii="Arial" w:eastAsia="Arial" w:hAnsi="Arial" w:cs="Arial"/>
          <w:color w:val="000000"/>
          <w:sz w:val="20"/>
        </w:rPr>
        <w:t xml:space="preserve"> and "discriminatory treatment" as an example of "concrete, </w:t>
      </w:r>
      <w:r>
        <w:rPr>
          <w:rFonts w:ascii="Arial" w:eastAsia="Arial" w:hAnsi="Arial" w:cs="Arial"/>
          <w:color w:val="000000"/>
          <w:sz w:val="20"/>
          <w:u w:val="single"/>
        </w:rPr>
        <w:t>de facto</w:t>
      </w:r>
      <w:r>
        <w:rPr>
          <w:rFonts w:ascii="Arial" w:eastAsia="Arial" w:hAnsi="Arial" w:cs="Arial"/>
          <w:color w:val="000000"/>
          <w:sz w:val="20"/>
        </w:rPr>
        <w:t xml:space="preserve"> injuries that were previously inadequate at law" that "Congress may 'elevate to the status of legally cognizable injuries.'" </w:t>
      </w:r>
      <w:bookmarkStart w:id="3418" w:name="Bookmark_I66K8CDG2HM6TW0010000400"/>
      <w:bookmarkEnd w:id="3418"/>
      <w:r>
        <w:rPr>
          <w:rFonts w:ascii="Arial" w:eastAsia="Arial" w:hAnsi="Arial" w:cs="Arial"/>
          <w:color w:val="000000"/>
          <w:sz w:val="20"/>
        </w:rPr>
        <w:t xml:space="preserve">141 S. Ct. at 2204-05 (quoting </w:t>
      </w:r>
      <w:bookmarkStart w:id="3419" w:name="Bookmark_I66K8CDG2HM6TW0030000400"/>
      <w:bookmarkEnd w:id="3419"/>
      <w:r>
        <w:rPr>
          <w:rFonts w:ascii="Arial" w:eastAsia="Arial" w:hAnsi="Arial" w:cs="Arial"/>
          <w:color w:val="000000"/>
          <w:sz w:val="20"/>
          <w:u w:val="single"/>
        </w:rPr>
        <w:t>Spokeo</w:t>
      </w:r>
      <w:r>
        <w:rPr>
          <w:rFonts w:ascii="Arial" w:eastAsia="Arial" w:hAnsi="Arial" w:cs="Arial"/>
          <w:color w:val="000000"/>
          <w:sz w:val="20"/>
        </w:rPr>
        <w:t>, 578 U.S. at 341).</w:t>
      </w:r>
    </w:p>
    <w:p w:rsidR="00022B47" w:rsidRDefault="00000000">
      <w:pPr>
        <w:pStyle w:val="Normal17"/>
        <w:widowControl w:val="0"/>
        <w:spacing w:before="200" w:line="260" w:lineRule="atLeast"/>
        <w:jc w:val="both"/>
      </w:pPr>
      <w:bookmarkStart w:id="3420" w:name="Bookmark_para_50_5"/>
      <w:bookmarkStart w:id="3421" w:name="Bookmark_I66K8CDG28T4WT0010000400"/>
      <w:bookmarkEnd w:id="3420"/>
      <w:bookmarkEnd w:id="3421"/>
      <w:r>
        <w:rPr>
          <w:rFonts w:ascii="Arial" w:eastAsia="Arial" w:hAnsi="Arial" w:cs="Arial"/>
          <w:color w:val="000000"/>
          <w:sz w:val="20"/>
        </w:rPr>
        <w:t xml:space="preserve">Laufer alleges she suffered "frustration and humiliation" when Acheson's reservation portals didn't give her adequate information about whether she could take advantage of the accommodations. Without that information, Laufer is put on unequal footing to experience the world in the same way as those who do not have disabilities. </w:t>
      </w:r>
      <w:bookmarkStart w:id="3422" w:name="Bookmark_I66K8CDG28T4WT0030000400"/>
      <w:bookmarkEnd w:id="3422"/>
      <w:r>
        <w:rPr>
          <w:rFonts w:ascii="Arial" w:eastAsia="Arial" w:hAnsi="Arial" w:cs="Arial"/>
          <w:color w:val="000000"/>
          <w:sz w:val="20"/>
        </w:rPr>
        <w:t xml:space="preserve">She alleges that the "discriminatory conditions" on Acheson's website contribute to her "sense of segregation and isolation" and deprive her of "full and equal enjoyment of the goods, services, facilities, and/or accommodations available to the general public." </w:t>
      </w:r>
      <w:bookmarkStart w:id="3423" w:name="Bookmark_LNHNREFclscc22"/>
      <w:bookmarkEnd w:id="3423"/>
      <w:r>
        <w:rPr>
          <w:rFonts w:ascii="Arial" w:eastAsia="Arial" w:hAnsi="Arial" w:cs="Arial"/>
          <w:color w:val="000000"/>
          <w:sz w:val="20"/>
        </w:rPr>
        <w:t xml:space="preserve">Avoiding that was part of the point of the ADA -- the Act "is a measure expected to advance equal-citizenship stature for persons with disabilities" by aiming to "guarantee a baseline of equal citizenship by protecting against stigma and systematic exclusion from public and private opportunities." </w:t>
      </w:r>
      <w:bookmarkStart w:id="3424" w:name="Bookmark_I66K8CDG2HM6TW0050000400"/>
      <w:bookmarkEnd w:id="3424"/>
      <w:r>
        <w:rPr>
          <w:rFonts w:ascii="Arial" w:eastAsia="Arial" w:hAnsi="Arial" w:cs="Arial"/>
          <w:color w:val="000000"/>
          <w:sz w:val="20"/>
          <w:u w:val="single"/>
        </w:rPr>
        <w:t>Lane</w:t>
      </w:r>
      <w:r>
        <w:rPr>
          <w:rFonts w:ascii="Arial" w:eastAsia="Arial" w:hAnsi="Arial" w:cs="Arial"/>
          <w:color w:val="000000"/>
          <w:sz w:val="20"/>
        </w:rPr>
        <w:t xml:space="preserve">, 541  [*275]  U.S. at 536 (Ginsburg, [**28]  J., concurring) (cleaned up). </w:t>
      </w:r>
      <w:bookmarkStart w:id="3425" w:name="Bookmark_I66K8CDG28T4WT0030000400_2"/>
      <w:bookmarkEnd w:id="3425"/>
      <w:r>
        <w:rPr>
          <w:rFonts w:ascii="Arial" w:eastAsia="Arial" w:hAnsi="Arial" w:cs="Arial"/>
          <w:color w:val="000000"/>
          <w:sz w:val="20"/>
        </w:rPr>
        <w:t xml:space="preserve">In a similar case, the Eleventh Circuit found that this harm alleged by Laufer was sufficient stigmatic injury to give rise to Article III standing. </w:t>
      </w:r>
      <w:bookmarkStart w:id="3426" w:name="Bookmark_I66K8CDG28T4WT0050000400"/>
      <w:bookmarkStart w:id="3427" w:name="Bookmark_I66K8CDG28T4WT0020000400"/>
      <w:bookmarkEnd w:id="3426"/>
      <w:bookmarkEnd w:id="3427"/>
      <w:r>
        <w:rPr>
          <w:rFonts w:ascii="Arial" w:eastAsia="Arial" w:hAnsi="Arial" w:cs="Arial"/>
          <w:color w:val="000000"/>
          <w:sz w:val="20"/>
          <w:u w:val="single"/>
        </w:rPr>
        <w:t>Arpan</w:t>
      </w:r>
      <w:r>
        <w:rPr>
          <w:rFonts w:ascii="Arial" w:eastAsia="Arial" w:hAnsi="Arial" w:cs="Arial"/>
          <w:color w:val="000000"/>
          <w:sz w:val="20"/>
        </w:rPr>
        <w:t xml:space="preserve">, 29 F.4th at 1274. </w:t>
      </w:r>
      <w:bookmarkStart w:id="3428" w:name="Bookmark_I66K8CDG28T4WT0050000400_2"/>
      <w:bookmarkStart w:id="3429" w:name="Bookmark_I66K8CDG2D6NFF0020000400"/>
      <w:bookmarkEnd w:id="3428"/>
      <w:bookmarkEnd w:id="3429"/>
      <w:r>
        <w:rPr>
          <w:rFonts w:ascii="Arial" w:eastAsia="Arial" w:hAnsi="Arial" w:cs="Arial"/>
          <w:color w:val="000000"/>
          <w:sz w:val="20"/>
        </w:rPr>
        <w:t xml:space="preserve">We need not decide that exact issue here. Rather, we find that Laufer's feelings of frustration, humiliation, and second-class citizenry are indeed "downstream consequences" and "adverse effects" of the informational injury she experienced. </w:t>
      </w:r>
      <w:r>
        <w:rPr>
          <w:rFonts w:ascii="Arial" w:eastAsia="Arial" w:hAnsi="Arial" w:cs="Arial"/>
          <w:color w:val="000000"/>
          <w:sz w:val="20"/>
          <w:u w:val="single"/>
        </w:rPr>
        <w:t xml:space="preserve">See </w:t>
      </w:r>
      <w:bookmarkStart w:id="3430" w:name="Bookmark_I66K8CDG28T4WT0040000400"/>
      <w:bookmarkEnd w:id="3430"/>
      <w:r>
        <w:rPr>
          <w:rFonts w:ascii="Arial" w:eastAsia="Arial" w:hAnsi="Arial" w:cs="Arial"/>
          <w:color w:val="000000"/>
          <w:sz w:val="20"/>
          <w:u w:val="single"/>
        </w:rPr>
        <w:t>TransUnion</w:t>
      </w:r>
      <w:r>
        <w:rPr>
          <w:rFonts w:ascii="Arial" w:eastAsia="Arial" w:hAnsi="Arial" w:cs="Arial"/>
          <w:color w:val="000000"/>
          <w:sz w:val="20"/>
        </w:rPr>
        <w:t xml:space="preserve">, 141 S. Ct. at 2214. </w:t>
      </w:r>
      <w:bookmarkStart w:id="3431" w:name="Bookmark_I66K8CDG2D6NFF0020000400_2"/>
      <w:bookmarkEnd w:id="3431"/>
      <w:r>
        <w:rPr>
          <w:rFonts w:ascii="Arial" w:eastAsia="Arial" w:hAnsi="Arial" w:cs="Arial"/>
          <w:color w:val="000000"/>
          <w:sz w:val="20"/>
        </w:rPr>
        <w:t>So even if post-</w:t>
      </w:r>
      <w:bookmarkStart w:id="3432" w:name="Bookmark_I66K8CDG2D6NFF0020000400_3"/>
      <w:bookmarkStart w:id="3433" w:name="Bookmark_I66K8CDG2D6NFF0010000400"/>
      <w:bookmarkEnd w:id="3432"/>
      <w:bookmarkEnd w:id="3433"/>
      <w:r>
        <w:rPr>
          <w:rFonts w:ascii="Arial" w:eastAsia="Arial" w:hAnsi="Arial" w:cs="Arial"/>
          <w:color w:val="000000"/>
          <w:sz w:val="20"/>
          <w:u w:val="single"/>
        </w:rPr>
        <w:t>TransUnion</w:t>
      </w:r>
      <w:r>
        <w:rPr>
          <w:rFonts w:ascii="Arial" w:eastAsia="Arial" w:hAnsi="Arial" w:cs="Arial"/>
          <w:color w:val="000000"/>
          <w:sz w:val="20"/>
        </w:rPr>
        <w:t xml:space="preserve"> a plaintiff in the same shoes as the Black tester plaintiff in </w:t>
      </w:r>
      <w:bookmarkStart w:id="3434" w:name="Bookmark_I66K8CDG2D6NFF0030000400"/>
      <w:bookmarkEnd w:id="3434"/>
      <w:r>
        <w:rPr>
          <w:rFonts w:ascii="Arial" w:eastAsia="Arial" w:hAnsi="Arial" w:cs="Arial"/>
          <w:color w:val="000000"/>
          <w:sz w:val="20"/>
          <w:u w:val="single"/>
        </w:rPr>
        <w:t>Havens Realty</w:t>
      </w:r>
      <w:r>
        <w:rPr>
          <w:rFonts w:ascii="Arial" w:eastAsia="Arial" w:hAnsi="Arial" w:cs="Arial"/>
          <w:color w:val="000000"/>
          <w:sz w:val="20"/>
        </w:rPr>
        <w:t xml:space="preserve"> must show some "additional harm" from the denial of information to demonstrate a concrete injury, Laufer still meets that newly set bar.</w:t>
      </w:r>
    </w:p>
    <w:p w:rsidR="00022B47" w:rsidRDefault="00000000">
      <w:pPr>
        <w:pStyle w:val="Normal17"/>
        <w:widowControl w:val="0"/>
        <w:spacing w:before="240" w:line="260" w:lineRule="atLeast"/>
      </w:pPr>
      <w:r>
        <w:br/>
      </w:r>
      <w:r>
        <w:rPr>
          <w:rFonts w:ascii="Arial" w:eastAsia="Arial" w:hAnsi="Arial" w:cs="Arial"/>
          <w:b/>
          <w:color w:val="000000"/>
          <w:sz w:val="20"/>
        </w:rPr>
        <w:t>D</w:t>
      </w:r>
      <w:r>
        <w:rPr>
          <w:rFonts w:ascii="Arial" w:eastAsia="Arial" w:hAnsi="Arial" w:cs="Arial"/>
          <w:color w:val="000000"/>
          <w:sz w:val="20"/>
        </w:rPr>
        <w:t>.</w:t>
      </w:r>
    </w:p>
    <w:p w:rsidR="00022B47" w:rsidRDefault="00000000">
      <w:pPr>
        <w:pStyle w:val="Normal17"/>
        <w:widowControl w:val="0"/>
        <w:spacing w:before="200" w:line="260" w:lineRule="atLeast"/>
        <w:jc w:val="both"/>
      </w:pPr>
      <w:bookmarkStart w:id="3435" w:name="Bookmark_para_51_5"/>
      <w:bookmarkStart w:id="3436" w:name="Bookmark_I66K8CDH2SF7Y70010000400"/>
      <w:bookmarkStart w:id="3437" w:name="Bookmark_I66K8CDH2SF7Y70030000400"/>
      <w:bookmarkEnd w:id="3435"/>
      <w:bookmarkEnd w:id="3436"/>
      <w:bookmarkEnd w:id="3437"/>
      <w:r>
        <w:rPr>
          <w:rFonts w:ascii="Arial" w:eastAsia="Arial" w:hAnsi="Arial" w:cs="Arial"/>
          <w:color w:val="000000"/>
          <w:sz w:val="20"/>
        </w:rPr>
        <w:t xml:space="preserve">Pulling out all the stops, Acheson also contends that Laufer's injury is not particularized. </w:t>
      </w:r>
      <w:bookmarkStart w:id="3438" w:name="Bookmark_LNHNREFclscc23"/>
      <w:bookmarkEnd w:id="3438"/>
      <w:r>
        <w:rPr>
          <w:rFonts w:ascii="Arial" w:eastAsia="Arial" w:hAnsi="Arial" w:cs="Arial"/>
          <w:color w:val="000000"/>
          <w:sz w:val="20"/>
        </w:rPr>
        <w:t xml:space="preserve">On top of being concrete, the plaintiff's injury must be particularized to show injury in fact. </w:t>
      </w:r>
      <w:bookmarkStart w:id="3439" w:name="Bookmark_I66K8CDG2D6NFF0050000400"/>
      <w:bookmarkEnd w:id="3439"/>
      <w:r>
        <w:rPr>
          <w:rFonts w:ascii="Arial" w:eastAsia="Arial" w:hAnsi="Arial" w:cs="Arial"/>
          <w:color w:val="000000"/>
          <w:sz w:val="20"/>
          <w:u w:val="single"/>
        </w:rPr>
        <w:t>Amrhein</w:t>
      </w:r>
      <w:r>
        <w:rPr>
          <w:rFonts w:ascii="Arial" w:eastAsia="Arial" w:hAnsi="Arial" w:cs="Arial"/>
          <w:color w:val="000000"/>
          <w:sz w:val="20"/>
        </w:rPr>
        <w:t xml:space="preserve">, 954 F.3d at 330-31. Particularized means that the injury must "affect the plaintiff in a personal and individual way." </w:t>
      </w:r>
      <w:bookmarkStart w:id="3440" w:name="Bookmark_I66K8CDH2SF7Y70020000400"/>
      <w:bookmarkEnd w:id="3440"/>
      <w:r>
        <w:rPr>
          <w:rFonts w:ascii="Arial" w:eastAsia="Arial" w:hAnsi="Arial" w:cs="Arial"/>
          <w:color w:val="000000"/>
          <w:sz w:val="20"/>
          <w:u w:val="single"/>
        </w:rPr>
        <w:t>Spokeo</w:t>
      </w:r>
      <w:r>
        <w:rPr>
          <w:rFonts w:ascii="Arial" w:eastAsia="Arial" w:hAnsi="Arial" w:cs="Arial"/>
          <w:color w:val="000000"/>
          <w:sz w:val="20"/>
        </w:rPr>
        <w:t xml:space="preserve">, 578 U.S. at 339 (quoting </w:t>
      </w:r>
      <w:bookmarkStart w:id="3441" w:name="Bookmark_I66K8CDH2SF7Y70040000400"/>
      <w:bookmarkEnd w:id="3441"/>
      <w:r>
        <w:rPr>
          <w:rFonts w:ascii="Arial" w:eastAsia="Arial" w:hAnsi="Arial" w:cs="Arial"/>
          <w:color w:val="000000"/>
          <w:sz w:val="20"/>
          <w:u w:val="single"/>
        </w:rPr>
        <w:t>Lujan v. Defs. of Wildlife</w:t>
      </w:r>
      <w:r>
        <w:rPr>
          <w:rFonts w:ascii="Arial" w:eastAsia="Arial" w:hAnsi="Arial" w:cs="Arial"/>
          <w:color w:val="000000"/>
          <w:sz w:val="20"/>
        </w:rPr>
        <w:t xml:space="preserve">, 504 U.S. 555, 560 n.1, 112 S. Ct. 2130, 119 L. Ed. 2d 351 (1992)). </w:t>
      </w:r>
      <w:bookmarkStart w:id="3442" w:name="Bookmark_I66K8CDH2D6NFN0020000400"/>
      <w:bookmarkEnd w:id="3442"/>
      <w:r>
        <w:rPr>
          <w:rFonts w:ascii="Arial" w:eastAsia="Arial" w:hAnsi="Arial" w:cs="Arial"/>
          <w:color w:val="000000"/>
          <w:sz w:val="20"/>
        </w:rPr>
        <w:t xml:space="preserve">In other words, the injury has to be "personal," "distinct," and "not undifferentiated." </w:t>
      </w:r>
      <w:r>
        <w:rPr>
          <w:rFonts w:ascii="Arial" w:eastAsia="Arial" w:hAnsi="Arial" w:cs="Arial"/>
          <w:color w:val="000000"/>
          <w:sz w:val="20"/>
          <w:u w:val="single"/>
        </w:rPr>
        <w:t>Id.</w:t>
      </w:r>
      <w:r>
        <w:rPr>
          <w:rFonts w:ascii="Arial" w:eastAsia="Arial" w:hAnsi="Arial" w:cs="Arial"/>
          <w:color w:val="000000"/>
          <w:sz w:val="20"/>
        </w:rPr>
        <w:t xml:space="preserve"> (cleaned up and citations omitted). </w:t>
      </w:r>
      <w:bookmarkStart w:id="3443" w:name="Bookmark_I66K8CDH28T4X30010000400"/>
      <w:bookmarkEnd w:id="3443"/>
      <w:r>
        <w:rPr>
          <w:rFonts w:ascii="Arial" w:eastAsia="Arial" w:hAnsi="Arial" w:cs="Arial"/>
          <w:color w:val="000000"/>
          <w:sz w:val="20"/>
        </w:rPr>
        <w:t xml:space="preserve">In contrast, "[i]njuries that are too 'widely shared' or are 'comparable to the common concern for obedience to the law'" may not be [**29]  particularized. </w:t>
      </w:r>
      <w:bookmarkStart w:id="3444" w:name="Bookmark_I66K8CDH2D6NFN0010000400"/>
      <w:bookmarkEnd w:id="3444"/>
      <w:r>
        <w:rPr>
          <w:rFonts w:ascii="Arial" w:eastAsia="Arial" w:hAnsi="Arial" w:cs="Arial"/>
          <w:color w:val="000000"/>
          <w:sz w:val="20"/>
          <w:u w:val="single"/>
        </w:rPr>
        <w:t>Lyman v. Baker</w:t>
      </w:r>
      <w:r>
        <w:rPr>
          <w:rFonts w:ascii="Arial" w:eastAsia="Arial" w:hAnsi="Arial" w:cs="Arial"/>
          <w:color w:val="000000"/>
          <w:sz w:val="20"/>
        </w:rPr>
        <w:t xml:space="preserve">, 954 F.3d 351, 361 (1st Cir. 2020) (quoting </w:t>
      </w:r>
      <w:bookmarkStart w:id="3445" w:name="Bookmark_I66K8CDH2D6NFN0030000400"/>
      <w:bookmarkEnd w:id="3445"/>
      <w:r>
        <w:rPr>
          <w:rFonts w:ascii="Arial" w:eastAsia="Arial" w:hAnsi="Arial" w:cs="Arial"/>
          <w:color w:val="000000"/>
          <w:sz w:val="20"/>
          <w:u w:val="single"/>
        </w:rPr>
        <w:t>Becker v. FEC</w:t>
      </w:r>
      <w:r>
        <w:rPr>
          <w:rFonts w:ascii="Arial" w:eastAsia="Arial" w:hAnsi="Arial" w:cs="Arial"/>
          <w:color w:val="000000"/>
          <w:sz w:val="20"/>
        </w:rPr>
        <w:t xml:space="preserve">, 230 F.3d 381, 390 (1st Cir. 2000)). </w:t>
      </w:r>
      <w:bookmarkStart w:id="3446" w:name="Bookmark_I66K8CDH28T4X30010000400_2"/>
      <w:bookmarkEnd w:id="3446"/>
      <w:r>
        <w:rPr>
          <w:rFonts w:ascii="Arial" w:eastAsia="Arial" w:hAnsi="Arial" w:cs="Arial"/>
          <w:color w:val="000000"/>
          <w:sz w:val="20"/>
        </w:rPr>
        <w:t xml:space="preserve">The particularization requirement "reflects the commonsense notion that the party asserting standing . . . must allege that he, himself, is among the persons injured by th[e defendant's] conduct." </w:t>
      </w:r>
      <w:bookmarkStart w:id="3447" w:name="Bookmark_I66K8CDH2D6NFN0050000400"/>
      <w:bookmarkEnd w:id="3447"/>
      <w:r>
        <w:rPr>
          <w:rFonts w:ascii="Arial" w:eastAsia="Arial" w:hAnsi="Arial" w:cs="Arial"/>
          <w:color w:val="000000"/>
          <w:sz w:val="20"/>
          <w:u w:val="single"/>
        </w:rPr>
        <w:t>Hochendoner</w:t>
      </w:r>
      <w:r>
        <w:rPr>
          <w:rFonts w:ascii="Arial" w:eastAsia="Arial" w:hAnsi="Arial" w:cs="Arial"/>
          <w:color w:val="000000"/>
          <w:sz w:val="20"/>
        </w:rPr>
        <w:t xml:space="preserve">, 823 F.3d at 731-32. That way we ensure the issue is sharpened "in a concrete factual context" with parties with "a direct stake in the outcome." </w:t>
      </w:r>
      <w:r>
        <w:rPr>
          <w:rFonts w:ascii="Arial" w:eastAsia="Arial" w:hAnsi="Arial" w:cs="Arial"/>
          <w:color w:val="000000"/>
          <w:sz w:val="20"/>
          <w:u w:val="single"/>
        </w:rPr>
        <w:t>Id.</w:t>
      </w:r>
      <w:r>
        <w:rPr>
          <w:rFonts w:ascii="Arial" w:eastAsia="Arial" w:hAnsi="Arial" w:cs="Arial"/>
          <w:color w:val="000000"/>
          <w:sz w:val="20"/>
        </w:rPr>
        <w:t xml:space="preserve"> (citations omitted).</w:t>
      </w:r>
    </w:p>
    <w:p w:rsidR="00022B47" w:rsidRDefault="00000000">
      <w:pPr>
        <w:pStyle w:val="Normal17"/>
        <w:widowControl w:val="0"/>
        <w:spacing w:before="200" w:line="260" w:lineRule="atLeast"/>
        <w:jc w:val="both"/>
      </w:pPr>
      <w:bookmarkStart w:id="3448" w:name="Bookmark_para_52_5"/>
      <w:bookmarkStart w:id="3449" w:name="Bookmark_I66K8CDH28T4X30030000400"/>
      <w:bookmarkEnd w:id="3448"/>
      <w:bookmarkEnd w:id="3449"/>
      <w:r>
        <w:rPr>
          <w:rFonts w:ascii="Arial" w:eastAsia="Arial" w:hAnsi="Arial" w:cs="Arial"/>
          <w:color w:val="000000"/>
          <w:sz w:val="20"/>
        </w:rPr>
        <w:t xml:space="preserve">Under any reading of </w:t>
      </w:r>
      <w:bookmarkStart w:id="3450" w:name="Bookmark_I66K8CDH28T4X30020000400"/>
      <w:bookmarkEnd w:id="3450"/>
      <w:r>
        <w:rPr>
          <w:rFonts w:ascii="Arial" w:eastAsia="Arial" w:hAnsi="Arial" w:cs="Arial"/>
          <w:color w:val="000000"/>
          <w:sz w:val="20"/>
          <w:u w:val="single"/>
        </w:rPr>
        <w:t>Havens Realty</w:t>
      </w:r>
      <w:bookmarkStart w:id="3451" w:name="Bookmark_I66K8CDH2D6NFS0020000400"/>
      <w:bookmarkEnd w:id="3451"/>
      <w:r>
        <w:rPr>
          <w:rFonts w:ascii="Arial" w:eastAsia="Arial" w:hAnsi="Arial" w:cs="Arial"/>
          <w:color w:val="000000"/>
          <w:sz w:val="20"/>
        </w:rPr>
        <w:t xml:space="preserve"> or </w:t>
      </w:r>
      <w:bookmarkStart w:id="3452" w:name="Bookmark_I66K8CDH28T4X30040000400"/>
      <w:bookmarkEnd w:id="3452"/>
      <w:r>
        <w:rPr>
          <w:rFonts w:ascii="Arial" w:eastAsia="Arial" w:hAnsi="Arial" w:cs="Arial"/>
          <w:color w:val="000000"/>
          <w:sz w:val="20"/>
          <w:u w:val="single"/>
        </w:rPr>
        <w:t>TransUnion</w:t>
      </w:r>
      <w:r>
        <w:rPr>
          <w:rFonts w:ascii="Arial" w:eastAsia="Arial" w:hAnsi="Arial" w:cs="Arial"/>
          <w:color w:val="000000"/>
          <w:sz w:val="20"/>
        </w:rPr>
        <w:t xml:space="preserve">, Laufer's injury is particularized. </w:t>
      </w:r>
      <w:bookmarkStart w:id="3453" w:name="Bookmark_I66K8CDH2D6NFS0020000400_2"/>
      <w:bookmarkStart w:id="3454" w:name="Bookmark_I66K8CDH2D6NFS0040000400"/>
      <w:bookmarkEnd w:id="3453"/>
      <w:bookmarkEnd w:id="3454"/>
      <w:r>
        <w:rPr>
          <w:rFonts w:ascii="Arial" w:eastAsia="Arial" w:hAnsi="Arial" w:cs="Arial"/>
          <w:color w:val="000000"/>
          <w:sz w:val="20"/>
        </w:rPr>
        <w:t xml:space="preserve">As a pure informational injury, Laufer was not given information she personally had a right to under the ADA and its regulations, causing her precisely the type of harm Congress and the regulation sought to curb -- the unequal ability to know what accommodations a person with disabilities can take advantage of. </w:t>
      </w:r>
      <w:r>
        <w:rPr>
          <w:rFonts w:ascii="Arial" w:eastAsia="Arial" w:hAnsi="Arial" w:cs="Arial"/>
          <w:color w:val="000000"/>
          <w:sz w:val="20"/>
          <w:u w:val="single"/>
        </w:rPr>
        <w:t xml:space="preserve">See </w:t>
      </w:r>
      <w:bookmarkStart w:id="3455" w:name="Bookmark_I66K8CDH2D6NFS0010000400"/>
      <w:bookmarkEnd w:id="3455"/>
      <w:r>
        <w:rPr>
          <w:rFonts w:ascii="Arial" w:eastAsia="Arial" w:hAnsi="Arial" w:cs="Arial"/>
          <w:color w:val="000000"/>
          <w:sz w:val="20"/>
          <w:u w:val="single"/>
        </w:rPr>
        <w:t>Havens Realty</w:t>
      </w:r>
      <w:r>
        <w:rPr>
          <w:rFonts w:ascii="Arial" w:eastAsia="Arial" w:hAnsi="Arial" w:cs="Arial"/>
          <w:color w:val="000000"/>
          <w:sz w:val="20"/>
        </w:rPr>
        <w:t xml:space="preserve">, 455 U.S. at 374 (the Black tester plaintiff had standing because she "alleged injury to </w:t>
      </w:r>
      <w:r>
        <w:rPr>
          <w:rFonts w:ascii="Arial" w:eastAsia="Arial" w:hAnsi="Arial" w:cs="Arial"/>
          <w:color w:val="000000"/>
          <w:sz w:val="20"/>
          <w:u w:val="single"/>
        </w:rPr>
        <w:t>her</w:t>
      </w:r>
      <w:r>
        <w:rPr>
          <w:rFonts w:ascii="Arial" w:eastAsia="Arial" w:hAnsi="Arial" w:cs="Arial"/>
          <w:color w:val="000000"/>
          <w:sz w:val="20"/>
        </w:rPr>
        <w:t xml:space="preserve"> statutorily created right to truthful housing information" (emphasis added)). </w:t>
      </w:r>
      <w:bookmarkStart w:id="3456" w:name="Bookmark_I66K8CDH2D6NFS0040000400_2"/>
      <w:bookmarkStart w:id="3457" w:name="Bookmark_I66K8CDH2N1RNH0050000400"/>
      <w:bookmarkEnd w:id="3456"/>
      <w:bookmarkEnd w:id="3457"/>
      <w:r>
        <w:rPr>
          <w:rFonts w:ascii="Arial" w:eastAsia="Arial" w:hAnsi="Arial" w:cs="Arial"/>
          <w:color w:val="000000"/>
          <w:sz w:val="20"/>
        </w:rPr>
        <w:t xml:space="preserve">And she alleges that she personally suffered the loss of dignity in feeling less than equal, enduring humiliation, frustration, and embarrassment. </w:t>
      </w:r>
      <w:r>
        <w:rPr>
          <w:rFonts w:ascii="Arial" w:eastAsia="Arial" w:hAnsi="Arial" w:cs="Arial"/>
          <w:color w:val="000000"/>
          <w:sz w:val="20"/>
          <w:u w:val="single"/>
        </w:rPr>
        <w:t xml:space="preserve">See </w:t>
      </w:r>
      <w:bookmarkStart w:id="3458" w:name="Bookmark_I66K8CDH2D6NFS0030000400"/>
      <w:bookmarkEnd w:id="3458"/>
      <w:r>
        <w:rPr>
          <w:rFonts w:ascii="Arial" w:eastAsia="Arial" w:hAnsi="Arial" w:cs="Arial"/>
          <w:color w:val="000000"/>
          <w:sz w:val="20"/>
          <w:u w:val="single"/>
        </w:rPr>
        <w:t>Heckler</w:t>
      </w:r>
      <w:r>
        <w:rPr>
          <w:rFonts w:ascii="Arial" w:eastAsia="Arial" w:hAnsi="Arial" w:cs="Arial"/>
          <w:color w:val="000000"/>
          <w:sz w:val="20"/>
        </w:rPr>
        <w:t xml:space="preserve">, 465 U.S. at 739-40; </w:t>
      </w:r>
      <w:r>
        <w:rPr>
          <w:rFonts w:ascii="Arial" w:eastAsia="Arial" w:hAnsi="Arial" w:cs="Arial"/>
          <w:color w:val="000000"/>
          <w:sz w:val="20"/>
          <w:u w:val="single"/>
        </w:rPr>
        <w:t xml:space="preserve">cf. </w:t>
      </w:r>
      <w:bookmarkStart w:id="3459" w:name="Bookmark_I66K8CDH2D6NFS0050000400"/>
      <w:bookmarkEnd w:id="3459"/>
      <w:r>
        <w:rPr>
          <w:rFonts w:ascii="Arial" w:eastAsia="Arial" w:hAnsi="Arial" w:cs="Arial"/>
          <w:color w:val="000000"/>
          <w:sz w:val="20"/>
          <w:u w:val="single"/>
        </w:rPr>
        <w:t>Allen</w:t>
      </w:r>
      <w:r>
        <w:rPr>
          <w:rFonts w:ascii="Arial" w:eastAsia="Arial" w:hAnsi="Arial" w:cs="Arial"/>
          <w:color w:val="000000"/>
          <w:sz w:val="20"/>
        </w:rPr>
        <w:t xml:space="preserve">, 468 U.S. at 755-56 (dignitary harm from discrimination wasn't concrete because the discrimination wasn't personally experienced); </w:t>
      </w:r>
      <w:bookmarkStart w:id="3460" w:name="Bookmark_I66K8CDH2N1RNH0020000400"/>
      <w:bookmarkEnd w:id="3460"/>
      <w:r>
        <w:rPr>
          <w:rFonts w:ascii="Arial" w:eastAsia="Arial" w:hAnsi="Arial" w:cs="Arial"/>
          <w:color w:val="000000"/>
          <w:sz w:val="20"/>
          <w:u w:val="single"/>
        </w:rPr>
        <w:t>Carello</w:t>
      </w:r>
      <w:r>
        <w:rPr>
          <w:rFonts w:ascii="Arial" w:eastAsia="Arial" w:hAnsi="Arial" w:cs="Arial"/>
          <w:color w:val="000000"/>
          <w:sz w:val="20"/>
        </w:rPr>
        <w:t xml:space="preserve">, 930 F.3d at 834 (concreteness and particularity [**30]  are "two sides of the same coin" for dignitary harms since discrimination that doesn't impact the plaintiff isn't concrete and also doesn't affect the plaintiff in an individual way). </w:t>
      </w:r>
      <w:bookmarkStart w:id="3461" w:name="Bookmark_I66K8CDH2N1RNH0050000400_2"/>
      <w:bookmarkEnd w:id="3461"/>
      <w:r>
        <w:rPr>
          <w:rFonts w:ascii="Arial" w:eastAsia="Arial" w:hAnsi="Arial" w:cs="Arial"/>
          <w:color w:val="000000"/>
          <w:sz w:val="20"/>
        </w:rPr>
        <w:t xml:space="preserve">Those harms affected her "in a personal and individual way." </w:t>
      </w:r>
      <w:bookmarkStart w:id="3462" w:name="Bookmark_I66K8CDH2N1RNH0040000400"/>
      <w:bookmarkEnd w:id="3462"/>
      <w:r>
        <w:rPr>
          <w:rFonts w:ascii="Arial" w:eastAsia="Arial" w:hAnsi="Arial" w:cs="Arial"/>
          <w:color w:val="000000"/>
          <w:sz w:val="20"/>
          <w:u w:val="single"/>
        </w:rPr>
        <w:t>Lujan</w:t>
      </w:r>
      <w:r>
        <w:rPr>
          <w:rFonts w:ascii="Arial" w:eastAsia="Arial" w:hAnsi="Arial" w:cs="Arial"/>
          <w:color w:val="000000"/>
          <w:sz w:val="20"/>
        </w:rPr>
        <w:t>, 504 U.S. at 560 n.1.</w:t>
      </w:r>
    </w:p>
    <w:p w:rsidR="00022B47" w:rsidRDefault="00000000">
      <w:pPr>
        <w:pStyle w:val="Normal17"/>
        <w:widowControl w:val="0"/>
        <w:spacing w:before="200" w:line="260" w:lineRule="atLeast"/>
        <w:jc w:val="both"/>
      </w:pPr>
      <w:bookmarkStart w:id="3463" w:name="Bookmark_para_53_4"/>
      <w:bookmarkStart w:id="3464" w:name="Bookmark_I66K8CDH2SF7YJ0020000400"/>
      <w:bookmarkStart w:id="3465" w:name="Bookmark_I66K8CDH2HM6V60010000400"/>
      <w:bookmarkEnd w:id="3463"/>
      <w:bookmarkEnd w:id="3464"/>
      <w:bookmarkEnd w:id="3465"/>
      <w:r>
        <w:rPr>
          <w:rFonts w:ascii="Arial" w:eastAsia="Arial" w:hAnsi="Arial" w:cs="Arial"/>
          <w:color w:val="000000"/>
          <w:sz w:val="20"/>
        </w:rPr>
        <w:t xml:space="preserve">Further, contrary to Acheson's suggestions, Laufer's claim is not a generalized grievance based on her desire that Acheson follow the law. For starters, the Court's generalized-grievance cases typically focus on allegedly unlawful conduct by the government, </w:t>
      </w:r>
      <w:bookmarkStart w:id="3466" w:name="Bookmark_I66K8CDH2SF7YJ0010000400"/>
      <w:bookmarkEnd w:id="3466"/>
      <w:r>
        <w:rPr>
          <w:rFonts w:ascii="Arial" w:eastAsia="Arial" w:hAnsi="Arial" w:cs="Arial"/>
          <w:color w:val="000000"/>
          <w:sz w:val="20"/>
          <w:u w:val="single"/>
        </w:rPr>
        <w:t>id.</w:t>
      </w:r>
      <w:r>
        <w:rPr>
          <w:rFonts w:ascii="Arial" w:eastAsia="Arial" w:hAnsi="Arial" w:cs="Arial"/>
          <w:color w:val="000000"/>
          <w:sz w:val="20"/>
        </w:rPr>
        <w:t xml:space="preserve"> at 576, and are driven, at least in part, by separation-of-powers concerns with the  [*276]  courts supervising the co-equal branches' activities, </w:t>
      </w:r>
      <w:r>
        <w:rPr>
          <w:rFonts w:ascii="Arial" w:eastAsia="Arial" w:hAnsi="Arial" w:cs="Arial"/>
          <w:color w:val="000000"/>
          <w:sz w:val="20"/>
          <w:u w:val="single"/>
        </w:rPr>
        <w:t xml:space="preserve">see </w:t>
      </w:r>
      <w:bookmarkStart w:id="3467" w:name="Bookmark_I66K8CDH2SF7YJ0030000400"/>
      <w:bookmarkEnd w:id="3467"/>
      <w:r>
        <w:rPr>
          <w:rFonts w:ascii="Arial" w:eastAsia="Arial" w:hAnsi="Arial" w:cs="Arial"/>
          <w:color w:val="000000"/>
          <w:sz w:val="20"/>
          <w:u w:val="single"/>
        </w:rPr>
        <w:t>id.</w:t>
      </w:r>
      <w:r>
        <w:rPr>
          <w:rFonts w:ascii="Arial" w:eastAsia="Arial" w:hAnsi="Arial" w:cs="Arial"/>
          <w:color w:val="000000"/>
          <w:sz w:val="20"/>
        </w:rPr>
        <w:t xml:space="preserve"> at 577. </w:t>
      </w:r>
      <w:bookmarkStart w:id="3468" w:name="Bookmark_I66K8CDH2HM6V60030000400"/>
      <w:bookmarkEnd w:id="3468"/>
      <w:r>
        <w:rPr>
          <w:rFonts w:ascii="Arial" w:eastAsia="Arial" w:hAnsi="Arial" w:cs="Arial"/>
          <w:color w:val="000000"/>
          <w:sz w:val="20"/>
        </w:rPr>
        <w:t xml:space="preserve">But even more, </w:t>
      </w:r>
      <w:bookmarkStart w:id="3469" w:name="Bookmark_I66K8CDH2SF7YJ0050000400"/>
      <w:bookmarkEnd w:id="3469"/>
      <w:r>
        <w:rPr>
          <w:rFonts w:ascii="Arial" w:eastAsia="Arial" w:hAnsi="Arial" w:cs="Arial"/>
          <w:color w:val="000000"/>
          <w:sz w:val="20"/>
          <w:u w:val="single"/>
        </w:rPr>
        <w:t>Lujan</w:t>
      </w:r>
      <w:bookmarkStart w:id="3470" w:name="Bookmark_I66K8CDH28T4X40020000400"/>
      <w:bookmarkEnd w:id="3470"/>
      <w:r>
        <w:rPr>
          <w:rFonts w:ascii="Arial" w:eastAsia="Arial" w:hAnsi="Arial" w:cs="Arial"/>
          <w:color w:val="000000"/>
          <w:sz w:val="20"/>
        </w:rPr>
        <w:t xml:space="preserve"> also recognized that "[n]othing in [it] contradicts the principle that</w:t>
      </w:r>
      <w:bookmarkStart w:id="3471" w:name="Bookmark_LNHNREFclscc24"/>
      <w:bookmarkEnd w:id="3471"/>
      <w:r>
        <w:rPr>
          <w:rFonts w:ascii="Arial" w:eastAsia="Arial" w:hAnsi="Arial" w:cs="Arial"/>
          <w:color w:val="000000"/>
          <w:sz w:val="20"/>
        </w:rPr>
        <w:t xml:space="preserve"> 'the injury required by Art. III may exist solely by virtue of "statutes creating legal rights, the invasion of which creates standing,"'" even though the right is widely shared. </w:t>
      </w:r>
      <w:bookmarkStart w:id="3472" w:name="Bookmark_I66K8CDH28T4X40020000400_2"/>
      <w:bookmarkStart w:id="3473" w:name="Bookmark_I66K8CDH2HM6V60030000400_2"/>
      <w:bookmarkStart w:id="3474" w:name="Bookmark_I66K8CDH2HM6V60020000400"/>
      <w:bookmarkEnd w:id="3472"/>
      <w:bookmarkEnd w:id="3473"/>
      <w:bookmarkEnd w:id="3474"/>
      <w:r>
        <w:rPr>
          <w:rFonts w:ascii="Arial" w:eastAsia="Arial" w:hAnsi="Arial" w:cs="Arial"/>
          <w:color w:val="000000"/>
          <w:sz w:val="20"/>
          <w:u w:val="single"/>
        </w:rPr>
        <w:t>Id.</w:t>
      </w:r>
      <w:r>
        <w:rPr>
          <w:rFonts w:ascii="Arial" w:eastAsia="Arial" w:hAnsi="Arial" w:cs="Arial"/>
          <w:color w:val="000000"/>
          <w:sz w:val="20"/>
        </w:rPr>
        <w:t xml:space="preserve"> at 578 (cleaned up with new alterations added) (quoting </w:t>
      </w:r>
      <w:bookmarkStart w:id="3475" w:name="Bookmark_I66K8CDH2HM6V60040000400"/>
      <w:bookmarkEnd w:id="3475"/>
      <w:r>
        <w:rPr>
          <w:rFonts w:ascii="Arial" w:eastAsia="Arial" w:hAnsi="Arial" w:cs="Arial"/>
          <w:color w:val="000000"/>
          <w:sz w:val="20"/>
          <w:u w:val="single"/>
        </w:rPr>
        <w:t>Warth</w:t>
      </w:r>
      <w:r>
        <w:rPr>
          <w:rFonts w:ascii="Arial" w:eastAsia="Arial" w:hAnsi="Arial" w:cs="Arial"/>
          <w:color w:val="000000"/>
          <w:sz w:val="20"/>
        </w:rPr>
        <w:t xml:space="preserve">, 422 U.S. at 500). Nothing in the ADA or its regulations "abandon[s] the requirement that the party seeking review must [her]self have suffered an injury." </w:t>
      </w:r>
      <w:r>
        <w:rPr>
          <w:rFonts w:ascii="Arial" w:eastAsia="Arial" w:hAnsi="Arial" w:cs="Arial"/>
          <w:color w:val="000000"/>
          <w:sz w:val="20"/>
          <w:u w:val="single"/>
        </w:rPr>
        <w:t>See id.</w:t>
      </w:r>
      <w:r>
        <w:rPr>
          <w:rFonts w:ascii="Arial" w:eastAsia="Arial" w:hAnsi="Arial" w:cs="Arial"/>
          <w:color w:val="000000"/>
          <w:sz w:val="20"/>
        </w:rPr>
        <w:t xml:space="preserve"> (quoting </w:t>
      </w:r>
      <w:bookmarkStart w:id="3476" w:name="Bookmark_I66K8CDH28T4X40010000400"/>
      <w:bookmarkEnd w:id="3476"/>
      <w:r>
        <w:rPr>
          <w:rFonts w:ascii="Arial" w:eastAsia="Arial" w:hAnsi="Arial" w:cs="Arial"/>
          <w:color w:val="000000"/>
          <w:sz w:val="20"/>
          <w:u w:val="single"/>
        </w:rPr>
        <w:t>Sierra Club v. Morton</w:t>
      </w:r>
      <w:r>
        <w:rPr>
          <w:rFonts w:ascii="Arial" w:eastAsia="Arial" w:hAnsi="Arial" w:cs="Arial"/>
          <w:color w:val="000000"/>
          <w:sz w:val="20"/>
        </w:rPr>
        <w:t xml:space="preserve">, 405 U.S. 727, 738, 92 S. Ct. 1361, 31 L. Ed. 2d 636 (1972)). As we've already explained, the ADA and its regulations offer a route to those themselves [**31]  suffering an injury by being discriminated against on the basis of their disability. It does not permit anybody to sue just because she saw an ADA violation. </w:t>
      </w:r>
      <w:r>
        <w:rPr>
          <w:rFonts w:ascii="Arial" w:eastAsia="Arial" w:hAnsi="Arial" w:cs="Arial"/>
          <w:color w:val="000000"/>
          <w:sz w:val="20"/>
          <w:u w:val="single"/>
        </w:rPr>
        <w:t>See</w:t>
      </w:r>
      <w:r>
        <w:rPr>
          <w:rFonts w:ascii="Arial" w:eastAsia="Arial" w:hAnsi="Arial" w:cs="Arial"/>
          <w:color w:val="000000"/>
          <w:sz w:val="20"/>
        </w:rPr>
        <w:t xml:space="preserve"> 42 U.S.C. § 12188(a)(1); 28 C.F.R. § 36.501(a). Which shows the differentiation of the injury: Laufer is a person with disabilities -- not just any one of the hundreds of millions of Americans with a laptop -- and personally suffered the denial of information the law entitles her, as a person with disabilities, to have.</w:t>
      </w:r>
    </w:p>
    <w:p w:rsidR="00022B47" w:rsidRDefault="00000000">
      <w:pPr>
        <w:pStyle w:val="Normal17"/>
        <w:widowControl w:val="0"/>
        <w:spacing w:before="240" w:line="260" w:lineRule="atLeast"/>
      </w:pPr>
      <w:r>
        <w:br/>
      </w:r>
      <w:r>
        <w:rPr>
          <w:rFonts w:ascii="Arial" w:eastAsia="Arial" w:hAnsi="Arial" w:cs="Arial"/>
          <w:b/>
          <w:color w:val="000000"/>
          <w:sz w:val="20"/>
        </w:rPr>
        <w:t>IV</w:t>
      </w:r>
      <w:r>
        <w:rPr>
          <w:rFonts w:ascii="Arial" w:eastAsia="Arial" w:hAnsi="Arial" w:cs="Arial"/>
          <w:color w:val="000000"/>
          <w:sz w:val="20"/>
        </w:rPr>
        <w:t>.</w:t>
      </w:r>
    </w:p>
    <w:p w:rsidR="00022B47" w:rsidRDefault="00000000">
      <w:pPr>
        <w:pStyle w:val="Normal17"/>
        <w:widowControl w:val="0"/>
        <w:spacing w:before="200" w:line="260" w:lineRule="atLeast"/>
        <w:jc w:val="both"/>
      </w:pPr>
      <w:bookmarkStart w:id="3477" w:name="Bookmark_para_54_3"/>
      <w:bookmarkEnd w:id="3477"/>
      <w:r>
        <w:rPr>
          <w:rFonts w:ascii="Arial" w:eastAsia="Arial" w:hAnsi="Arial" w:cs="Arial"/>
          <w:color w:val="000000"/>
          <w:sz w:val="20"/>
        </w:rPr>
        <w:t>Onward we go to the next step of the standing analysis -- Laufer's standing to seek injunctive relief.</w:t>
      </w:r>
      <w:r>
        <w:rPr>
          <w:rFonts w:ascii="Arial" w:eastAsia="Arial" w:hAnsi="Arial" w:cs="Arial"/>
          <w:vertAlign w:val="superscript"/>
        </w:rPr>
        <w:footnoteReference w:customMarkFollows="1" w:id="69"/>
        <w:t>7</w:t>
      </w:r>
    </w:p>
    <w:p w:rsidR="00022B47" w:rsidRDefault="00000000">
      <w:pPr>
        <w:pStyle w:val="Normal17"/>
        <w:widowControl w:val="0"/>
        <w:spacing w:before="200" w:line="260" w:lineRule="atLeast"/>
        <w:jc w:val="both"/>
      </w:pPr>
      <w:bookmarkStart w:id="3482" w:name="Bookmark_para_55_3"/>
      <w:bookmarkStart w:id="3483" w:name="Bookmark_I66K8CDH2N1RNM0010000400"/>
      <w:bookmarkStart w:id="3484" w:name="Bookmark_I66K8CDH2N1RNM0030000400"/>
      <w:bookmarkStart w:id="3485" w:name="Bookmark_I66K8CDJ2N1RNR0020000400"/>
      <w:bookmarkStart w:id="3486" w:name="Bookmark_LNHNREFclscc26"/>
      <w:bookmarkEnd w:id="3482"/>
      <w:bookmarkEnd w:id="3483"/>
      <w:bookmarkEnd w:id="3484"/>
      <w:bookmarkEnd w:id="3485"/>
      <w:bookmarkEnd w:id="3486"/>
      <w:r>
        <w:rPr>
          <w:rFonts w:ascii="Arial" w:eastAsia="Arial" w:hAnsi="Arial" w:cs="Arial"/>
          <w:color w:val="000000"/>
          <w:sz w:val="20"/>
        </w:rPr>
        <w:t xml:space="preserve">The party seeking review has to show they have standing for each form of relief they seek. </w:t>
      </w:r>
      <w:bookmarkStart w:id="3487" w:name="Bookmark_I66K8CDH28T4X40050000400"/>
      <w:bookmarkEnd w:id="3487"/>
      <w:r>
        <w:rPr>
          <w:rFonts w:ascii="Arial" w:eastAsia="Arial" w:hAnsi="Arial" w:cs="Arial"/>
          <w:color w:val="000000"/>
          <w:sz w:val="20"/>
          <w:u w:val="single"/>
        </w:rPr>
        <w:t>Friends of the Earth, Inc. v. Laidlaw Env't Servs. (TOC), Inc.</w:t>
      </w:r>
      <w:r>
        <w:rPr>
          <w:rFonts w:ascii="Arial" w:eastAsia="Arial" w:hAnsi="Arial" w:cs="Arial"/>
          <w:color w:val="000000"/>
          <w:sz w:val="20"/>
        </w:rPr>
        <w:t xml:space="preserve">, 528 U.S. 167, 185, 120 S. Ct. 693, 145 L. Ed. 2d 610 (2000). </w:t>
      </w:r>
      <w:bookmarkStart w:id="3488" w:name="Bookmark_LNHNREFclscc27"/>
      <w:bookmarkEnd w:id="3488"/>
      <w:r>
        <w:rPr>
          <w:rFonts w:ascii="Arial" w:eastAsia="Arial" w:hAnsi="Arial" w:cs="Arial"/>
          <w:color w:val="000000"/>
          <w:sz w:val="20"/>
        </w:rPr>
        <w:t xml:space="preserve">For Laufer's claim for injunctive relief, demonstrating her "past exposure to illegal conduct" -- here, her pre-suit encounters with Acheson's reservation system on its and third parties' websites -- isn't "in itself" sufficient to show standing absent "continuing, present adverse effects." </w:t>
      </w:r>
      <w:bookmarkStart w:id="3489" w:name="Bookmark_I66K8CDH2N1RNM0020000400"/>
      <w:bookmarkEnd w:id="3489"/>
      <w:r>
        <w:rPr>
          <w:rFonts w:ascii="Arial" w:eastAsia="Arial" w:hAnsi="Arial" w:cs="Arial"/>
          <w:color w:val="000000"/>
          <w:sz w:val="20"/>
          <w:u w:val="single"/>
        </w:rPr>
        <w:t>City of Los Angeles v. Lyons</w:t>
      </w:r>
      <w:r>
        <w:rPr>
          <w:rFonts w:ascii="Arial" w:eastAsia="Arial" w:hAnsi="Arial" w:cs="Arial"/>
          <w:color w:val="000000"/>
          <w:sz w:val="20"/>
        </w:rPr>
        <w:t xml:space="preserve">, 461 U.S. 95, 102, 103 S. Ct. 1660, 75 L. Ed. 2d 675 (1983) (quoting </w:t>
      </w:r>
      <w:bookmarkStart w:id="3490" w:name="Bookmark_I66K8CDH2N1RNM0040000400"/>
      <w:bookmarkEnd w:id="3490"/>
      <w:r>
        <w:rPr>
          <w:rFonts w:ascii="Arial" w:eastAsia="Arial" w:hAnsi="Arial" w:cs="Arial"/>
          <w:color w:val="000000"/>
          <w:sz w:val="20"/>
          <w:u w:val="single"/>
        </w:rPr>
        <w:t>O'Shea v. Littleton</w:t>
      </w:r>
      <w:r>
        <w:rPr>
          <w:rFonts w:ascii="Arial" w:eastAsia="Arial" w:hAnsi="Arial" w:cs="Arial"/>
          <w:color w:val="000000"/>
          <w:sz w:val="20"/>
        </w:rPr>
        <w:t xml:space="preserve">, 414 U.S. 488, 495-96, 94 S. Ct. 669, 38 L. Ed. 2d 674 (1974)). Standing for injunctive relief depends on "whether [s]he [i]s likely to suffer future injury," </w:t>
      </w:r>
      <w:bookmarkStart w:id="3491" w:name="Bookmark_I66K8CDJ2N1RNR0010000400"/>
      <w:bookmarkEnd w:id="3491"/>
      <w:r>
        <w:rPr>
          <w:rFonts w:ascii="Arial" w:eastAsia="Arial" w:hAnsi="Arial" w:cs="Arial"/>
          <w:color w:val="000000"/>
          <w:sz w:val="20"/>
          <w:u w:val="single"/>
        </w:rPr>
        <w:t>id.</w:t>
      </w:r>
      <w:r>
        <w:rPr>
          <w:rFonts w:ascii="Arial" w:eastAsia="Arial" w:hAnsi="Arial" w:cs="Arial"/>
          <w:color w:val="000000"/>
          <w:sz w:val="20"/>
        </w:rPr>
        <w:t xml:space="preserve"> at 105 -- that is, "a sufficient likelihood that she will again be wronged in a similar way," </w:t>
      </w:r>
      <w:bookmarkStart w:id="3492" w:name="Bookmark_I66K8CDJ2N1RNR0030000400"/>
      <w:bookmarkEnd w:id="3492"/>
      <w:r>
        <w:rPr>
          <w:rFonts w:ascii="Arial" w:eastAsia="Arial" w:hAnsi="Arial" w:cs="Arial"/>
          <w:color w:val="000000"/>
          <w:sz w:val="20"/>
          <w:u w:val="single"/>
        </w:rPr>
        <w:t>Gray v. Cummings</w:t>
      </w:r>
      <w:r>
        <w:rPr>
          <w:rFonts w:ascii="Arial" w:eastAsia="Arial" w:hAnsi="Arial" w:cs="Arial"/>
          <w:color w:val="000000"/>
          <w:sz w:val="20"/>
        </w:rPr>
        <w:t xml:space="preserve">, 917 F.3d 1, 19 (1st Cir. 2019) (quoting </w:t>
      </w:r>
      <w:bookmarkStart w:id="3493" w:name="Bookmark_I66K8CDJ2N1RNR0050000400"/>
      <w:bookmarkEnd w:id="3493"/>
      <w:r>
        <w:rPr>
          <w:rFonts w:ascii="Arial" w:eastAsia="Arial" w:hAnsi="Arial" w:cs="Arial"/>
          <w:color w:val="000000"/>
          <w:sz w:val="20"/>
          <w:u w:val="single"/>
        </w:rPr>
        <w:t>Am. Postal Workers Union v. Frank</w:t>
      </w:r>
      <w:r>
        <w:rPr>
          <w:rFonts w:ascii="Arial" w:eastAsia="Arial" w:hAnsi="Arial" w:cs="Arial"/>
          <w:color w:val="000000"/>
          <w:sz w:val="20"/>
        </w:rPr>
        <w:t>, 968 F.2d 1373, 1376 (1st Cir. 1992)).</w:t>
      </w:r>
    </w:p>
    <w:p w:rsidR="00022B47" w:rsidRDefault="00000000">
      <w:pPr>
        <w:pStyle w:val="Normal17"/>
        <w:widowControl w:val="0"/>
        <w:spacing w:before="200" w:line="260" w:lineRule="atLeast"/>
        <w:jc w:val="both"/>
      </w:pPr>
      <w:bookmarkStart w:id="3494" w:name="Bookmark_para_56_3"/>
      <w:bookmarkStart w:id="3495" w:name="Bookmark_I66K8CDJ2HM6VD0030000400"/>
      <w:bookmarkStart w:id="3496" w:name="Bookmark_I66K8CDJ2HM6VD0050000400"/>
      <w:bookmarkStart w:id="3497" w:name="Bookmark_I66K8CDJ2D6NG10020000400"/>
      <w:bookmarkEnd w:id="3494"/>
      <w:bookmarkEnd w:id="3495"/>
      <w:bookmarkEnd w:id="3496"/>
      <w:bookmarkEnd w:id="3497"/>
      <w:r>
        <w:rPr>
          <w:rFonts w:ascii="Arial" w:eastAsia="Arial" w:hAnsi="Arial" w:cs="Arial"/>
          <w:color w:val="000000"/>
          <w:sz w:val="20"/>
        </w:rPr>
        <w:t xml:space="preserve">That proviso is sometimes referred to as "imminence." [**32]  </w:t>
      </w:r>
      <w:r>
        <w:rPr>
          <w:rFonts w:ascii="Arial" w:eastAsia="Arial" w:hAnsi="Arial" w:cs="Arial"/>
          <w:color w:val="000000"/>
          <w:sz w:val="20"/>
          <w:u w:val="single"/>
        </w:rPr>
        <w:t xml:space="preserve">See, e.g., </w:t>
      </w:r>
      <w:bookmarkStart w:id="3498" w:name="Bookmark_I66K8CDJ2HM6VD0020000400"/>
      <w:bookmarkEnd w:id="3498"/>
      <w:r>
        <w:rPr>
          <w:rFonts w:ascii="Arial" w:eastAsia="Arial" w:hAnsi="Arial" w:cs="Arial"/>
          <w:color w:val="000000"/>
          <w:sz w:val="20"/>
          <w:u w:val="single"/>
        </w:rPr>
        <w:t>Berner v. Delahanty</w:t>
      </w:r>
      <w:r>
        <w:rPr>
          <w:rFonts w:ascii="Arial" w:eastAsia="Arial" w:hAnsi="Arial" w:cs="Arial"/>
          <w:color w:val="000000"/>
          <w:sz w:val="20"/>
        </w:rPr>
        <w:t xml:space="preserve">, 129 F.3d 20, 24 (1st Cir. 1997). </w:t>
      </w:r>
      <w:bookmarkStart w:id="3499" w:name="Bookmark_I66K8CDJ2D6NG10040000400"/>
      <w:bookmarkEnd w:id="3499"/>
      <w:r>
        <w:rPr>
          <w:rFonts w:ascii="Arial" w:eastAsia="Arial" w:hAnsi="Arial" w:cs="Arial"/>
          <w:color w:val="000000"/>
          <w:sz w:val="20"/>
        </w:rPr>
        <w:t xml:space="preserve">Though a "somewhat elastic concept," imminence shouldn't be stretched too far -- it "ensure[s] that the alleged injury is not too speculative for Article III purposes." </w:t>
      </w:r>
      <w:bookmarkStart w:id="3500" w:name="Bookmark_I66K8CDJ2HM6VD0040000400"/>
      <w:bookmarkEnd w:id="3500"/>
      <w:r>
        <w:rPr>
          <w:rFonts w:ascii="Arial" w:eastAsia="Arial" w:hAnsi="Arial" w:cs="Arial"/>
          <w:color w:val="000000"/>
          <w:sz w:val="20"/>
          <w:u w:val="single"/>
        </w:rPr>
        <w:t>Lujan</w:t>
      </w:r>
      <w:r>
        <w:rPr>
          <w:rFonts w:ascii="Arial" w:eastAsia="Arial" w:hAnsi="Arial" w:cs="Arial"/>
          <w:color w:val="000000"/>
          <w:sz w:val="20"/>
        </w:rPr>
        <w:t xml:space="preserve">, 504 U.S. at 564 n.2. At bottom, it requires that the injury not be "conjectural" or "hypothetical" or simply "possible." </w:t>
      </w:r>
      <w:r>
        <w:rPr>
          <w:rFonts w:ascii="Arial" w:eastAsia="Arial" w:hAnsi="Arial" w:cs="Arial"/>
          <w:color w:val="000000"/>
          <w:sz w:val="20"/>
          <w:u w:val="single"/>
        </w:rPr>
        <w:t xml:space="preserve">See </w:t>
      </w:r>
      <w:bookmarkStart w:id="3501" w:name="Bookmark_I66K8CDJ2D6NG10010000400"/>
      <w:bookmarkEnd w:id="3501"/>
      <w:r>
        <w:rPr>
          <w:rFonts w:ascii="Arial" w:eastAsia="Arial" w:hAnsi="Arial" w:cs="Arial"/>
          <w:color w:val="000000"/>
          <w:sz w:val="20"/>
          <w:u w:val="single"/>
        </w:rPr>
        <w:t>Clapper</w:t>
      </w:r>
      <w:r>
        <w:rPr>
          <w:rFonts w:ascii="Arial" w:eastAsia="Arial" w:hAnsi="Arial" w:cs="Arial"/>
          <w:color w:val="000000"/>
          <w:sz w:val="20"/>
        </w:rPr>
        <w:t xml:space="preserve">, 568 U.S. at 412, 416, 420. </w:t>
      </w:r>
      <w:bookmarkStart w:id="3502" w:name="Bookmark_I66K8CDJ2D6NG10040000400_2"/>
      <w:bookmarkEnd w:id="3502"/>
      <w:r>
        <w:rPr>
          <w:rFonts w:ascii="Arial" w:eastAsia="Arial" w:hAnsi="Arial" w:cs="Arial"/>
          <w:color w:val="000000"/>
          <w:sz w:val="20"/>
        </w:rPr>
        <w:t xml:space="preserve">For an injury to be imminent enough to provide standing, it must be "certainly impending." </w:t>
      </w:r>
      <w:bookmarkStart w:id="3503" w:name="Bookmark_I66K8CDJ2D6NG10030000400"/>
      <w:bookmarkEnd w:id="3503"/>
      <w:r>
        <w:rPr>
          <w:rFonts w:ascii="Arial" w:eastAsia="Arial" w:hAnsi="Arial" w:cs="Arial"/>
          <w:color w:val="000000"/>
          <w:sz w:val="20"/>
          <w:u w:val="single"/>
        </w:rPr>
        <w:t>Id.</w:t>
      </w:r>
      <w:r>
        <w:rPr>
          <w:rFonts w:ascii="Arial" w:eastAsia="Arial" w:hAnsi="Arial" w:cs="Arial"/>
          <w:color w:val="000000"/>
          <w:sz w:val="20"/>
        </w:rPr>
        <w:t xml:space="preserve"> at 416.</w:t>
      </w:r>
    </w:p>
    <w:p w:rsidR="00022B47" w:rsidRDefault="00000000">
      <w:pPr>
        <w:pStyle w:val="Normal17"/>
        <w:widowControl w:val="0"/>
        <w:spacing w:before="200" w:line="260" w:lineRule="atLeast"/>
        <w:jc w:val="both"/>
      </w:pPr>
      <w:bookmarkStart w:id="3504" w:name="Bookmark_para_57_3"/>
      <w:bookmarkStart w:id="3505" w:name="Bookmark_I66K8CDJ2N1RNT0010000400"/>
      <w:bookmarkStart w:id="3506" w:name="Bookmark_I66K8CDJ2N1RNT0030000400"/>
      <w:bookmarkEnd w:id="3504"/>
      <w:bookmarkEnd w:id="3505"/>
      <w:bookmarkEnd w:id="3506"/>
      <w:r>
        <w:rPr>
          <w:rFonts w:ascii="Arial" w:eastAsia="Arial" w:hAnsi="Arial" w:cs="Arial"/>
          <w:color w:val="000000"/>
          <w:sz w:val="20"/>
        </w:rPr>
        <w:t xml:space="preserve">Describing the imminence of a future harm, our judicial higher-ups have said that a plaintiff's proclaimed "'intent' to return to the places they had visited before -- where they will presumably, this time, be [injured again] -- is simply not enough." </w:t>
      </w:r>
      <w:bookmarkStart w:id="3507" w:name="Bookmark_I66K8CDJ2D6NG10050000400"/>
      <w:bookmarkEnd w:id="3507"/>
      <w:r>
        <w:rPr>
          <w:rFonts w:ascii="Arial" w:eastAsia="Arial" w:hAnsi="Arial" w:cs="Arial"/>
          <w:color w:val="000000"/>
          <w:sz w:val="20"/>
          <w:u w:val="single"/>
        </w:rPr>
        <w:t>Lujan</w:t>
      </w:r>
      <w:r>
        <w:rPr>
          <w:rFonts w:ascii="Arial" w:eastAsia="Arial" w:hAnsi="Arial" w:cs="Arial"/>
          <w:color w:val="000000"/>
          <w:sz w:val="20"/>
        </w:rPr>
        <w:t xml:space="preserve">, 504 U.S. at 564. </w:t>
      </w:r>
      <w:bookmarkStart w:id="3508" w:name="Bookmark_I66K8CDJ2N1RNT0050000400"/>
      <w:bookmarkEnd w:id="3508"/>
      <w:r>
        <w:rPr>
          <w:rFonts w:ascii="Arial" w:eastAsia="Arial" w:hAnsi="Arial" w:cs="Arial"/>
          <w:color w:val="000000"/>
          <w:sz w:val="20"/>
        </w:rPr>
        <w:t xml:space="preserve"> [*277]  For example, plaintiffs' averred intent to visit Egypt and Sri Lanka at some unspecified point "[i]n the future" was insufficient to show an imminent injury. </w:t>
      </w:r>
      <w:r>
        <w:rPr>
          <w:rFonts w:ascii="Arial" w:eastAsia="Arial" w:hAnsi="Arial" w:cs="Arial"/>
          <w:color w:val="000000"/>
          <w:sz w:val="20"/>
          <w:u w:val="single"/>
        </w:rPr>
        <w:t xml:space="preserve">See </w:t>
      </w:r>
      <w:bookmarkStart w:id="3509" w:name="Bookmark_I66K8CDJ2N1RNT0020000400"/>
      <w:bookmarkEnd w:id="3509"/>
      <w:r>
        <w:rPr>
          <w:rFonts w:ascii="Arial" w:eastAsia="Arial" w:hAnsi="Arial" w:cs="Arial"/>
          <w:color w:val="000000"/>
          <w:sz w:val="20"/>
          <w:u w:val="single"/>
        </w:rPr>
        <w:t>id.</w:t>
      </w:r>
      <w:r>
        <w:rPr>
          <w:rFonts w:ascii="Arial" w:eastAsia="Arial" w:hAnsi="Arial" w:cs="Arial"/>
          <w:color w:val="000000"/>
          <w:sz w:val="20"/>
        </w:rPr>
        <w:t xml:space="preserve"> at 563-64. </w:t>
      </w:r>
      <w:bookmarkStart w:id="3510" w:name="Bookmark_I66K8CDJ2N1RNT0050000400_2"/>
      <w:bookmarkEnd w:id="3510"/>
      <w:r>
        <w:rPr>
          <w:rFonts w:ascii="Arial" w:eastAsia="Arial" w:hAnsi="Arial" w:cs="Arial"/>
          <w:color w:val="000000"/>
          <w:sz w:val="20"/>
        </w:rPr>
        <w:t xml:space="preserve">"Such 'some day' intentions -- without any description of concrete plans, or indeed even any specification of </w:t>
      </w:r>
      <w:r>
        <w:rPr>
          <w:rFonts w:ascii="Arial" w:eastAsia="Arial" w:hAnsi="Arial" w:cs="Arial"/>
          <w:color w:val="000000"/>
          <w:sz w:val="20"/>
          <w:u w:val="single"/>
        </w:rPr>
        <w:t>when</w:t>
      </w:r>
      <w:r>
        <w:rPr>
          <w:rFonts w:ascii="Arial" w:eastAsia="Arial" w:hAnsi="Arial" w:cs="Arial"/>
          <w:color w:val="000000"/>
          <w:sz w:val="20"/>
        </w:rPr>
        <w:t xml:space="preserve"> the some day will be -- do not support a finding of the 'actual or imminent' injury." </w:t>
      </w:r>
      <w:bookmarkStart w:id="3511" w:name="Bookmark_I66K8CDJ2N1RNT0040000400"/>
      <w:bookmarkEnd w:id="3511"/>
      <w:r>
        <w:rPr>
          <w:rFonts w:ascii="Arial" w:eastAsia="Arial" w:hAnsi="Arial" w:cs="Arial"/>
          <w:color w:val="000000"/>
          <w:sz w:val="20"/>
          <w:u w:val="single"/>
        </w:rPr>
        <w:t>Id.</w:t>
      </w:r>
      <w:r>
        <w:rPr>
          <w:rFonts w:ascii="Arial" w:eastAsia="Arial" w:hAnsi="Arial" w:cs="Arial"/>
          <w:color w:val="000000"/>
          <w:sz w:val="20"/>
        </w:rPr>
        <w:t xml:space="preserve"> at 564.</w:t>
      </w:r>
    </w:p>
    <w:p w:rsidR="00022B47" w:rsidRDefault="00000000">
      <w:pPr>
        <w:pStyle w:val="Normal17"/>
        <w:widowControl w:val="0"/>
        <w:spacing w:before="200" w:line="260" w:lineRule="atLeast"/>
        <w:jc w:val="both"/>
      </w:pPr>
      <w:bookmarkStart w:id="3512" w:name="Bookmark_para_58_3"/>
      <w:bookmarkStart w:id="3513" w:name="Bookmark_I66K8CDJ2HM6VH0020000400"/>
      <w:bookmarkEnd w:id="3512"/>
      <w:bookmarkEnd w:id="3513"/>
      <w:r>
        <w:rPr>
          <w:rFonts w:ascii="Arial" w:eastAsia="Arial" w:hAnsi="Arial" w:cs="Arial"/>
          <w:color w:val="000000"/>
          <w:sz w:val="20"/>
        </w:rPr>
        <w:t xml:space="preserve">Here, though, Laufer's plans to revisit the websites are far from those "some day intentions" found insufficient in </w:t>
      </w:r>
      <w:bookmarkStart w:id="3514" w:name="Bookmark_I66K8CDJ2HM6VH0010000400"/>
      <w:bookmarkEnd w:id="3514"/>
      <w:r>
        <w:rPr>
          <w:rFonts w:ascii="Arial" w:eastAsia="Arial" w:hAnsi="Arial" w:cs="Arial"/>
          <w:color w:val="000000"/>
          <w:sz w:val="20"/>
          <w:u w:val="single"/>
        </w:rPr>
        <w:t>Lujan</w:t>
      </w:r>
      <w:r>
        <w:rPr>
          <w:rFonts w:ascii="Arial" w:eastAsia="Arial" w:hAnsi="Arial" w:cs="Arial"/>
          <w:color w:val="000000"/>
          <w:sz w:val="20"/>
        </w:rPr>
        <w:t xml:space="preserve"> -- she's alleged her "concrete plans" to go back to the websites in the near future. [**33]  As an ADA tester, Laufer says she has a sophisticated system to continue monitoring the non-compliant websites she finds. She visits the website multiple times before filing her complaints, and then schedules herself to review the website again after the complaint is filed. </w:t>
      </w:r>
      <w:bookmarkStart w:id="3515" w:name="Bookmark_I66K8CDJ2HM6VH0040000400"/>
      <w:bookmarkEnd w:id="3515"/>
      <w:r>
        <w:rPr>
          <w:rFonts w:ascii="Arial" w:eastAsia="Arial" w:hAnsi="Arial" w:cs="Arial"/>
          <w:color w:val="000000"/>
          <w:sz w:val="20"/>
        </w:rPr>
        <w:t xml:space="preserve">And she says she will revisit Acheson's online reservation system "[i]n the near future" to test its ADA compliance. So, far from a mere possibility that someday Laufer will eventually head overseas to Sri Lanka or Egypt to see an endangered species that'll be forced into extinction, she has given her "description of [her] concrete plans" to re-visit the websites, easily accessible from her home, in the near future. </w:t>
      </w:r>
      <w:bookmarkStart w:id="3516" w:name="Bookmark_I66K8CDJ2N1RNV0050000400"/>
      <w:bookmarkEnd w:id="3516"/>
      <w:r>
        <w:rPr>
          <w:rFonts w:ascii="Arial" w:eastAsia="Arial" w:hAnsi="Arial" w:cs="Arial"/>
          <w:color w:val="000000"/>
          <w:sz w:val="20"/>
          <w:u w:val="single"/>
        </w:rPr>
        <w:t xml:space="preserve">See </w:t>
      </w:r>
      <w:bookmarkStart w:id="3517" w:name="Bookmark_I66K8CDJ2HM6VH0030000400"/>
      <w:bookmarkEnd w:id="3517"/>
      <w:r>
        <w:rPr>
          <w:rFonts w:ascii="Arial" w:eastAsia="Arial" w:hAnsi="Arial" w:cs="Arial"/>
          <w:color w:val="000000"/>
          <w:sz w:val="20"/>
          <w:u w:val="single"/>
        </w:rPr>
        <w:t>Lujan</w:t>
      </w:r>
      <w:r>
        <w:rPr>
          <w:rFonts w:ascii="Arial" w:eastAsia="Arial" w:hAnsi="Arial" w:cs="Arial"/>
          <w:color w:val="000000"/>
          <w:sz w:val="20"/>
        </w:rPr>
        <w:t xml:space="preserve">, 504 U.S. at 563-64; </w:t>
      </w:r>
      <w:r>
        <w:rPr>
          <w:rFonts w:ascii="Arial" w:eastAsia="Arial" w:hAnsi="Arial" w:cs="Arial"/>
          <w:color w:val="000000"/>
          <w:sz w:val="20"/>
          <w:u w:val="single"/>
        </w:rPr>
        <w:t xml:space="preserve">cf. </w:t>
      </w:r>
      <w:bookmarkStart w:id="3518" w:name="Bookmark_I66K8CDJ2HM6VH0050000400"/>
      <w:bookmarkEnd w:id="3518"/>
      <w:r>
        <w:rPr>
          <w:rFonts w:ascii="Arial" w:eastAsia="Arial" w:hAnsi="Arial" w:cs="Arial"/>
          <w:color w:val="000000"/>
          <w:sz w:val="20"/>
          <w:u w:val="single"/>
        </w:rPr>
        <w:t>Carney</w:t>
      </w:r>
      <w:r>
        <w:rPr>
          <w:rFonts w:ascii="Arial" w:eastAsia="Arial" w:hAnsi="Arial" w:cs="Arial"/>
          <w:color w:val="000000"/>
          <w:sz w:val="20"/>
        </w:rPr>
        <w:t xml:space="preserve">, 141 S. Ct. at 501-03 (plaintiff's assertion that he "would apply" for the job, "without any actual past injury, without reference to an anticipated timeframe, . . . and without any other supporting evidence" was not sufficient in a "highly fact-specific case"); </w:t>
      </w:r>
      <w:bookmarkStart w:id="3519" w:name="Bookmark_I66K8CDJ2N1RNV0020000400"/>
      <w:bookmarkEnd w:id="3519"/>
      <w:r>
        <w:rPr>
          <w:rFonts w:ascii="Arial" w:eastAsia="Arial" w:hAnsi="Arial" w:cs="Arial"/>
          <w:color w:val="000000"/>
          <w:sz w:val="20"/>
          <w:u w:val="single"/>
        </w:rPr>
        <w:t>Summers v. Earth Island Inst.</w:t>
      </w:r>
      <w:r>
        <w:rPr>
          <w:rFonts w:ascii="Arial" w:eastAsia="Arial" w:hAnsi="Arial" w:cs="Arial"/>
          <w:color w:val="000000"/>
          <w:sz w:val="20"/>
        </w:rPr>
        <w:t xml:space="preserve">, 555 U.S. 488, 496, 129 S. Ct. 1142, 173 L. Ed. 2d 1 (2009) (an assertion that the plaintiff "wants to go" to the area affected is too "vague"). </w:t>
      </w:r>
      <w:bookmarkStart w:id="3520" w:name="Bookmark_I66K8CDJ2N1RNV0050000400_2"/>
      <w:bookmarkEnd w:id="3520"/>
      <w:r>
        <w:rPr>
          <w:rFonts w:ascii="Arial" w:eastAsia="Arial" w:hAnsi="Arial" w:cs="Arial"/>
          <w:color w:val="000000"/>
          <w:sz w:val="20"/>
        </w:rPr>
        <w:t xml:space="preserve">Take all of that, too, with the fact that Laufer is a self-proclaimed ADA tester who makes it her vocation to test websites for ADA compliance. </w:t>
      </w:r>
      <w:r>
        <w:rPr>
          <w:rFonts w:ascii="Arial" w:eastAsia="Arial" w:hAnsi="Arial" w:cs="Arial"/>
          <w:color w:val="000000"/>
          <w:sz w:val="20"/>
          <w:u w:val="single"/>
        </w:rPr>
        <w:t xml:space="preserve">See </w:t>
      </w:r>
      <w:bookmarkStart w:id="3521" w:name="Bookmark_I66K8CDJ2N1RNV0040000400"/>
      <w:bookmarkEnd w:id="3521"/>
      <w:r>
        <w:rPr>
          <w:rFonts w:ascii="Arial" w:eastAsia="Arial" w:hAnsi="Arial" w:cs="Arial"/>
          <w:color w:val="000000"/>
          <w:sz w:val="20"/>
          <w:u w:val="single"/>
        </w:rPr>
        <w:t>Houston v. Marod Supermarkets, Inc.</w:t>
      </w:r>
      <w:r>
        <w:rPr>
          <w:rFonts w:ascii="Arial" w:eastAsia="Arial" w:hAnsi="Arial" w:cs="Arial"/>
          <w:color w:val="000000"/>
          <w:sz w:val="20"/>
        </w:rPr>
        <w:t>, 733 F.3d 1323, 1340 (11th Cir. 2013) (considering that [**34]  "ADA testing appears to be [the plaintiff's] avocation or at least what he does on a daily basis"). Also, importantly, Laufer asserts in her reply brief that while Acheson has made its website ADA-compliant, Acheson hasn't persuaded the third-party reservation services to do the same (a point we return to in section V). Her likelihood of future injury is far from conjectural or hypothetical; it's sufficiently imminent.</w:t>
      </w:r>
      <w:r>
        <w:rPr>
          <w:rFonts w:ascii="Arial" w:eastAsia="Arial" w:hAnsi="Arial" w:cs="Arial"/>
          <w:vertAlign w:val="superscript"/>
        </w:rPr>
        <w:footnoteReference w:customMarkFollows="1" w:id="70"/>
        <w:t>8</w:t>
      </w:r>
    </w:p>
    <w:p w:rsidR="00022B47" w:rsidRDefault="00000000">
      <w:pPr>
        <w:pStyle w:val="Normal17"/>
        <w:widowControl w:val="0"/>
        <w:spacing w:before="240" w:line="260" w:lineRule="atLeast"/>
      </w:pPr>
      <w:r>
        <w:br/>
      </w:r>
      <w:r>
        <w:rPr>
          <w:rFonts w:ascii="Arial" w:eastAsia="Arial" w:hAnsi="Arial" w:cs="Arial"/>
          <w:b/>
          <w:color w:val="000000"/>
          <w:sz w:val="20"/>
        </w:rPr>
        <w:t>V</w:t>
      </w:r>
      <w:r>
        <w:rPr>
          <w:rFonts w:ascii="Arial" w:eastAsia="Arial" w:hAnsi="Arial" w:cs="Arial"/>
          <w:color w:val="000000"/>
          <w:sz w:val="20"/>
        </w:rPr>
        <w:t>.</w:t>
      </w:r>
    </w:p>
    <w:p w:rsidR="00022B47" w:rsidRDefault="00000000">
      <w:pPr>
        <w:pStyle w:val="Normal17"/>
        <w:widowControl w:val="0"/>
        <w:spacing w:before="200" w:line="260" w:lineRule="atLeast"/>
        <w:jc w:val="both"/>
      </w:pPr>
      <w:bookmarkStart w:id="3523" w:name="Bookmark_para_59_2"/>
      <w:bookmarkEnd w:id="3523"/>
      <w:r>
        <w:rPr>
          <w:rFonts w:ascii="Arial" w:eastAsia="Arial" w:hAnsi="Arial" w:cs="Arial"/>
          <w:color w:val="000000"/>
          <w:sz w:val="20"/>
        </w:rPr>
        <w:t>Swinging its final punch, Acheson tucks in a quick suggestion that the case may also be moot. It says that because its website now shows that the Inn has no ADA-compliant lodging, Laufer can't contend that she'll suffer the same injury again.</w:t>
      </w:r>
    </w:p>
    <w:p w:rsidR="00022B47" w:rsidRDefault="00000000">
      <w:pPr>
        <w:pStyle w:val="Normal17"/>
        <w:widowControl w:val="0"/>
        <w:spacing w:before="200" w:line="260" w:lineRule="atLeast"/>
        <w:jc w:val="both"/>
      </w:pPr>
      <w:bookmarkStart w:id="3524" w:name="Bookmark_para_60_2"/>
      <w:bookmarkStart w:id="3525" w:name="Bookmark_I66K8CDK2HM6VK0020000400"/>
      <w:bookmarkStart w:id="3526" w:name="Bookmark_LNHNREFclscc28"/>
      <w:bookmarkEnd w:id="3524"/>
      <w:bookmarkEnd w:id="3525"/>
      <w:bookmarkEnd w:id="3526"/>
      <w:r>
        <w:rPr>
          <w:rFonts w:ascii="Arial" w:eastAsia="Arial" w:hAnsi="Arial" w:cs="Arial"/>
          <w:color w:val="000000"/>
          <w:sz w:val="20"/>
        </w:rPr>
        <w:t xml:space="preserve">Mootness is another part of the Article III case-or-controversy schema. </w:t>
      </w:r>
      <w:bookmarkStart w:id="3527" w:name="Bookmark_I66K8CDK28T4XF0010000400"/>
      <w:bookmarkEnd w:id="3527"/>
      <w:r>
        <w:rPr>
          <w:rFonts w:ascii="Arial" w:eastAsia="Arial" w:hAnsi="Arial" w:cs="Arial"/>
          <w:color w:val="000000"/>
          <w:sz w:val="20"/>
        </w:rPr>
        <w:t xml:space="preserve">Because we "decide only </w:t>
      </w:r>
      <w:r>
        <w:rPr>
          <w:rFonts w:ascii="Arial" w:eastAsia="Arial" w:hAnsi="Arial" w:cs="Arial"/>
          <w:color w:val="000000"/>
          <w:sz w:val="20"/>
          <w:u w:val="single"/>
        </w:rPr>
        <w:t>live</w:t>
      </w:r>
      <w:r>
        <w:rPr>
          <w:rFonts w:ascii="Arial" w:eastAsia="Arial" w:hAnsi="Arial" w:cs="Arial"/>
          <w:color w:val="000000"/>
          <w:sz w:val="20"/>
        </w:rPr>
        <w:t xml:space="preserve"> controversies that will have a real effect on real parties in interest," we don't decide cases where the parties' dispute has since been resolved. </w:t>
      </w:r>
      <w:bookmarkStart w:id="3528" w:name="Bookmark_I66K8CDK2HM6VK0010000400"/>
      <w:bookmarkEnd w:id="3528"/>
      <w:r>
        <w:rPr>
          <w:rFonts w:ascii="Arial" w:eastAsia="Arial" w:hAnsi="Arial" w:cs="Arial"/>
          <w:color w:val="000000"/>
          <w:sz w:val="20"/>
          <w:u w:val="single"/>
        </w:rPr>
        <w:t>Bos. Bit Labs, Inc. v. Baker</w:t>
      </w:r>
      <w:r>
        <w:rPr>
          <w:rFonts w:ascii="Arial" w:eastAsia="Arial" w:hAnsi="Arial" w:cs="Arial"/>
          <w:color w:val="000000"/>
          <w:sz w:val="20"/>
        </w:rPr>
        <w:t xml:space="preserve">, 11 F.4th 3, 8 (1st Cir. 2021); </w:t>
      </w:r>
      <w:r>
        <w:rPr>
          <w:rFonts w:ascii="Arial" w:eastAsia="Arial" w:hAnsi="Arial" w:cs="Arial"/>
          <w:color w:val="000000"/>
          <w:sz w:val="20"/>
          <w:u w:val="single"/>
        </w:rPr>
        <w:t xml:space="preserve">see </w:t>
      </w:r>
      <w:bookmarkStart w:id="3529" w:name="Bookmark_I66K8CDK2HM6VK0030000400"/>
      <w:bookmarkEnd w:id="3529"/>
      <w:r>
        <w:rPr>
          <w:rFonts w:ascii="Arial" w:eastAsia="Arial" w:hAnsi="Arial" w:cs="Arial"/>
          <w:color w:val="000000"/>
          <w:sz w:val="20"/>
          <w:u w:val="single"/>
        </w:rPr>
        <w:t>Chafin</w:t>
      </w:r>
      <w:r>
        <w:rPr>
          <w:rFonts w:ascii="Arial" w:eastAsia="Arial" w:hAnsi="Arial" w:cs="Arial"/>
          <w:color w:val="000000"/>
          <w:sz w:val="20"/>
        </w:rPr>
        <w:t xml:space="preserve">, 568 U.S. at 172. </w:t>
      </w:r>
      <w:bookmarkStart w:id="3530" w:name="Bookmark_I66K8CDK28T4XF0010000400_2"/>
      <w:bookmarkEnd w:id="3530"/>
      <w:r>
        <w:rPr>
          <w:rFonts w:ascii="Arial" w:eastAsia="Arial" w:hAnsi="Arial" w:cs="Arial"/>
          <w:color w:val="000000"/>
          <w:sz w:val="20"/>
        </w:rPr>
        <w:t xml:space="preserve">Since mootness goes to our Article III jurisdiction, we have to cross-check for it throughout the litigation: "'It is not enough that a dispute was very much alive when suit was filed'; the parties must 'continue'" -- even on appeal -- "'to have a personal stake' in the ultimate [**35]  disposition of the lawsuit." </w:t>
      </w:r>
      <w:bookmarkStart w:id="3531" w:name="Bookmark_I66K8CDK2HM6VK0050000400"/>
      <w:bookmarkEnd w:id="3531"/>
      <w:r>
        <w:rPr>
          <w:rFonts w:ascii="Arial" w:eastAsia="Arial" w:hAnsi="Arial" w:cs="Arial"/>
          <w:color w:val="000000"/>
          <w:sz w:val="20"/>
          <w:u w:val="single"/>
        </w:rPr>
        <w:t>Chafin</w:t>
      </w:r>
      <w:r>
        <w:rPr>
          <w:rFonts w:ascii="Arial" w:eastAsia="Arial" w:hAnsi="Arial" w:cs="Arial"/>
          <w:color w:val="000000"/>
          <w:sz w:val="20"/>
        </w:rPr>
        <w:t xml:space="preserve">, 568 U.S. at 172 (cleaned  [*278]  up) (quoting </w:t>
      </w:r>
      <w:bookmarkStart w:id="3532" w:name="Bookmark_I66K8CDK28T4XF0020000400"/>
      <w:bookmarkEnd w:id="3532"/>
      <w:r>
        <w:rPr>
          <w:rFonts w:ascii="Arial" w:eastAsia="Arial" w:hAnsi="Arial" w:cs="Arial"/>
          <w:color w:val="000000"/>
          <w:sz w:val="20"/>
          <w:u w:val="single"/>
        </w:rPr>
        <w:t>Lewis v. Continental Bank Corp.</w:t>
      </w:r>
      <w:r>
        <w:rPr>
          <w:rFonts w:ascii="Arial" w:eastAsia="Arial" w:hAnsi="Arial" w:cs="Arial"/>
          <w:color w:val="000000"/>
          <w:sz w:val="20"/>
        </w:rPr>
        <w:t>, 494 U.S. 472, 477-78, 110 S. Ct. 1249, 108 L. Ed. 2d 400 (1990)).</w:t>
      </w:r>
    </w:p>
    <w:p w:rsidR="00022B47" w:rsidRDefault="00000000">
      <w:pPr>
        <w:pStyle w:val="Normal17"/>
        <w:widowControl w:val="0"/>
        <w:spacing w:before="200" w:line="260" w:lineRule="atLeast"/>
        <w:jc w:val="both"/>
      </w:pPr>
      <w:bookmarkStart w:id="3533" w:name="Bookmark_para_61_2"/>
      <w:bookmarkStart w:id="3534" w:name="Bookmark_I66K8CDK28T4XF0050000400"/>
      <w:bookmarkStart w:id="3535" w:name="Bookmark_I66K8CDK2SF7YY0040000400"/>
      <w:bookmarkEnd w:id="3533"/>
      <w:bookmarkEnd w:id="3534"/>
      <w:bookmarkEnd w:id="3535"/>
      <w:r>
        <w:rPr>
          <w:rFonts w:ascii="Arial" w:eastAsia="Arial" w:hAnsi="Arial" w:cs="Arial"/>
          <w:color w:val="000000"/>
          <w:sz w:val="20"/>
        </w:rPr>
        <w:t xml:space="preserve">Yet getting a case declared moot is a "demanding standard" -- one met only when "'it is impossible for a court to grant any effectual relief whatever' to [the plaintiff] assuming it prevails." </w:t>
      </w:r>
      <w:bookmarkStart w:id="3536" w:name="Bookmark_I66K8CDK28T4XF0040000400"/>
      <w:bookmarkEnd w:id="3536"/>
      <w:r>
        <w:rPr>
          <w:rFonts w:ascii="Arial" w:eastAsia="Arial" w:hAnsi="Arial" w:cs="Arial"/>
          <w:color w:val="000000"/>
          <w:sz w:val="20"/>
          <w:u w:val="single"/>
        </w:rPr>
        <w:t>Mission Prod. Holdings</w:t>
      </w:r>
      <w:r>
        <w:rPr>
          <w:rFonts w:ascii="Arial" w:eastAsia="Arial" w:hAnsi="Arial" w:cs="Arial"/>
          <w:color w:val="000000"/>
          <w:sz w:val="20"/>
        </w:rPr>
        <w:t xml:space="preserve">, 139 S. Ct. at 1660 (quoting </w:t>
      </w:r>
      <w:bookmarkStart w:id="3537" w:name="Bookmark_I66K8CDK2SF7YY0010000400"/>
      <w:bookmarkEnd w:id="3537"/>
      <w:r>
        <w:rPr>
          <w:rFonts w:ascii="Arial" w:eastAsia="Arial" w:hAnsi="Arial" w:cs="Arial"/>
          <w:color w:val="000000"/>
          <w:sz w:val="20"/>
          <w:u w:val="single"/>
        </w:rPr>
        <w:t>Chafin</w:t>
      </w:r>
      <w:r>
        <w:rPr>
          <w:rFonts w:ascii="Arial" w:eastAsia="Arial" w:hAnsi="Arial" w:cs="Arial"/>
          <w:color w:val="000000"/>
          <w:sz w:val="20"/>
        </w:rPr>
        <w:t xml:space="preserve">, 568 U.S. at 172). The "heavy burden" of meeting that demanding standard falls on the party asserting mootness; so here, </w:t>
      </w:r>
      <w:bookmarkStart w:id="3538" w:name="Bookmark_I66K8CDK2SF7YY0030000400"/>
      <w:bookmarkEnd w:id="3538"/>
      <w:r>
        <w:rPr>
          <w:rFonts w:ascii="Arial" w:eastAsia="Arial" w:hAnsi="Arial" w:cs="Arial"/>
          <w:color w:val="000000"/>
          <w:sz w:val="20"/>
        </w:rPr>
        <w:t xml:space="preserve">Acheson. </w:t>
      </w:r>
      <w:r>
        <w:rPr>
          <w:rFonts w:ascii="Arial" w:eastAsia="Arial" w:hAnsi="Arial" w:cs="Arial"/>
          <w:color w:val="000000"/>
          <w:sz w:val="20"/>
          <w:u w:val="single"/>
        </w:rPr>
        <w:t>Bos. Bit Labs</w:t>
      </w:r>
      <w:r>
        <w:rPr>
          <w:rFonts w:ascii="Arial" w:eastAsia="Arial" w:hAnsi="Arial" w:cs="Arial"/>
          <w:color w:val="000000"/>
          <w:sz w:val="20"/>
        </w:rPr>
        <w:t>, 11 F.4th at 8. Acheson hasn't met it.</w:t>
      </w:r>
    </w:p>
    <w:p w:rsidR="00022B47" w:rsidRDefault="00000000">
      <w:pPr>
        <w:pStyle w:val="Normal17"/>
        <w:widowControl w:val="0"/>
        <w:spacing w:before="200" w:line="260" w:lineRule="atLeast"/>
        <w:jc w:val="both"/>
      </w:pPr>
      <w:bookmarkStart w:id="3539" w:name="Bookmark_para_62_1"/>
      <w:bookmarkEnd w:id="3539"/>
      <w:r>
        <w:rPr>
          <w:rFonts w:ascii="Arial" w:eastAsia="Arial" w:hAnsi="Arial" w:cs="Arial"/>
          <w:color w:val="000000"/>
          <w:sz w:val="20"/>
        </w:rPr>
        <w:t>Laufer's alleged violations are not just about what was (or more aptly, wasn't) on Acheson's own website. Laufer also alleged that Acheson violated the Reservation Rule via the booking portals on third-party booking websites, like Hotels.com. And as noted earlier, she avers that although Acheson's own website made changes, it hasn't gotten the third parties to update their websites.</w:t>
      </w:r>
    </w:p>
    <w:p w:rsidR="00022B47" w:rsidRDefault="00000000">
      <w:pPr>
        <w:pStyle w:val="Normal17"/>
        <w:widowControl w:val="0"/>
        <w:spacing w:before="200" w:line="260" w:lineRule="atLeast"/>
        <w:jc w:val="both"/>
      </w:pPr>
      <w:bookmarkStart w:id="3540" w:name="Bookmark_para_63_1"/>
      <w:bookmarkStart w:id="3541" w:name="Bookmark_I66K8CDK28T4XG0010000400"/>
      <w:bookmarkEnd w:id="3540"/>
      <w:bookmarkEnd w:id="3541"/>
      <w:r>
        <w:rPr>
          <w:rFonts w:ascii="Arial" w:eastAsia="Arial" w:hAnsi="Arial" w:cs="Arial"/>
          <w:color w:val="000000"/>
          <w:sz w:val="20"/>
        </w:rPr>
        <w:t xml:space="preserve">Again, to assess mootness, we need not decide whether Acheson can be held liable for those third-party websites' non-compliance. </w:t>
      </w:r>
      <w:bookmarkStart w:id="3542" w:name="Bookmark_I66K8CDK28T4XG0030000400"/>
      <w:bookmarkStart w:id="3543" w:name="Bookmark_LNHNREFclscc29"/>
      <w:bookmarkEnd w:id="3542"/>
      <w:bookmarkEnd w:id="3543"/>
      <w:r>
        <w:rPr>
          <w:rFonts w:ascii="Arial" w:eastAsia="Arial" w:hAnsi="Arial" w:cs="Arial"/>
          <w:color w:val="000000"/>
          <w:sz w:val="20"/>
        </w:rPr>
        <w:t xml:space="preserve">That a plaintiff's ultimate recovery "may be uncertain or even unlikely . . . is of no moment" to the mootness inquiry. </w:t>
      </w:r>
      <w:bookmarkStart w:id="3544" w:name="Bookmark_I66K8CDK2SF7YY0050000400"/>
      <w:bookmarkEnd w:id="3544"/>
      <w:r>
        <w:rPr>
          <w:rFonts w:ascii="Arial" w:eastAsia="Arial" w:hAnsi="Arial" w:cs="Arial"/>
          <w:color w:val="000000"/>
          <w:sz w:val="20"/>
          <w:u w:val="single"/>
        </w:rPr>
        <w:t>Mission Prod. Holdings</w:t>
      </w:r>
      <w:r>
        <w:rPr>
          <w:rFonts w:ascii="Arial" w:eastAsia="Arial" w:hAnsi="Arial" w:cs="Arial"/>
          <w:color w:val="000000"/>
          <w:sz w:val="20"/>
        </w:rPr>
        <w:t xml:space="preserve">, 139 S. Ct. at 1660. </w:t>
      </w:r>
      <w:bookmarkStart w:id="3545" w:name="Bookmark_I66K8CDK28T4XG0030000400_2"/>
      <w:bookmarkEnd w:id="3545"/>
      <w:r>
        <w:rPr>
          <w:rFonts w:ascii="Arial" w:eastAsia="Arial" w:hAnsi="Arial" w:cs="Arial"/>
          <w:color w:val="000000"/>
          <w:sz w:val="20"/>
        </w:rPr>
        <w:t xml:space="preserve">Instead, we assume the claim's legal validity to determine whether it is nonetheless moot. </w:t>
      </w:r>
      <w:r>
        <w:rPr>
          <w:rFonts w:ascii="Arial" w:eastAsia="Arial" w:hAnsi="Arial" w:cs="Arial"/>
          <w:color w:val="000000"/>
          <w:sz w:val="20"/>
          <w:u w:val="single"/>
        </w:rPr>
        <w:t xml:space="preserve">See </w:t>
      </w:r>
      <w:bookmarkStart w:id="3546" w:name="Bookmark_I66K8CDK28T4XG0020000400"/>
      <w:bookmarkEnd w:id="3546"/>
      <w:r>
        <w:rPr>
          <w:rFonts w:ascii="Arial" w:eastAsia="Arial" w:hAnsi="Arial" w:cs="Arial"/>
          <w:color w:val="000000"/>
          <w:sz w:val="20"/>
          <w:u w:val="single"/>
        </w:rPr>
        <w:t>Town of Portsmouth v. Lewis</w:t>
      </w:r>
      <w:r>
        <w:rPr>
          <w:rFonts w:ascii="Arial" w:eastAsia="Arial" w:hAnsi="Arial" w:cs="Arial"/>
          <w:color w:val="000000"/>
          <w:sz w:val="20"/>
        </w:rPr>
        <w:t xml:space="preserve">, 813 F.3d 54, 61 (1st Cir. 2016); </w:t>
      </w:r>
      <w:r>
        <w:rPr>
          <w:rFonts w:ascii="Arial" w:eastAsia="Arial" w:hAnsi="Arial" w:cs="Arial"/>
          <w:color w:val="000000"/>
          <w:sz w:val="20"/>
          <w:u w:val="single"/>
        </w:rPr>
        <w:t xml:space="preserve">see also </w:t>
      </w:r>
      <w:bookmarkStart w:id="3547" w:name="Bookmark_I66K8CDK28T4XG0040000400"/>
      <w:bookmarkEnd w:id="3547"/>
      <w:r>
        <w:rPr>
          <w:rFonts w:ascii="Arial" w:eastAsia="Arial" w:hAnsi="Arial" w:cs="Arial"/>
          <w:color w:val="000000"/>
          <w:sz w:val="20"/>
          <w:u w:val="single"/>
        </w:rPr>
        <w:t>Mission Prod. Holdings</w:t>
      </w:r>
      <w:r>
        <w:rPr>
          <w:rFonts w:ascii="Arial" w:eastAsia="Arial" w:hAnsi="Arial" w:cs="Arial"/>
          <w:color w:val="000000"/>
          <w:sz w:val="20"/>
        </w:rPr>
        <w:t>, 139 S. Ct. at 1660.</w:t>
      </w:r>
    </w:p>
    <w:p w:rsidR="00022B47" w:rsidRDefault="00000000">
      <w:pPr>
        <w:pStyle w:val="Normal17"/>
        <w:widowControl w:val="0"/>
        <w:spacing w:before="200" w:line="260" w:lineRule="atLeast"/>
        <w:jc w:val="both"/>
      </w:pPr>
      <w:bookmarkStart w:id="3548" w:name="Bookmark_para_64_1"/>
      <w:bookmarkStart w:id="3549" w:name="Bookmark_I66K8CDK2HM6VN0020000400"/>
      <w:bookmarkEnd w:id="3548"/>
      <w:bookmarkEnd w:id="3549"/>
      <w:r>
        <w:rPr>
          <w:rFonts w:ascii="Arial" w:eastAsia="Arial" w:hAnsi="Arial" w:cs="Arial"/>
          <w:color w:val="000000"/>
          <w:sz w:val="20"/>
        </w:rPr>
        <w:t xml:space="preserve">And, for the record, nothing seems "so implausible," </w:t>
      </w:r>
      <w:bookmarkStart w:id="3550" w:name="Bookmark_I66K8CDK2HM6VN0010000400"/>
      <w:bookmarkEnd w:id="3550"/>
      <w:r>
        <w:rPr>
          <w:rFonts w:ascii="Arial" w:eastAsia="Arial" w:hAnsi="Arial" w:cs="Arial"/>
          <w:color w:val="000000"/>
          <w:sz w:val="20"/>
          <w:u w:val="single"/>
        </w:rPr>
        <w:t>Chafin</w:t>
      </w:r>
      <w:r>
        <w:rPr>
          <w:rFonts w:ascii="Arial" w:eastAsia="Arial" w:hAnsi="Arial" w:cs="Arial"/>
          <w:color w:val="000000"/>
          <w:sz w:val="20"/>
        </w:rPr>
        <w:t xml:space="preserve">, 568 U.S. at 174, or "wholly insubstantial [**36]  and frivolous" about Laufer's claim based on the third-party websites, </w:t>
      </w:r>
      <w:r>
        <w:rPr>
          <w:rFonts w:ascii="Arial" w:eastAsia="Arial" w:hAnsi="Arial" w:cs="Arial"/>
          <w:color w:val="000000"/>
          <w:sz w:val="20"/>
          <w:u w:val="single"/>
        </w:rPr>
        <w:t xml:space="preserve">see </w:t>
      </w:r>
      <w:bookmarkStart w:id="3551" w:name="Bookmark_I66K8CDK2HM6VN0030000400"/>
      <w:bookmarkEnd w:id="3551"/>
      <w:r>
        <w:rPr>
          <w:rFonts w:ascii="Arial" w:eastAsia="Arial" w:hAnsi="Arial" w:cs="Arial"/>
          <w:color w:val="000000"/>
          <w:sz w:val="20"/>
          <w:u w:val="single"/>
        </w:rPr>
        <w:t>Town of Portsmouth</w:t>
      </w:r>
      <w:r>
        <w:rPr>
          <w:rFonts w:ascii="Arial" w:eastAsia="Arial" w:hAnsi="Arial" w:cs="Arial"/>
          <w:color w:val="000000"/>
          <w:sz w:val="20"/>
        </w:rPr>
        <w:t xml:space="preserve">, 813 F.3d at 61. </w:t>
      </w:r>
      <w:bookmarkStart w:id="3552" w:name="Bookmark_LNHNREFclscc30"/>
      <w:bookmarkEnd w:id="3552"/>
      <w:r>
        <w:rPr>
          <w:rFonts w:ascii="Arial" w:eastAsia="Arial" w:hAnsi="Arial" w:cs="Arial"/>
          <w:color w:val="000000"/>
          <w:sz w:val="20"/>
        </w:rPr>
        <w:t xml:space="preserve">Acheson hasn't suggested that the third-party websites have been updated, and the regulations provide that the public accommodation's obligations extend to "reservations made by any means, including . . . through a third party." 28 C.F.R. § 36.302(e)(1); </w:t>
      </w:r>
      <w:r>
        <w:rPr>
          <w:rFonts w:ascii="Arial" w:eastAsia="Arial" w:hAnsi="Arial" w:cs="Arial"/>
          <w:color w:val="000000"/>
          <w:sz w:val="20"/>
          <w:u w:val="single"/>
        </w:rPr>
        <w:t>see DOJ Guidance</w:t>
      </w:r>
      <w:r>
        <w:rPr>
          <w:rFonts w:ascii="Arial" w:eastAsia="Arial" w:hAnsi="Arial" w:cs="Arial"/>
          <w:color w:val="000000"/>
          <w:sz w:val="20"/>
        </w:rPr>
        <w:t xml:space="preserve">, 28 C.F.R. pt. 36, app. A (2010) (rejecting hotels' notice-and-comment arguments that "they are unable to control the actions of unrelated parties" and stating that hotels "that use third-party reservations services . . . must provide these third-party services with information concerning the accessible features of the hotel and the accessible rooms"). </w:t>
      </w:r>
      <w:bookmarkStart w:id="3553" w:name="Bookmark_I66K8CDK28T4XH0010000400"/>
      <w:bookmarkEnd w:id="3553"/>
      <w:r>
        <w:rPr>
          <w:rFonts w:ascii="Arial" w:eastAsia="Arial" w:hAnsi="Arial" w:cs="Arial"/>
          <w:color w:val="000000"/>
          <w:sz w:val="20"/>
        </w:rPr>
        <w:t xml:space="preserve">Nor has Acheson represented that it made that information available to all of the thirteen third-party booking websites that Laufer alleges were non-compliant, but they just haven't put the info online. </w:t>
      </w:r>
      <w:bookmarkStart w:id="3554" w:name="Bookmark_I66K8CDK28T4XH0010000400_2"/>
      <w:bookmarkEnd w:id="3554"/>
      <w:r>
        <w:rPr>
          <w:rFonts w:ascii="Arial" w:eastAsia="Arial" w:hAnsi="Arial" w:cs="Arial"/>
          <w:color w:val="000000"/>
          <w:sz w:val="20"/>
          <w:u w:val="single"/>
        </w:rPr>
        <w:t>Cf. DOJ Guidance</w:t>
      </w:r>
      <w:r>
        <w:rPr>
          <w:rFonts w:ascii="Arial" w:eastAsia="Arial" w:hAnsi="Arial" w:cs="Arial"/>
          <w:color w:val="000000"/>
          <w:sz w:val="20"/>
        </w:rPr>
        <w:t>, 28 C.F.R. pt. 36, app. A (2010) (providing that if the hotel makes the information about accessibility available to the third-party booking website but the third-party doesn't give the information out, the hotel "will not be responsible"). So there's still a live claim to decide.</w:t>
      </w:r>
      <w:r>
        <w:rPr>
          <w:rFonts w:ascii="Arial" w:eastAsia="Arial" w:hAnsi="Arial" w:cs="Arial"/>
          <w:vertAlign w:val="superscript"/>
        </w:rPr>
        <w:footnoteReference w:customMarkFollows="1" w:id="71"/>
        <w:t>9</w:t>
      </w:r>
    </w:p>
    <w:p w:rsidR="00022B47" w:rsidRDefault="00000000">
      <w:pPr>
        <w:pStyle w:val="Normal17"/>
        <w:widowControl w:val="0"/>
        <w:spacing w:before="200" w:line="260" w:lineRule="atLeast"/>
        <w:jc w:val="both"/>
      </w:pPr>
      <w:bookmarkStart w:id="3557" w:name="Bookmark_para_65_1"/>
      <w:bookmarkEnd w:id="3557"/>
      <w:r>
        <w:rPr>
          <w:rFonts w:ascii="Arial" w:eastAsia="Arial" w:hAnsi="Arial" w:cs="Arial"/>
          <w:color w:val="000000"/>
          <w:sz w:val="20"/>
        </w:rPr>
        <w:t>* * *</w:t>
      </w:r>
    </w:p>
    <w:p w:rsidR="00022B47" w:rsidRDefault="00000000">
      <w:pPr>
        <w:pStyle w:val="Normal17"/>
        <w:widowControl w:val="0"/>
        <w:spacing w:before="200" w:line="260" w:lineRule="atLeast"/>
        <w:jc w:val="both"/>
      </w:pPr>
      <w:bookmarkStart w:id="3558" w:name="Bookmark_para_66_1"/>
      <w:bookmarkEnd w:id="3558"/>
      <w:r>
        <w:rPr>
          <w:rFonts w:ascii="Arial" w:eastAsia="Arial" w:hAnsi="Arial" w:cs="Arial"/>
          <w:color w:val="000000"/>
          <w:sz w:val="20"/>
        </w:rPr>
        <w:t xml:space="preserve">For all these reasons, the district court has Article III jurisdiction [**37]  over this case (at least for now). The judgment of the district court is therefore </w:t>
      </w:r>
      <w:r>
        <w:rPr>
          <w:rFonts w:ascii="Arial" w:eastAsia="Arial" w:hAnsi="Arial" w:cs="Arial"/>
          <w:b/>
          <w:color w:val="000000"/>
          <w:sz w:val="20"/>
          <w:u w:val="single"/>
        </w:rPr>
        <w:t>reversed</w:t>
      </w:r>
      <w:r>
        <w:rPr>
          <w:rFonts w:ascii="Arial" w:eastAsia="Arial" w:hAnsi="Arial" w:cs="Arial"/>
          <w:color w:val="000000"/>
          <w:sz w:val="20"/>
        </w:rPr>
        <w:t xml:space="preserve">, and  [*279]  the case is </w:t>
      </w:r>
      <w:r>
        <w:rPr>
          <w:rFonts w:ascii="Arial" w:eastAsia="Arial" w:hAnsi="Arial" w:cs="Arial"/>
          <w:b/>
          <w:color w:val="000000"/>
          <w:sz w:val="20"/>
          <w:u w:val="single"/>
        </w:rPr>
        <w:t>remanded</w:t>
      </w:r>
      <w:r>
        <w:rPr>
          <w:rFonts w:ascii="Arial" w:eastAsia="Arial" w:hAnsi="Arial" w:cs="Arial"/>
          <w:color w:val="000000"/>
          <w:sz w:val="20"/>
        </w:rPr>
        <w:t xml:space="preserve"> for further proceedings. Costs to appellant.</w:t>
      </w:r>
    </w:p>
    <w:p w:rsidR="00022B47" w:rsidRDefault="00022B47">
      <w:pPr>
        <w:pStyle w:val="Normal17"/>
      </w:pPr>
    </w:p>
    <w:p w:rsidR="00022B47" w:rsidRDefault="00000000">
      <w:pPr>
        <w:pStyle w:val="Normal17"/>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69510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95047603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8218F9" id="Line 38"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18"/>
        <w:sectPr w:rsidR="00022B47">
          <w:headerReference w:type="even" r:id="rId115"/>
          <w:headerReference w:type="default" r:id="rId116"/>
          <w:footerReference w:type="even" r:id="rId117"/>
          <w:footerReference w:type="default" r:id="rId118"/>
          <w:headerReference w:type="first" r:id="rId119"/>
          <w:footerReference w:type="first" r:id="rId120"/>
          <w:pgSz w:w="12240" w:h="15840"/>
          <w:pgMar w:top="840" w:right="1000" w:bottom="840" w:left="1000" w:header="400" w:footer="400" w:gutter="0"/>
          <w:cols w:space="720"/>
          <w:titlePg/>
        </w:sectPr>
      </w:pPr>
    </w:p>
    <w:p w:rsidR="00022B47" w:rsidRDefault="00022B47">
      <w:pPr>
        <w:pStyle w:val="Normal18"/>
      </w:pPr>
    </w:p>
    <w:p w:rsidR="00022B47" w:rsidRDefault="00000000">
      <w:pPr>
        <w:pStyle w:val="Heading117"/>
        <w:keepNext w:val="0"/>
        <w:widowControl w:val="0"/>
        <w:spacing w:after="200" w:line="340" w:lineRule="atLeast"/>
        <w:jc w:val="center"/>
      </w:pPr>
      <w:r>
        <w:rPr>
          <w:rFonts w:eastAsia="Arial"/>
          <w:color w:val="000000"/>
          <w:sz w:val="28"/>
        </w:rPr>
        <w:t>Koslosky v. Am. Airlines, Inc.</w:t>
      </w:r>
    </w:p>
    <w:p w:rsidR="00022B47" w:rsidRDefault="00000000">
      <w:pPr>
        <w:pStyle w:val="Normal18"/>
        <w:widowControl w:val="0"/>
        <w:spacing w:before="120" w:line="260" w:lineRule="atLeast"/>
        <w:jc w:val="center"/>
      </w:pPr>
      <w:r>
        <w:rPr>
          <w:rFonts w:ascii="Arial" w:eastAsia="Arial" w:hAnsi="Arial" w:cs="Arial"/>
          <w:color w:val="000000"/>
          <w:sz w:val="20"/>
        </w:rPr>
        <w:t>United States Court of Appeals for the Third Circuit</w:t>
      </w:r>
    </w:p>
    <w:p w:rsidR="00022B47" w:rsidRDefault="00000000">
      <w:pPr>
        <w:pStyle w:val="Normal18"/>
        <w:widowControl w:val="0"/>
        <w:spacing w:before="120" w:line="260" w:lineRule="atLeast"/>
        <w:jc w:val="center"/>
      </w:pPr>
      <w:r>
        <w:rPr>
          <w:rFonts w:ascii="Arial" w:eastAsia="Arial" w:hAnsi="Arial" w:cs="Arial"/>
          <w:color w:val="000000"/>
          <w:sz w:val="20"/>
        </w:rPr>
        <w:t>September 19, 2022, Submitted Under Third Circuit L.A.R. 34.1(a); September 27, 2022, Opinion Filed</w:t>
      </w:r>
    </w:p>
    <w:p w:rsidR="00022B47" w:rsidRDefault="00000000">
      <w:pPr>
        <w:pStyle w:val="Normal18"/>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20-2081</w:t>
      </w:r>
    </w:p>
    <w:p w:rsidR="00022B47" w:rsidRDefault="00022B47">
      <w:pPr>
        <w:pStyle w:val="Normal18"/>
        <w:widowControl w:val="0"/>
        <w:spacing w:line="240" w:lineRule="atLeast"/>
        <w:jc w:val="both"/>
      </w:pPr>
      <w:bookmarkStart w:id="3559" w:name="Bookmark_19"/>
      <w:bookmarkEnd w:id="3559"/>
    </w:p>
    <w:p w:rsidR="00022B47" w:rsidRDefault="00000000">
      <w:pPr>
        <w:pStyle w:val="Normal18"/>
        <w:widowControl w:val="0"/>
        <w:spacing w:before="200" w:line="240" w:lineRule="atLeast"/>
      </w:pPr>
      <w:bookmarkStart w:id="3560" w:name="Reporter_17"/>
      <w:bookmarkEnd w:id="3560"/>
      <w:r>
        <w:rPr>
          <w:rFonts w:ascii="Arial" w:eastAsia="Arial" w:hAnsi="Arial" w:cs="Arial"/>
          <w:b/>
          <w:color w:val="000000"/>
          <w:sz w:val="18"/>
        </w:rPr>
        <w:t>Reporter</w:t>
      </w:r>
    </w:p>
    <w:p w:rsidR="00022B47" w:rsidRDefault="00000000">
      <w:pPr>
        <w:pStyle w:val="Normal18"/>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2022 U.S. App. LEXIS 26967 *; 2022 WL 4481537</w:t>
      </w:r>
    </w:p>
    <w:p w:rsidR="00022B47" w:rsidRDefault="00000000">
      <w:pPr>
        <w:pStyle w:val="Normal18"/>
        <w:widowControl w:val="0"/>
        <w:spacing w:before="120" w:line="260" w:lineRule="atLeast"/>
      </w:pPr>
      <w:r>
        <w:rPr>
          <w:rFonts w:ascii="Arial" w:eastAsia="Arial" w:hAnsi="Arial" w:cs="Arial"/>
          <w:color w:val="000000"/>
          <w:sz w:val="20"/>
        </w:rPr>
        <w:t>COLLEEN KOSLOSKY, Appellant v. AMERICAN AIRLINES, INC.</w:t>
      </w:r>
    </w:p>
    <w:p w:rsidR="00022B47" w:rsidRDefault="00000000">
      <w:pPr>
        <w:pStyle w:val="Normal18"/>
        <w:widowControl w:val="0"/>
        <w:spacing w:before="240" w:line="260" w:lineRule="atLeast"/>
        <w:jc w:val="both"/>
      </w:pPr>
      <w:bookmarkStart w:id="3561" w:name="Notice_7"/>
      <w:bookmarkEnd w:id="3561"/>
      <w:r>
        <w:rPr>
          <w:rFonts w:ascii="Arial" w:eastAsia="Arial" w:hAnsi="Arial" w:cs="Arial"/>
          <w:b/>
          <w:color w:val="000000"/>
          <w:sz w:val="20"/>
        </w:rPr>
        <w:t>Notice:</w:t>
      </w:r>
      <w:r>
        <w:rPr>
          <w:rFonts w:ascii="Arial" w:eastAsia="Arial" w:hAnsi="Arial" w:cs="Arial"/>
          <w:color w:val="000000"/>
          <w:sz w:val="20"/>
        </w:rPr>
        <w:t> </w:t>
      </w:r>
      <w:bookmarkStart w:id="3562" w:name="Bookmark_para_1_17"/>
      <w:bookmarkEnd w:id="3562"/>
      <w:r>
        <w:rPr>
          <w:rFonts w:ascii="Arial" w:eastAsia="Arial" w:hAnsi="Arial" w:cs="Arial"/>
          <w:color w:val="000000"/>
          <w:sz w:val="20"/>
        </w:rPr>
        <w:t>NOT PRECEDENTIAL OPINION UNDER THIRD CIRCUIT INTERNAL OPERATING PROCEDURE RULE 5.7. SUCH OPINIONS ARE NOT REGARDED AS PRECEDENTS WHICH BIND THE COURT.</w:t>
      </w:r>
    </w:p>
    <w:p w:rsidR="00022B47" w:rsidRDefault="00000000">
      <w:pPr>
        <w:pStyle w:val="Normal18"/>
        <w:widowControl w:val="0"/>
        <w:spacing w:before="200" w:line="260" w:lineRule="atLeast"/>
        <w:jc w:val="both"/>
      </w:pPr>
      <w:bookmarkStart w:id="3563" w:name="Bookmark_para_2_17"/>
      <w:bookmarkEnd w:id="3563"/>
      <w:r>
        <w:rPr>
          <w:rFonts w:ascii="Arial" w:eastAsia="Arial" w:hAnsi="Arial" w:cs="Arial"/>
          <w:color w:val="000000"/>
          <w:sz w:val="20"/>
        </w:rPr>
        <w:t>PLEASE REFER TO FEDERAL RULES OF APPELLATE PROCEDURE RULE 32.1 GOVERNING THE CITATION TO UNPUBLISHED OPINIONS.</w:t>
      </w:r>
    </w:p>
    <w:p w:rsidR="00022B47" w:rsidRDefault="00000000">
      <w:pPr>
        <w:pStyle w:val="Normal18"/>
        <w:widowControl w:val="0"/>
        <w:spacing w:before="240" w:line="260" w:lineRule="atLeast"/>
        <w:jc w:val="both"/>
      </w:pPr>
      <w:bookmarkStart w:id="3564" w:name="Prior_History_17"/>
      <w:bookmarkEnd w:id="3564"/>
      <w:r>
        <w:rPr>
          <w:rFonts w:ascii="Arial" w:eastAsia="Arial" w:hAnsi="Arial" w:cs="Arial"/>
          <w:b/>
          <w:color w:val="000000"/>
          <w:sz w:val="20"/>
        </w:rPr>
        <w:t>Prior History:</w:t>
      </w:r>
      <w:r>
        <w:rPr>
          <w:rFonts w:ascii="Arial" w:eastAsia="Arial" w:hAnsi="Arial" w:cs="Arial"/>
          <w:color w:val="000000"/>
          <w:sz w:val="20"/>
        </w:rPr>
        <w:t> </w:t>
      </w:r>
      <w:bookmarkStart w:id="3565" w:name="Bookmark_para_3_17"/>
      <w:bookmarkEnd w:id="3565"/>
      <w:r>
        <w:rPr>
          <w:rFonts w:ascii="Arial" w:eastAsia="Arial" w:hAnsi="Arial" w:cs="Arial"/>
          <w:color w:val="000000"/>
          <w:sz w:val="20"/>
        </w:rPr>
        <w:t> [*1] Appeal from the United States District Court for the Eastern District of Pennsylvania. (D.C. Civil Action No. 2:18-cv-04654). District Judge: Honorable Joshua D. Wolson.</w:t>
      </w:r>
    </w:p>
    <w:p w:rsidR="00022B47" w:rsidRDefault="00000000">
      <w:pPr>
        <w:pStyle w:val="Normal18"/>
        <w:widowControl w:val="0"/>
        <w:spacing w:before="120" w:line="260" w:lineRule="atLeast"/>
      </w:pPr>
      <w:r>
        <w:rPr>
          <w:rFonts w:ascii="Arial" w:eastAsia="Arial" w:hAnsi="Arial" w:cs="Arial"/>
          <w:color w:val="000000"/>
          <w:sz w:val="20"/>
        </w:rPr>
        <w:t>Koslosky v. Am. Airlines, Inc., 456 F. Supp. 3d 681, 2020 U.S. Dist. LEXIS 73213, 2020 WL 1984886 (E.D. Pa., Apr. 27, 2020)</w:t>
      </w:r>
    </w:p>
    <w:p w:rsidR="00022B47" w:rsidRDefault="00000000">
      <w:pPr>
        <w:pStyle w:val="Normal18"/>
        <w:widowControl w:val="0"/>
        <w:spacing w:before="240" w:line="260" w:lineRule="atLeast"/>
      </w:pPr>
      <w:bookmarkStart w:id="3566" w:name="Counsel_17"/>
      <w:bookmarkEnd w:id="3566"/>
      <w:r>
        <w:rPr>
          <w:rFonts w:ascii="Arial" w:eastAsia="Arial" w:hAnsi="Arial" w:cs="Arial"/>
          <w:b/>
          <w:color w:val="000000"/>
          <w:sz w:val="20"/>
        </w:rPr>
        <w:t>Counsel:</w:t>
      </w:r>
      <w:r>
        <w:rPr>
          <w:rFonts w:ascii="Arial" w:eastAsia="Arial" w:hAnsi="Arial" w:cs="Arial"/>
          <w:color w:val="000000"/>
          <w:sz w:val="20"/>
        </w:rPr>
        <w:t> For COLLEEN KOSLOSKY, Plaintiff - Appellant: David M. Koller, Esq., Koller Law, Philadelphia, PA.</w:t>
      </w:r>
    </w:p>
    <w:p w:rsidR="00022B47" w:rsidRDefault="00000000">
      <w:pPr>
        <w:pStyle w:val="Normal18"/>
        <w:widowControl w:val="0"/>
        <w:spacing w:before="120" w:line="260" w:lineRule="atLeast"/>
      </w:pPr>
      <w:r>
        <w:rPr>
          <w:rFonts w:ascii="Arial" w:eastAsia="Arial" w:hAnsi="Arial" w:cs="Arial"/>
          <w:color w:val="000000"/>
          <w:sz w:val="20"/>
        </w:rPr>
        <w:t>For AMERICAN AIRLINES INC, Defendant - Appellee: Daniel E. Farrington, Esq., Margaret J. Scheele, Esq., Fisher &amp; Phillips, Bethesda, MD; Christina M. Michael, Esq., Fisher &amp; Phillips, Philadelphia, PA.</w:t>
      </w:r>
    </w:p>
    <w:p w:rsidR="00022B47" w:rsidRDefault="00000000">
      <w:pPr>
        <w:pStyle w:val="Normal18"/>
        <w:widowControl w:val="0"/>
        <w:spacing w:before="240" w:line="260" w:lineRule="atLeast"/>
      </w:pPr>
      <w:bookmarkStart w:id="3567" w:name="Judges_17"/>
      <w:bookmarkEnd w:id="3567"/>
      <w:r>
        <w:rPr>
          <w:rFonts w:ascii="Arial" w:eastAsia="Arial" w:hAnsi="Arial" w:cs="Arial"/>
          <w:b/>
          <w:color w:val="000000"/>
          <w:sz w:val="20"/>
        </w:rPr>
        <w:t>Judges:</w:t>
      </w:r>
      <w:r>
        <w:rPr>
          <w:rFonts w:ascii="Arial" w:eastAsia="Arial" w:hAnsi="Arial" w:cs="Arial"/>
          <w:color w:val="000000"/>
          <w:sz w:val="20"/>
        </w:rPr>
        <w:t> Before: AMBRO, RESTREPO and FUENTES, Circuit Judges.</w:t>
      </w:r>
    </w:p>
    <w:p w:rsidR="00022B47" w:rsidRDefault="00000000">
      <w:pPr>
        <w:pStyle w:val="Normal18"/>
        <w:widowControl w:val="0"/>
        <w:spacing w:before="240" w:line="260" w:lineRule="atLeast"/>
      </w:pPr>
      <w:bookmarkStart w:id="3568" w:name="Opinion_by_9"/>
      <w:bookmarkEnd w:id="3568"/>
      <w:r>
        <w:rPr>
          <w:rFonts w:ascii="Arial" w:eastAsia="Arial" w:hAnsi="Arial" w:cs="Arial"/>
          <w:b/>
          <w:color w:val="000000"/>
          <w:sz w:val="20"/>
        </w:rPr>
        <w:t>Opinion by:</w:t>
      </w:r>
      <w:r>
        <w:rPr>
          <w:rFonts w:ascii="Arial" w:eastAsia="Arial" w:hAnsi="Arial" w:cs="Arial"/>
          <w:color w:val="000000"/>
          <w:sz w:val="20"/>
        </w:rPr>
        <w:t> AMBRO</w:t>
      </w:r>
    </w:p>
    <w:p w:rsidR="00022B47" w:rsidRDefault="00000000">
      <w:pPr>
        <w:pStyle w:val="Normal18"/>
        <w:keepNext/>
        <w:widowControl w:val="0"/>
        <w:spacing w:before="240" w:line="340" w:lineRule="atLeast"/>
      </w:pPr>
      <w:bookmarkStart w:id="3569" w:name="Opinion_17"/>
      <w:bookmarkEnd w:id="3569"/>
      <w:r>
        <w:rPr>
          <w:rFonts w:ascii="Arial" w:eastAsia="Arial" w:hAnsi="Arial" w:cs="Arial"/>
          <w:b/>
          <w:color w:val="000000"/>
          <w:sz w:val="28"/>
        </w:rPr>
        <w:t>Opinion</w:t>
      </w:r>
    </w:p>
    <w:p w:rsidR="00022B47" w:rsidRDefault="0025213E">
      <w:pPr>
        <w:pStyle w:val="Normal18"/>
        <w:spacing w:line="60" w:lineRule="exact"/>
      </w:pPr>
      <w:r>
        <w:rPr>
          <w:noProof/>
        </w:rPr>
        <mc:AlternateContent>
          <mc:Choice Requires="wps">
            <w:drawing>
              <wp:anchor distT="0" distB="0" distL="114300" distR="114300" simplePos="0" relativeHeight="25169612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252160839"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2C275F" id="Line 39"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18"/>
        <w:spacing w:line="120" w:lineRule="exact"/>
      </w:pPr>
    </w:p>
    <w:p w:rsidR="00022B47" w:rsidRDefault="00000000">
      <w:pPr>
        <w:pStyle w:val="Normal18"/>
        <w:widowControl w:val="0"/>
        <w:spacing w:before="120" w:line="260" w:lineRule="atLeast"/>
      </w:pPr>
      <w:r>
        <w:rPr>
          <w:rFonts w:ascii="Arial" w:eastAsia="Arial" w:hAnsi="Arial" w:cs="Arial"/>
          <w:color w:val="000000"/>
          <w:sz w:val="20"/>
        </w:rPr>
        <w:t>OPINION</w:t>
      </w:r>
      <w:r>
        <w:rPr>
          <w:rFonts w:ascii="Arial" w:eastAsia="Arial" w:hAnsi="Arial" w:cs="Arial"/>
          <w:vertAlign w:val="superscript"/>
        </w:rPr>
        <w:footnoteReference w:customMarkFollows="1" w:id="72"/>
        <w:t>*</w:t>
      </w:r>
    </w:p>
    <w:p w:rsidR="00022B47" w:rsidRDefault="00000000">
      <w:pPr>
        <w:pStyle w:val="Normal18"/>
        <w:widowControl w:val="0"/>
        <w:spacing w:before="200" w:line="260" w:lineRule="atLeast"/>
        <w:jc w:val="both"/>
      </w:pPr>
      <w:bookmarkStart w:id="3571" w:name="Bookmark_para_4_17"/>
      <w:bookmarkEnd w:id="3571"/>
      <w:r>
        <w:rPr>
          <w:rFonts w:ascii="Arial" w:eastAsia="Arial" w:hAnsi="Arial" w:cs="Arial"/>
          <w:color w:val="000000"/>
          <w:sz w:val="20"/>
        </w:rPr>
        <w:t xml:space="preserve">AMBRO, </w:t>
      </w:r>
      <w:r>
        <w:rPr>
          <w:rFonts w:ascii="Arial" w:eastAsia="Arial" w:hAnsi="Arial" w:cs="Arial"/>
          <w:color w:val="000000"/>
          <w:sz w:val="20"/>
          <w:u w:val="single"/>
        </w:rPr>
        <w:t>Circuit Judge</w:t>
      </w:r>
    </w:p>
    <w:p w:rsidR="00022B47" w:rsidRDefault="00000000">
      <w:pPr>
        <w:pStyle w:val="Normal18"/>
        <w:widowControl w:val="0"/>
        <w:spacing w:before="200" w:line="260" w:lineRule="atLeast"/>
        <w:jc w:val="both"/>
      </w:pPr>
      <w:bookmarkStart w:id="3572" w:name="Bookmark_para_5_17"/>
      <w:bookmarkEnd w:id="3572"/>
      <w:r>
        <w:rPr>
          <w:rFonts w:ascii="Arial" w:eastAsia="Arial" w:hAnsi="Arial" w:cs="Arial"/>
          <w:color w:val="000000"/>
          <w:sz w:val="20"/>
        </w:rPr>
        <w:t>Colleen Koslosky, a longtime employee of American Airlines, Inc. ("American"), was fired after racially insensitive postings on her public Facebook page generated an online backlash. She sued American, alleging her firing was discriminatory and pretextual, and that its earlier denial of her request for a disability accommodation (after she suffered nerve damage and edema in her leg) was discriminatory. The District Court didn't buy it and granted summary judgment against all of Koslosky's claims. We agree and so affirm.</w:t>
      </w:r>
      <w:r>
        <w:rPr>
          <w:rFonts w:ascii="Arial" w:eastAsia="Arial" w:hAnsi="Arial" w:cs="Arial"/>
          <w:vertAlign w:val="superscript"/>
        </w:rPr>
        <w:footnoteReference w:customMarkFollows="1" w:id="73"/>
        <w:t>1</w:t>
      </w:r>
    </w:p>
    <w:p w:rsidR="00022B47" w:rsidRDefault="00000000">
      <w:pPr>
        <w:pStyle w:val="Normal18"/>
        <w:widowControl w:val="0"/>
        <w:spacing w:before="120" w:line="260" w:lineRule="atLeast"/>
      </w:pPr>
      <w:r>
        <w:rPr>
          <w:rFonts w:ascii="Arial" w:eastAsia="Arial" w:hAnsi="Arial" w:cs="Arial"/>
          <w:color w:val="000000"/>
          <w:sz w:val="20"/>
        </w:rPr>
        <w:t>I.</w:t>
      </w:r>
    </w:p>
    <w:p w:rsidR="00022B47" w:rsidRDefault="00000000">
      <w:pPr>
        <w:pStyle w:val="Normal18"/>
        <w:widowControl w:val="0"/>
        <w:spacing w:before="200" w:line="260" w:lineRule="atLeast"/>
        <w:jc w:val="both"/>
      </w:pPr>
      <w:bookmarkStart w:id="3574" w:name="Bookmark_para_6_17"/>
      <w:bookmarkEnd w:id="3574"/>
      <w:r>
        <w:rPr>
          <w:rFonts w:ascii="Arial" w:eastAsia="Arial" w:hAnsi="Arial" w:cs="Arial"/>
          <w:color w:val="000000"/>
          <w:sz w:val="20"/>
        </w:rPr>
        <w:t>Koslosky worked as a customer service agent for American at the Philadelphia International Airport. During her tenure, the [*2]  airline operated many of its flights at that airport out of Terminals B and C. On August 16, 2016, Koslosky requested she be assigned to work exclusively at gates in Terminal B on account of edema in her leg that limited her ability to engage in "excessive walking." Supp. Appx. 35-36, 118-121. After reviewing her request for accommodation, American's Human Resources department denied the request but instead offered to accommodate Koslosky by assigning her exclusively to other roles that did not require excessive walking.</w:t>
      </w:r>
    </w:p>
    <w:p w:rsidR="00022B47" w:rsidRDefault="00000000">
      <w:pPr>
        <w:pStyle w:val="Normal18"/>
        <w:widowControl w:val="0"/>
        <w:spacing w:before="200" w:line="260" w:lineRule="atLeast"/>
        <w:jc w:val="both"/>
      </w:pPr>
      <w:bookmarkStart w:id="3575" w:name="Bookmark_para_7_17"/>
      <w:bookmarkEnd w:id="3575"/>
      <w:r>
        <w:rPr>
          <w:rFonts w:ascii="Arial" w:eastAsia="Arial" w:hAnsi="Arial" w:cs="Arial"/>
          <w:color w:val="000000"/>
          <w:sz w:val="20"/>
        </w:rPr>
        <w:t xml:space="preserve">On July 18, 2017, Koslosky submitted another request for the same accommodation (citing edema and nerve damage in her leg), which Human Resources again denied, offering the same alternative accommodations it did a year prior. In a written denial of the request, Human Resources Manager Bob Yori explained American would not allow Koslosky to work exclusively in Terminal B, as the company needed to maintain "flexibility" in its operations "to assign agents to whatever concourse and gates are in need of staffing as a result of often spontaneous gate changes, diversions and irregular operations." </w:t>
      </w:r>
      <w:r>
        <w:rPr>
          <w:rFonts w:ascii="Arial" w:eastAsia="Arial" w:hAnsi="Arial" w:cs="Arial"/>
          <w:i/>
          <w:color w:val="000000"/>
          <w:sz w:val="20"/>
        </w:rPr>
        <w:t>Id.</w:t>
      </w:r>
      <w:r>
        <w:rPr>
          <w:rFonts w:ascii="Arial" w:eastAsia="Arial" w:hAnsi="Arial" w:cs="Arial"/>
          <w:color w:val="000000"/>
          <w:sz w:val="20"/>
        </w:rPr>
        <w:t xml:space="preserve"> at 126. Koslosky again refused American's alternative accommodation.</w:t>
      </w:r>
    </w:p>
    <w:p w:rsidR="00022B47" w:rsidRDefault="00000000">
      <w:pPr>
        <w:pStyle w:val="Normal18"/>
        <w:widowControl w:val="0"/>
        <w:spacing w:before="200" w:line="260" w:lineRule="atLeast"/>
        <w:jc w:val="both"/>
      </w:pPr>
      <w:bookmarkStart w:id="3576" w:name="Bookmark_para_8_16"/>
      <w:bookmarkEnd w:id="3576"/>
      <w:r>
        <w:rPr>
          <w:rFonts w:ascii="Arial" w:eastAsia="Arial" w:hAnsi="Arial" w:cs="Arial"/>
          <w:color w:val="000000"/>
          <w:sz w:val="20"/>
        </w:rPr>
        <w:t xml:space="preserve">Undeterred, [*3]  she appealed to Vice President Olympia Colasante, the airline's most senior employee at the Philadelphia Airport, who granted Koslosky's request "[s]olely for the purpose of helping [her]." </w:t>
      </w:r>
      <w:r>
        <w:rPr>
          <w:rFonts w:ascii="Arial" w:eastAsia="Arial" w:hAnsi="Arial" w:cs="Arial"/>
          <w:i/>
          <w:color w:val="000000"/>
          <w:sz w:val="20"/>
        </w:rPr>
        <w:t>Id.</w:t>
      </w:r>
      <w:r>
        <w:rPr>
          <w:rFonts w:ascii="Arial" w:eastAsia="Arial" w:hAnsi="Arial" w:cs="Arial"/>
          <w:color w:val="000000"/>
          <w:sz w:val="20"/>
        </w:rPr>
        <w:t xml:space="preserve"> at 197-200. On August 2, 2017, Koslosky was assigned exclusively to Terminal B.</w:t>
      </w:r>
    </w:p>
    <w:p w:rsidR="00022B47" w:rsidRDefault="00000000">
      <w:pPr>
        <w:pStyle w:val="Normal18"/>
        <w:widowControl w:val="0"/>
        <w:spacing w:before="200" w:line="260" w:lineRule="atLeast"/>
        <w:jc w:val="both"/>
      </w:pPr>
      <w:bookmarkStart w:id="3577" w:name="Bookmark_para_9_16"/>
      <w:bookmarkEnd w:id="3577"/>
      <w:r>
        <w:rPr>
          <w:rFonts w:ascii="Arial" w:eastAsia="Arial" w:hAnsi="Arial" w:cs="Arial"/>
          <w:color w:val="000000"/>
          <w:sz w:val="20"/>
        </w:rPr>
        <w:t>In September 2017, several posts she had made on her public Facebook page went viral. One post, purportedly quoting a certain Dan Pflaum, stated:</w:t>
      </w:r>
    </w:p>
    <w:p w:rsidR="00022B47" w:rsidRDefault="00000000">
      <w:pPr>
        <w:pStyle w:val="Normal18"/>
        <w:widowControl w:val="0"/>
        <w:spacing w:line="260" w:lineRule="atLeast"/>
        <w:ind w:left="400"/>
        <w:jc w:val="both"/>
      </w:pPr>
      <w:bookmarkStart w:id="3578" w:name="Bookmark_para_10_16"/>
      <w:bookmarkEnd w:id="3578"/>
      <w:r>
        <w:rPr>
          <w:rFonts w:ascii="Arial" w:eastAsia="Arial" w:hAnsi="Arial" w:cs="Arial"/>
          <w:color w:val="000000"/>
          <w:sz w:val="20"/>
        </w:rPr>
        <w:t>If I were Black in America, I think I'd get down on my knees every day and thank my lucky stars that my ancestors were brought over here as slaves, because when you look at the amazing rights, privileges, and benefits that come along with U.S. citizenship, and then compare that to the relentless poverty, violence, and suffering in Africa, it's like winning the Super Lotto, a hundred times over. But I guess I'm old-fashioned that way, believing as I do in the importance of gratitude, humility, and respect.</w:t>
      </w:r>
    </w:p>
    <w:p w:rsidR="00022B47" w:rsidRDefault="00000000">
      <w:pPr>
        <w:pStyle w:val="Normal18"/>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xml:space="preserve"> at 128. Another post featured a t-shirt emblazoned with the question: "Have you lost your cotton pickin' mind?" </w:t>
      </w:r>
      <w:r>
        <w:rPr>
          <w:rFonts w:ascii="Arial" w:eastAsia="Arial" w:hAnsi="Arial" w:cs="Arial"/>
          <w:i/>
          <w:color w:val="000000"/>
          <w:sz w:val="20"/>
        </w:rPr>
        <w:t>Id.</w:t>
      </w:r>
      <w:r>
        <w:rPr>
          <w:rFonts w:ascii="Arial" w:eastAsia="Arial" w:hAnsi="Arial" w:cs="Arial"/>
          <w:color w:val="000000"/>
          <w:sz w:val="20"/>
        </w:rPr>
        <w:t xml:space="preserve"> at 129. And in a third post Koslosky urged blue-eyed people to "UNITE" because "[t]oo many [blue-eyed people] are reproducing with Brown Eyed People" to [*4]  the point that "[w]e are losing Blue Eyed People." </w:t>
      </w:r>
      <w:r>
        <w:rPr>
          <w:rFonts w:ascii="Arial" w:eastAsia="Arial" w:hAnsi="Arial" w:cs="Arial"/>
          <w:i/>
          <w:color w:val="000000"/>
          <w:sz w:val="20"/>
        </w:rPr>
        <w:t>Id.</w:t>
      </w:r>
      <w:r>
        <w:rPr>
          <w:rFonts w:ascii="Arial" w:eastAsia="Arial" w:hAnsi="Arial" w:cs="Arial"/>
          <w:color w:val="000000"/>
          <w:sz w:val="20"/>
        </w:rPr>
        <w:t xml:space="preserve"> at 130. Outraged social media users identified Koslosky as an American employee,</w:t>
      </w:r>
      <w:r>
        <w:rPr>
          <w:rFonts w:ascii="Arial" w:eastAsia="Arial" w:hAnsi="Arial" w:cs="Arial"/>
          <w:vertAlign w:val="superscript"/>
        </w:rPr>
        <w:footnoteReference w:customMarkFollows="1" w:id="74"/>
        <w:t>2</w:t>
      </w:r>
      <w:r>
        <w:rPr>
          <w:rFonts w:ascii="Arial" w:eastAsia="Arial" w:hAnsi="Arial" w:cs="Arial"/>
          <w:color w:val="000000"/>
          <w:sz w:val="20"/>
        </w:rPr>
        <w:t xml:space="preserve"> made collages of her posts, and put them on American's official social media pages. An American employee based in Ft. Lauderdale, Florida, reported that customers and employees alike—from as far afield as Seattle—had complained about Koslosky's posts. More American employees filed complaints through the company's ethics hotline; another went straight to Colasante and American's CEO. Still others outright refused to work with Koslosky "[b]ecause they believed that [she] was racist." </w:t>
      </w:r>
      <w:r>
        <w:rPr>
          <w:rFonts w:ascii="Arial" w:eastAsia="Arial" w:hAnsi="Arial" w:cs="Arial"/>
          <w:i/>
          <w:color w:val="000000"/>
          <w:sz w:val="20"/>
        </w:rPr>
        <w:t>Id.</w:t>
      </w:r>
      <w:r>
        <w:rPr>
          <w:rFonts w:ascii="Arial" w:eastAsia="Arial" w:hAnsi="Arial" w:cs="Arial"/>
          <w:color w:val="000000"/>
          <w:sz w:val="20"/>
        </w:rPr>
        <w:t xml:space="preserve"> at 204. As Colasante summarized, the outcry over Koslosky's comments "became a large PR [public relations] incident for the company." </w:t>
      </w:r>
      <w:r>
        <w:rPr>
          <w:rFonts w:ascii="Arial" w:eastAsia="Arial" w:hAnsi="Arial" w:cs="Arial"/>
          <w:i/>
          <w:color w:val="000000"/>
          <w:sz w:val="20"/>
        </w:rPr>
        <w:t>Id.</w:t>
      </w:r>
      <w:r>
        <w:rPr>
          <w:rFonts w:ascii="Arial" w:eastAsia="Arial" w:hAnsi="Arial" w:cs="Arial"/>
          <w:color w:val="000000"/>
          <w:sz w:val="20"/>
        </w:rPr>
        <w:t xml:space="preserve"> at 206.</w:t>
      </w:r>
    </w:p>
    <w:p w:rsidR="00022B47" w:rsidRDefault="00000000">
      <w:pPr>
        <w:pStyle w:val="Normal18"/>
        <w:widowControl w:val="0"/>
        <w:spacing w:before="200" w:line="260" w:lineRule="atLeast"/>
        <w:jc w:val="both"/>
      </w:pPr>
      <w:bookmarkStart w:id="3580" w:name="Bookmark_para_11_16"/>
      <w:bookmarkEnd w:id="3580"/>
      <w:r>
        <w:rPr>
          <w:rFonts w:ascii="Arial" w:eastAsia="Arial" w:hAnsi="Arial" w:cs="Arial"/>
          <w:color w:val="000000"/>
          <w:sz w:val="20"/>
        </w:rPr>
        <w:t>In response to the furor, American suspended Koslosky. In October 2017, American terminated Koslosky's employment for violating its social media, passenger service conduct, and work environment policies.</w:t>
      </w:r>
      <w:r>
        <w:rPr>
          <w:rFonts w:ascii="Arial" w:eastAsia="Arial" w:hAnsi="Arial" w:cs="Arial"/>
          <w:vertAlign w:val="superscript"/>
        </w:rPr>
        <w:footnoteReference w:customMarkFollows="1" w:id="75"/>
        <w:t>3</w:t>
      </w:r>
      <w:r>
        <w:rPr>
          <w:rFonts w:ascii="Arial" w:eastAsia="Arial" w:hAnsi="Arial" w:cs="Arial"/>
          <w:color w:val="000000"/>
          <w:sz w:val="20"/>
        </w:rPr>
        <w:t xml:space="preserve"> Believing she was fired unjustly and discriminated against on account of her disability and her gender, Koslosky brought a series of legal actions against the company. In February 2018, she cross-filed a Charge of Discrimination [*5]  with the federal Equal Employment Opportunity Commission ("EEOC") and the Pennsylvania Human Rights Commission ("PHRC") for failing to accommodate her disability. She then sued American in federal court, alleging gender and disability discrimination and retaliation under Title VII of the Civil Rights Act, 42 U.S.C. § 2000e </w:t>
      </w:r>
      <w:r>
        <w:rPr>
          <w:rFonts w:ascii="Arial" w:eastAsia="Arial" w:hAnsi="Arial" w:cs="Arial"/>
          <w:i/>
          <w:color w:val="000000"/>
          <w:sz w:val="20"/>
        </w:rPr>
        <w:t>et seq.</w:t>
      </w:r>
      <w:r>
        <w:rPr>
          <w:rFonts w:ascii="Arial" w:eastAsia="Arial" w:hAnsi="Arial" w:cs="Arial"/>
          <w:color w:val="000000"/>
          <w:sz w:val="20"/>
        </w:rPr>
        <w:t xml:space="preserve">, the Americans with Disabilities Act, 42 U.S.C. § 12101 </w:t>
      </w:r>
      <w:r>
        <w:rPr>
          <w:rFonts w:ascii="Arial" w:eastAsia="Arial" w:hAnsi="Arial" w:cs="Arial"/>
          <w:i/>
          <w:color w:val="000000"/>
          <w:sz w:val="20"/>
        </w:rPr>
        <w:t>et seq.</w:t>
      </w:r>
      <w:r>
        <w:rPr>
          <w:rFonts w:ascii="Arial" w:eastAsia="Arial" w:hAnsi="Arial" w:cs="Arial"/>
          <w:color w:val="000000"/>
          <w:sz w:val="20"/>
        </w:rPr>
        <w:t xml:space="preserve">, and the Pennsylvania Human Relations Act, 43 Pa. Cons. Stat. § 951 </w:t>
      </w:r>
      <w:r>
        <w:rPr>
          <w:rFonts w:ascii="Arial" w:eastAsia="Arial" w:hAnsi="Arial" w:cs="Arial"/>
          <w:i/>
          <w:color w:val="000000"/>
          <w:sz w:val="20"/>
        </w:rPr>
        <w:t>et seq.</w:t>
      </w:r>
      <w:r>
        <w:rPr>
          <w:rFonts w:ascii="Arial" w:eastAsia="Arial" w:hAnsi="Arial" w:cs="Arial"/>
          <w:color w:val="000000"/>
          <w:sz w:val="20"/>
        </w:rPr>
        <w:t xml:space="preserve"> The District Court entered summary judgment in favor of American and dismissed all counts. Koslosky now appeals.</w:t>
      </w:r>
    </w:p>
    <w:p w:rsidR="00022B47" w:rsidRDefault="00000000">
      <w:pPr>
        <w:pStyle w:val="Normal18"/>
        <w:widowControl w:val="0"/>
        <w:spacing w:before="120" w:line="260" w:lineRule="atLeast"/>
      </w:pPr>
      <w:r>
        <w:rPr>
          <w:rFonts w:ascii="Arial" w:eastAsia="Arial" w:hAnsi="Arial" w:cs="Arial"/>
          <w:color w:val="000000"/>
          <w:sz w:val="20"/>
        </w:rPr>
        <w:t>II.</w:t>
      </w:r>
    </w:p>
    <w:p w:rsidR="00022B47" w:rsidRDefault="00000000">
      <w:pPr>
        <w:pStyle w:val="Normal18"/>
        <w:widowControl w:val="0"/>
        <w:spacing w:before="200" w:line="260" w:lineRule="atLeast"/>
        <w:jc w:val="both"/>
      </w:pPr>
      <w:bookmarkStart w:id="3582" w:name="Bookmark_para_12_16"/>
      <w:bookmarkStart w:id="3583" w:name="Bookmark_I66HBT3N2N1PPM0020000400"/>
      <w:bookmarkStart w:id="3584" w:name="Bookmark_LNHNREFclscc1_15"/>
      <w:bookmarkEnd w:id="3582"/>
      <w:bookmarkEnd w:id="3583"/>
      <w:bookmarkEnd w:id="3584"/>
      <w:r>
        <w:rPr>
          <w:rFonts w:ascii="Arial" w:eastAsia="Arial" w:hAnsi="Arial" w:cs="Arial"/>
          <w:color w:val="000000"/>
          <w:sz w:val="20"/>
        </w:rPr>
        <w:t xml:space="preserve">We give a fresh, or plenary, review to motions for summary judgment, applying the same standard as the District Court. </w:t>
      </w:r>
      <w:r>
        <w:rPr>
          <w:rFonts w:ascii="Arial" w:eastAsia="Arial" w:hAnsi="Arial" w:cs="Arial"/>
          <w:i/>
          <w:color w:val="000000"/>
          <w:sz w:val="20"/>
        </w:rPr>
        <w:t xml:space="preserve">See </w:t>
      </w:r>
      <w:bookmarkStart w:id="3585" w:name="Bookmark_I66HBT3N2N1PPM0010000400"/>
      <w:bookmarkEnd w:id="3585"/>
      <w:r>
        <w:rPr>
          <w:rFonts w:ascii="Arial" w:eastAsia="Arial" w:hAnsi="Arial" w:cs="Arial"/>
          <w:i/>
          <w:color w:val="000000"/>
          <w:sz w:val="20"/>
        </w:rPr>
        <w:t>Blunt v. Lower Merion Sch. Dist.</w:t>
      </w:r>
      <w:r>
        <w:rPr>
          <w:rFonts w:ascii="Arial" w:eastAsia="Arial" w:hAnsi="Arial" w:cs="Arial"/>
          <w:color w:val="000000"/>
          <w:sz w:val="20"/>
        </w:rPr>
        <w:t xml:space="preserve">, 767 F.3d 247, 265 (3d Cir. 2014). We will affirm summary judgment if, after assessing the underlying facts "in the light most favorable to [Koslosky]," </w:t>
      </w:r>
      <w:r>
        <w:rPr>
          <w:rFonts w:ascii="Arial" w:eastAsia="Arial" w:hAnsi="Arial" w:cs="Arial"/>
          <w:i/>
          <w:color w:val="000000"/>
          <w:sz w:val="20"/>
        </w:rPr>
        <w:t>id.</w:t>
      </w:r>
      <w:r>
        <w:rPr>
          <w:rFonts w:ascii="Arial" w:eastAsia="Arial" w:hAnsi="Arial" w:cs="Arial"/>
          <w:color w:val="000000"/>
          <w:sz w:val="20"/>
        </w:rPr>
        <w:t xml:space="preserve"> (internal quotation marks omitted), "there is no genuine dispute as to any material fact and the movant is entitled to judgment as a matter of law." Fed. R. Civ. P. 56(a).</w:t>
      </w:r>
    </w:p>
    <w:p w:rsidR="00022B47" w:rsidRDefault="00000000">
      <w:pPr>
        <w:pStyle w:val="Normal18"/>
        <w:widowControl w:val="0"/>
        <w:spacing w:before="120" w:line="260" w:lineRule="atLeast"/>
      </w:pPr>
      <w:r>
        <w:rPr>
          <w:rFonts w:ascii="Arial" w:eastAsia="Arial" w:hAnsi="Arial" w:cs="Arial"/>
          <w:color w:val="000000"/>
          <w:sz w:val="20"/>
        </w:rPr>
        <w:t>III.</w:t>
      </w:r>
    </w:p>
    <w:p w:rsidR="00022B47" w:rsidRDefault="00000000">
      <w:pPr>
        <w:pStyle w:val="Normal18"/>
        <w:widowControl w:val="0"/>
        <w:spacing w:before="200" w:line="260" w:lineRule="atLeast"/>
        <w:jc w:val="both"/>
      </w:pPr>
      <w:bookmarkStart w:id="3586" w:name="Bookmark_para_13_16"/>
      <w:bookmarkEnd w:id="3586"/>
      <w:r>
        <w:rPr>
          <w:rFonts w:ascii="Arial" w:eastAsia="Arial" w:hAnsi="Arial" w:cs="Arial"/>
          <w:color w:val="000000"/>
          <w:sz w:val="20"/>
        </w:rPr>
        <w:t xml:space="preserve">Koslosky first challenges the District Court's determination that she failed to file her disability accommodation claim timely with the EEOC and PHRA. Under relevant law, she had, from the date of the alleged discriminatory act, 300 and 180 days, respectively, to file with the EEOC and PHRA. </w:t>
      </w:r>
      <w:r>
        <w:rPr>
          <w:rFonts w:ascii="Arial" w:eastAsia="Arial" w:hAnsi="Arial" w:cs="Arial"/>
          <w:i/>
          <w:color w:val="000000"/>
          <w:sz w:val="20"/>
        </w:rPr>
        <w:t>See</w:t>
      </w:r>
      <w:r>
        <w:rPr>
          <w:rFonts w:ascii="Arial" w:eastAsia="Arial" w:hAnsi="Arial" w:cs="Arial"/>
          <w:color w:val="000000"/>
          <w:sz w:val="20"/>
        </w:rPr>
        <w:t xml:space="preserve"> 42 U.S.C. § 12117(a); 42 U.S.C. § 2000e-5(e)(1); 43 Pa. Cons. Stat. § 959(h). </w:t>
      </w:r>
      <w:bookmarkStart w:id="3587" w:name="Bookmark_I66HBT3N2N1PPM0040000400"/>
      <w:bookmarkEnd w:id="3587"/>
      <w:r>
        <w:rPr>
          <w:rFonts w:ascii="Arial" w:eastAsia="Arial" w:hAnsi="Arial" w:cs="Arial"/>
          <w:color w:val="000000"/>
          <w:sz w:val="20"/>
        </w:rPr>
        <w:t xml:space="preserve">The Court found Koslosky filed her complaint with the agencies in February 2018, over 500 days [*6]  after American denied her first request for disability accommodation in August 2016. She contends the clock should instead start running from the date of her second request in July 2017. </w:t>
      </w:r>
      <w:bookmarkStart w:id="3588" w:name="Bookmark_LNHNREFclscc2_15"/>
      <w:bookmarkEnd w:id="3588"/>
      <w:r>
        <w:rPr>
          <w:rFonts w:ascii="Arial" w:eastAsia="Arial" w:hAnsi="Arial" w:cs="Arial"/>
          <w:color w:val="000000"/>
          <w:sz w:val="20"/>
        </w:rPr>
        <w:t xml:space="preserve">But "[m]ere requests to reconsider [an employer's decision] . . . cannot extend the limitations periods applicable to the civil rights laws." </w:t>
      </w:r>
      <w:bookmarkStart w:id="3589" w:name="Bookmark_I66HBT3N2N1PPM0030000400"/>
      <w:bookmarkEnd w:id="3589"/>
      <w:r>
        <w:rPr>
          <w:rFonts w:ascii="Arial" w:eastAsia="Arial" w:hAnsi="Arial" w:cs="Arial"/>
          <w:i/>
          <w:color w:val="000000"/>
          <w:sz w:val="20"/>
        </w:rPr>
        <w:t>Del. State Coll. v. Ricks</w:t>
      </w:r>
      <w:r>
        <w:rPr>
          <w:rFonts w:ascii="Arial" w:eastAsia="Arial" w:hAnsi="Arial" w:cs="Arial"/>
          <w:color w:val="000000"/>
          <w:sz w:val="20"/>
        </w:rPr>
        <w:t xml:space="preserve">, 449 U.S. 250, 261 n.15, 101 S. Ct. 498, 66 L. Ed. 2d 431 (1980); </w:t>
      </w:r>
      <w:r>
        <w:rPr>
          <w:rFonts w:ascii="Arial" w:eastAsia="Arial" w:hAnsi="Arial" w:cs="Arial"/>
          <w:i/>
          <w:color w:val="000000"/>
          <w:sz w:val="20"/>
        </w:rPr>
        <w:t xml:space="preserve">see also </w:t>
      </w:r>
      <w:bookmarkStart w:id="3590" w:name="Bookmark_I66HBT3N2N1PPM0050000400"/>
      <w:bookmarkEnd w:id="3590"/>
      <w:r>
        <w:rPr>
          <w:rFonts w:ascii="Arial" w:eastAsia="Arial" w:hAnsi="Arial" w:cs="Arial"/>
          <w:i/>
          <w:color w:val="000000"/>
          <w:sz w:val="20"/>
        </w:rPr>
        <w:t>Washington-Morris v. Bucks Cnty. Transp., Inc.</w:t>
      </w:r>
      <w:r>
        <w:rPr>
          <w:rFonts w:ascii="Arial" w:eastAsia="Arial" w:hAnsi="Arial" w:cs="Arial"/>
          <w:color w:val="000000"/>
          <w:sz w:val="20"/>
        </w:rPr>
        <w:t>, No. CV 17-3631, 2018 U.S. Dist. LEXIS 73954, 2018 WL 2021081, at *6 (E.D. Pa. May 1, 2018) ("[A] reasonable accommodation request is a one-time occurrence . . . even when the plaintiff made multiple requests for the same reasonable accommodation and that request was repeatedly denied.") (internal citation and quotation marks omitted). Koslosky asserts we should treat subsequent requests differently where an employee's medical circumstances have materially changed. Maybe so. Yet because she provides no evidence that happened here, we affirm the District Court on this ground.</w:t>
      </w:r>
    </w:p>
    <w:p w:rsidR="00022B47" w:rsidRDefault="00000000">
      <w:pPr>
        <w:pStyle w:val="Normal18"/>
        <w:widowControl w:val="0"/>
        <w:spacing w:before="200" w:line="260" w:lineRule="atLeast"/>
        <w:jc w:val="both"/>
      </w:pPr>
      <w:bookmarkStart w:id="3591" w:name="Bookmark_para_14_16"/>
      <w:bookmarkStart w:id="3592" w:name="Bookmark_I66HBT3P28T3YB0030000400"/>
      <w:bookmarkEnd w:id="3591"/>
      <w:bookmarkEnd w:id="3592"/>
      <w:r>
        <w:rPr>
          <w:rFonts w:ascii="Arial" w:eastAsia="Arial" w:hAnsi="Arial" w:cs="Arial"/>
          <w:color w:val="000000"/>
          <w:sz w:val="20"/>
        </w:rPr>
        <w:t xml:space="preserve">Koslosky next contends American used the outcry over her social media posts as a pretext to fire her on account of her gender and/or her disability. </w:t>
      </w:r>
      <w:bookmarkStart w:id="3593" w:name="Bookmark_LNHNREFclscc3_15"/>
      <w:bookmarkEnd w:id="3593"/>
      <w:r>
        <w:rPr>
          <w:rFonts w:ascii="Arial" w:eastAsia="Arial" w:hAnsi="Arial" w:cs="Arial"/>
          <w:color w:val="000000"/>
          <w:sz w:val="20"/>
        </w:rPr>
        <w:t xml:space="preserve">To prove pretext, she must point to evidence from which a reasonable factfinder could "either (1) disbelieve [American's] articulated legitimate reasons [for firing her] . . . or (2) believe that an invidious discriminatory [*7]  reason was more likely than not a motivating or determinative cause of [American's] action." </w:t>
      </w:r>
      <w:bookmarkStart w:id="3594" w:name="Bookmark_I66HBT3P28T3YB0020000400"/>
      <w:bookmarkEnd w:id="3594"/>
      <w:r>
        <w:rPr>
          <w:rFonts w:ascii="Arial" w:eastAsia="Arial" w:hAnsi="Arial" w:cs="Arial"/>
          <w:i/>
          <w:color w:val="000000"/>
          <w:sz w:val="20"/>
        </w:rPr>
        <w:t>In re Tribune Media Co.</w:t>
      </w:r>
      <w:r>
        <w:rPr>
          <w:rFonts w:ascii="Arial" w:eastAsia="Arial" w:hAnsi="Arial" w:cs="Arial"/>
          <w:color w:val="000000"/>
          <w:sz w:val="20"/>
        </w:rPr>
        <w:t>, 902 F.3d 384, 402 (3d Cir. 2018) (internal citation and quotation marks omitted). As explained below, she fails to point to such evidence.</w:t>
      </w:r>
    </w:p>
    <w:p w:rsidR="00022B47" w:rsidRDefault="00000000">
      <w:pPr>
        <w:pStyle w:val="Normal18"/>
        <w:widowControl w:val="0"/>
        <w:spacing w:before="200" w:line="260" w:lineRule="atLeast"/>
        <w:jc w:val="both"/>
      </w:pPr>
      <w:bookmarkStart w:id="3595" w:name="Bookmark_para_15_16"/>
      <w:bookmarkEnd w:id="3595"/>
      <w:r>
        <w:rPr>
          <w:rFonts w:ascii="Arial" w:eastAsia="Arial" w:hAnsi="Arial" w:cs="Arial"/>
          <w:color w:val="000000"/>
          <w:sz w:val="20"/>
        </w:rPr>
        <w:t xml:space="preserve">To support a finding of pretext, Koslosky contends the temporal proximity between American's grant of her accommodation request and her firing "establishes a prima facie case" for retaliation, or, failing that, shows "a sufficient antagonism" for retaliation. </w:t>
      </w:r>
      <w:bookmarkStart w:id="3596" w:name="Bookmark_I66HBT3P28T3YB0050000400"/>
      <w:bookmarkEnd w:id="3596"/>
      <w:r>
        <w:rPr>
          <w:rFonts w:ascii="Arial" w:eastAsia="Arial" w:hAnsi="Arial" w:cs="Arial"/>
          <w:color w:val="000000"/>
          <w:sz w:val="20"/>
        </w:rPr>
        <w:t xml:space="preserve">Op. Br. at 21. But the two-month gap between Koslosky's last accommodation request (a protected workplace activity) and her firing is too long to draw an inference of retaliation. </w:t>
      </w:r>
      <w:r>
        <w:rPr>
          <w:rFonts w:ascii="Arial" w:eastAsia="Arial" w:hAnsi="Arial" w:cs="Arial"/>
          <w:i/>
          <w:color w:val="000000"/>
          <w:sz w:val="20"/>
        </w:rPr>
        <w:t xml:space="preserve">See </w:t>
      </w:r>
      <w:bookmarkStart w:id="3597" w:name="Bookmark_I66HBT3P28T3YB0040000400"/>
      <w:bookmarkEnd w:id="3597"/>
      <w:r>
        <w:rPr>
          <w:rFonts w:ascii="Arial" w:eastAsia="Arial" w:hAnsi="Arial" w:cs="Arial"/>
          <w:i/>
          <w:color w:val="000000"/>
          <w:sz w:val="20"/>
        </w:rPr>
        <w:t>Carvalho-Grevious v. Del. State Univ.</w:t>
      </w:r>
      <w:r>
        <w:rPr>
          <w:rFonts w:ascii="Arial" w:eastAsia="Arial" w:hAnsi="Arial" w:cs="Arial"/>
          <w:color w:val="000000"/>
          <w:sz w:val="20"/>
        </w:rPr>
        <w:t xml:space="preserve">, 851 F.3d 249, 261 n.8 (3d Cir. 2017) </w:t>
      </w:r>
      <w:bookmarkStart w:id="3598" w:name="Bookmark_LNHNREFclscc4_15"/>
      <w:bookmarkEnd w:id="3598"/>
      <w:r>
        <w:rPr>
          <w:rFonts w:ascii="Arial" w:eastAsia="Arial" w:hAnsi="Arial" w:cs="Arial"/>
          <w:color w:val="000000"/>
          <w:sz w:val="20"/>
        </w:rPr>
        <w:t>("[A]n intervening temporal period of two days may raise the inference of causation" but "a period of two months cannot."). And while Koslosky claims causation can be inferred by evidence of ongoing antagonism against an employee, we agree with the District Court that she has failed to "identify anything that happened during those two months to suggest anyone was resentful about her accommodation." Appx. at 13.</w:t>
      </w:r>
    </w:p>
    <w:p w:rsidR="00022B47" w:rsidRDefault="00000000">
      <w:pPr>
        <w:pStyle w:val="Normal18"/>
        <w:widowControl w:val="0"/>
        <w:spacing w:before="200" w:line="260" w:lineRule="atLeast"/>
        <w:jc w:val="both"/>
      </w:pPr>
      <w:bookmarkStart w:id="3599" w:name="Bookmark_para_16_16"/>
      <w:bookmarkStart w:id="3600" w:name="Bookmark_I66HBT3R2SF88M0020000400"/>
      <w:bookmarkEnd w:id="3599"/>
      <w:bookmarkEnd w:id="3600"/>
      <w:r>
        <w:rPr>
          <w:rFonts w:ascii="Arial" w:eastAsia="Arial" w:hAnsi="Arial" w:cs="Arial"/>
          <w:color w:val="000000"/>
          <w:sz w:val="20"/>
        </w:rPr>
        <w:t xml:space="preserve">She also claims that a male American customer service employee who was not disciplined for his social media posts disparaging Trump voters—calling [*8]  them "ignorant rednecks" and "uneducated racist white people," Appx. at 364-74—establishes a </w:t>
      </w:r>
      <w:r>
        <w:rPr>
          <w:rFonts w:ascii="Arial" w:eastAsia="Arial" w:hAnsi="Arial" w:cs="Arial"/>
          <w:i/>
          <w:color w:val="000000"/>
          <w:sz w:val="20"/>
        </w:rPr>
        <w:t>prima facie</w:t>
      </w:r>
      <w:r>
        <w:rPr>
          <w:rFonts w:ascii="Arial" w:eastAsia="Arial" w:hAnsi="Arial" w:cs="Arial"/>
          <w:color w:val="000000"/>
          <w:sz w:val="20"/>
        </w:rPr>
        <w:t xml:space="preserve"> case of gender and disability discrimination. </w:t>
      </w:r>
      <w:bookmarkStart w:id="3601" w:name="Bookmark_I2RRV5MHSNG000008NY00001"/>
      <w:bookmarkStart w:id="3602" w:name="Bookmark_I66HBT3R2SF88M0040000400"/>
      <w:bookmarkStart w:id="3603" w:name="Bookmark_LNHNREFclscc5_15"/>
      <w:bookmarkEnd w:id="3601"/>
      <w:bookmarkEnd w:id="3602"/>
      <w:bookmarkEnd w:id="3603"/>
      <w:r>
        <w:rPr>
          <w:rFonts w:ascii="Arial" w:eastAsia="Arial" w:hAnsi="Arial" w:cs="Arial"/>
          <w:color w:val="000000"/>
          <w:sz w:val="20"/>
        </w:rPr>
        <w:t xml:space="preserve">But while "a similarly situated individual outside of the protected class, who engaged in the same conduct [as the plaintiff] but was treated more favorably, may give rise to an inference of unlawful discrimination," </w:t>
      </w:r>
      <w:bookmarkStart w:id="3604" w:name="Bookmark_I66HBT3R2SF88M0010000400"/>
      <w:bookmarkEnd w:id="3604"/>
      <w:r>
        <w:rPr>
          <w:rFonts w:ascii="Arial" w:eastAsia="Arial" w:hAnsi="Arial" w:cs="Arial"/>
          <w:i/>
          <w:color w:val="000000"/>
          <w:sz w:val="20"/>
        </w:rPr>
        <w:t>Mandel v. M &amp; Q Packaging Corp.</w:t>
      </w:r>
      <w:r>
        <w:rPr>
          <w:rFonts w:ascii="Arial" w:eastAsia="Arial" w:hAnsi="Arial" w:cs="Arial"/>
          <w:color w:val="000000"/>
          <w:sz w:val="20"/>
        </w:rPr>
        <w:t xml:space="preserve">, 706 F.3d 157, 170 (3d Cir. 2013), Koslosky does not argue American management </w:t>
      </w:r>
      <w:r>
        <w:rPr>
          <w:rFonts w:ascii="Arial" w:eastAsia="Arial" w:hAnsi="Arial" w:cs="Arial"/>
          <w:i/>
          <w:color w:val="000000"/>
          <w:sz w:val="20"/>
        </w:rPr>
        <w:t>knew</w:t>
      </w:r>
      <w:r>
        <w:rPr>
          <w:rFonts w:ascii="Arial" w:eastAsia="Arial" w:hAnsi="Arial" w:cs="Arial"/>
          <w:color w:val="000000"/>
          <w:sz w:val="20"/>
        </w:rPr>
        <w:t xml:space="preserve"> about her colleague's inflammatory social media posts. This is dispositive. </w:t>
      </w:r>
      <w:bookmarkStart w:id="3605" w:name="Bookmark_I66HBT3R2SF88M0040000400_2"/>
      <w:bookmarkEnd w:id="3605"/>
      <w:r>
        <w:rPr>
          <w:rFonts w:ascii="Arial" w:eastAsia="Arial" w:hAnsi="Arial" w:cs="Arial"/>
          <w:i/>
          <w:color w:val="000000"/>
          <w:sz w:val="20"/>
        </w:rPr>
        <w:t xml:space="preserve">See </w:t>
      </w:r>
      <w:bookmarkStart w:id="3606" w:name="Bookmark_I66HBT3R2SF88M0030000400"/>
      <w:bookmarkEnd w:id="3606"/>
      <w:r>
        <w:rPr>
          <w:rFonts w:ascii="Arial" w:eastAsia="Arial" w:hAnsi="Arial" w:cs="Arial"/>
          <w:i/>
          <w:color w:val="000000"/>
          <w:sz w:val="20"/>
        </w:rPr>
        <w:t>Oliver v. Clinical Pracs. of Univ. of Pa.</w:t>
      </w:r>
      <w:r>
        <w:rPr>
          <w:rFonts w:ascii="Arial" w:eastAsia="Arial" w:hAnsi="Arial" w:cs="Arial"/>
          <w:color w:val="000000"/>
          <w:sz w:val="20"/>
        </w:rPr>
        <w:t>, 921 F. Supp. 2d 434, 448 (E.D. Pa. 2013) (coworker not relevant comparator absent evidence decisionmaker had awareness of coworker's alleged conduct). Her argument therefore fails.</w:t>
      </w:r>
    </w:p>
    <w:p w:rsidR="00022B47" w:rsidRDefault="00000000">
      <w:pPr>
        <w:pStyle w:val="Normal18"/>
        <w:widowControl w:val="0"/>
        <w:spacing w:before="200" w:line="260" w:lineRule="atLeast"/>
        <w:jc w:val="both"/>
      </w:pPr>
      <w:bookmarkStart w:id="3607" w:name="Bookmark_para_17_15"/>
      <w:bookmarkEnd w:id="3607"/>
      <w:r>
        <w:rPr>
          <w:rFonts w:ascii="Arial" w:eastAsia="Arial" w:hAnsi="Arial" w:cs="Arial"/>
          <w:color w:val="000000"/>
          <w:sz w:val="20"/>
        </w:rPr>
        <w:t>Koslosky also maintains that whether her coworker was similarly situated "constitutes a fact-intensive inquiry that is not susceptible to summary judgment" because "there is a genuine issue of material fact regarding valid comparators." Op. Br. at 27 (internal quotation marks omitted). But for that employee to be comparable, American had to know of his posts, and Koslosky offers no evidence of this; hence she gives no underpinning for a possible material fact.</w:t>
      </w:r>
    </w:p>
    <w:p w:rsidR="00022B47" w:rsidRDefault="00000000">
      <w:pPr>
        <w:pStyle w:val="Normal18"/>
        <w:widowControl w:val="0"/>
        <w:spacing w:before="200" w:line="260" w:lineRule="atLeast"/>
        <w:jc w:val="both"/>
      </w:pPr>
      <w:bookmarkStart w:id="3608" w:name="Bookmark_para_18_15"/>
      <w:bookmarkEnd w:id="3608"/>
      <w:r>
        <w:rPr>
          <w:rFonts w:ascii="Arial" w:eastAsia="Arial" w:hAnsi="Arial" w:cs="Arial"/>
          <w:color w:val="000000"/>
          <w:sz w:val="20"/>
        </w:rPr>
        <w:t>As Koslosky points to no evidence of pretext, we are thus left with one conclusion: American fired [*9]  her because her racially insensitive social media posts violated its policies and generated an outcry from employees and customers alike. Because this is a legitimate justification for her ouster, we are not persuaded that the company violated any law here. For these reasons, we affirm the District Court's grant of summary judgment against Koslosky's claims.</w:t>
      </w:r>
    </w:p>
    <w:p w:rsidR="00022B47" w:rsidRDefault="00022B47">
      <w:pPr>
        <w:pStyle w:val="Normal18"/>
      </w:pPr>
    </w:p>
    <w:p w:rsidR="00022B47" w:rsidRDefault="00000000">
      <w:pPr>
        <w:pStyle w:val="Normal18"/>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697152"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594210308"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FA1682" id="Line 40"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19"/>
        <w:sectPr w:rsidR="00022B47">
          <w:headerReference w:type="even" r:id="rId121"/>
          <w:headerReference w:type="default" r:id="rId122"/>
          <w:footerReference w:type="even" r:id="rId123"/>
          <w:footerReference w:type="default" r:id="rId124"/>
          <w:headerReference w:type="first" r:id="rId125"/>
          <w:footerReference w:type="first" r:id="rId126"/>
          <w:pgSz w:w="12240" w:h="15840"/>
          <w:pgMar w:top="840" w:right="1000" w:bottom="840" w:left="1000" w:header="400" w:footer="400" w:gutter="0"/>
          <w:cols w:space="720"/>
          <w:titlePg/>
        </w:sectPr>
      </w:pPr>
    </w:p>
    <w:p w:rsidR="00022B47" w:rsidRDefault="00022B47">
      <w:pPr>
        <w:pStyle w:val="Normal19"/>
      </w:pPr>
    </w:p>
    <w:p w:rsidR="00022B47" w:rsidRDefault="00000000">
      <w:pPr>
        <w:pStyle w:val="Heading118"/>
        <w:keepNext w:val="0"/>
        <w:widowControl w:val="0"/>
        <w:spacing w:after="200" w:line="340" w:lineRule="atLeast"/>
        <w:jc w:val="center"/>
      </w:pPr>
      <w:r>
        <w:rPr>
          <w:rFonts w:eastAsia="Arial"/>
          <w:color w:val="000000"/>
          <w:sz w:val="28"/>
        </w:rPr>
        <w:t>Sailboat Bend Sober Living, LLC v. City of Fort Lauderadale</w:t>
      </w:r>
    </w:p>
    <w:p w:rsidR="00022B47" w:rsidRDefault="00000000">
      <w:pPr>
        <w:pStyle w:val="Normal19"/>
        <w:widowControl w:val="0"/>
        <w:spacing w:before="120" w:line="260" w:lineRule="atLeast"/>
        <w:jc w:val="center"/>
      </w:pPr>
      <w:r>
        <w:rPr>
          <w:rFonts w:ascii="Arial" w:eastAsia="Arial" w:hAnsi="Arial" w:cs="Arial"/>
          <w:color w:val="000000"/>
          <w:sz w:val="20"/>
        </w:rPr>
        <w:t>United States Court of Appeals for the Eleventh Circuit</w:t>
      </w:r>
    </w:p>
    <w:p w:rsidR="00022B47" w:rsidRDefault="00000000">
      <w:pPr>
        <w:pStyle w:val="Normal19"/>
        <w:widowControl w:val="0"/>
        <w:spacing w:before="120" w:line="260" w:lineRule="atLeast"/>
        <w:jc w:val="center"/>
      </w:pPr>
      <w:r>
        <w:rPr>
          <w:rFonts w:ascii="Arial" w:eastAsia="Arial" w:hAnsi="Arial" w:cs="Arial"/>
          <w:color w:val="000000"/>
          <w:sz w:val="20"/>
        </w:rPr>
        <w:t>August 26, 2022, Filed</w:t>
      </w:r>
    </w:p>
    <w:p w:rsidR="00022B47" w:rsidRDefault="00000000">
      <w:pPr>
        <w:pStyle w:val="Normal19"/>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20-13444</w:t>
      </w:r>
    </w:p>
    <w:p w:rsidR="00022B47" w:rsidRDefault="00022B47">
      <w:pPr>
        <w:pStyle w:val="Normal19"/>
        <w:widowControl w:val="0"/>
        <w:spacing w:line="240" w:lineRule="atLeast"/>
        <w:jc w:val="both"/>
      </w:pPr>
      <w:bookmarkStart w:id="3609" w:name="Bookmark_20"/>
      <w:bookmarkEnd w:id="3609"/>
    </w:p>
    <w:p w:rsidR="00022B47" w:rsidRDefault="00000000">
      <w:pPr>
        <w:pStyle w:val="Normal19"/>
        <w:widowControl w:val="0"/>
        <w:spacing w:before="200" w:line="240" w:lineRule="atLeast"/>
      </w:pPr>
      <w:bookmarkStart w:id="3610" w:name="Reporter_18"/>
      <w:bookmarkEnd w:id="3610"/>
      <w:r>
        <w:rPr>
          <w:rFonts w:ascii="Arial" w:eastAsia="Arial" w:hAnsi="Arial" w:cs="Arial"/>
          <w:b/>
          <w:color w:val="000000"/>
          <w:sz w:val="18"/>
        </w:rPr>
        <w:t>Reporter</w:t>
      </w:r>
    </w:p>
    <w:p w:rsidR="00022B47" w:rsidRDefault="00000000">
      <w:pPr>
        <w:pStyle w:val="Normal19"/>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46 F.4th 1268 *; 2022 U.S. App. LEXIS 24118 **; 29 Fla. L. Weekly Fed. C 1632; 2022 WL 3702126</w:t>
      </w:r>
    </w:p>
    <w:p w:rsidR="00022B47" w:rsidRDefault="00000000">
      <w:pPr>
        <w:pStyle w:val="Normal19"/>
        <w:widowControl w:val="0"/>
        <w:spacing w:before="120" w:line="260" w:lineRule="atLeast"/>
      </w:pPr>
      <w:r>
        <w:rPr>
          <w:rFonts w:ascii="Arial" w:eastAsia="Arial" w:hAnsi="Arial" w:cs="Arial"/>
          <w:color w:val="000000"/>
          <w:sz w:val="20"/>
        </w:rPr>
        <w:t>SAILBOAT BEND SOBER LIVING, LLC, a Florida limited liability company, CARL BERGSTROM, an individual, IRYNA BERGSTROM, an individual, Plaintiffs-Appellants, versus THE CITY OF FORT LAUDERDALE, FLORIDA, a political subdivision of the State of Florida, Defendant-Appellee.</w:t>
      </w:r>
    </w:p>
    <w:p w:rsidR="00022B47" w:rsidRDefault="00000000">
      <w:pPr>
        <w:pStyle w:val="Normal19"/>
        <w:widowControl w:val="0"/>
        <w:spacing w:before="240" w:line="260" w:lineRule="atLeast"/>
        <w:jc w:val="both"/>
      </w:pPr>
      <w:bookmarkStart w:id="3611" w:name="Prior_History_18"/>
      <w:bookmarkEnd w:id="3611"/>
      <w:r>
        <w:rPr>
          <w:rFonts w:ascii="Arial" w:eastAsia="Arial" w:hAnsi="Arial" w:cs="Arial"/>
          <w:b/>
          <w:color w:val="000000"/>
          <w:sz w:val="20"/>
        </w:rPr>
        <w:t>Prior History:</w:t>
      </w:r>
      <w:r>
        <w:rPr>
          <w:rFonts w:ascii="Arial" w:eastAsia="Arial" w:hAnsi="Arial" w:cs="Arial"/>
          <w:color w:val="000000"/>
          <w:sz w:val="20"/>
        </w:rPr>
        <w:t> </w:t>
      </w:r>
      <w:bookmarkStart w:id="3612" w:name="Bookmark_para_1_18"/>
      <w:bookmarkEnd w:id="3612"/>
      <w:r>
        <w:rPr>
          <w:rFonts w:ascii="Arial" w:eastAsia="Arial" w:hAnsi="Arial" w:cs="Arial"/>
          <w:color w:val="000000"/>
          <w:sz w:val="20"/>
        </w:rPr>
        <w:t> [**1] Appeal from the United States District Court for the Southern District of Florida. D.C. Docket No. 0:19-cv-60007-RKA.</w:t>
      </w:r>
    </w:p>
    <w:p w:rsidR="00022B47" w:rsidRDefault="00000000">
      <w:pPr>
        <w:pStyle w:val="Normal19"/>
        <w:widowControl w:val="0"/>
        <w:spacing w:before="120" w:line="260" w:lineRule="atLeast"/>
      </w:pPr>
      <w:r>
        <w:rPr>
          <w:rFonts w:ascii="Arial" w:eastAsia="Arial" w:hAnsi="Arial" w:cs="Arial"/>
          <w:color w:val="000000"/>
          <w:sz w:val="20"/>
        </w:rPr>
        <w:t>Sailboat Bend Sober Living, LLC v. City of Fort Lauderdale, 479 F. Supp. 3d 1298, 2020 U.S. Dist. LEXIS 146258, 2020 WL 4736211 (S.D. Fla., Aug. 14, 2020)</w:t>
      </w:r>
    </w:p>
    <w:p w:rsidR="00022B47" w:rsidRDefault="00000000">
      <w:pPr>
        <w:pStyle w:val="Normal19"/>
        <w:widowControl w:val="0"/>
        <w:spacing w:before="240" w:line="260" w:lineRule="atLeast"/>
      </w:pPr>
      <w:bookmarkStart w:id="3613" w:name="Counsel_18"/>
      <w:bookmarkEnd w:id="3613"/>
      <w:r>
        <w:rPr>
          <w:rFonts w:ascii="Arial" w:eastAsia="Arial" w:hAnsi="Arial" w:cs="Arial"/>
          <w:b/>
          <w:color w:val="000000"/>
          <w:sz w:val="20"/>
        </w:rPr>
        <w:t>Counsel:</w:t>
      </w:r>
      <w:r>
        <w:rPr>
          <w:rFonts w:ascii="Arial" w:eastAsia="Arial" w:hAnsi="Arial" w:cs="Arial"/>
          <w:color w:val="000000"/>
          <w:sz w:val="20"/>
        </w:rPr>
        <w:t> For SAILBOAT BEND SOBER LIVING, LLC, CARL BERGSTROM, IRYNA BERGSTROM, Plaintiffs - Appellants: Ethan J. Loeb, Allison C. Doucette, Jon P. Tasso, Bartlett Loeb Hinds &amp; Thompson, PLLC, TAMPA, FL; Steven G. Polin, Law Office of Steven G. Polin, WASHINGTON, DC; Mitchell Adam Schermer, Attorney, Morgan &amp; Morgan, PA, TAMPA, FL.</w:t>
      </w:r>
    </w:p>
    <w:p w:rsidR="00022B47" w:rsidRDefault="00000000">
      <w:pPr>
        <w:pStyle w:val="Normal19"/>
        <w:widowControl w:val="0"/>
        <w:spacing w:before="120" w:line="260" w:lineRule="atLeast"/>
      </w:pPr>
      <w:r>
        <w:rPr>
          <w:rFonts w:ascii="Arial" w:eastAsia="Arial" w:hAnsi="Arial" w:cs="Arial"/>
          <w:color w:val="000000"/>
          <w:sz w:val="20"/>
        </w:rPr>
        <w:t>For CITY OF FORT LAUDERDALE, FLORIDA, Defendant - Appellee: Michael Thomas Burke, Hudson Carter Gill, Johnson Anselmo Murdoch Burke Piper &amp; Hochman, PA, FORT LAUDERDALE, FL.</w:t>
      </w:r>
    </w:p>
    <w:p w:rsidR="00022B47" w:rsidRDefault="00000000">
      <w:pPr>
        <w:pStyle w:val="Normal19"/>
        <w:widowControl w:val="0"/>
        <w:spacing w:before="240" w:line="260" w:lineRule="atLeast"/>
      </w:pPr>
      <w:bookmarkStart w:id="3614" w:name="Judges_18"/>
      <w:bookmarkEnd w:id="3614"/>
      <w:r>
        <w:rPr>
          <w:rFonts w:ascii="Arial" w:eastAsia="Arial" w:hAnsi="Arial" w:cs="Arial"/>
          <w:b/>
          <w:color w:val="000000"/>
          <w:sz w:val="20"/>
        </w:rPr>
        <w:t>Judges:</w:t>
      </w:r>
      <w:r>
        <w:rPr>
          <w:rFonts w:ascii="Arial" w:eastAsia="Arial" w:hAnsi="Arial" w:cs="Arial"/>
          <w:color w:val="000000"/>
          <w:sz w:val="20"/>
        </w:rPr>
        <w:t> Before JORDAN, JILL PRYOR, and MARCUS, Circuit Judges.</w:t>
      </w:r>
    </w:p>
    <w:p w:rsidR="00022B47" w:rsidRDefault="00000000">
      <w:pPr>
        <w:pStyle w:val="Normal19"/>
        <w:widowControl w:val="0"/>
        <w:spacing w:before="240" w:line="260" w:lineRule="atLeast"/>
      </w:pPr>
      <w:bookmarkStart w:id="3615" w:name="Opinion_by_10"/>
      <w:bookmarkEnd w:id="3615"/>
      <w:r>
        <w:rPr>
          <w:rFonts w:ascii="Arial" w:eastAsia="Arial" w:hAnsi="Arial" w:cs="Arial"/>
          <w:b/>
          <w:color w:val="000000"/>
          <w:sz w:val="20"/>
        </w:rPr>
        <w:t>Opinion by:</w:t>
      </w:r>
      <w:r>
        <w:rPr>
          <w:rFonts w:ascii="Arial" w:eastAsia="Arial" w:hAnsi="Arial" w:cs="Arial"/>
          <w:color w:val="000000"/>
          <w:sz w:val="20"/>
        </w:rPr>
        <w:t> MARCUS</w:t>
      </w:r>
    </w:p>
    <w:p w:rsidR="00022B47" w:rsidRDefault="00000000">
      <w:pPr>
        <w:pStyle w:val="Normal19"/>
        <w:keepNext/>
        <w:widowControl w:val="0"/>
        <w:spacing w:before="240" w:line="340" w:lineRule="atLeast"/>
      </w:pPr>
      <w:bookmarkStart w:id="3616" w:name="Opinion_18"/>
      <w:bookmarkEnd w:id="3616"/>
      <w:r>
        <w:rPr>
          <w:rFonts w:ascii="Arial" w:eastAsia="Arial" w:hAnsi="Arial" w:cs="Arial"/>
          <w:b/>
          <w:color w:val="000000"/>
          <w:sz w:val="28"/>
        </w:rPr>
        <w:t>Opinion</w:t>
      </w:r>
    </w:p>
    <w:p w:rsidR="00022B47" w:rsidRDefault="0025213E">
      <w:pPr>
        <w:pStyle w:val="Normal19"/>
        <w:spacing w:line="60" w:lineRule="exact"/>
      </w:pPr>
      <w:r>
        <w:rPr>
          <w:noProof/>
        </w:rPr>
        <mc:AlternateContent>
          <mc:Choice Requires="wps">
            <w:drawing>
              <wp:anchor distT="0" distB="0" distL="114300" distR="114300" simplePos="0" relativeHeight="251698176"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165946470"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4DAC3C" id="Line 41"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19"/>
      </w:pPr>
    </w:p>
    <w:p w:rsidR="00022B47" w:rsidRDefault="00000000">
      <w:pPr>
        <w:pStyle w:val="Normal19"/>
        <w:widowControl w:val="0"/>
        <w:spacing w:before="200" w:line="260" w:lineRule="atLeast"/>
        <w:jc w:val="both"/>
      </w:pPr>
      <w:bookmarkStart w:id="3617" w:name="Bookmark_para_2_18"/>
      <w:bookmarkEnd w:id="3617"/>
      <w:r>
        <w:rPr>
          <w:rFonts w:ascii="Arial" w:eastAsia="Arial" w:hAnsi="Arial" w:cs="Arial"/>
          <w:color w:val="000000"/>
          <w:sz w:val="20"/>
        </w:rPr>
        <w:t xml:space="preserve"> [*1270]  </w:t>
      </w:r>
      <w:r>
        <w:rPr>
          <w:rFonts w:ascii="Arial" w:eastAsia="Arial" w:hAnsi="Arial" w:cs="Arial"/>
          <w:smallCaps/>
          <w:color w:val="000000"/>
          <w:sz w:val="20"/>
        </w:rPr>
        <w:t>Marcus</w:t>
      </w:r>
      <w:r>
        <w:rPr>
          <w:rFonts w:ascii="Arial" w:eastAsia="Arial" w:hAnsi="Arial" w:cs="Arial"/>
          <w:color w:val="000000"/>
          <w:sz w:val="20"/>
        </w:rPr>
        <w:t>, Circuit Judge:</w:t>
      </w:r>
    </w:p>
    <w:p w:rsidR="00022B47" w:rsidRDefault="00000000">
      <w:pPr>
        <w:pStyle w:val="Normal19"/>
        <w:widowControl w:val="0"/>
        <w:spacing w:before="200" w:line="260" w:lineRule="atLeast"/>
        <w:jc w:val="both"/>
      </w:pPr>
      <w:bookmarkStart w:id="3618" w:name="Bookmark_para_3_18"/>
      <w:bookmarkEnd w:id="3618"/>
      <w:r>
        <w:rPr>
          <w:rFonts w:ascii="Arial" w:eastAsia="Arial" w:hAnsi="Arial" w:cs="Arial"/>
          <w:color w:val="000000"/>
          <w:sz w:val="20"/>
        </w:rPr>
        <w:t>Sailboat Bend Sober Living, LLC ("Sailboat Bend"), a for-profit sober living home in Fort Lauderdale, Florida, houses up to eleven people recovering from addiction who support each other in their sobriety. But it has had trouble complying with the City of Fort Lauderdale ("the City")'s Building and Fire Codes (collectively, "Codes") and the City's recently enacted Zoning Ordinance.</w:t>
      </w:r>
    </w:p>
    <w:p w:rsidR="00022B47" w:rsidRDefault="00000000">
      <w:pPr>
        <w:pStyle w:val="Normal19"/>
        <w:widowControl w:val="0"/>
        <w:spacing w:before="200" w:line="260" w:lineRule="atLeast"/>
        <w:jc w:val="both"/>
      </w:pPr>
      <w:bookmarkStart w:id="3619" w:name="Bookmark_para_4_18"/>
      <w:bookmarkEnd w:id="3619"/>
      <w:r>
        <w:rPr>
          <w:rFonts w:ascii="Arial" w:eastAsia="Arial" w:hAnsi="Arial" w:cs="Arial"/>
          <w:color w:val="000000"/>
          <w:sz w:val="20"/>
        </w:rPr>
        <w:t>Sailboat Bend, along with its part-owners Carl and Iryna Bergstrom, have brought several claims under the  [**2] Fair Housing Act and Amendments ("FHA") and the Americans with Disabilities Act ("ADA") against the City in the Southern District of Florida. Essentially, they allege that the City's code enforcement decisions were motived by hostility to the disabled, their accommodation request was wrongfully denied, and the Zoning Ordinance was facially discriminatory against people with disabilities.</w:t>
      </w:r>
    </w:p>
    <w:p w:rsidR="00022B47" w:rsidRDefault="00000000">
      <w:pPr>
        <w:pStyle w:val="Normal19"/>
        <w:widowControl w:val="0"/>
        <w:spacing w:before="200" w:line="260" w:lineRule="atLeast"/>
        <w:jc w:val="both"/>
      </w:pPr>
      <w:bookmarkStart w:id="3620" w:name="Bookmark_para_5_18"/>
      <w:bookmarkEnd w:id="3620"/>
      <w:r>
        <w:rPr>
          <w:rFonts w:ascii="Arial" w:eastAsia="Arial" w:hAnsi="Arial" w:cs="Arial"/>
          <w:color w:val="000000"/>
          <w:sz w:val="20"/>
        </w:rPr>
        <w:t>We conclude, as the district court did earlier, that the Zoning Ordinance does not discriminate against the Plaintiffs. Rather, it works to their decided benefit.  [*1271]  Moreover, no evidence has been adduced to show that the City enforced its Codes in a manner that discriminates on the basis of a disability. Finally, the Plaintiffs' requested accommodation on account of disability was not necessary.</w:t>
      </w:r>
    </w:p>
    <w:p w:rsidR="00022B47" w:rsidRDefault="00000000">
      <w:pPr>
        <w:pStyle w:val="Normal19"/>
        <w:widowControl w:val="0"/>
        <w:spacing w:before="200" w:line="260" w:lineRule="atLeast"/>
        <w:jc w:val="both"/>
      </w:pPr>
      <w:bookmarkStart w:id="3621" w:name="Bookmark_para_6_18"/>
      <w:bookmarkEnd w:id="3621"/>
      <w:r>
        <w:rPr>
          <w:rFonts w:ascii="Arial" w:eastAsia="Arial" w:hAnsi="Arial" w:cs="Arial"/>
          <w:color w:val="000000"/>
          <w:sz w:val="20"/>
        </w:rPr>
        <w:t>Accordingly, we affirm the entry of final summary judgment for the City on all counts.</w:t>
      </w:r>
    </w:p>
    <w:p w:rsidR="00022B47" w:rsidRDefault="00000000">
      <w:pPr>
        <w:pStyle w:val="Normal19"/>
        <w:widowControl w:val="0"/>
        <w:spacing w:before="240" w:line="260" w:lineRule="atLeast"/>
      </w:pPr>
      <w:r>
        <w:br/>
      </w:r>
      <w:r>
        <w:rPr>
          <w:rFonts w:ascii="Arial" w:eastAsia="Arial" w:hAnsi="Arial" w:cs="Arial"/>
          <w:b/>
          <w:color w:val="000000"/>
          <w:sz w:val="20"/>
        </w:rPr>
        <w:t>I</w:t>
      </w:r>
      <w:r>
        <w:rPr>
          <w:rFonts w:ascii="Arial" w:eastAsia="Arial" w:hAnsi="Arial" w:cs="Arial"/>
          <w:color w:val="000000"/>
          <w:sz w:val="20"/>
        </w:rPr>
        <w:t>.</w:t>
      </w:r>
    </w:p>
    <w:p w:rsidR="00022B47" w:rsidRDefault="00000000">
      <w:pPr>
        <w:pStyle w:val="Normal19"/>
        <w:widowControl w:val="0"/>
        <w:spacing w:before="200" w:line="260" w:lineRule="atLeast"/>
        <w:jc w:val="both"/>
      </w:pPr>
      <w:bookmarkStart w:id="3622" w:name="Bookmark_para_7_18"/>
      <w:bookmarkEnd w:id="3622"/>
      <w:r>
        <w:rPr>
          <w:rFonts w:ascii="Arial" w:eastAsia="Arial" w:hAnsi="Arial" w:cs="Arial"/>
          <w:color w:val="000000"/>
          <w:sz w:val="20"/>
        </w:rPr>
        <w:t>These are the essential facts taken in a light most favorable to Sailboat Bend. Plaintiff Sailboat Bend is owned, in a fifty-fifty partnership with another family, by Plaintiffs Carl Bergstrom and his wife Iryna Bergstrom. In March 2008, the Bergstroms purchased the property at 1110 SW 1st Street, Fort Lauderdale, Florida ("Property") for $144,000. They operate Sailboat Bend as a [**3]  business that offers housing to people addicted to alcohol and other drugs. Since the business's inception in 2008, the owners have charged $150 per tenant per week. The tenants generally pay their rent in cash. The typical stay lasts no more than a few weeks or months.</w:t>
      </w:r>
    </w:p>
    <w:p w:rsidR="00022B47" w:rsidRDefault="00000000">
      <w:pPr>
        <w:pStyle w:val="Normal19"/>
        <w:widowControl w:val="0"/>
        <w:spacing w:before="200" w:line="260" w:lineRule="atLeast"/>
        <w:jc w:val="both"/>
      </w:pPr>
      <w:bookmarkStart w:id="3623" w:name="Bookmark_para_8_17"/>
      <w:bookmarkEnd w:id="3623"/>
      <w:r>
        <w:rPr>
          <w:rFonts w:ascii="Arial" w:eastAsia="Arial" w:hAnsi="Arial" w:cs="Arial"/>
          <w:color w:val="000000"/>
          <w:sz w:val="20"/>
        </w:rPr>
        <w:t>At the time of the purchase, the Property was in disarray and the Bergstroms spent three months renovating it. Throughout the renovations, the Property's basic structure remained the same: a main building comprised of nine bedrooms, two bathrooms, one kitchen, and one living room; and a detached structure comprised of a single bedroom and bathroom. The Bergstroms claim "full occupancy" of the Property is eleven tenants, although occupancy rates have fluctuated markedly over the years.</w:t>
      </w:r>
    </w:p>
    <w:p w:rsidR="00022B47" w:rsidRDefault="00000000">
      <w:pPr>
        <w:pStyle w:val="Normal19"/>
        <w:widowControl w:val="0"/>
        <w:spacing w:before="200" w:line="260" w:lineRule="atLeast"/>
        <w:jc w:val="both"/>
      </w:pPr>
      <w:bookmarkStart w:id="3624" w:name="Bookmark_para_9_17"/>
      <w:bookmarkEnd w:id="3624"/>
      <w:r>
        <w:rPr>
          <w:rFonts w:ascii="Arial" w:eastAsia="Arial" w:hAnsi="Arial" w:cs="Arial"/>
          <w:color w:val="000000"/>
          <w:sz w:val="20"/>
        </w:rPr>
        <w:t>The relationship between the Plaintiffs and the City turned sour in April 2012, when the City investigated a citizen's complaint about the conditions at the Property and, subsequently, commenced two Building Code enforcement actions. The one relevant to this appeal was for "unpermitted work" on the Property, including the installation of a central air conditioning ("AC") unit. Because there was no after-the-fact permit that would render [**4]  the AC unit compliant with the Building Code, Bergstrom ultimately decided to remove the unit because a new system would have been, in his words, "outrageously expensive."</w:t>
      </w:r>
    </w:p>
    <w:p w:rsidR="00022B47" w:rsidRDefault="00000000">
      <w:pPr>
        <w:pStyle w:val="Normal19"/>
        <w:widowControl w:val="0"/>
        <w:spacing w:before="200" w:line="260" w:lineRule="atLeast"/>
        <w:jc w:val="both"/>
      </w:pPr>
      <w:bookmarkStart w:id="3625" w:name="Bookmark_para_10_17"/>
      <w:bookmarkEnd w:id="3625"/>
      <w:r>
        <w:rPr>
          <w:rFonts w:ascii="Arial" w:eastAsia="Arial" w:hAnsi="Arial" w:cs="Arial"/>
          <w:color w:val="000000"/>
          <w:sz w:val="20"/>
        </w:rPr>
        <w:t xml:space="preserve">During this time frame, a Fire Inspector examined the Property and identified several significant code violations that required correction. Most importantly, the report pointed out that the Property's "use" was "under research" to determine which fire code applied, and explained that "[a]fter the use has been defined there will be other fire and life safety requirements that will have to be met[.]" Doc. 54 ¶ 28. </w:t>
      </w:r>
      <w:bookmarkStart w:id="3626" w:name="Bookmark_LNHNREFclscc1_16"/>
      <w:bookmarkEnd w:id="3626"/>
      <w:r>
        <w:rPr>
          <w:rFonts w:ascii="Arial" w:eastAsia="Arial" w:hAnsi="Arial" w:cs="Arial"/>
          <w:color w:val="000000"/>
          <w:sz w:val="20"/>
        </w:rPr>
        <w:t xml:space="preserve">There are different "uses" that determine the applicable fire code. The uses are defined in the National Fire Protection Association's Life Safety Code ("Fire Code"), and are incorporated into Florida law. </w:t>
      </w:r>
      <w:r>
        <w:rPr>
          <w:rFonts w:ascii="Arial" w:eastAsia="Arial" w:hAnsi="Arial" w:cs="Arial"/>
          <w:i/>
          <w:color w:val="000000"/>
          <w:sz w:val="20"/>
        </w:rPr>
        <w:t>See</w:t>
      </w:r>
      <w:r>
        <w:rPr>
          <w:rFonts w:ascii="Arial" w:eastAsia="Arial" w:hAnsi="Arial" w:cs="Arial"/>
          <w:color w:val="000000"/>
          <w:sz w:val="20"/>
        </w:rPr>
        <w:t xml:space="preserve"> Fla. Stat. § 633.202(2). These are the uses:</w:t>
      </w:r>
    </w:p>
    <w:p w:rsidR="00022B47" w:rsidRDefault="00000000">
      <w:pPr>
        <w:pStyle w:val="Normal19"/>
        <w:widowControl w:val="0"/>
        <w:spacing w:line="260" w:lineRule="atLeast"/>
        <w:ind w:left="400"/>
        <w:jc w:val="both"/>
      </w:pPr>
      <w:bookmarkStart w:id="3627" w:name="Bookmark_para_11_17"/>
      <w:bookmarkEnd w:id="3627"/>
      <w:r>
        <w:rPr>
          <w:rFonts w:ascii="Arial" w:eastAsia="Arial" w:hAnsi="Arial" w:cs="Arial"/>
          <w:color w:val="000000"/>
          <w:sz w:val="20"/>
        </w:rPr>
        <w:t>1) One- and Two-Family Dwellings are defined as "buildings containing not more than two dwelling units in which each dwelling unit is occupied by members of a single family with not more than three outsiders, if any, accommodated in rented rooms." Fire Code § 24.1.1.2 (2012).</w:t>
      </w:r>
    </w:p>
    <w:p w:rsidR="00022B47" w:rsidRDefault="00000000">
      <w:pPr>
        <w:pStyle w:val="Normal19"/>
        <w:widowControl w:val="0"/>
        <w:spacing w:before="200" w:line="260" w:lineRule="atLeast"/>
        <w:ind w:left="400"/>
        <w:jc w:val="both"/>
      </w:pPr>
      <w:bookmarkStart w:id="3628" w:name="Bookmark_para_12_17"/>
      <w:bookmarkEnd w:id="3628"/>
      <w:r>
        <w:rPr>
          <w:rFonts w:ascii="Arial" w:eastAsia="Arial" w:hAnsi="Arial" w:cs="Arial"/>
          <w:color w:val="000000"/>
          <w:sz w:val="20"/>
        </w:rPr>
        <w:t xml:space="preserve">2) Lodging or Rooming Houses are defined as "buildings that provide sleeping accommodations for 16 or fewer [**5]  persons on either a transient or permanent basis, with or without meals, but without separate cooking facilities for individual occupants." </w:t>
      </w:r>
      <w:r>
        <w:rPr>
          <w:rFonts w:ascii="Arial" w:eastAsia="Arial" w:hAnsi="Arial" w:cs="Arial"/>
          <w:i/>
          <w:color w:val="000000"/>
          <w:sz w:val="20"/>
        </w:rPr>
        <w:t>Id.</w:t>
      </w:r>
      <w:r>
        <w:rPr>
          <w:rFonts w:ascii="Arial" w:eastAsia="Arial" w:hAnsi="Arial" w:cs="Arial"/>
          <w:color w:val="000000"/>
          <w:sz w:val="20"/>
        </w:rPr>
        <w:t xml:space="preserve"> § 26.1.1.1.</w:t>
      </w:r>
    </w:p>
    <w:p w:rsidR="00022B47" w:rsidRDefault="00000000">
      <w:pPr>
        <w:pStyle w:val="Normal19"/>
        <w:widowControl w:val="0"/>
        <w:spacing w:before="200" w:line="260" w:lineRule="atLeast"/>
        <w:ind w:left="400"/>
        <w:jc w:val="both"/>
      </w:pPr>
      <w:bookmarkStart w:id="3629" w:name="Bookmark_para_13_17"/>
      <w:bookmarkEnd w:id="3629"/>
      <w:r>
        <w:rPr>
          <w:rFonts w:ascii="Arial" w:eastAsia="Arial" w:hAnsi="Arial" w:cs="Arial"/>
          <w:color w:val="000000"/>
          <w:sz w:val="20"/>
        </w:rPr>
        <w:t xml:space="preserve">3) Residential Board and Care Occupancies are defined as "occupanc[ies] used for lodging and boarding of four or more residents, not related by blood or marriage to the owners or operators, for the  [*1272]  purpose of providing personal care services." </w:t>
      </w:r>
      <w:r>
        <w:rPr>
          <w:rFonts w:ascii="Arial" w:eastAsia="Arial" w:hAnsi="Arial" w:cs="Arial"/>
          <w:i/>
          <w:color w:val="000000"/>
          <w:sz w:val="20"/>
        </w:rPr>
        <w:t>Id.</w:t>
      </w:r>
      <w:r>
        <w:rPr>
          <w:rFonts w:ascii="Arial" w:eastAsia="Arial" w:hAnsi="Arial" w:cs="Arial"/>
          <w:color w:val="000000"/>
          <w:sz w:val="20"/>
        </w:rPr>
        <w:t xml:space="preserve"> § 3.3.190.12.</w:t>
      </w:r>
    </w:p>
    <w:p w:rsidR="00022B47" w:rsidRDefault="00000000">
      <w:pPr>
        <w:pStyle w:val="Normal19"/>
        <w:widowControl w:val="0"/>
        <w:spacing w:before="200" w:line="260" w:lineRule="atLeast"/>
        <w:jc w:val="both"/>
      </w:pPr>
      <w:bookmarkStart w:id="3630" w:name="Bookmark_para_14_17"/>
      <w:bookmarkEnd w:id="3630"/>
      <w:r>
        <w:rPr>
          <w:rFonts w:ascii="Arial" w:eastAsia="Arial" w:hAnsi="Arial" w:cs="Arial"/>
          <w:color w:val="000000"/>
          <w:sz w:val="20"/>
        </w:rPr>
        <w:t xml:space="preserve">In short, </w:t>
      </w:r>
      <w:bookmarkStart w:id="3631" w:name="Bookmark_LNHNREFclscc2_16"/>
      <w:bookmarkEnd w:id="3631"/>
      <w:r>
        <w:rPr>
          <w:rFonts w:ascii="Arial" w:eastAsia="Arial" w:hAnsi="Arial" w:cs="Arial"/>
          <w:color w:val="000000"/>
          <w:sz w:val="20"/>
        </w:rPr>
        <w:t xml:space="preserve">one- and two-family dwellings house three or fewer unrelated persons; the other uses house more than three. Notably, one- and two-family dwellings do not require an automatic sprinkler system, while the other two uses do. </w:t>
      </w:r>
      <w:r>
        <w:rPr>
          <w:rFonts w:ascii="Arial" w:eastAsia="Arial" w:hAnsi="Arial" w:cs="Arial"/>
          <w:i/>
          <w:color w:val="000000"/>
          <w:sz w:val="20"/>
        </w:rPr>
        <w:t>See</w:t>
      </w:r>
      <w:r>
        <w:rPr>
          <w:rFonts w:ascii="Arial" w:eastAsia="Arial" w:hAnsi="Arial" w:cs="Arial"/>
          <w:color w:val="000000"/>
          <w:sz w:val="20"/>
        </w:rPr>
        <w:t xml:space="preserve"> Fla. Stat. § 633.208(8)(a).</w:t>
      </w:r>
    </w:p>
    <w:p w:rsidR="00022B47" w:rsidRDefault="00000000">
      <w:pPr>
        <w:pStyle w:val="Normal19"/>
        <w:widowControl w:val="0"/>
        <w:spacing w:before="200" w:line="260" w:lineRule="atLeast"/>
        <w:jc w:val="both"/>
      </w:pPr>
      <w:bookmarkStart w:id="3632" w:name="Bookmark_para_15_17"/>
      <w:bookmarkEnd w:id="3632"/>
      <w:r>
        <w:rPr>
          <w:rFonts w:ascii="Arial" w:eastAsia="Arial" w:hAnsi="Arial" w:cs="Arial"/>
          <w:color w:val="000000"/>
          <w:sz w:val="20"/>
        </w:rPr>
        <w:t>Days after the initial inspection of the Property, the Fire Inspector conducted a follow-up inspection, concluded that the Property should be classified as a "Lodging or Rooming House," and issued a new report observing the absence of "an approved automatic sprinkler system." Doc. 54 ¶ 30 (quotation marks omitted). The new report said that the City would reinspect the Property within thirty days. Although the parties agree that reinspection never occurred, they disagree about the reason.</w:t>
      </w:r>
    </w:p>
    <w:p w:rsidR="00022B47" w:rsidRDefault="00000000">
      <w:pPr>
        <w:pStyle w:val="Normal19"/>
        <w:widowControl w:val="0"/>
        <w:spacing w:before="200" w:line="260" w:lineRule="atLeast"/>
        <w:jc w:val="both"/>
      </w:pPr>
      <w:bookmarkStart w:id="3633" w:name="Bookmark_para_16_17"/>
      <w:bookmarkEnd w:id="3633"/>
      <w:r>
        <w:rPr>
          <w:rFonts w:ascii="Arial" w:eastAsia="Arial" w:hAnsi="Arial" w:cs="Arial"/>
          <w:color w:val="000000"/>
          <w:sz w:val="20"/>
        </w:rPr>
        <w:t>After the 2012 Building and Fire Code enforcement actions, the Plaintiffs' [**6]  battles with the City abated for several years. During that time, they pushed to expand their business. The Plaintiffs hoped their investments would allow them to raise the residents' rents and market the home to a new group of residents -- young opioid addicts.</w:t>
      </w:r>
    </w:p>
    <w:p w:rsidR="00022B47" w:rsidRDefault="00000000">
      <w:pPr>
        <w:pStyle w:val="Normal19"/>
        <w:widowControl w:val="0"/>
        <w:spacing w:before="200" w:line="260" w:lineRule="atLeast"/>
        <w:jc w:val="both"/>
      </w:pPr>
      <w:bookmarkStart w:id="3634" w:name="Bookmark_para_17_16"/>
      <w:bookmarkEnd w:id="3634"/>
      <w:r>
        <w:rPr>
          <w:rFonts w:ascii="Arial" w:eastAsia="Arial" w:hAnsi="Arial" w:cs="Arial"/>
          <w:color w:val="000000"/>
          <w:sz w:val="20"/>
        </w:rPr>
        <w:t>Some five years later, on May 5, 2017, the Fire Inspector told Bergstrom that the Property was not being used as a single-family dwelling; rather, it was either a Residential Board and Care Occupancy or a Rooming House. The Fire Inspector explained that, under either classification, the Fire Code would apply to the Property, and as a result, Sailboat Bend would have to install an automatic sprinkler system. Bergstrom estimated that a new fire sprinkler system would cost between $30,000 and $40,000.</w:t>
      </w:r>
    </w:p>
    <w:p w:rsidR="00022B47" w:rsidRDefault="00000000">
      <w:pPr>
        <w:pStyle w:val="Normal19"/>
        <w:widowControl w:val="0"/>
        <w:spacing w:before="200" w:line="260" w:lineRule="atLeast"/>
        <w:jc w:val="both"/>
      </w:pPr>
      <w:bookmarkStart w:id="3635" w:name="Bookmark_para_18_16"/>
      <w:bookmarkEnd w:id="3635"/>
      <w:r>
        <w:rPr>
          <w:rFonts w:ascii="Arial" w:eastAsia="Arial" w:hAnsi="Arial" w:cs="Arial"/>
          <w:color w:val="000000"/>
          <w:sz w:val="20"/>
        </w:rPr>
        <w:t>At a July 25, 2017 hearing, the Code Enforcement Board found two Building Code violations: the building had blocked emergency escape routes; and, the Plaintiffs had performed unpermitted and un-inspected work. In a separate order, the Code Enforcement Board found ten Fire Code violations. Some of the most egregious violations included a lack of compliant smoke alarms, no fire alarm system, and no approved emergency evacuation plan. [**7]  Both orders required the Plaintiffs to remedy the violations by August 22, 2017.</w:t>
      </w:r>
    </w:p>
    <w:p w:rsidR="00022B47" w:rsidRDefault="00000000">
      <w:pPr>
        <w:pStyle w:val="Normal19"/>
        <w:widowControl w:val="0"/>
        <w:spacing w:before="200" w:line="260" w:lineRule="atLeast"/>
        <w:jc w:val="both"/>
      </w:pPr>
      <w:bookmarkStart w:id="3636" w:name="Bookmark_para_19_15"/>
      <w:bookmarkEnd w:id="3636"/>
      <w:r>
        <w:rPr>
          <w:rFonts w:ascii="Arial" w:eastAsia="Arial" w:hAnsi="Arial" w:cs="Arial"/>
          <w:color w:val="000000"/>
          <w:sz w:val="20"/>
        </w:rPr>
        <w:t>Five days before the deadline, the Plaintiffs' out-of-state attorney, Stephen Polin, sent an Assistant City Attorney a letter entitled "Reasonable Accommodation Request" (the "Letter"). The Plaintiffs appeared to ask for two accommodations, both of which sought to avoid the installation of an automatic sprinkler system. As for the first "accommodation," the Letter asked the City to waive the limitations on the maximum number of unrelated persons who could reside together as a family under the Fire Code and to treat the Property as having a single-family use (to which the Fire Code does not apply). As for the second "accommodation," the Letter urged the City to "narrowly tailor[]" the Fire Code by "taking into account that the residents of Sailboat Bend are fully ambulatory, and are fully capable of responding to a fire emergency in the same manner as families and those related by blood, marriage, or adoption." Doc. 61 ¶ 27. The Plaintiffs say that the City failed to respond to the Letter. The City claims that it addressed the Letter at a public hearing.</w:t>
      </w:r>
    </w:p>
    <w:p w:rsidR="00022B47" w:rsidRDefault="00000000">
      <w:pPr>
        <w:pStyle w:val="Normal19"/>
        <w:widowControl w:val="0"/>
        <w:spacing w:before="200" w:line="260" w:lineRule="atLeast"/>
        <w:jc w:val="both"/>
      </w:pPr>
      <w:bookmarkStart w:id="3637" w:name="Bookmark_para_20_15"/>
      <w:bookmarkEnd w:id="3637"/>
      <w:r>
        <w:rPr>
          <w:rFonts w:ascii="Arial" w:eastAsia="Arial" w:hAnsi="Arial" w:cs="Arial"/>
          <w:color w:val="000000"/>
          <w:sz w:val="20"/>
        </w:rPr>
        <w:t xml:space="preserve">Ultimately, the Plaintiffs satisfied both the Building [**8]  Code and the Fire Code -- largely by reducing the occupancy of Sailboat Bend to only three tenants. Reducing the home's occupancy to three enabled the Plaintiffs to remedy the blocked-windows violations by providing each occupant with a sleeping room that had, besides the door, </w:t>
      </w:r>
      <w:r>
        <w:rPr>
          <w:rFonts w:ascii="Arial" w:eastAsia="Arial" w:hAnsi="Arial" w:cs="Arial"/>
          <w:i/>
          <w:color w:val="000000"/>
          <w:sz w:val="20"/>
        </w:rPr>
        <w:t>at least</w:t>
      </w:r>
      <w:r>
        <w:rPr>
          <w:rFonts w:ascii="Arial" w:eastAsia="Arial" w:hAnsi="Arial" w:cs="Arial"/>
          <w:color w:val="000000"/>
          <w:sz w:val="20"/>
        </w:rPr>
        <w:t xml:space="preserve"> one other means of escape. As for the Fire Code, by reducing the home's occupancy to three, Sailboat Bend would  [*1273]  qualify as a single-family home, and thereby obviate the need to install an automatic sprinkler system. </w:t>
      </w:r>
      <w:r>
        <w:rPr>
          <w:rFonts w:ascii="Arial" w:eastAsia="Arial" w:hAnsi="Arial" w:cs="Arial"/>
          <w:i/>
          <w:color w:val="000000"/>
          <w:sz w:val="20"/>
        </w:rPr>
        <w:t>See</w:t>
      </w:r>
      <w:r>
        <w:rPr>
          <w:rFonts w:ascii="Arial" w:eastAsia="Arial" w:hAnsi="Arial" w:cs="Arial"/>
          <w:color w:val="000000"/>
          <w:sz w:val="20"/>
        </w:rPr>
        <w:t xml:space="preserve"> Fire Code § 24.1.1.2 (defining single-family home as containing "not more than three outsiders"). The Fire Inspector also required the Plaintiffs to remove Sailboat Bend's name from the Florida Association of Recovery Residences ("FARR")'s list of certified recovery residences in order to ensure that the Property would fall within the definition of a single-family home.</w:t>
      </w:r>
    </w:p>
    <w:p w:rsidR="00022B47" w:rsidRDefault="00000000">
      <w:pPr>
        <w:pStyle w:val="Normal19"/>
        <w:widowControl w:val="0"/>
        <w:spacing w:before="200" w:line="260" w:lineRule="atLeast"/>
        <w:jc w:val="both"/>
      </w:pPr>
      <w:bookmarkStart w:id="3638" w:name="Bookmark_para_21_15"/>
      <w:bookmarkEnd w:id="3638"/>
      <w:r>
        <w:rPr>
          <w:rFonts w:ascii="Arial" w:eastAsia="Arial" w:hAnsi="Arial" w:cs="Arial"/>
          <w:color w:val="000000"/>
          <w:sz w:val="20"/>
        </w:rPr>
        <w:t xml:space="preserve">The final bone of contention arose from the subsequent codification of Ordinance No. C-18-11, a zoning ordinance the City enacted on April 17, 2018. </w:t>
      </w:r>
      <w:r>
        <w:rPr>
          <w:rFonts w:ascii="Arial" w:eastAsia="Arial" w:hAnsi="Arial" w:cs="Arial"/>
          <w:i/>
          <w:color w:val="000000"/>
          <w:sz w:val="20"/>
        </w:rPr>
        <w:t>See</w:t>
      </w:r>
      <w:r>
        <w:rPr>
          <w:rFonts w:ascii="Arial" w:eastAsia="Arial" w:hAnsi="Arial" w:cs="Arial"/>
          <w:color w:val="000000"/>
          <w:sz w:val="20"/>
        </w:rPr>
        <w:t xml:space="preserve"> Doc. 55-17 (hereinafter "Zoning Ordinance"). </w:t>
      </w:r>
      <w:bookmarkStart w:id="3639" w:name="Bookmark_LNHNREFclscc3_16"/>
      <w:bookmarkEnd w:id="3639"/>
      <w:r>
        <w:rPr>
          <w:rFonts w:ascii="Arial" w:eastAsia="Arial" w:hAnsi="Arial" w:cs="Arial"/>
          <w:color w:val="000000"/>
          <w:sz w:val="20"/>
        </w:rPr>
        <w:t>Under the Zoning Ordinance, residential zoning districts are (mostly) limited to families. A "family" is defined as:</w:t>
      </w:r>
    </w:p>
    <w:p w:rsidR="00022B47" w:rsidRDefault="00000000">
      <w:pPr>
        <w:pStyle w:val="Normal19"/>
        <w:widowControl w:val="0"/>
        <w:spacing w:before="200" w:line="260" w:lineRule="atLeast"/>
        <w:ind w:left="400"/>
        <w:jc w:val="both"/>
      </w:pPr>
      <w:bookmarkStart w:id="3640" w:name="Bookmark_para_22_14"/>
      <w:bookmarkEnd w:id="3640"/>
      <w:r>
        <w:rPr>
          <w:rFonts w:ascii="Arial" w:eastAsia="Arial" w:hAnsi="Arial" w:cs="Arial"/>
          <w:color w:val="000000"/>
          <w:sz w:val="20"/>
        </w:rPr>
        <w:t>One (1) [**9]  or more persons living together and interrelated by bonds of consanguinity, marriage or legal adoption, or a group of persons up to three (3) in number who are not so interrelated, occupying the whole or part of a dwelling as a single housekeeping unit, supplied with a kitchen or facilities for doing their own cooking on the premises, and who share common living facilities.</w:t>
      </w:r>
    </w:p>
    <w:p w:rsidR="00022B47" w:rsidRDefault="00000000">
      <w:pPr>
        <w:pStyle w:val="Normal19"/>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xml:space="preserve"> § 6 (emphases omitted). Groups of unrelated persons may also reside in the residential zoning districts -- so long as not more than three unrelated persons live together. Groups of more than three unrelated people generally may not live in the residential zoning districts.</w:t>
      </w:r>
    </w:p>
    <w:p w:rsidR="00022B47" w:rsidRDefault="00000000">
      <w:pPr>
        <w:pStyle w:val="Normal19"/>
        <w:widowControl w:val="0"/>
        <w:spacing w:before="200" w:line="260" w:lineRule="atLeast"/>
        <w:jc w:val="both"/>
      </w:pPr>
      <w:bookmarkStart w:id="3641" w:name="Bookmark_para_23_13"/>
      <w:bookmarkEnd w:id="3641"/>
      <w:r>
        <w:rPr>
          <w:rFonts w:ascii="Arial" w:eastAsia="Arial" w:hAnsi="Arial" w:cs="Arial"/>
          <w:color w:val="000000"/>
          <w:sz w:val="20"/>
        </w:rPr>
        <w:t>The City carved out an exception to the proscription that more than three unrelated people may not live together for one --and only one -- type of group home: those that serve residents with disabilities (as the Ordinance defines them, "Community Residences"). Thus, while groups of more than three unrelated and non-disabled persons are barred from living together in residential zones, groups of more than three unrelated and disabled persons may live together in residential zoning districts -- so long as their homes meet other specified requirements. [**10] </w:t>
      </w:r>
    </w:p>
    <w:p w:rsidR="00022B47" w:rsidRDefault="00000000">
      <w:pPr>
        <w:pStyle w:val="Normal19"/>
        <w:widowControl w:val="0"/>
        <w:spacing w:before="200" w:line="260" w:lineRule="atLeast"/>
        <w:jc w:val="both"/>
      </w:pPr>
      <w:bookmarkStart w:id="3642" w:name="Bookmark_para_24_13"/>
      <w:bookmarkStart w:id="3643" w:name="Bookmark_LNHNREFclscc4_16"/>
      <w:bookmarkEnd w:id="3642"/>
      <w:bookmarkEnd w:id="3643"/>
      <w:r>
        <w:rPr>
          <w:rFonts w:ascii="Arial" w:eastAsia="Arial" w:hAnsi="Arial" w:cs="Arial"/>
          <w:color w:val="000000"/>
          <w:sz w:val="20"/>
        </w:rPr>
        <w:t>A Community Residence may operate in a residential zone if it complies with the Zoning Ordinance's provisions on "Family Community Residences" (longer-term homes for the disabled) or "Transitional Community Residences" (shorter-term homes for the disabled). A Family Community Residence is:</w:t>
      </w:r>
    </w:p>
    <w:p w:rsidR="00022B47" w:rsidRDefault="00000000">
      <w:pPr>
        <w:pStyle w:val="Normal19"/>
        <w:widowControl w:val="0"/>
        <w:spacing w:line="260" w:lineRule="atLeast"/>
        <w:ind w:left="400"/>
        <w:jc w:val="both"/>
      </w:pPr>
      <w:bookmarkStart w:id="3644" w:name="Bookmark_para_25_13"/>
      <w:bookmarkEnd w:id="3644"/>
      <w:r>
        <w:rPr>
          <w:rFonts w:ascii="Arial" w:eastAsia="Arial" w:hAnsi="Arial" w:cs="Arial"/>
          <w:color w:val="000000"/>
          <w:sz w:val="20"/>
        </w:rPr>
        <w:t>a type of community residence that is a relatively permanent living arrangement for more than three (3) unrelated people with disabilities with no limit on how long a resident may live in the home. The length of tenancy is measured in years.</w:t>
      </w:r>
    </w:p>
    <w:p w:rsidR="00022B47" w:rsidRDefault="00000000">
      <w:pPr>
        <w:pStyle w:val="Normal19"/>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xml:space="preserve"> § 6. A Transitional Community Residence, by contrast, is:</w:t>
      </w:r>
    </w:p>
    <w:p w:rsidR="00022B47" w:rsidRDefault="00000000">
      <w:pPr>
        <w:pStyle w:val="Normal19"/>
        <w:widowControl w:val="0"/>
        <w:spacing w:line="260" w:lineRule="atLeast"/>
        <w:ind w:left="400"/>
        <w:jc w:val="both"/>
      </w:pPr>
      <w:bookmarkStart w:id="3645" w:name="Bookmark_para_26_12"/>
      <w:bookmarkEnd w:id="3645"/>
      <w:r>
        <w:rPr>
          <w:rFonts w:ascii="Arial" w:eastAsia="Arial" w:hAnsi="Arial" w:cs="Arial"/>
          <w:color w:val="000000"/>
          <w:sz w:val="20"/>
        </w:rPr>
        <w:t>a type of community residence that is a temporary living arrangement for more than three unrelated people with disabilities with a limit on length of tenancy that is measured in weeks or months, not years."</w:t>
      </w:r>
      <w:r>
        <w:rPr>
          <w:rFonts w:ascii="Arial" w:eastAsia="Arial" w:hAnsi="Arial" w:cs="Arial"/>
          <w:vertAlign w:val="superscript"/>
        </w:rPr>
        <w:footnoteReference w:customMarkFollows="1" w:id="76"/>
        <w:t>1</w:t>
      </w:r>
    </w:p>
    <w:p w:rsidR="00022B47" w:rsidRDefault="00000000">
      <w:pPr>
        <w:pStyle w:val="Normal19"/>
        <w:widowControl w:val="0"/>
        <w:spacing w:before="200" w:line="260" w:lineRule="atLeast"/>
        <w:jc w:val="both"/>
      </w:pPr>
      <w:r>
        <w:rPr>
          <w:rFonts w:ascii="Arial" w:eastAsia="Arial" w:hAnsi="Arial" w:cs="Arial"/>
          <w:i/>
          <w:color w:val="000000"/>
          <w:sz w:val="20"/>
        </w:rPr>
        <w:t>Id.</w:t>
      </w:r>
    </w:p>
    <w:p w:rsidR="00022B47" w:rsidRDefault="00000000">
      <w:pPr>
        <w:pStyle w:val="Normal19"/>
        <w:widowControl w:val="0"/>
        <w:spacing w:before="200" w:line="260" w:lineRule="atLeast"/>
        <w:jc w:val="both"/>
      </w:pPr>
      <w:bookmarkStart w:id="3648" w:name="Bookmark_para_28_12"/>
      <w:bookmarkStart w:id="3649" w:name="Bookmark_LNHNREFclscc5_16"/>
      <w:bookmarkEnd w:id="3648"/>
      <w:bookmarkEnd w:id="3649"/>
      <w:r>
        <w:rPr>
          <w:rFonts w:ascii="Arial" w:eastAsia="Arial" w:hAnsi="Arial" w:cs="Arial"/>
          <w:color w:val="000000"/>
          <w:sz w:val="20"/>
        </w:rPr>
        <w:t xml:space="preserve">A licensed Family Community Residence may operate within all residential  [*1274]  zoning districts -- </w:t>
      </w:r>
      <w:r>
        <w:rPr>
          <w:rFonts w:ascii="Arial" w:eastAsia="Arial" w:hAnsi="Arial" w:cs="Arial"/>
          <w:i/>
          <w:color w:val="000000"/>
          <w:sz w:val="20"/>
        </w:rPr>
        <w:t>with no conditions</w:t>
      </w:r>
      <w:r>
        <w:rPr>
          <w:rFonts w:ascii="Arial" w:eastAsia="Arial" w:hAnsi="Arial" w:cs="Arial"/>
          <w:color w:val="000000"/>
          <w:sz w:val="20"/>
        </w:rPr>
        <w:t xml:space="preserve"> -- if the residence (1) houses between four and ten residents and (2) is located at least 1,000 feet from any other Community Residence. </w:t>
      </w:r>
      <w:r>
        <w:rPr>
          <w:rFonts w:ascii="Arial" w:eastAsia="Arial" w:hAnsi="Arial" w:cs="Arial"/>
          <w:i/>
          <w:color w:val="000000"/>
          <w:sz w:val="20"/>
        </w:rPr>
        <w:t>Id.</w:t>
      </w:r>
      <w:r>
        <w:rPr>
          <w:rFonts w:ascii="Arial" w:eastAsia="Arial" w:hAnsi="Arial" w:cs="Arial"/>
          <w:color w:val="000000"/>
          <w:sz w:val="20"/>
        </w:rPr>
        <w:t xml:space="preserve"> § 5. A licensed Transitional Community Residence is also permitted within multifamily zoning districts -- </w:t>
      </w:r>
      <w:r>
        <w:rPr>
          <w:rFonts w:ascii="Arial" w:eastAsia="Arial" w:hAnsi="Arial" w:cs="Arial"/>
          <w:i/>
          <w:color w:val="000000"/>
          <w:sz w:val="20"/>
        </w:rPr>
        <w:t>with no conditions</w:t>
      </w:r>
      <w:r>
        <w:rPr>
          <w:rFonts w:ascii="Arial" w:eastAsia="Arial" w:hAnsi="Arial" w:cs="Arial"/>
          <w:color w:val="000000"/>
          <w:sz w:val="20"/>
        </w:rPr>
        <w:t xml:space="preserve"> -- if the residence (1) houses between four and ten residents and (2) is located at least 1,000 feet from any other Community Residence. </w:t>
      </w:r>
      <w:r>
        <w:rPr>
          <w:rFonts w:ascii="Arial" w:eastAsia="Arial" w:hAnsi="Arial" w:cs="Arial"/>
          <w:i/>
          <w:color w:val="000000"/>
          <w:sz w:val="20"/>
        </w:rPr>
        <w:t>Id.</w:t>
      </w:r>
    </w:p>
    <w:p w:rsidR="00022B47" w:rsidRDefault="00000000">
      <w:pPr>
        <w:pStyle w:val="Normal19"/>
        <w:widowControl w:val="0"/>
        <w:spacing w:before="200" w:line="260" w:lineRule="atLeast"/>
        <w:jc w:val="both"/>
      </w:pPr>
      <w:bookmarkStart w:id="3650" w:name="Bookmark_para_29_12"/>
      <w:bookmarkEnd w:id="3650"/>
      <w:r>
        <w:rPr>
          <w:rFonts w:ascii="Arial" w:eastAsia="Arial" w:hAnsi="Arial" w:cs="Arial"/>
          <w:color w:val="000000"/>
          <w:sz w:val="20"/>
        </w:rPr>
        <w:t xml:space="preserve">To help draft the Zoning Ordinance, the City retained Daniel Lauber, a city planning expert. As outlined in his report, </w:t>
      </w:r>
      <w:bookmarkStart w:id="3651" w:name="Bookmark_LNHNREFclscc6_13"/>
      <w:bookmarkEnd w:id="3651"/>
      <w:r>
        <w:rPr>
          <w:rFonts w:ascii="Arial" w:eastAsia="Arial" w:hAnsi="Arial" w:cs="Arial"/>
          <w:color w:val="000000"/>
          <w:sz w:val="20"/>
        </w:rPr>
        <w:t>the 1,000-foot distance requirement is intended to, among other things, prevent the clustering of recovery homes, which may interfere with their ability to foster normalization and community integration. But a Community Residence may still be allowed in a residential district, even if it fails the distance requirement, if it either (1) applies for, and receives, "reasonable accommodation" approval or (2) agrees to certain "conditional use permit requirements" -- namely, not interfering [**12]  with the normalization and integration of the existing residents of any community residence and not altering the residential character of the neighborhood. Zoning Ordinance §§ 2-3, 5.</w:t>
      </w:r>
    </w:p>
    <w:p w:rsidR="00022B47" w:rsidRDefault="00000000">
      <w:pPr>
        <w:pStyle w:val="Normal19"/>
        <w:widowControl w:val="0"/>
        <w:spacing w:before="200" w:line="260" w:lineRule="atLeast"/>
        <w:jc w:val="both"/>
      </w:pPr>
      <w:bookmarkStart w:id="3652" w:name="Bookmark_para_30_11"/>
      <w:bookmarkEnd w:id="3652"/>
      <w:r>
        <w:rPr>
          <w:rFonts w:ascii="Arial" w:eastAsia="Arial" w:hAnsi="Arial" w:cs="Arial"/>
          <w:color w:val="000000"/>
          <w:sz w:val="20"/>
        </w:rPr>
        <w:t>To summarize, Sailboat Bend is a sober living facility for individuals recovering from addiction. The residents are considered "disabled" under federal and city law. After a series of Building and Fire Code violations and the denial of two accommodation requests, Sailboat Bend chose to reduce its occupancy to three people rather than make the required (albeit allegedly expensive) safety upgrades to the Property, so that it would meet the City's standards for either a Residential Board and Care Occupancy or a Rooming House. Then, separate from the Code-related issues, the City passed a zoning ordinance that placed some restrictions on the ability of Sailboat Bend to operate in residentially zoned districts.</w:t>
      </w:r>
    </w:p>
    <w:p w:rsidR="00022B47" w:rsidRDefault="00000000">
      <w:pPr>
        <w:pStyle w:val="Normal19"/>
        <w:widowControl w:val="0"/>
        <w:spacing w:before="200" w:line="260" w:lineRule="atLeast"/>
        <w:jc w:val="both"/>
      </w:pPr>
      <w:bookmarkStart w:id="3653" w:name="Bookmark_para_31_11"/>
      <w:bookmarkEnd w:id="3653"/>
      <w:r>
        <w:rPr>
          <w:rFonts w:ascii="Arial" w:eastAsia="Arial" w:hAnsi="Arial" w:cs="Arial"/>
          <w:color w:val="000000"/>
          <w:sz w:val="20"/>
        </w:rPr>
        <w:t>The Plaintiffs sued the City under the FHA, 42 U.S.C. § 3604, and the ADA, 42 U.S.C. § 12132, alleging that the Zoning Ordinance facially discriminated against individuals with disabilities, that the City failed to grant their request for a reasonable accommodation for an exemption from the Fire Code, and that the City intentionally [**13]  discriminated against the Plaintiffs in its enforcement of the Code because of the residents' disabilities. The district court entered summary judgment for the City of Fort Lauderdale on each claim and this timely appeal followed.</w:t>
      </w:r>
    </w:p>
    <w:p w:rsidR="00022B47" w:rsidRDefault="00000000">
      <w:pPr>
        <w:pStyle w:val="Normal19"/>
        <w:widowControl w:val="0"/>
        <w:spacing w:before="240" w:line="260" w:lineRule="atLeast"/>
      </w:pPr>
      <w:r>
        <w:br/>
      </w:r>
      <w:r>
        <w:rPr>
          <w:rFonts w:ascii="Arial" w:eastAsia="Arial" w:hAnsi="Arial" w:cs="Arial"/>
          <w:b/>
          <w:color w:val="000000"/>
          <w:sz w:val="20"/>
        </w:rPr>
        <w:t>II</w:t>
      </w:r>
      <w:r>
        <w:rPr>
          <w:rFonts w:ascii="Arial" w:eastAsia="Arial" w:hAnsi="Arial" w:cs="Arial"/>
          <w:color w:val="000000"/>
          <w:sz w:val="20"/>
        </w:rPr>
        <w:t>.</w:t>
      </w:r>
    </w:p>
    <w:p w:rsidR="00022B47" w:rsidRDefault="00000000">
      <w:pPr>
        <w:pStyle w:val="Normal19"/>
        <w:widowControl w:val="0"/>
        <w:spacing w:before="200" w:line="260" w:lineRule="atLeast"/>
        <w:jc w:val="both"/>
      </w:pPr>
      <w:bookmarkStart w:id="3654" w:name="Bookmark_para_32_11"/>
      <w:bookmarkStart w:id="3655" w:name="Bookmark_I668RJN32HM6CH0020000400"/>
      <w:bookmarkStart w:id="3656" w:name="Bookmark_I668RJN428T4FG0010000400"/>
      <w:bookmarkStart w:id="3657" w:name="Bookmark_LNHNREFclscc7_12"/>
      <w:bookmarkEnd w:id="3654"/>
      <w:bookmarkEnd w:id="3655"/>
      <w:bookmarkEnd w:id="3656"/>
      <w:bookmarkEnd w:id="3657"/>
      <w:r>
        <w:rPr>
          <w:rFonts w:ascii="Arial" w:eastAsia="Arial" w:hAnsi="Arial" w:cs="Arial"/>
          <w:color w:val="000000"/>
          <w:sz w:val="20"/>
        </w:rPr>
        <w:t xml:space="preserve">We review the entry of summary judgment </w:t>
      </w:r>
      <w:r>
        <w:rPr>
          <w:rFonts w:ascii="Arial" w:eastAsia="Arial" w:hAnsi="Arial" w:cs="Arial"/>
          <w:i/>
          <w:color w:val="000000"/>
          <w:sz w:val="20"/>
        </w:rPr>
        <w:t>de novo</w:t>
      </w:r>
      <w:r>
        <w:rPr>
          <w:rFonts w:ascii="Arial" w:eastAsia="Arial" w:hAnsi="Arial" w:cs="Arial"/>
          <w:color w:val="000000"/>
          <w:sz w:val="20"/>
        </w:rPr>
        <w:t xml:space="preserve">, examining the evidence and drawing all reasonable inferences in the light most favorable to the nonmoving party. </w:t>
      </w:r>
      <w:bookmarkStart w:id="3658" w:name="Bookmark_I668RJN32HM6CH0010000400"/>
      <w:bookmarkEnd w:id="3658"/>
      <w:r>
        <w:rPr>
          <w:rFonts w:ascii="Arial" w:eastAsia="Arial" w:hAnsi="Arial" w:cs="Arial"/>
          <w:i/>
          <w:color w:val="000000"/>
          <w:sz w:val="20"/>
        </w:rPr>
        <w:t>Hernandez v. Plastipak Packaging, Inc.</w:t>
      </w:r>
      <w:r>
        <w:rPr>
          <w:rFonts w:ascii="Arial" w:eastAsia="Arial" w:hAnsi="Arial" w:cs="Arial"/>
          <w:color w:val="000000"/>
          <w:sz w:val="20"/>
        </w:rPr>
        <w:t xml:space="preserve">, 15 F.4th 1321, 1325 (11th Cir. 2021); </w:t>
      </w:r>
      <w:bookmarkStart w:id="3659" w:name="Bookmark_I668RJN32HM6CH0030000400"/>
      <w:bookmarkEnd w:id="3659"/>
      <w:r>
        <w:rPr>
          <w:rFonts w:ascii="Arial" w:eastAsia="Arial" w:hAnsi="Arial" w:cs="Arial"/>
          <w:i/>
          <w:color w:val="000000"/>
          <w:sz w:val="20"/>
        </w:rPr>
        <w:t>Hallmark Developers, Inc. v. Fulton County</w:t>
      </w:r>
      <w:r>
        <w:rPr>
          <w:rFonts w:ascii="Arial" w:eastAsia="Arial" w:hAnsi="Arial" w:cs="Arial"/>
          <w:color w:val="000000"/>
          <w:sz w:val="20"/>
        </w:rPr>
        <w:t xml:space="preserve">, 466 F.3d 1276, 1283 (11th Cir. 2006). We will affirm if "there is no genuine issue as to any material fact" and "the movant is entitled to judgment as a matter of law." </w:t>
      </w:r>
      <w:bookmarkStart w:id="3660" w:name="Bookmark_I668RJN32HM6CH0050000400"/>
      <w:bookmarkEnd w:id="3660"/>
      <w:r>
        <w:rPr>
          <w:rFonts w:ascii="Arial" w:eastAsia="Arial" w:hAnsi="Arial" w:cs="Arial"/>
          <w:i/>
          <w:color w:val="000000"/>
          <w:sz w:val="20"/>
        </w:rPr>
        <w:t>Schwarz v. City of Treasure Island</w:t>
      </w:r>
      <w:r>
        <w:rPr>
          <w:rFonts w:ascii="Arial" w:eastAsia="Arial" w:hAnsi="Arial" w:cs="Arial"/>
          <w:color w:val="000000"/>
          <w:sz w:val="20"/>
        </w:rPr>
        <w:t>, 544 F.3d 1201, 1211 (11th Cir. 2008) (citation and quotation marks omitted); Fed. R. Civ. P. 56(a).</w:t>
      </w:r>
    </w:p>
    <w:p w:rsidR="00022B47" w:rsidRDefault="00000000">
      <w:pPr>
        <w:pStyle w:val="Normal19"/>
        <w:widowControl w:val="0"/>
        <w:spacing w:before="240" w:line="260" w:lineRule="atLeast"/>
      </w:pPr>
      <w:r>
        <w:br/>
      </w:r>
      <w:r>
        <w:rPr>
          <w:rFonts w:ascii="Arial" w:eastAsia="Arial" w:hAnsi="Arial" w:cs="Arial"/>
          <w:b/>
          <w:color w:val="000000"/>
          <w:sz w:val="20"/>
        </w:rPr>
        <w:t>A</w:t>
      </w:r>
      <w:r>
        <w:rPr>
          <w:rFonts w:ascii="Arial" w:eastAsia="Arial" w:hAnsi="Arial" w:cs="Arial"/>
          <w:color w:val="000000"/>
          <w:sz w:val="20"/>
        </w:rPr>
        <w:t>.</w:t>
      </w:r>
    </w:p>
    <w:p w:rsidR="00022B47" w:rsidRDefault="00000000">
      <w:pPr>
        <w:pStyle w:val="Normal19"/>
        <w:widowControl w:val="0"/>
        <w:spacing w:before="200" w:line="260" w:lineRule="atLeast"/>
        <w:jc w:val="both"/>
      </w:pPr>
      <w:bookmarkStart w:id="3661" w:name="Bookmark_para_33_10"/>
      <w:bookmarkEnd w:id="3661"/>
      <w:r>
        <w:rPr>
          <w:rFonts w:ascii="Arial" w:eastAsia="Arial" w:hAnsi="Arial" w:cs="Arial"/>
          <w:color w:val="000000"/>
          <w:sz w:val="20"/>
        </w:rPr>
        <w:t xml:space="preserve">First up is the Plaintiffs' claim that the City's Zoning Ordinance facially discriminates against individuals with disabilities in violation of both the FHA and the ADA. Because the Zoning Ordinance undeniably treats individuals with disabilities </w:t>
      </w:r>
      <w:r>
        <w:rPr>
          <w:rFonts w:ascii="Arial" w:eastAsia="Arial" w:hAnsi="Arial" w:cs="Arial"/>
          <w:i/>
          <w:color w:val="000000"/>
          <w:sz w:val="20"/>
        </w:rPr>
        <w:t>more favorably</w:t>
      </w:r>
      <w:r>
        <w:rPr>
          <w:rFonts w:ascii="Arial" w:eastAsia="Arial" w:hAnsi="Arial" w:cs="Arial"/>
          <w:color w:val="000000"/>
          <w:sz w:val="20"/>
        </w:rPr>
        <w:t xml:space="preserve"> than it treats similarly situated, non-disabled individuals, we conclude that the Zoning Ordinance is not facially discriminatory at all. We need not consider whether the differential treatment of individuals  [*1275]  with disabilities is "justified" because the differential treatment favors them rather than discriminates against them.</w:t>
      </w:r>
    </w:p>
    <w:p w:rsidR="00022B47" w:rsidRDefault="00000000">
      <w:pPr>
        <w:pStyle w:val="Normal19"/>
        <w:widowControl w:val="0"/>
        <w:spacing w:before="200" w:line="260" w:lineRule="atLeast"/>
        <w:jc w:val="both"/>
      </w:pPr>
      <w:bookmarkStart w:id="3662" w:name="Bookmark_para_34_10"/>
      <w:bookmarkStart w:id="3663" w:name="Bookmark_I668RJN428T4FG0030000400"/>
      <w:bookmarkEnd w:id="3662"/>
      <w:bookmarkEnd w:id="3663"/>
      <w:r>
        <w:rPr>
          <w:rFonts w:ascii="Arial" w:eastAsia="Arial" w:hAnsi="Arial" w:cs="Arial"/>
          <w:color w:val="000000"/>
          <w:sz w:val="20"/>
        </w:rPr>
        <w:t xml:space="preserve">We start, as we must, with the text [**14]  of the relevant statutes. </w:t>
      </w:r>
      <w:bookmarkStart w:id="3664" w:name="Bookmark_LNHNREFclscc8_12"/>
      <w:bookmarkEnd w:id="3664"/>
      <w:r>
        <w:rPr>
          <w:rFonts w:ascii="Arial" w:eastAsia="Arial" w:hAnsi="Arial" w:cs="Arial"/>
          <w:color w:val="000000"/>
          <w:sz w:val="20"/>
        </w:rPr>
        <w:t xml:space="preserve">First, the FHA prohibits, among other things, discrimination "against any person in the terms, conditions, or privileges of sale or rental of a dwelling, or in the provision of services or facilities in connection with such dwelling, because of a handicap." 42 U.S.C. § 3604(f)(2); </w:t>
      </w:r>
      <w:r>
        <w:rPr>
          <w:rFonts w:ascii="Arial" w:eastAsia="Arial" w:hAnsi="Arial" w:cs="Arial"/>
          <w:i/>
          <w:color w:val="000000"/>
          <w:sz w:val="20"/>
        </w:rPr>
        <w:t xml:space="preserve">see also </w:t>
      </w:r>
      <w:bookmarkStart w:id="3665" w:name="Bookmark_I668RJN428T4FG0020000400"/>
      <w:bookmarkEnd w:id="3665"/>
      <w:r>
        <w:rPr>
          <w:rFonts w:ascii="Arial" w:eastAsia="Arial" w:hAnsi="Arial" w:cs="Arial"/>
          <w:i/>
          <w:color w:val="000000"/>
          <w:sz w:val="20"/>
        </w:rPr>
        <w:t>Schwarz</w:t>
      </w:r>
      <w:r>
        <w:rPr>
          <w:rFonts w:ascii="Arial" w:eastAsia="Arial" w:hAnsi="Arial" w:cs="Arial"/>
          <w:color w:val="000000"/>
          <w:sz w:val="20"/>
        </w:rPr>
        <w:t>, 544 F.3d at 1212 (explaining that the Fair Housing Amendments Act of 1988 amended the FHA to add handicapped persons as a protected class and that the FHA prohibits zoning actions that discriminate based on disability). The statute also renders it unlawful to "make unavailable or deny a dwelling to any buyer or renter because of a handicap[.]" 42 U.S.C. § 3604(f)(1). The critical language in Title II of the ADA, in turn, reads this way: "[N]o qualified individual with a disability shall, by reason of such disability, be excluded from participation in or be denied the benefits of the services, programs, or activities of a public entity, or be subjected to discrimination by any such entity." 42 U.S.C. § 12132.</w:t>
      </w:r>
    </w:p>
    <w:p w:rsidR="00022B47" w:rsidRDefault="00000000">
      <w:pPr>
        <w:pStyle w:val="Normal19"/>
        <w:widowControl w:val="0"/>
        <w:spacing w:before="200" w:line="260" w:lineRule="atLeast"/>
        <w:jc w:val="both"/>
      </w:pPr>
      <w:bookmarkStart w:id="3666" w:name="Bookmark_para_35_10"/>
      <w:bookmarkStart w:id="3667" w:name="Bookmark_I668RJN428T4FG0050000400"/>
      <w:bookmarkStart w:id="3668" w:name="Bookmark_I668RJN528T4FN0020000400"/>
      <w:bookmarkEnd w:id="3666"/>
      <w:bookmarkEnd w:id="3667"/>
      <w:bookmarkEnd w:id="3668"/>
      <w:r>
        <w:rPr>
          <w:rFonts w:ascii="Arial" w:eastAsia="Arial" w:hAnsi="Arial" w:cs="Arial"/>
          <w:color w:val="000000"/>
          <w:sz w:val="20"/>
        </w:rPr>
        <w:t xml:space="preserve">The district court, following the lead of many courts, analyzed the Plaintiffs' FHA and ADA discrimination claims as one. </w:t>
      </w:r>
      <w:r>
        <w:rPr>
          <w:rFonts w:ascii="Arial" w:eastAsia="Arial" w:hAnsi="Arial" w:cs="Arial"/>
          <w:i/>
          <w:color w:val="000000"/>
          <w:sz w:val="20"/>
        </w:rPr>
        <w:t xml:space="preserve">See, e.g., </w:t>
      </w:r>
      <w:bookmarkStart w:id="3669" w:name="Bookmark_I668RJN428T4FG0040000400"/>
      <w:bookmarkEnd w:id="3669"/>
      <w:r>
        <w:rPr>
          <w:rFonts w:ascii="Arial" w:eastAsia="Arial" w:hAnsi="Arial" w:cs="Arial"/>
          <w:i/>
          <w:color w:val="000000"/>
          <w:sz w:val="20"/>
        </w:rPr>
        <w:t>Cinnamon Hills Youth Crisis Ctr., Inc. v. St. George City</w:t>
      </w:r>
      <w:r>
        <w:rPr>
          <w:rFonts w:ascii="Arial" w:eastAsia="Arial" w:hAnsi="Arial" w:cs="Arial"/>
          <w:color w:val="000000"/>
          <w:sz w:val="20"/>
        </w:rPr>
        <w:t xml:space="preserve">, 685 F.3d 917, 919 (10th Cir. 2012) (Gorsuch, J.) (analyzing both the FHA and the ADA under the same "statutory rubric"); </w:t>
      </w:r>
      <w:bookmarkStart w:id="3670" w:name="Bookmark_I668RJN528T4FN0010000400"/>
      <w:bookmarkEnd w:id="3670"/>
      <w:r>
        <w:rPr>
          <w:rFonts w:ascii="Arial" w:eastAsia="Arial" w:hAnsi="Arial" w:cs="Arial"/>
          <w:i/>
          <w:color w:val="000000"/>
          <w:sz w:val="20"/>
        </w:rPr>
        <w:t>Tsombanidis v. W. Haven Fire Dep't</w:t>
      </w:r>
      <w:r>
        <w:rPr>
          <w:rFonts w:ascii="Arial" w:eastAsia="Arial" w:hAnsi="Arial" w:cs="Arial"/>
          <w:color w:val="000000"/>
          <w:sz w:val="20"/>
        </w:rPr>
        <w:t xml:space="preserve">, 352 F.3d 565, 573 n.4 (2d Cir. 2003), </w:t>
      </w:r>
      <w:r>
        <w:rPr>
          <w:rFonts w:ascii="Arial" w:eastAsia="Arial" w:hAnsi="Arial" w:cs="Arial"/>
          <w:i/>
          <w:color w:val="000000"/>
          <w:sz w:val="20"/>
        </w:rPr>
        <w:t>superseded by regulation on other grounds</w:t>
      </w:r>
      <w:r>
        <w:rPr>
          <w:rFonts w:ascii="Arial" w:eastAsia="Arial" w:hAnsi="Arial" w:cs="Arial"/>
          <w:color w:val="000000"/>
          <w:sz w:val="20"/>
        </w:rPr>
        <w:t xml:space="preserve"> ("Due to the similarities [**15]  between the statutes, we interpret them in tandem."); </w:t>
      </w:r>
      <w:bookmarkStart w:id="3671" w:name="Bookmark_I668RJN528T4FN0030000400"/>
      <w:bookmarkEnd w:id="3671"/>
      <w:r>
        <w:rPr>
          <w:rFonts w:ascii="Arial" w:eastAsia="Arial" w:hAnsi="Arial" w:cs="Arial"/>
          <w:i/>
          <w:color w:val="000000"/>
          <w:sz w:val="20"/>
        </w:rPr>
        <w:t>Caron Found. of Fla., Inc. v. City of Delray Beach</w:t>
      </w:r>
      <w:r>
        <w:rPr>
          <w:rFonts w:ascii="Arial" w:eastAsia="Arial" w:hAnsi="Arial" w:cs="Arial"/>
          <w:color w:val="000000"/>
          <w:sz w:val="20"/>
        </w:rPr>
        <w:t>, 879 F. Supp. 2d 1353, 1364 (S.D. Fla. 2012) (</w:t>
      </w:r>
      <w:bookmarkStart w:id="3672" w:name="Bookmark_LNHNREFclscc9_12"/>
      <w:bookmarkEnd w:id="3672"/>
      <w:r>
        <w:rPr>
          <w:rFonts w:ascii="Arial" w:eastAsia="Arial" w:hAnsi="Arial" w:cs="Arial"/>
          <w:color w:val="000000"/>
          <w:sz w:val="20"/>
        </w:rPr>
        <w:t>"Due to the similarity of the ADA and the FHA's protections of individuals with disabilities in housing matters, courts often analyze the two statutes as one."). For our purposes, the parties do not dispute analyzing the statutes as one. Although there are important differences between them, those differences are not relevant to the outcome of this appeal. Both the FHA and the ADA outlaw discrimination against people with disabilities.</w:t>
      </w:r>
    </w:p>
    <w:p w:rsidR="00022B47" w:rsidRDefault="00000000">
      <w:pPr>
        <w:pStyle w:val="Normal19"/>
        <w:widowControl w:val="0"/>
        <w:spacing w:before="200" w:line="260" w:lineRule="atLeast"/>
        <w:jc w:val="both"/>
      </w:pPr>
      <w:bookmarkStart w:id="3673" w:name="Bookmark_para_36_10"/>
      <w:bookmarkStart w:id="3674" w:name="Bookmark_I668RJN52SF8T50010000400"/>
      <w:bookmarkStart w:id="3675" w:name="Bookmark_LNHNREFclscc10_12"/>
      <w:bookmarkEnd w:id="3673"/>
      <w:bookmarkEnd w:id="3674"/>
      <w:bookmarkEnd w:id="3675"/>
      <w:r>
        <w:rPr>
          <w:rFonts w:ascii="Arial" w:eastAsia="Arial" w:hAnsi="Arial" w:cs="Arial"/>
          <w:color w:val="000000"/>
          <w:sz w:val="20"/>
        </w:rPr>
        <w:t xml:space="preserve">The texts of the FHA and the ADA each require a plaintiff alleging disparate treatment to prove that he was treated less favorably than a similarly situated, non-disabled person. For starters, the text of the FHA makes it unlawful to "discriminate against" a person in housing on the basis of disability. </w:t>
      </w:r>
      <w:bookmarkStart w:id="3676" w:name="Bookmark_I668RJN52SF8T50030000400"/>
      <w:bookmarkEnd w:id="3676"/>
      <w:r>
        <w:rPr>
          <w:rFonts w:ascii="Arial" w:eastAsia="Arial" w:hAnsi="Arial" w:cs="Arial"/>
          <w:color w:val="000000"/>
          <w:sz w:val="20"/>
        </w:rPr>
        <w:t xml:space="preserve">In </w:t>
      </w:r>
      <w:r>
        <w:rPr>
          <w:rFonts w:ascii="Arial" w:eastAsia="Arial" w:hAnsi="Arial" w:cs="Arial"/>
          <w:i/>
          <w:color w:val="000000"/>
          <w:sz w:val="20"/>
        </w:rPr>
        <w:t>Bostock v. Clayton County</w:t>
      </w:r>
      <w:r>
        <w:rPr>
          <w:rFonts w:ascii="Arial" w:eastAsia="Arial" w:hAnsi="Arial" w:cs="Arial"/>
          <w:color w:val="000000"/>
          <w:sz w:val="20"/>
        </w:rPr>
        <w:t xml:space="preserve">, the Supreme Court recently provided meaning to the phrase "discriminating against" as it was used in Title VII of the Civil Rights Act of 1964. </w:t>
      </w:r>
      <w:bookmarkStart w:id="3677" w:name="Bookmark_I668RJN528T4FN0050000400"/>
      <w:bookmarkEnd w:id="3677"/>
      <w:r>
        <w:rPr>
          <w:rFonts w:ascii="Arial" w:eastAsia="Arial" w:hAnsi="Arial" w:cs="Arial"/>
          <w:color w:val="000000"/>
          <w:sz w:val="20"/>
        </w:rPr>
        <w:t xml:space="preserve">140 S. Ct. 1731, 1739-40, 207 L. Ed. 2d 218 (2020) (citing 42 U.S.C. § 2000e-2). </w:t>
      </w:r>
      <w:bookmarkStart w:id="3678" w:name="Bookmark_I668RJN52SF8T50030000400_2"/>
      <w:bookmarkStart w:id="3679" w:name="Bookmark_I668RJN52SF8T50050000400"/>
      <w:bookmarkEnd w:id="3678"/>
      <w:bookmarkEnd w:id="3679"/>
      <w:r>
        <w:rPr>
          <w:rFonts w:ascii="Arial" w:eastAsia="Arial" w:hAnsi="Arial" w:cs="Arial"/>
          <w:color w:val="000000"/>
          <w:sz w:val="20"/>
        </w:rPr>
        <w:t xml:space="preserve">In considering whether Title VII's proscription on "discriminating against" individuals in employment "because of such individual's race, color, religion, sex, or national origin" included firing someone for being homosexual or transgender, the Court asked [**16]  what it meant to "discriminate against" a person. </w:t>
      </w:r>
      <w:bookmarkStart w:id="3680" w:name="Bookmark_I668RJN52SF8T70040000400"/>
      <w:bookmarkStart w:id="3681" w:name="Bookmark_I668RJN52SF8T50020000400"/>
      <w:bookmarkEnd w:id="3680"/>
      <w:bookmarkEnd w:id="3681"/>
      <w:r>
        <w:rPr>
          <w:rFonts w:ascii="Arial" w:eastAsia="Arial" w:hAnsi="Arial" w:cs="Arial"/>
          <w:i/>
          <w:color w:val="000000"/>
          <w:sz w:val="20"/>
        </w:rPr>
        <w:t>Id.</w:t>
      </w:r>
      <w:r>
        <w:rPr>
          <w:rFonts w:ascii="Arial" w:eastAsia="Arial" w:hAnsi="Arial" w:cs="Arial"/>
          <w:color w:val="000000"/>
          <w:sz w:val="20"/>
        </w:rPr>
        <w:t xml:space="preserve"> at 1738-40. </w:t>
      </w:r>
      <w:bookmarkStart w:id="3682" w:name="Bookmark_I668RJN52SF8T70040000400_2"/>
      <w:bookmarkStart w:id="3683" w:name="Bookmark_I668RJN52SF8T50050000400_2"/>
      <w:bookmarkStart w:id="3684" w:name="Bookmark_I668RJN52SF8T80010000400"/>
      <w:bookmarkEnd w:id="3682"/>
      <w:bookmarkEnd w:id="3683"/>
      <w:bookmarkEnd w:id="3684"/>
      <w:r>
        <w:rPr>
          <w:rFonts w:ascii="Arial" w:eastAsia="Arial" w:hAnsi="Arial" w:cs="Arial"/>
          <w:color w:val="000000"/>
          <w:sz w:val="20"/>
        </w:rPr>
        <w:t xml:space="preserve">Interpreting that statute "in accord with the ordinary public meaning of its terms at the time of its enactment," the Court concluded that "[t]o 'discriminate against' a person [ ] would seem to mean treating that individual </w:t>
      </w:r>
      <w:r>
        <w:rPr>
          <w:rFonts w:ascii="Arial" w:eastAsia="Arial" w:hAnsi="Arial" w:cs="Arial"/>
          <w:i/>
          <w:color w:val="000000"/>
          <w:sz w:val="20"/>
        </w:rPr>
        <w:t>worse</w:t>
      </w:r>
      <w:r>
        <w:rPr>
          <w:rFonts w:ascii="Arial" w:eastAsia="Arial" w:hAnsi="Arial" w:cs="Arial"/>
          <w:color w:val="000000"/>
          <w:sz w:val="20"/>
        </w:rPr>
        <w:t xml:space="preserve"> than others who are similarly situated." </w:t>
      </w:r>
      <w:bookmarkStart w:id="3685" w:name="Bookmark_I668RJN52SF8T50040000400"/>
      <w:bookmarkEnd w:id="3685"/>
      <w:r>
        <w:rPr>
          <w:rFonts w:ascii="Arial" w:eastAsia="Arial" w:hAnsi="Arial" w:cs="Arial"/>
          <w:i/>
          <w:color w:val="000000"/>
          <w:sz w:val="20"/>
        </w:rPr>
        <w:t>Id.</w:t>
      </w:r>
      <w:r>
        <w:rPr>
          <w:rFonts w:ascii="Arial" w:eastAsia="Arial" w:hAnsi="Arial" w:cs="Arial"/>
          <w:color w:val="000000"/>
          <w:sz w:val="20"/>
        </w:rPr>
        <w:t xml:space="preserve"> at 1738, 1740 (emphasis added) (citing </w:t>
      </w:r>
      <w:bookmarkStart w:id="3686" w:name="Bookmark_I668RJN52SF8T70010000400"/>
      <w:bookmarkEnd w:id="3686"/>
      <w:r>
        <w:rPr>
          <w:rFonts w:ascii="Arial" w:eastAsia="Arial" w:hAnsi="Arial" w:cs="Arial"/>
          <w:i/>
          <w:color w:val="000000"/>
          <w:sz w:val="20"/>
        </w:rPr>
        <w:t>Burlington N. &amp; Santa Fe Ry. Co. v. White</w:t>
      </w:r>
      <w:r>
        <w:rPr>
          <w:rFonts w:ascii="Arial" w:eastAsia="Arial" w:hAnsi="Arial" w:cs="Arial"/>
          <w:color w:val="000000"/>
          <w:sz w:val="20"/>
        </w:rPr>
        <w:t xml:space="preserve">, 548 U.S. 53, 59, 126 S. Ct. 2405, 165 L. Ed. 2d 345 (2006)). </w:t>
      </w:r>
      <w:bookmarkStart w:id="3687" w:name="Bookmark_I668RJN52SF8T80010000400_2"/>
      <w:bookmarkStart w:id="3688" w:name="Bookmark_I668RJN52SF8T80030000400"/>
      <w:bookmarkEnd w:id="3687"/>
      <w:bookmarkEnd w:id="3688"/>
      <w:r>
        <w:rPr>
          <w:rFonts w:ascii="Arial" w:eastAsia="Arial" w:hAnsi="Arial" w:cs="Arial"/>
          <w:color w:val="000000"/>
          <w:sz w:val="20"/>
        </w:rPr>
        <w:t xml:space="preserve">In </w:t>
      </w:r>
      <w:r>
        <w:rPr>
          <w:rFonts w:ascii="Arial" w:eastAsia="Arial" w:hAnsi="Arial" w:cs="Arial"/>
          <w:i/>
          <w:color w:val="000000"/>
          <w:sz w:val="20"/>
        </w:rPr>
        <w:t>Burlington Northern and Santa Fe Railway Company v. White</w:t>
      </w:r>
      <w:r>
        <w:rPr>
          <w:rFonts w:ascii="Arial" w:eastAsia="Arial" w:hAnsi="Arial" w:cs="Arial"/>
          <w:color w:val="000000"/>
          <w:sz w:val="20"/>
        </w:rPr>
        <w:t xml:space="preserve">, the Supreme Court had earlier explained the meaning of the term the same way: "No one doubts that the term 'discriminate against' refers to distinctions  [*1276]  or differences in treatment that </w:t>
      </w:r>
      <w:r>
        <w:rPr>
          <w:rFonts w:ascii="Arial" w:eastAsia="Arial" w:hAnsi="Arial" w:cs="Arial"/>
          <w:i/>
          <w:color w:val="000000"/>
          <w:sz w:val="20"/>
        </w:rPr>
        <w:t>injure</w:t>
      </w:r>
      <w:r>
        <w:rPr>
          <w:rFonts w:ascii="Arial" w:eastAsia="Arial" w:hAnsi="Arial" w:cs="Arial"/>
          <w:color w:val="000000"/>
          <w:sz w:val="20"/>
        </w:rPr>
        <w:t xml:space="preserve"> protected individuals." </w:t>
      </w:r>
      <w:bookmarkStart w:id="3689" w:name="Bookmark_I668RJN52SF8T70030000400"/>
      <w:bookmarkEnd w:id="3689"/>
      <w:r>
        <w:rPr>
          <w:rFonts w:ascii="Arial" w:eastAsia="Arial" w:hAnsi="Arial" w:cs="Arial"/>
          <w:color w:val="000000"/>
          <w:sz w:val="20"/>
        </w:rPr>
        <w:t xml:space="preserve">548 U.S. at 59 (emphasis added). </w:t>
      </w:r>
      <w:bookmarkStart w:id="3690" w:name="Bookmark_I668RJN52SF8T80030000400_2"/>
      <w:bookmarkStart w:id="3691" w:name="Bookmark_I668RJN52SF8T80010000400_3"/>
      <w:bookmarkEnd w:id="3690"/>
      <w:bookmarkEnd w:id="3691"/>
      <w:r>
        <w:rPr>
          <w:rFonts w:ascii="Arial" w:eastAsia="Arial" w:hAnsi="Arial" w:cs="Arial"/>
          <w:color w:val="000000"/>
          <w:sz w:val="20"/>
        </w:rPr>
        <w:t xml:space="preserve">And the Supreme Court again said the same thing in </w:t>
      </w:r>
      <w:r>
        <w:rPr>
          <w:rFonts w:ascii="Arial" w:eastAsia="Arial" w:hAnsi="Arial" w:cs="Arial"/>
          <w:i/>
          <w:color w:val="000000"/>
          <w:sz w:val="20"/>
        </w:rPr>
        <w:t>Ricci v. DeStefano</w:t>
      </w:r>
      <w:r>
        <w:rPr>
          <w:rFonts w:ascii="Arial" w:eastAsia="Arial" w:hAnsi="Arial" w:cs="Arial"/>
          <w:color w:val="000000"/>
          <w:sz w:val="20"/>
        </w:rPr>
        <w:t xml:space="preserve">, another Title VII case. </w:t>
      </w:r>
      <w:bookmarkStart w:id="3692" w:name="Bookmark_I668RJN52SF8T70050000400"/>
      <w:bookmarkEnd w:id="3692"/>
      <w:r>
        <w:rPr>
          <w:rFonts w:ascii="Arial" w:eastAsia="Arial" w:hAnsi="Arial" w:cs="Arial"/>
          <w:color w:val="000000"/>
          <w:sz w:val="20"/>
        </w:rPr>
        <w:t xml:space="preserve">557 U.S. 557, 129 S. Ct. 2658, 174 L. Ed. 2d 490 (2009). "Disparate-treatment cases present the most easily understood type of discrimination, and occur where an employer has treated a particular person </w:t>
      </w:r>
      <w:r>
        <w:rPr>
          <w:rFonts w:ascii="Arial" w:eastAsia="Arial" w:hAnsi="Arial" w:cs="Arial"/>
          <w:i/>
          <w:color w:val="000000"/>
          <w:sz w:val="20"/>
        </w:rPr>
        <w:t>less favorably</w:t>
      </w:r>
      <w:r>
        <w:rPr>
          <w:rFonts w:ascii="Arial" w:eastAsia="Arial" w:hAnsi="Arial" w:cs="Arial"/>
          <w:color w:val="000000"/>
          <w:sz w:val="20"/>
        </w:rPr>
        <w:t xml:space="preserve"> than others because of a protected trait." </w:t>
      </w:r>
      <w:bookmarkStart w:id="3693" w:name="Bookmark_I668RJN52SF8T80020000400"/>
      <w:bookmarkEnd w:id="3693"/>
      <w:r>
        <w:rPr>
          <w:rFonts w:ascii="Arial" w:eastAsia="Arial" w:hAnsi="Arial" w:cs="Arial"/>
          <w:i/>
          <w:color w:val="000000"/>
          <w:sz w:val="20"/>
        </w:rPr>
        <w:t>Ricci</w:t>
      </w:r>
      <w:r>
        <w:rPr>
          <w:rFonts w:ascii="Arial" w:eastAsia="Arial" w:hAnsi="Arial" w:cs="Arial"/>
          <w:color w:val="000000"/>
          <w:sz w:val="20"/>
        </w:rPr>
        <w:t xml:space="preserve">, 557 U.S. at 577 (emphasis added) (cleaned up). Although the statute at issue in each of </w:t>
      </w:r>
      <w:r>
        <w:rPr>
          <w:rFonts w:ascii="Arial" w:eastAsia="Arial" w:hAnsi="Arial" w:cs="Arial"/>
          <w:i/>
          <w:color w:val="000000"/>
          <w:sz w:val="20"/>
        </w:rPr>
        <w:t>Bostock, Burlington</w:t>
      </w:r>
      <w:r>
        <w:rPr>
          <w:rFonts w:ascii="Arial" w:eastAsia="Arial" w:hAnsi="Arial" w:cs="Arial"/>
          <w:color w:val="000000"/>
          <w:sz w:val="20"/>
        </w:rPr>
        <w:t xml:space="preserve">, and </w:t>
      </w:r>
      <w:r>
        <w:rPr>
          <w:rFonts w:ascii="Arial" w:eastAsia="Arial" w:hAnsi="Arial" w:cs="Arial"/>
          <w:i/>
          <w:color w:val="000000"/>
          <w:sz w:val="20"/>
        </w:rPr>
        <w:t>Ricci</w:t>
      </w:r>
      <w:r>
        <w:rPr>
          <w:rFonts w:ascii="Arial" w:eastAsia="Arial" w:hAnsi="Arial" w:cs="Arial"/>
          <w:color w:val="000000"/>
          <w:sz w:val="20"/>
        </w:rPr>
        <w:t xml:space="preserve"> was Title VII, its "discriminate against" language tracks identically the language found in the FHA, which makes it "unlawful . . . [t]o </w:t>
      </w:r>
      <w:r>
        <w:rPr>
          <w:rFonts w:ascii="Arial" w:eastAsia="Arial" w:hAnsi="Arial" w:cs="Arial"/>
          <w:i/>
          <w:color w:val="000000"/>
          <w:sz w:val="20"/>
        </w:rPr>
        <w:t>discriminate [**17]  against</w:t>
      </w:r>
      <w:r>
        <w:rPr>
          <w:rFonts w:ascii="Arial" w:eastAsia="Arial" w:hAnsi="Arial" w:cs="Arial"/>
          <w:color w:val="000000"/>
          <w:sz w:val="20"/>
        </w:rPr>
        <w:t xml:space="preserve"> any person . . . because of a handicap[.]" 42 U.S.C. § 3604(f)(2) (emphasis added).</w:t>
      </w:r>
    </w:p>
    <w:p w:rsidR="00022B47" w:rsidRDefault="00000000">
      <w:pPr>
        <w:pStyle w:val="Normal19"/>
        <w:widowControl w:val="0"/>
        <w:spacing w:before="200" w:line="260" w:lineRule="atLeast"/>
        <w:jc w:val="both"/>
      </w:pPr>
      <w:bookmarkStart w:id="3694" w:name="Bookmark_para_37_8"/>
      <w:bookmarkStart w:id="3695" w:name="Bookmark_LNHNREFclscc11_11"/>
      <w:bookmarkEnd w:id="3694"/>
      <w:bookmarkEnd w:id="3695"/>
      <w:r>
        <w:rPr>
          <w:rFonts w:ascii="Arial" w:eastAsia="Arial" w:hAnsi="Arial" w:cs="Arial"/>
          <w:color w:val="000000"/>
          <w:sz w:val="20"/>
        </w:rPr>
        <w:t xml:space="preserve">Further, although section 3604(f)(1) of the FHA and Title II of the ADA do not use the same "discriminate against" language, their prohibitions are plainly concerned with negative treatment. First, section 3604(f)(1) prohibits "mak[ing] unavailable or deny[ing]" a dwelling to someone because of a disability. Merriam-Webster Dictionary defines "to deny" as "to give a negative answer to" or "to refuse to grant." "Deny," </w:t>
      </w:r>
      <w:r>
        <w:rPr>
          <w:rFonts w:ascii="Arial" w:eastAsia="Arial" w:hAnsi="Arial" w:cs="Arial"/>
          <w:smallCaps/>
          <w:color w:val="000000"/>
          <w:sz w:val="20"/>
        </w:rPr>
        <w:t>Merriam-Webster's Online Dictionary</w:t>
      </w:r>
      <w:r>
        <w:rPr>
          <w:rFonts w:ascii="Arial" w:eastAsia="Arial" w:hAnsi="Arial" w:cs="Arial"/>
          <w:color w:val="000000"/>
          <w:sz w:val="20"/>
        </w:rPr>
        <w:t xml:space="preserve"> 2022, https://www.merriam-webster.com/dictionary/deny. Similarly, Merriam-Webster Dictionary defines "to make" as "to cause to happen to or be experienced by someone." And it defines "unavailable" as "not possible to get or use." "Make," </w:t>
      </w:r>
      <w:r>
        <w:rPr>
          <w:rFonts w:ascii="Arial" w:eastAsia="Arial" w:hAnsi="Arial" w:cs="Arial"/>
          <w:smallCaps/>
          <w:color w:val="000000"/>
          <w:sz w:val="20"/>
        </w:rPr>
        <w:t>Merriam-Webster's Online Dictionary</w:t>
      </w:r>
      <w:r>
        <w:rPr>
          <w:rFonts w:ascii="Arial" w:eastAsia="Arial" w:hAnsi="Arial" w:cs="Arial"/>
          <w:color w:val="000000"/>
          <w:sz w:val="20"/>
        </w:rPr>
        <w:t xml:space="preserve"> 2022, https://www.merriam-webster.com/dictionary/make; "Unavailable," </w:t>
      </w:r>
      <w:r>
        <w:rPr>
          <w:rFonts w:ascii="Arial" w:eastAsia="Arial" w:hAnsi="Arial" w:cs="Arial"/>
          <w:smallCaps/>
          <w:color w:val="000000"/>
          <w:sz w:val="20"/>
        </w:rPr>
        <w:t>Merriam-Webster's Online Dictionary</w:t>
      </w:r>
      <w:r>
        <w:rPr>
          <w:rFonts w:ascii="Arial" w:eastAsia="Arial" w:hAnsi="Arial" w:cs="Arial"/>
          <w:color w:val="000000"/>
          <w:sz w:val="20"/>
        </w:rPr>
        <w:t xml:space="preserve"> 2022, https://www.merriam-webster.com/dictionary/unavailable. Thus, to "make unavailable" a dwelling is to deprive one of access to the dwelling. It follows that a disabled plaintiff cannot be granted </w:t>
      </w:r>
      <w:r>
        <w:rPr>
          <w:rFonts w:ascii="Arial" w:eastAsia="Arial" w:hAnsi="Arial" w:cs="Arial"/>
          <w:i/>
          <w:color w:val="000000"/>
          <w:sz w:val="20"/>
        </w:rPr>
        <w:t>more</w:t>
      </w:r>
      <w:r>
        <w:rPr>
          <w:rFonts w:ascii="Arial" w:eastAsia="Arial" w:hAnsi="Arial" w:cs="Arial"/>
          <w:color w:val="000000"/>
          <w:sz w:val="20"/>
        </w:rPr>
        <w:t xml:space="preserve"> access to housing than a similarly situated, non-disabled counterpart and yet still claim he was "denied" access to a dwelling or that it was "made unavailable" [**18]  to him on account of his disability.</w:t>
      </w:r>
    </w:p>
    <w:p w:rsidR="00022B47" w:rsidRDefault="00000000">
      <w:pPr>
        <w:pStyle w:val="Normal19"/>
        <w:widowControl w:val="0"/>
        <w:spacing w:before="200" w:line="260" w:lineRule="atLeast"/>
        <w:jc w:val="both"/>
      </w:pPr>
      <w:bookmarkStart w:id="3696" w:name="Bookmark_para_38_8"/>
      <w:bookmarkStart w:id="3697" w:name="Bookmark_LNHNREFclscc12_9"/>
      <w:bookmarkEnd w:id="3696"/>
      <w:bookmarkEnd w:id="3697"/>
      <w:r>
        <w:rPr>
          <w:rFonts w:ascii="Arial" w:eastAsia="Arial" w:hAnsi="Arial" w:cs="Arial"/>
          <w:color w:val="000000"/>
          <w:sz w:val="20"/>
        </w:rPr>
        <w:t xml:space="preserve">This negative treatment requirement is likewise found in the language of Title II of the ADA: "[N]o qualified individual with a disability shall, by reason of such disability, be excluded from participation in or be denied the benefits of the services, programs, or activities of a public entity, or be subjected to discrimination by any such entity." 42 U.S.C. § 12132. An examination of the verbs used by Congress in the text of this section confirms this understanding. </w:t>
      </w:r>
      <w:bookmarkStart w:id="3698" w:name="Bookmark_I668RJN52SF8T80050000400"/>
      <w:bookmarkEnd w:id="3698"/>
      <w:r>
        <w:rPr>
          <w:rFonts w:ascii="Arial" w:eastAsia="Arial" w:hAnsi="Arial" w:cs="Arial"/>
          <w:color w:val="000000"/>
          <w:sz w:val="20"/>
        </w:rPr>
        <w:t xml:space="preserve">To be "excluded from," like being "denied the benefits of," has both a negative and deleterious denotation and connotation. Merriam-Webster Dictionary defines "to exclude" as "to prevent or restrict the entrance of" or "to bar from participation, consideration, or inclusion." "Exclude," </w:t>
      </w:r>
      <w:r>
        <w:rPr>
          <w:rFonts w:ascii="Arial" w:eastAsia="Arial" w:hAnsi="Arial" w:cs="Arial"/>
          <w:smallCaps/>
          <w:color w:val="000000"/>
          <w:sz w:val="20"/>
        </w:rPr>
        <w:t>Merriam-Webster's Online Dictionary</w:t>
      </w:r>
      <w:r>
        <w:rPr>
          <w:rFonts w:ascii="Arial" w:eastAsia="Arial" w:hAnsi="Arial" w:cs="Arial"/>
          <w:color w:val="000000"/>
          <w:sz w:val="20"/>
        </w:rPr>
        <w:t xml:space="preserve"> 2022, https://www.merriam-webster.com/dictionary/exclude. And the final phrase in the statute -- "subjected to discrimination" -- must be read in connection with its first two prohibitions. We rely on </w:t>
      </w:r>
      <w:bookmarkStart w:id="3699" w:name="Bookmark_LNHNREFclscc13_8"/>
      <w:bookmarkEnd w:id="3699"/>
      <w:r>
        <w:rPr>
          <w:rFonts w:ascii="Arial" w:eastAsia="Arial" w:hAnsi="Arial" w:cs="Arial"/>
          <w:color w:val="000000"/>
          <w:sz w:val="20"/>
        </w:rPr>
        <w:t>the interpretive canon of "</w:t>
      </w:r>
      <w:r>
        <w:rPr>
          <w:rFonts w:ascii="Arial" w:eastAsia="Arial" w:hAnsi="Arial" w:cs="Arial"/>
          <w:i/>
          <w:color w:val="000000"/>
          <w:sz w:val="20"/>
        </w:rPr>
        <w:t>noscitur a sociis</w:t>
      </w:r>
      <w:r>
        <w:rPr>
          <w:rFonts w:ascii="Arial" w:eastAsia="Arial" w:hAnsi="Arial" w:cs="Arial"/>
          <w:color w:val="000000"/>
          <w:sz w:val="20"/>
        </w:rPr>
        <w:t xml:space="preserve"> -- a word is known by the company it keeps." </w:t>
      </w:r>
      <w:bookmarkStart w:id="3700" w:name="Bookmark_I668RJN52SF8T80040000400"/>
      <w:bookmarkEnd w:id="3700"/>
      <w:r>
        <w:rPr>
          <w:rFonts w:ascii="Arial" w:eastAsia="Arial" w:hAnsi="Arial" w:cs="Arial"/>
          <w:i/>
          <w:color w:val="000000"/>
          <w:sz w:val="20"/>
        </w:rPr>
        <w:t>Yates v. United States</w:t>
      </w:r>
      <w:r>
        <w:rPr>
          <w:rFonts w:ascii="Arial" w:eastAsia="Arial" w:hAnsi="Arial" w:cs="Arial"/>
          <w:color w:val="000000"/>
          <w:sz w:val="20"/>
        </w:rPr>
        <w:t xml:space="preserve">, 574 U.S. 528, 543, 135 S. Ct. 1074, 191 L. Ed. 2d 64 (2015). </w:t>
      </w:r>
      <w:bookmarkStart w:id="3701" w:name="Bookmark_LNHNREFclscc14_6"/>
      <w:bookmarkEnd w:id="3701"/>
      <w:r>
        <w:rPr>
          <w:rFonts w:ascii="Arial" w:eastAsia="Arial" w:hAnsi="Arial" w:cs="Arial"/>
          <w:color w:val="000000"/>
          <w:sz w:val="20"/>
        </w:rPr>
        <w:t>Thus, we understand Congress to have prohibited intentional discrimination that inures to the [**19]  detriment or disadvantage of the protected class. A disabled plaintiff who has been treated in the same way as a similarly situated, non-disabled person, or in the rare case like this one, who has been treated better than a non-disabled comparator, cannot successfully mount a discrimination claim under these provisions of the FHA or the ADA.</w:t>
      </w:r>
    </w:p>
    <w:p w:rsidR="00022B47" w:rsidRDefault="00000000">
      <w:pPr>
        <w:pStyle w:val="Normal19"/>
        <w:widowControl w:val="0"/>
        <w:spacing w:before="200" w:line="260" w:lineRule="atLeast"/>
        <w:jc w:val="both"/>
      </w:pPr>
      <w:bookmarkStart w:id="3702" w:name="Bookmark_para_39_6"/>
      <w:bookmarkStart w:id="3703" w:name="Bookmark_I668RJN62SF8TC0020000400"/>
      <w:bookmarkStart w:id="3704" w:name="Bookmark_LNHNREFclscc15_6"/>
      <w:bookmarkEnd w:id="3702"/>
      <w:bookmarkEnd w:id="3703"/>
      <w:bookmarkEnd w:id="3704"/>
      <w:r>
        <w:rPr>
          <w:rFonts w:ascii="Arial" w:eastAsia="Arial" w:hAnsi="Arial" w:cs="Arial"/>
          <w:color w:val="000000"/>
          <w:sz w:val="20"/>
        </w:rPr>
        <w:t xml:space="preserve">Indeed, in </w:t>
      </w:r>
      <w:r>
        <w:rPr>
          <w:rFonts w:ascii="Arial" w:eastAsia="Arial" w:hAnsi="Arial" w:cs="Arial"/>
          <w:i/>
          <w:color w:val="000000"/>
          <w:sz w:val="20"/>
        </w:rPr>
        <w:t>Bircoll v. Miami-Dade County</w:t>
      </w:r>
      <w:r>
        <w:rPr>
          <w:rFonts w:ascii="Arial" w:eastAsia="Arial" w:hAnsi="Arial" w:cs="Arial"/>
          <w:color w:val="000000"/>
          <w:sz w:val="20"/>
        </w:rPr>
        <w:t xml:space="preserve">, a panel of this Court observed that  [*1277]  Title II "prohibits a public entity from </w:t>
      </w:r>
      <w:r>
        <w:rPr>
          <w:rFonts w:ascii="Arial" w:eastAsia="Arial" w:hAnsi="Arial" w:cs="Arial"/>
          <w:i/>
          <w:color w:val="000000"/>
          <w:sz w:val="20"/>
        </w:rPr>
        <w:t>discriminating against</w:t>
      </w:r>
      <w:r>
        <w:rPr>
          <w:rFonts w:ascii="Arial" w:eastAsia="Arial" w:hAnsi="Arial" w:cs="Arial"/>
          <w:color w:val="000000"/>
          <w:sz w:val="20"/>
        </w:rPr>
        <w:t xml:space="preserve"> a qualified individual with a disability on account of the individual's disability[.]" </w:t>
      </w:r>
      <w:bookmarkStart w:id="3705" w:name="Bookmark_I668RJN62SF8TC0010000400"/>
      <w:bookmarkEnd w:id="3705"/>
      <w:r>
        <w:rPr>
          <w:rFonts w:ascii="Arial" w:eastAsia="Arial" w:hAnsi="Arial" w:cs="Arial"/>
          <w:color w:val="000000"/>
          <w:sz w:val="20"/>
        </w:rPr>
        <w:t xml:space="preserve">480 F.3d 1072, 1081 (11th Cir. 2007) (emphasis added) (quotation marks omitted). Moreover, the "Findings and Purpose" section of the ADA also declares that "[i]t is the purpose of this chapter - (1) to provide a clear and comprehensive national mandate for the elimination of </w:t>
      </w:r>
      <w:r>
        <w:rPr>
          <w:rFonts w:ascii="Arial" w:eastAsia="Arial" w:hAnsi="Arial" w:cs="Arial"/>
          <w:i/>
          <w:color w:val="000000"/>
          <w:sz w:val="20"/>
        </w:rPr>
        <w:t>discrimination against</w:t>
      </w:r>
      <w:r>
        <w:rPr>
          <w:rFonts w:ascii="Arial" w:eastAsia="Arial" w:hAnsi="Arial" w:cs="Arial"/>
          <w:color w:val="000000"/>
          <w:sz w:val="20"/>
        </w:rPr>
        <w:t xml:space="preserve"> individuals with disabilities . . . ." 42 U.S.C. § 12101(b)(1) (emphasis added).</w:t>
      </w:r>
    </w:p>
    <w:p w:rsidR="00022B47" w:rsidRDefault="00000000">
      <w:pPr>
        <w:pStyle w:val="Normal19"/>
        <w:widowControl w:val="0"/>
        <w:spacing w:before="200" w:line="260" w:lineRule="atLeast"/>
        <w:jc w:val="both"/>
      </w:pPr>
      <w:bookmarkStart w:id="3706" w:name="Bookmark_para_40_6"/>
      <w:bookmarkStart w:id="3707" w:name="Bookmark_I668RJN62SF8TC0040000400"/>
      <w:bookmarkStart w:id="3708" w:name="Bookmark_LNHNREFclscc16_4"/>
      <w:bookmarkEnd w:id="3706"/>
      <w:bookmarkEnd w:id="3707"/>
      <w:bookmarkEnd w:id="3708"/>
      <w:r>
        <w:rPr>
          <w:rFonts w:ascii="Arial" w:eastAsia="Arial" w:hAnsi="Arial" w:cs="Arial"/>
          <w:color w:val="000000"/>
          <w:sz w:val="20"/>
        </w:rPr>
        <w:t xml:space="preserve">If a plaintiff has made a </w:t>
      </w:r>
      <w:r>
        <w:rPr>
          <w:rFonts w:ascii="Arial" w:eastAsia="Arial" w:hAnsi="Arial" w:cs="Arial"/>
          <w:i/>
          <w:color w:val="000000"/>
          <w:sz w:val="20"/>
        </w:rPr>
        <w:t>prima facie</w:t>
      </w:r>
      <w:r>
        <w:rPr>
          <w:rFonts w:ascii="Arial" w:eastAsia="Arial" w:hAnsi="Arial" w:cs="Arial"/>
          <w:color w:val="000000"/>
          <w:sz w:val="20"/>
        </w:rPr>
        <w:t xml:space="preserve"> showing of disparate treatment under the FHA or ADA, the burden of going forward shifts to the defendant to establish that the differential treatment is justified. </w:t>
      </w:r>
      <w:r>
        <w:rPr>
          <w:rFonts w:ascii="Arial" w:eastAsia="Arial" w:hAnsi="Arial" w:cs="Arial"/>
          <w:i/>
          <w:color w:val="000000"/>
          <w:sz w:val="20"/>
        </w:rPr>
        <w:t xml:space="preserve">See </w:t>
      </w:r>
      <w:bookmarkStart w:id="3709" w:name="Bookmark_I668RJN62SF8TC0030000400"/>
      <w:bookmarkEnd w:id="3709"/>
      <w:r>
        <w:rPr>
          <w:rFonts w:ascii="Arial" w:eastAsia="Arial" w:hAnsi="Arial" w:cs="Arial"/>
          <w:i/>
          <w:color w:val="000000"/>
          <w:sz w:val="20"/>
        </w:rPr>
        <w:t>Cmty. House, Inc. v. City of Boise</w:t>
      </w:r>
      <w:r>
        <w:rPr>
          <w:rFonts w:ascii="Arial" w:eastAsia="Arial" w:hAnsi="Arial" w:cs="Arial"/>
          <w:color w:val="000000"/>
          <w:sz w:val="20"/>
        </w:rPr>
        <w:t xml:space="preserve">, 490 F.3d 1041, 1050 (9th Cir. 2007); </w:t>
      </w:r>
      <w:bookmarkStart w:id="3710" w:name="Bookmark_I668RJN62SF8TC0050000400"/>
      <w:bookmarkEnd w:id="3710"/>
      <w:r>
        <w:rPr>
          <w:rFonts w:ascii="Arial" w:eastAsia="Arial" w:hAnsi="Arial" w:cs="Arial"/>
          <w:i/>
          <w:color w:val="000000"/>
          <w:sz w:val="20"/>
        </w:rPr>
        <w:t>Larkin v. Mich. Dep't of Soc. Servs.</w:t>
      </w:r>
      <w:r>
        <w:rPr>
          <w:rFonts w:ascii="Arial" w:eastAsia="Arial" w:hAnsi="Arial" w:cs="Arial"/>
          <w:color w:val="000000"/>
          <w:sz w:val="20"/>
        </w:rPr>
        <w:t xml:space="preserve">, 89 F.3d 285, 290 (6th Cir. 1996); </w:t>
      </w:r>
      <w:bookmarkStart w:id="3711" w:name="Bookmark_I668RJN728T4G60020000400"/>
      <w:bookmarkEnd w:id="3711"/>
      <w:r>
        <w:rPr>
          <w:rFonts w:ascii="Arial" w:eastAsia="Arial" w:hAnsi="Arial" w:cs="Arial"/>
          <w:i/>
          <w:color w:val="000000"/>
          <w:sz w:val="20"/>
        </w:rPr>
        <w:t>Bangerter v. Orem City Corp.</w:t>
      </w:r>
      <w:r>
        <w:rPr>
          <w:rFonts w:ascii="Arial" w:eastAsia="Arial" w:hAnsi="Arial" w:cs="Arial"/>
          <w:color w:val="000000"/>
          <w:sz w:val="20"/>
        </w:rPr>
        <w:t xml:space="preserve">, 46 F.3d 1491, 1503 (10th Cir. 1995); </w:t>
      </w:r>
      <w:bookmarkStart w:id="3712" w:name="Bookmark_I668RJN728T4G60040000400"/>
      <w:bookmarkEnd w:id="3712"/>
      <w:r>
        <w:rPr>
          <w:rFonts w:ascii="Arial" w:eastAsia="Arial" w:hAnsi="Arial" w:cs="Arial"/>
          <w:i/>
          <w:color w:val="000000"/>
          <w:sz w:val="20"/>
        </w:rPr>
        <w:t>Jeffrey O. v. City of Boca Raton</w:t>
      </w:r>
      <w:r>
        <w:rPr>
          <w:rFonts w:ascii="Arial" w:eastAsia="Arial" w:hAnsi="Arial" w:cs="Arial"/>
          <w:color w:val="000000"/>
          <w:sz w:val="20"/>
        </w:rPr>
        <w:t>, 511 F. Supp. 2d 1339, 1350 (S.D. Fla. 2007). The circuit courts are split on what test to employ in deciding whether the defendant's burden [**20]  of justification is met; the Eleventh Circuit has not yet weighed in on this issue.</w:t>
      </w:r>
    </w:p>
    <w:p w:rsidR="00022B47" w:rsidRDefault="00000000">
      <w:pPr>
        <w:pStyle w:val="Normal19"/>
        <w:widowControl w:val="0"/>
        <w:spacing w:before="200" w:line="260" w:lineRule="atLeast"/>
        <w:jc w:val="both"/>
      </w:pPr>
      <w:bookmarkStart w:id="3713" w:name="Bookmark_para_41_6"/>
      <w:bookmarkStart w:id="3714" w:name="Bookmark_I668RJN82SF8TN0020000400"/>
      <w:bookmarkStart w:id="3715" w:name="Bookmark_I23JPJXW18N00007B7G00007"/>
      <w:bookmarkStart w:id="3716" w:name="Bookmark_I23JPJXW4T000007B7G00008"/>
      <w:bookmarkStart w:id="3717" w:name="Bookmark_I23JPJXW89N00007B7G00009"/>
      <w:bookmarkStart w:id="3718" w:name="Bookmark_I668RJN82SF8TN0040000400"/>
      <w:bookmarkEnd w:id="3713"/>
      <w:bookmarkEnd w:id="3714"/>
      <w:bookmarkEnd w:id="3715"/>
      <w:bookmarkEnd w:id="3716"/>
      <w:bookmarkEnd w:id="3717"/>
      <w:bookmarkEnd w:id="3718"/>
      <w:r>
        <w:rPr>
          <w:rFonts w:ascii="Arial" w:eastAsia="Arial" w:hAnsi="Arial" w:cs="Arial"/>
          <w:color w:val="000000"/>
          <w:sz w:val="20"/>
        </w:rPr>
        <w:t xml:space="preserve">Our sister circuits have adopted three different tests. </w:t>
      </w:r>
      <w:r>
        <w:rPr>
          <w:rFonts w:ascii="Arial" w:eastAsia="Arial" w:hAnsi="Arial" w:cs="Arial"/>
          <w:i/>
          <w:color w:val="000000"/>
          <w:sz w:val="20"/>
        </w:rPr>
        <w:t xml:space="preserve">See generally </w:t>
      </w:r>
      <w:bookmarkStart w:id="3719" w:name="Bookmark_I668RJN82SF8TN0010000400"/>
      <w:bookmarkEnd w:id="3719"/>
      <w:r>
        <w:rPr>
          <w:rFonts w:ascii="Arial" w:eastAsia="Arial" w:hAnsi="Arial" w:cs="Arial"/>
          <w:i/>
          <w:color w:val="000000"/>
          <w:sz w:val="20"/>
        </w:rPr>
        <w:t>Curto v. A Country Place Condo. Ass'n, Inc.</w:t>
      </w:r>
      <w:r>
        <w:rPr>
          <w:rFonts w:ascii="Arial" w:eastAsia="Arial" w:hAnsi="Arial" w:cs="Arial"/>
          <w:color w:val="000000"/>
          <w:sz w:val="20"/>
        </w:rPr>
        <w:t xml:space="preserve">, 921 F.3d 405, 412 (3d Cir. 2019) (Fuentes, J., concurring) (discussing the tests that other circuits have adopted). The first one adopts the Equal Protection Clause rational basis review test, </w:t>
      </w:r>
      <w:bookmarkStart w:id="3720" w:name="Bookmark_I668RJN82SF8TN0030000400"/>
      <w:bookmarkEnd w:id="3720"/>
      <w:r>
        <w:rPr>
          <w:rFonts w:ascii="Arial" w:eastAsia="Arial" w:hAnsi="Arial" w:cs="Arial"/>
          <w:i/>
          <w:color w:val="000000"/>
          <w:sz w:val="20"/>
        </w:rPr>
        <w:t>Oxford House-C v. City of St. Louis</w:t>
      </w:r>
      <w:r>
        <w:rPr>
          <w:rFonts w:ascii="Arial" w:eastAsia="Arial" w:hAnsi="Arial" w:cs="Arial"/>
          <w:color w:val="000000"/>
          <w:sz w:val="20"/>
        </w:rPr>
        <w:t xml:space="preserve">, 77 F.3d 249, 252 (8th Cir. 1996); the second employs a means-ends tailoring test, </w:t>
      </w:r>
      <w:bookmarkStart w:id="3721" w:name="Bookmark_I668RJN82SF8TN0050000400"/>
      <w:bookmarkEnd w:id="3721"/>
      <w:r>
        <w:rPr>
          <w:rFonts w:ascii="Arial" w:eastAsia="Arial" w:hAnsi="Arial" w:cs="Arial"/>
          <w:i/>
          <w:color w:val="000000"/>
          <w:sz w:val="20"/>
        </w:rPr>
        <w:t>Larkin</w:t>
      </w:r>
      <w:r>
        <w:rPr>
          <w:rFonts w:ascii="Arial" w:eastAsia="Arial" w:hAnsi="Arial" w:cs="Arial"/>
          <w:color w:val="000000"/>
          <w:sz w:val="20"/>
        </w:rPr>
        <w:t xml:space="preserve">, 89 F.3d at 290-91; and the third has concluded differential treatment is justified when the government shows "(1) that the restriction benefits the protected class or (2) that it responds to legitimate safety concerns raised by the individuals affected," </w:t>
      </w:r>
      <w:bookmarkStart w:id="3722" w:name="Bookmark_I668RJN82D6N260020000400"/>
      <w:bookmarkEnd w:id="3722"/>
      <w:r>
        <w:rPr>
          <w:rFonts w:ascii="Arial" w:eastAsia="Arial" w:hAnsi="Arial" w:cs="Arial"/>
          <w:i/>
          <w:color w:val="000000"/>
          <w:sz w:val="20"/>
        </w:rPr>
        <w:t>Cmty. House</w:t>
      </w:r>
      <w:r>
        <w:rPr>
          <w:rFonts w:ascii="Arial" w:eastAsia="Arial" w:hAnsi="Arial" w:cs="Arial"/>
          <w:color w:val="000000"/>
          <w:sz w:val="20"/>
        </w:rPr>
        <w:t xml:space="preserve">, 490 F.3d at 1050; </w:t>
      </w:r>
      <w:r>
        <w:rPr>
          <w:rFonts w:ascii="Arial" w:eastAsia="Arial" w:hAnsi="Arial" w:cs="Arial"/>
          <w:i/>
          <w:color w:val="000000"/>
          <w:sz w:val="20"/>
        </w:rPr>
        <w:t xml:space="preserve">see also </w:t>
      </w:r>
      <w:bookmarkStart w:id="3723" w:name="Bookmark_I668RJN82D6N260040000400"/>
      <w:bookmarkEnd w:id="3723"/>
      <w:r>
        <w:rPr>
          <w:rFonts w:ascii="Arial" w:eastAsia="Arial" w:hAnsi="Arial" w:cs="Arial"/>
          <w:i/>
          <w:color w:val="000000"/>
          <w:sz w:val="20"/>
        </w:rPr>
        <w:t>Bangerter</w:t>
      </w:r>
      <w:r>
        <w:rPr>
          <w:rFonts w:ascii="Arial" w:eastAsia="Arial" w:hAnsi="Arial" w:cs="Arial"/>
          <w:color w:val="000000"/>
          <w:sz w:val="20"/>
        </w:rPr>
        <w:t>, 46 F.3d at 1503 (holding that "two potential justifications" are "benign discrimination" and "public safety").</w:t>
      </w:r>
      <w:r>
        <w:rPr>
          <w:rFonts w:ascii="Arial" w:eastAsia="Arial" w:hAnsi="Arial" w:cs="Arial"/>
          <w:vertAlign w:val="superscript"/>
        </w:rPr>
        <w:footnoteReference w:customMarkFollows="1" w:id="77"/>
        <w:t>2</w:t>
      </w:r>
    </w:p>
    <w:p w:rsidR="00022B47" w:rsidRDefault="00000000">
      <w:pPr>
        <w:pStyle w:val="Normal19"/>
        <w:widowControl w:val="0"/>
        <w:spacing w:before="200" w:line="260" w:lineRule="atLeast"/>
        <w:jc w:val="both"/>
      </w:pPr>
      <w:bookmarkStart w:id="3732" w:name="Bookmark_para_42_6"/>
      <w:bookmarkEnd w:id="3732"/>
      <w:r>
        <w:rPr>
          <w:rFonts w:ascii="Arial" w:eastAsia="Arial" w:hAnsi="Arial" w:cs="Arial"/>
          <w:color w:val="000000"/>
          <w:sz w:val="20"/>
        </w:rPr>
        <w:t>Here, the district court did not choose from among the various approaches, concluding instead that under any of them, the Zoning Ordinance adopted by the City of Fort Lauderdale was justified under the second part of the analysis because the City treats individuals with disabilities better than it treats those without disabilities.</w:t>
      </w:r>
    </w:p>
    <w:p w:rsidR="00022B47" w:rsidRDefault="00000000">
      <w:pPr>
        <w:pStyle w:val="Normal19"/>
        <w:widowControl w:val="0"/>
        <w:spacing w:before="200" w:line="260" w:lineRule="atLeast"/>
        <w:jc w:val="both"/>
      </w:pPr>
      <w:bookmarkStart w:id="3733" w:name="Bookmark_para_43_6"/>
      <w:bookmarkEnd w:id="3733"/>
      <w:r>
        <w:rPr>
          <w:rFonts w:ascii="Arial" w:eastAsia="Arial" w:hAnsi="Arial" w:cs="Arial"/>
          <w:color w:val="000000"/>
          <w:sz w:val="20"/>
        </w:rPr>
        <w:t xml:space="preserve">We need not reach a second step at all -- much less choose from among the various tests -- because Sailboat Bend does not even make it to first base. Although the [**21]  City's Zoning Ordinance treats individuals with disabilities differently than non-disabled individuals, it undoubtedly treats them more favorably. Whereas groups of three or more unrelated, non-disabled people cannot live together in residential districts, the Zoning Ordinance specifically exempts "Community Residences," like Sailboat Bend, allowing them to operate in residential zones if certain conditions (like  [*1278]  a 1,000-foot spacing requirement) are met. Thus, groups of three or more unrelated, </w:t>
      </w:r>
      <w:r>
        <w:rPr>
          <w:rFonts w:ascii="Arial" w:eastAsia="Arial" w:hAnsi="Arial" w:cs="Arial"/>
          <w:i/>
          <w:color w:val="000000"/>
          <w:sz w:val="20"/>
        </w:rPr>
        <w:t>disabled</w:t>
      </w:r>
      <w:r>
        <w:rPr>
          <w:rFonts w:ascii="Arial" w:eastAsia="Arial" w:hAnsi="Arial" w:cs="Arial"/>
          <w:color w:val="000000"/>
          <w:sz w:val="20"/>
        </w:rPr>
        <w:t xml:space="preserve"> people may live together in residential districts so long as they comply with some additional requirements.</w:t>
      </w:r>
    </w:p>
    <w:p w:rsidR="00022B47" w:rsidRDefault="00000000">
      <w:pPr>
        <w:pStyle w:val="Normal19"/>
        <w:widowControl w:val="0"/>
        <w:spacing w:before="200" w:line="260" w:lineRule="atLeast"/>
        <w:jc w:val="both"/>
      </w:pPr>
      <w:bookmarkStart w:id="3734" w:name="Bookmark_para_44_6"/>
      <w:bookmarkEnd w:id="3734"/>
      <w:r>
        <w:rPr>
          <w:rFonts w:ascii="Arial" w:eastAsia="Arial" w:hAnsi="Arial" w:cs="Arial"/>
          <w:color w:val="000000"/>
          <w:sz w:val="20"/>
        </w:rPr>
        <w:t xml:space="preserve">The Plaintiffs' central argument, nevertheless, is that the Ordinance does not treat individuals with disabilities more favorably because it places burdensome requirements on them that it does not place on individuals without disabilities. But this argument ignores that these "burdens" uniquely apply to individuals with disabilities because they are the only category of people who may live in Community Residences of more than three unrelated individuals and thereby benefit from the opportunity. Consider, by way of example, a city that offers free public housing only to individuals [**22]  with disabilities, but to secure the housing, an applicant has to show proof of employment or a reasonable attempt at securing employment. No one would say that this housing program treats individuals with disabilities worse than it treats non-disabled individuals. After all, the non-disabled could not secure free public housing at all. Here, the Zoning Ordinance's requirement that Community Residences comply with the 1,000-foot spacing requirement applies only when the disabled seek to live together in a group of more than three -- something non-disabled individuals can never do. Quite simply, the Ordinance does not facially discriminate </w:t>
      </w:r>
      <w:r>
        <w:rPr>
          <w:rFonts w:ascii="Arial" w:eastAsia="Arial" w:hAnsi="Arial" w:cs="Arial"/>
          <w:i/>
          <w:color w:val="000000"/>
          <w:sz w:val="20"/>
        </w:rPr>
        <w:t>against</w:t>
      </w:r>
      <w:r>
        <w:rPr>
          <w:rFonts w:ascii="Arial" w:eastAsia="Arial" w:hAnsi="Arial" w:cs="Arial"/>
          <w:color w:val="000000"/>
          <w:sz w:val="20"/>
        </w:rPr>
        <w:t xml:space="preserve"> disabled people. Thus, we need not and do not consider any justification for the different treatment.</w:t>
      </w:r>
    </w:p>
    <w:p w:rsidR="00022B47" w:rsidRDefault="00000000">
      <w:pPr>
        <w:pStyle w:val="Normal19"/>
        <w:widowControl w:val="0"/>
        <w:spacing w:before="200" w:line="260" w:lineRule="atLeast"/>
        <w:jc w:val="both"/>
      </w:pPr>
      <w:bookmarkStart w:id="3735" w:name="Bookmark_para_45_6"/>
      <w:bookmarkStart w:id="3736" w:name="Bookmark_I668RJN82HM6DR0050000400"/>
      <w:bookmarkEnd w:id="3735"/>
      <w:bookmarkEnd w:id="3736"/>
      <w:r>
        <w:rPr>
          <w:rFonts w:ascii="Arial" w:eastAsia="Arial" w:hAnsi="Arial" w:cs="Arial"/>
          <w:color w:val="000000"/>
          <w:sz w:val="20"/>
        </w:rPr>
        <w:t xml:space="preserve">Nor does our case law compel us to reach a second, justification stage in the analysis when a plaintiff fails to make a </w:t>
      </w:r>
      <w:r>
        <w:rPr>
          <w:rFonts w:ascii="Arial" w:eastAsia="Arial" w:hAnsi="Arial" w:cs="Arial"/>
          <w:i/>
          <w:color w:val="000000"/>
          <w:sz w:val="20"/>
        </w:rPr>
        <w:t>prima facie</w:t>
      </w:r>
      <w:r>
        <w:rPr>
          <w:rFonts w:ascii="Arial" w:eastAsia="Arial" w:hAnsi="Arial" w:cs="Arial"/>
          <w:color w:val="000000"/>
          <w:sz w:val="20"/>
        </w:rPr>
        <w:t xml:space="preserve"> case of disparate treatment under the FHA or the ADA because he has been treated more favorably. Our cases have only dealt with the other two possibilities -- that the plaintiff was treated the same as or less favorably than his similarly situated comparators -- but not the odd case where the plaintiff actually [**23]  was treated better. </w:t>
      </w:r>
      <w:bookmarkStart w:id="3737" w:name="Bookmark_I668RJN82D6N270040000400"/>
      <w:bookmarkEnd w:id="3737"/>
      <w:r>
        <w:rPr>
          <w:rFonts w:ascii="Arial" w:eastAsia="Arial" w:hAnsi="Arial" w:cs="Arial"/>
          <w:color w:val="000000"/>
          <w:sz w:val="20"/>
        </w:rPr>
        <w:t xml:space="preserve">For example, in </w:t>
      </w:r>
      <w:bookmarkStart w:id="3738" w:name="Bookmark_I668RJN82D6N270040000400_2"/>
      <w:bookmarkStart w:id="3739" w:name="Bookmark_I668RJN82HM6DR0050000400_2"/>
      <w:bookmarkStart w:id="3740" w:name="Bookmark_I668RJN82HM6DR0040000400"/>
      <w:bookmarkEnd w:id="3738"/>
      <w:bookmarkEnd w:id="3739"/>
      <w:bookmarkEnd w:id="3740"/>
      <w:r>
        <w:rPr>
          <w:rFonts w:ascii="Arial" w:eastAsia="Arial" w:hAnsi="Arial" w:cs="Arial"/>
          <w:i/>
          <w:color w:val="000000"/>
          <w:sz w:val="20"/>
        </w:rPr>
        <w:t>Schwarz v. City of Treasure Island</w:t>
      </w:r>
      <w:r>
        <w:rPr>
          <w:rFonts w:ascii="Arial" w:eastAsia="Arial" w:hAnsi="Arial" w:cs="Arial"/>
          <w:color w:val="000000"/>
          <w:sz w:val="20"/>
        </w:rPr>
        <w:t xml:space="preserve">, we considered a disparate treatment claim under the FHA and concluded that the claim failed because the plaintiff failed to show he had actually been treated differently than similarly situated, non-disabled people. </w:t>
      </w:r>
      <w:bookmarkStart w:id="3741" w:name="Bookmark_I668RJN82D6N270010000400"/>
      <w:bookmarkEnd w:id="3741"/>
      <w:r>
        <w:rPr>
          <w:rFonts w:ascii="Arial" w:eastAsia="Arial" w:hAnsi="Arial" w:cs="Arial"/>
          <w:color w:val="000000"/>
          <w:sz w:val="20"/>
        </w:rPr>
        <w:t xml:space="preserve">544 F.3d at 1216. </w:t>
      </w:r>
      <w:bookmarkStart w:id="3742" w:name="Bookmark_I668RJN82N1R820010000400"/>
      <w:bookmarkEnd w:id="3742"/>
      <w:r>
        <w:rPr>
          <w:rFonts w:ascii="Arial" w:eastAsia="Arial" w:hAnsi="Arial" w:cs="Arial"/>
          <w:color w:val="000000"/>
          <w:sz w:val="20"/>
        </w:rPr>
        <w:t xml:space="preserve">In </w:t>
      </w:r>
      <w:bookmarkStart w:id="3743" w:name="Bookmark_I668RJN82N1R820010000400_2"/>
      <w:bookmarkStart w:id="3744" w:name="Bookmark_I668RJN82D6N270040000400_3"/>
      <w:bookmarkStart w:id="3745" w:name="Bookmark_I668RJN82D6N270030000400"/>
      <w:bookmarkEnd w:id="3743"/>
      <w:bookmarkEnd w:id="3744"/>
      <w:bookmarkEnd w:id="3745"/>
      <w:r>
        <w:rPr>
          <w:rFonts w:ascii="Arial" w:eastAsia="Arial" w:hAnsi="Arial" w:cs="Arial"/>
          <w:i/>
          <w:color w:val="000000"/>
          <w:sz w:val="20"/>
        </w:rPr>
        <w:t>Schwarz</w:t>
      </w:r>
      <w:r>
        <w:rPr>
          <w:rFonts w:ascii="Arial" w:eastAsia="Arial" w:hAnsi="Arial" w:cs="Arial"/>
          <w:color w:val="000000"/>
          <w:sz w:val="20"/>
        </w:rPr>
        <w:t xml:space="preserve">, a panel of this Court had no occasion to consider the unusual circumstance where disabled people were treated more favorably than similarly situated non-disabled people. In its analysis, </w:t>
      </w:r>
      <w:bookmarkStart w:id="3746" w:name="Bookmark_I668RJN82N1R820010000400_3"/>
      <w:bookmarkStart w:id="3747" w:name="Bookmark_I668RJN82D6N270050000400"/>
      <w:bookmarkEnd w:id="3746"/>
      <w:bookmarkEnd w:id="3747"/>
      <w:r>
        <w:rPr>
          <w:rFonts w:ascii="Arial" w:eastAsia="Arial" w:hAnsi="Arial" w:cs="Arial"/>
          <w:i/>
          <w:color w:val="000000"/>
          <w:sz w:val="20"/>
        </w:rPr>
        <w:t>Schwarz</w:t>
      </w:r>
      <w:bookmarkStart w:id="3748" w:name="Bookmark_I668RJN92SF8V00020000400"/>
      <w:bookmarkEnd w:id="3748"/>
      <w:r>
        <w:rPr>
          <w:rFonts w:ascii="Arial" w:eastAsia="Arial" w:hAnsi="Arial" w:cs="Arial"/>
          <w:color w:val="000000"/>
          <w:sz w:val="20"/>
        </w:rPr>
        <w:t xml:space="preserve"> cited to two earlier cases: </w:t>
      </w:r>
      <w:bookmarkStart w:id="3749" w:name="Bookmark_I668RJN82N1R820020000400"/>
      <w:bookmarkEnd w:id="3749"/>
      <w:r>
        <w:rPr>
          <w:rFonts w:ascii="Arial" w:eastAsia="Arial" w:hAnsi="Arial" w:cs="Arial"/>
          <w:i/>
          <w:color w:val="000000"/>
          <w:sz w:val="20"/>
        </w:rPr>
        <w:t>Loren v. Sasser</w:t>
      </w:r>
      <w:r>
        <w:rPr>
          <w:rFonts w:ascii="Arial" w:eastAsia="Arial" w:hAnsi="Arial" w:cs="Arial"/>
          <w:color w:val="000000"/>
          <w:sz w:val="20"/>
        </w:rPr>
        <w:t xml:space="preserve">, 309 F.3d 1296 (11th Cir. 2002), and </w:t>
      </w:r>
      <w:bookmarkStart w:id="3750" w:name="Bookmark_I668RJN82N1R820040000400"/>
      <w:bookmarkEnd w:id="3750"/>
      <w:r>
        <w:rPr>
          <w:rFonts w:ascii="Arial" w:eastAsia="Arial" w:hAnsi="Arial" w:cs="Arial"/>
          <w:i/>
          <w:color w:val="000000"/>
          <w:sz w:val="20"/>
        </w:rPr>
        <w:t>United Farmworkers of Florida Housing Project, Inc. v. City of Delray Beach</w:t>
      </w:r>
      <w:r>
        <w:rPr>
          <w:rFonts w:ascii="Arial" w:eastAsia="Arial" w:hAnsi="Arial" w:cs="Arial"/>
          <w:color w:val="000000"/>
          <w:sz w:val="20"/>
        </w:rPr>
        <w:t xml:space="preserve">, 493 F.2d 799 (5th Cir. 1974). In neither of them did the facts establish that the disabled person was treated more favorably than the non-disabled person. </w:t>
      </w:r>
      <w:bookmarkStart w:id="3751" w:name="Bookmark_I668RJN92SF8V00040000400"/>
      <w:bookmarkEnd w:id="3751"/>
      <w:r>
        <w:rPr>
          <w:rFonts w:ascii="Arial" w:eastAsia="Arial" w:hAnsi="Arial" w:cs="Arial"/>
          <w:color w:val="000000"/>
          <w:sz w:val="20"/>
        </w:rPr>
        <w:t xml:space="preserve">Rather, in </w:t>
      </w:r>
      <w:bookmarkStart w:id="3752" w:name="Bookmark_I668RJN92SF8V00040000400_2"/>
      <w:bookmarkStart w:id="3753" w:name="Bookmark_I668RJN92SF8V00020000400_2"/>
      <w:bookmarkStart w:id="3754" w:name="Bookmark_I668RJN92SF8V00010000400"/>
      <w:bookmarkEnd w:id="3752"/>
      <w:bookmarkEnd w:id="3753"/>
      <w:bookmarkEnd w:id="3754"/>
      <w:r>
        <w:rPr>
          <w:rFonts w:ascii="Arial" w:eastAsia="Arial" w:hAnsi="Arial" w:cs="Arial"/>
          <w:i/>
          <w:color w:val="000000"/>
          <w:sz w:val="20"/>
        </w:rPr>
        <w:t>Loren</w:t>
      </w:r>
      <w:bookmarkStart w:id="3755" w:name="Bookmark_I668RJN92N1R8F0030000400"/>
      <w:bookmarkEnd w:id="3755"/>
      <w:r>
        <w:rPr>
          <w:rFonts w:ascii="Arial" w:eastAsia="Arial" w:hAnsi="Arial" w:cs="Arial"/>
          <w:color w:val="000000"/>
          <w:sz w:val="20"/>
        </w:rPr>
        <w:t xml:space="preserve">, the Court addressed the circumstance in which disabled and non-disabled people were treated in the same manner. </w:t>
      </w:r>
      <w:bookmarkStart w:id="3756" w:name="Bookmark_I668RJN92N1R8F0050000400"/>
      <w:bookmarkEnd w:id="3756"/>
      <w:r>
        <w:rPr>
          <w:rFonts w:ascii="Arial" w:eastAsia="Arial" w:hAnsi="Arial" w:cs="Arial"/>
          <w:i/>
          <w:color w:val="000000"/>
          <w:sz w:val="20"/>
        </w:rPr>
        <w:t xml:space="preserve">See also </w:t>
      </w:r>
      <w:bookmarkStart w:id="3757" w:name="Bookmark_I668RJN92SF8V00030000400"/>
      <w:bookmarkEnd w:id="3757"/>
      <w:r>
        <w:rPr>
          <w:rFonts w:ascii="Arial" w:eastAsia="Arial" w:hAnsi="Arial" w:cs="Arial"/>
          <w:i/>
          <w:color w:val="000000"/>
          <w:sz w:val="20"/>
        </w:rPr>
        <w:t>Silberman v. Miami Dade Transit</w:t>
      </w:r>
      <w:r>
        <w:rPr>
          <w:rFonts w:ascii="Arial" w:eastAsia="Arial" w:hAnsi="Arial" w:cs="Arial"/>
          <w:color w:val="000000"/>
          <w:sz w:val="20"/>
        </w:rPr>
        <w:t xml:space="preserve">, 927 F.3d 1123, 1130, 1138 (11th Cir. 2019) (affirming the dismissal of a complaint where plaintiff conceded he was not intentionally discriminated against on account of his disability); </w:t>
      </w:r>
      <w:bookmarkStart w:id="3758" w:name="Bookmark_I668RJN92SF8V00050000400"/>
      <w:bookmarkEnd w:id="3758"/>
      <w:r>
        <w:rPr>
          <w:rFonts w:ascii="Arial" w:eastAsia="Arial" w:hAnsi="Arial" w:cs="Arial"/>
          <w:i/>
          <w:color w:val="000000"/>
          <w:sz w:val="20"/>
        </w:rPr>
        <w:t>McCullum v. Orlando Reg'l Healthcare Sys., Inc.</w:t>
      </w:r>
      <w:r>
        <w:rPr>
          <w:rFonts w:ascii="Arial" w:eastAsia="Arial" w:hAnsi="Arial" w:cs="Arial"/>
          <w:color w:val="000000"/>
          <w:sz w:val="20"/>
        </w:rPr>
        <w:t xml:space="preserve">, 768 F.3d 1135, 1148 (11th Cir. 2014). </w:t>
      </w:r>
      <w:bookmarkStart w:id="3759" w:name="Bookmark_I668RJN92N1R8F0050000400_2"/>
      <w:bookmarkStart w:id="3760" w:name="Bookmark_I668RJN92N1R8F0030000400_2"/>
      <w:bookmarkEnd w:id="3759"/>
      <w:bookmarkEnd w:id="3760"/>
      <w:r>
        <w:rPr>
          <w:rFonts w:ascii="Arial" w:eastAsia="Arial" w:hAnsi="Arial" w:cs="Arial"/>
          <w:color w:val="000000"/>
          <w:sz w:val="20"/>
        </w:rPr>
        <w:t xml:space="preserve">And, in </w:t>
      </w:r>
      <w:bookmarkStart w:id="3761" w:name="Bookmark_I668RJN92N1R8F0030000400_3"/>
      <w:bookmarkStart w:id="3762" w:name="Bookmark_I668RJN92N1R8F0020000400"/>
      <w:bookmarkEnd w:id="3761"/>
      <w:bookmarkEnd w:id="3762"/>
      <w:r>
        <w:rPr>
          <w:rFonts w:ascii="Arial" w:eastAsia="Arial" w:hAnsi="Arial" w:cs="Arial"/>
          <w:i/>
          <w:color w:val="000000"/>
          <w:sz w:val="20"/>
        </w:rPr>
        <w:t>United Farmworkers</w:t>
      </w:r>
      <w:r>
        <w:rPr>
          <w:rFonts w:ascii="Arial" w:eastAsia="Arial" w:hAnsi="Arial" w:cs="Arial"/>
          <w:color w:val="000000"/>
          <w:sz w:val="20"/>
        </w:rPr>
        <w:t>, the former Fifth Circuit, in binding precedent, addressing a claim of racial discrimination, faced a fact pattern where racial minorities were treated less favorably than everyone else.</w:t>
      </w:r>
      <w:r>
        <w:rPr>
          <w:rFonts w:ascii="Arial" w:eastAsia="Arial" w:hAnsi="Arial" w:cs="Arial"/>
          <w:vertAlign w:val="superscript"/>
        </w:rPr>
        <w:footnoteReference w:customMarkFollows="1" w:id="78"/>
        <w:t>3</w:t>
      </w:r>
    </w:p>
    <w:p w:rsidR="00022B47" w:rsidRDefault="00000000">
      <w:pPr>
        <w:pStyle w:val="Normal19"/>
        <w:widowControl w:val="0"/>
        <w:spacing w:before="200" w:line="260" w:lineRule="atLeast"/>
        <w:jc w:val="both"/>
      </w:pPr>
      <w:bookmarkStart w:id="3765" w:name="Bookmark_para_46_6"/>
      <w:bookmarkStart w:id="3766" w:name="Bookmark_I668RJN92D6N2V0020000400"/>
      <w:bookmarkStart w:id="3767" w:name="Bookmark_I668RJN92D6N2V0040000400"/>
      <w:bookmarkEnd w:id="3765"/>
      <w:bookmarkEnd w:id="3766"/>
      <w:bookmarkEnd w:id="3767"/>
      <w:r>
        <w:rPr>
          <w:rFonts w:ascii="Arial" w:eastAsia="Arial" w:hAnsi="Arial" w:cs="Arial"/>
          <w:color w:val="000000"/>
          <w:sz w:val="20"/>
        </w:rPr>
        <w:t xml:space="preserve">More recently, in </w:t>
      </w:r>
      <w:r>
        <w:rPr>
          <w:rFonts w:ascii="Arial" w:eastAsia="Arial" w:hAnsi="Arial" w:cs="Arial"/>
          <w:i/>
          <w:color w:val="000000"/>
          <w:sz w:val="20"/>
        </w:rPr>
        <w:t>Hunt v. Aimco Properties, L.P.</w:t>
      </w:r>
      <w:r>
        <w:rPr>
          <w:rFonts w:ascii="Arial" w:eastAsia="Arial" w:hAnsi="Arial" w:cs="Arial"/>
          <w:color w:val="000000"/>
          <w:sz w:val="20"/>
        </w:rPr>
        <w:t xml:space="preserve">, we considered an intentional  [*1279]  discrimination claim under the FHA. [**24]  </w:t>
      </w:r>
      <w:bookmarkStart w:id="3768" w:name="Bookmark_I668RJN92D6N2V0010000400"/>
      <w:bookmarkEnd w:id="3768"/>
      <w:r>
        <w:rPr>
          <w:rFonts w:ascii="Arial" w:eastAsia="Arial" w:hAnsi="Arial" w:cs="Arial"/>
          <w:color w:val="000000"/>
          <w:sz w:val="20"/>
        </w:rPr>
        <w:t xml:space="preserve">814 F.3d 1213 (11th Cir. 2016). </w:t>
      </w:r>
      <w:bookmarkStart w:id="3769" w:name="Bookmark_I668RJNB28T4H50010000400"/>
      <w:bookmarkEnd w:id="3769"/>
      <w:r>
        <w:rPr>
          <w:rFonts w:ascii="Arial" w:eastAsia="Arial" w:hAnsi="Arial" w:cs="Arial"/>
          <w:color w:val="000000"/>
          <w:sz w:val="20"/>
        </w:rPr>
        <w:t xml:space="preserve">There, we reversed an order dismissing the plaintiff's claim because the allegations "sufficiently pled that [defendant] placed conditions on [plaintiff] that were not imposed on other residents and restricted his access to facilities in the complex that were open to other residents." </w:t>
      </w:r>
      <w:bookmarkStart w:id="3770" w:name="Bookmark_I668RJN92D6N2V0030000400"/>
      <w:bookmarkEnd w:id="3770"/>
      <w:r>
        <w:rPr>
          <w:rFonts w:ascii="Arial" w:eastAsia="Arial" w:hAnsi="Arial" w:cs="Arial"/>
          <w:i/>
          <w:color w:val="000000"/>
          <w:sz w:val="20"/>
        </w:rPr>
        <w:t>Id.</w:t>
      </w:r>
      <w:r>
        <w:rPr>
          <w:rFonts w:ascii="Arial" w:eastAsia="Arial" w:hAnsi="Arial" w:cs="Arial"/>
          <w:color w:val="000000"/>
          <w:sz w:val="20"/>
        </w:rPr>
        <w:t xml:space="preserve"> at 1224. Again, the plaintiff in </w:t>
      </w:r>
      <w:r>
        <w:rPr>
          <w:rFonts w:ascii="Arial" w:eastAsia="Arial" w:hAnsi="Arial" w:cs="Arial"/>
          <w:i/>
          <w:color w:val="000000"/>
          <w:sz w:val="20"/>
        </w:rPr>
        <w:t>Hunt</w:t>
      </w:r>
      <w:r>
        <w:rPr>
          <w:rFonts w:ascii="Arial" w:eastAsia="Arial" w:hAnsi="Arial" w:cs="Arial"/>
          <w:color w:val="000000"/>
          <w:sz w:val="20"/>
        </w:rPr>
        <w:t xml:space="preserve"> was treated worse -- not better. </w:t>
      </w:r>
      <w:bookmarkStart w:id="3771" w:name="Bookmark_I668RJNB28T4H50010000400_2"/>
      <w:bookmarkEnd w:id="3771"/>
      <w:r>
        <w:rPr>
          <w:rFonts w:ascii="Arial" w:eastAsia="Arial" w:hAnsi="Arial" w:cs="Arial"/>
          <w:i/>
          <w:color w:val="000000"/>
          <w:sz w:val="20"/>
        </w:rPr>
        <w:t xml:space="preserve">See also </w:t>
      </w:r>
      <w:bookmarkStart w:id="3772" w:name="Bookmark_I668RJN92D6N2V0050000400"/>
      <w:bookmarkEnd w:id="3772"/>
      <w:r>
        <w:rPr>
          <w:rFonts w:ascii="Arial" w:eastAsia="Arial" w:hAnsi="Arial" w:cs="Arial"/>
          <w:i/>
          <w:color w:val="000000"/>
          <w:sz w:val="20"/>
        </w:rPr>
        <w:t>Crane v. Lifemark Hosps., Inc.</w:t>
      </w:r>
      <w:r>
        <w:rPr>
          <w:rFonts w:ascii="Arial" w:eastAsia="Arial" w:hAnsi="Arial" w:cs="Arial"/>
          <w:color w:val="000000"/>
          <w:sz w:val="20"/>
        </w:rPr>
        <w:t xml:space="preserve">, 898 F.3d 1130, 1136 (11th Cir. 2018) (holding plaintiff provided sufficient evidence defendant intentionally discriminated against him because defendant was deliberately indifferent to plaintiff's need for an interpreter); </w:t>
      </w:r>
      <w:bookmarkStart w:id="3773" w:name="Bookmark_I668RJNB28T4H50020000400"/>
      <w:bookmarkEnd w:id="3773"/>
      <w:r>
        <w:rPr>
          <w:rFonts w:ascii="Arial" w:eastAsia="Arial" w:hAnsi="Arial" w:cs="Arial"/>
          <w:i/>
          <w:color w:val="000000"/>
          <w:sz w:val="20"/>
        </w:rPr>
        <w:t>J.S., III by &amp; through J.S. Jr. v. Houston Cnty. Bd. of Educ.</w:t>
      </w:r>
      <w:r>
        <w:rPr>
          <w:rFonts w:ascii="Arial" w:eastAsia="Arial" w:hAnsi="Arial" w:cs="Arial"/>
          <w:color w:val="000000"/>
          <w:sz w:val="20"/>
        </w:rPr>
        <w:t xml:space="preserve">, 877 F.3d 979, 986 (11th Cir. 2017) (plaintiff alleged he was removed from his regular classroom on account of disability); </w:t>
      </w:r>
      <w:bookmarkStart w:id="3774" w:name="Bookmark_I668RJNB28T4H50040000400"/>
      <w:bookmarkEnd w:id="3774"/>
      <w:r>
        <w:rPr>
          <w:rFonts w:ascii="Arial" w:eastAsia="Arial" w:hAnsi="Arial" w:cs="Arial"/>
          <w:i/>
          <w:color w:val="000000"/>
          <w:sz w:val="20"/>
        </w:rPr>
        <w:t>Hallmark</w:t>
      </w:r>
      <w:r>
        <w:rPr>
          <w:rFonts w:ascii="Arial" w:eastAsia="Arial" w:hAnsi="Arial" w:cs="Arial"/>
          <w:color w:val="000000"/>
          <w:sz w:val="20"/>
        </w:rPr>
        <w:t xml:space="preserve">, 466 F.3d at 1286 (holding there was insufficient evidence to show plaintiffs' alleged worse treatment in housing was on account of race); </w:t>
      </w:r>
      <w:bookmarkStart w:id="3775" w:name="Bookmark_I668RJNC28T4H70010000400"/>
      <w:bookmarkEnd w:id="3775"/>
      <w:r>
        <w:rPr>
          <w:rFonts w:ascii="Arial" w:eastAsia="Arial" w:hAnsi="Arial" w:cs="Arial"/>
          <w:i/>
          <w:color w:val="000000"/>
          <w:sz w:val="20"/>
        </w:rPr>
        <w:t>Cleveland v. Home Shopping Network, Inc.</w:t>
      </w:r>
      <w:r>
        <w:rPr>
          <w:rFonts w:ascii="Arial" w:eastAsia="Arial" w:hAnsi="Arial" w:cs="Arial"/>
          <w:color w:val="000000"/>
          <w:sz w:val="20"/>
        </w:rPr>
        <w:t xml:space="preserve">, 369 F.3d 1189, 1191 (11th Cir. 2004) (plaintiff alleged she was fired because of her disability); </w:t>
      </w:r>
      <w:bookmarkStart w:id="3776" w:name="Bookmark_I668RJNC28T4H70030000400"/>
      <w:bookmarkEnd w:id="3776"/>
      <w:r>
        <w:rPr>
          <w:rFonts w:ascii="Arial" w:eastAsia="Arial" w:hAnsi="Arial" w:cs="Arial"/>
          <w:i/>
          <w:color w:val="000000"/>
          <w:sz w:val="20"/>
        </w:rPr>
        <w:t>Woodard v. Fanboy, LLC</w:t>
      </w:r>
      <w:r>
        <w:rPr>
          <w:rFonts w:ascii="Arial" w:eastAsia="Arial" w:hAnsi="Arial" w:cs="Arial"/>
          <w:color w:val="000000"/>
          <w:sz w:val="20"/>
        </w:rPr>
        <w:t xml:space="preserve">, 298 F.3d 1261, 1268 (11th Cir. 2002) (upholding a jury's finding, in an FHA intentional discrimination case, that plaintiff received worse treatment in housing on account of familial status); </w:t>
      </w:r>
      <w:bookmarkStart w:id="3777" w:name="Bookmark_I668RJNC28T4H70050000400"/>
      <w:bookmarkEnd w:id="3777"/>
      <w:r>
        <w:rPr>
          <w:rFonts w:ascii="Arial" w:eastAsia="Arial" w:hAnsi="Arial" w:cs="Arial"/>
          <w:i/>
          <w:color w:val="000000"/>
          <w:sz w:val="20"/>
        </w:rPr>
        <w:t>Jackson v. Okaloosa Cnty.</w:t>
      </w:r>
      <w:r>
        <w:rPr>
          <w:rFonts w:ascii="Arial" w:eastAsia="Arial" w:hAnsi="Arial" w:cs="Arial"/>
          <w:color w:val="000000"/>
          <w:sz w:val="20"/>
        </w:rPr>
        <w:t>, 21 F.3d 1531, 1542-43 (11th Cir. 1994) (holding plaintiffs' allegations that public housing was concentrated in Black neighborhoods stated a claim of intentional discrimination).</w:t>
      </w:r>
    </w:p>
    <w:p w:rsidR="00022B47" w:rsidRDefault="00000000">
      <w:pPr>
        <w:pStyle w:val="Normal19"/>
        <w:widowControl w:val="0"/>
        <w:spacing w:before="200" w:line="260" w:lineRule="atLeast"/>
        <w:jc w:val="both"/>
      </w:pPr>
      <w:bookmarkStart w:id="3778" w:name="Bookmark_para_47_6"/>
      <w:bookmarkEnd w:id="3778"/>
      <w:r>
        <w:rPr>
          <w:rFonts w:ascii="Arial" w:eastAsia="Arial" w:hAnsi="Arial" w:cs="Arial"/>
          <w:color w:val="000000"/>
          <w:sz w:val="20"/>
        </w:rPr>
        <w:t>We agree with the district court's ultimate conclusion that similarly situated, unrelated [**25]  disabled persons are treated better by the City's Ordinance than unrelated, non-disabled persons -- after all, groups of three or more unrelated, disabled persons may live together in residential zones, whereas three or more unrelated, non-disabled persons may not. We reach this conclusion directly and at the outset of the analysis. It is, therefore, wholly unnecessary to shift the burden to the City, as the district court did, or to choose among the different justification tests under any second analytical step. As we see it, the Plaintiffs' claims fail under the FHA and the ADA at step one of any analysis.</w:t>
      </w:r>
    </w:p>
    <w:p w:rsidR="00022B47" w:rsidRDefault="00000000">
      <w:pPr>
        <w:pStyle w:val="Normal19"/>
        <w:widowControl w:val="0"/>
        <w:spacing w:before="240" w:line="260" w:lineRule="atLeast"/>
      </w:pPr>
      <w:r>
        <w:br/>
      </w:r>
      <w:r>
        <w:rPr>
          <w:rFonts w:ascii="Arial" w:eastAsia="Arial" w:hAnsi="Arial" w:cs="Arial"/>
          <w:b/>
          <w:color w:val="000000"/>
          <w:sz w:val="20"/>
        </w:rPr>
        <w:t>B</w:t>
      </w:r>
      <w:r>
        <w:rPr>
          <w:rFonts w:ascii="Arial" w:eastAsia="Arial" w:hAnsi="Arial" w:cs="Arial"/>
          <w:color w:val="000000"/>
          <w:sz w:val="20"/>
        </w:rPr>
        <w:t>.</w:t>
      </w:r>
    </w:p>
    <w:p w:rsidR="00022B47" w:rsidRDefault="00000000">
      <w:pPr>
        <w:pStyle w:val="Normal19"/>
        <w:widowControl w:val="0"/>
        <w:spacing w:before="200" w:line="260" w:lineRule="atLeast"/>
        <w:jc w:val="both"/>
      </w:pPr>
      <w:bookmarkStart w:id="3779" w:name="Bookmark_para_48_6"/>
      <w:bookmarkEnd w:id="3779"/>
      <w:r>
        <w:rPr>
          <w:rFonts w:ascii="Arial" w:eastAsia="Arial" w:hAnsi="Arial" w:cs="Arial"/>
          <w:color w:val="000000"/>
          <w:sz w:val="20"/>
        </w:rPr>
        <w:t xml:space="preserve">Next, the Plaintiffs argue that the City failed to grant their reasonable accommodation request in violation of the FHA and the ADA. The Plaintiffs asked the City to waive the automatic fire sprinkler requirement. Recall that under the Fire Code, one- and two-family dwellings are exempt from the automatic sprinkler system requirement, but the City determined that Sailboat Bend was either a Residential Board and Care Occupancy or a Rooming House, and, therefore, it was required to install automatic fire sprinklers. Without an accommodation, Sailboat Bend claims it would have to [**26]  raise the rents beyond the tenants' ability to pay in order to come up with the $30,000 to $40,000 needed to install the sprinkler system. The district court granted summary judgment to the City because, on the record evidence adduced, no reasonable juror could determine that the requested accommodation was "necessary." The Plaintiffs offered no evidence to show that their tenants' disabilities in any way </w:t>
      </w:r>
      <w:r>
        <w:rPr>
          <w:rFonts w:ascii="Arial" w:eastAsia="Arial" w:hAnsi="Arial" w:cs="Arial"/>
          <w:i/>
          <w:color w:val="000000"/>
          <w:sz w:val="20"/>
        </w:rPr>
        <w:t>caused</w:t>
      </w:r>
      <w:r>
        <w:rPr>
          <w:rFonts w:ascii="Arial" w:eastAsia="Arial" w:hAnsi="Arial" w:cs="Arial"/>
          <w:color w:val="000000"/>
          <w:sz w:val="20"/>
        </w:rPr>
        <w:t xml:space="preserve"> their inability to afford higher rent. We agree.</w:t>
      </w:r>
    </w:p>
    <w:p w:rsidR="00022B47" w:rsidRDefault="00000000">
      <w:pPr>
        <w:pStyle w:val="Normal19"/>
        <w:widowControl w:val="0"/>
        <w:spacing w:before="200" w:line="260" w:lineRule="atLeast"/>
        <w:jc w:val="both"/>
      </w:pPr>
      <w:bookmarkStart w:id="3780" w:name="Bookmark_para_49_6"/>
      <w:bookmarkStart w:id="3781" w:name="Bookmark_LNHNREFclscc17_4"/>
      <w:bookmarkEnd w:id="3780"/>
      <w:bookmarkEnd w:id="3781"/>
      <w:r>
        <w:rPr>
          <w:rFonts w:ascii="Arial" w:eastAsia="Arial" w:hAnsi="Arial" w:cs="Arial"/>
          <w:color w:val="000000"/>
          <w:sz w:val="20"/>
        </w:rPr>
        <w:t>The ADA makes unlawful a defendant's</w:t>
      </w:r>
    </w:p>
    <w:p w:rsidR="00022B47" w:rsidRDefault="00000000">
      <w:pPr>
        <w:pStyle w:val="Normal19"/>
        <w:widowControl w:val="0"/>
        <w:spacing w:before="200" w:line="260" w:lineRule="atLeast"/>
        <w:ind w:left="400"/>
        <w:jc w:val="both"/>
      </w:pPr>
      <w:bookmarkStart w:id="3782" w:name="Bookmark_para_50_6"/>
      <w:bookmarkEnd w:id="3782"/>
      <w:r>
        <w:rPr>
          <w:rFonts w:ascii="Arial" w:eastAsia="Arial" w:hAnsi="Arial" w:cs="Arial"/>
          <w:color w:val="000000"/>
          <w:sz w:val="20"/>
        </w:rPr>
        <w:t>failure to make reasonable modifications in policies, practices, or procedures, when such modifications are necessary to afford such goods,  [*1280]  services, facilities, privileges, advantages, or accommodations to individuals with disabilities, unless the entity can demonstrate that making such modifications would fundamentally alter the nature of such goods, services, facilities, privileges, advantages, or accommodations.</w:t>
      </w:r>
    </w:p>
    <w:p w:rsidR="00022B47" w:rsidRDefault="00000000">
      <w:pPr>
        <w:pStyle w:val="Normal19"/>
        <w:widowControl w:val="0"/>
        <w:spacing w:line="260" w:lineRule="atLeast"/>
        <w:jc w:val="both"/>
      </w:pPr>
      <w:r>
        <w:rPr>
          <w:rFonts w:ascii="Arial" w:eastAsia="Arial" w:hAnsi="Arial" w:cs="Arial"/>
          <w:color w:val="000000"/>
          <w:sz w:val="20"/>
        </w:rPr>
        <w:t>42 U.S.C. § 12182(b)(2)(A)(ii). Similarly, the FHA proscribes a defendant's "refusal to make reasonable accommodations in rules, policies, practices, or services, when such accommodations may be necessary to afford such person equal opportunity to use and enjoy a dwelling[.]" 42 U.S.C. § 3604(f)(3)(B).</w:t>
      </w:r>
    </w:p>
    <w:p w:rsidR="00022B47" w:rsidRDefault="00000000">
      <w:pPr>
        <w:pStyle w:val="Normal19"/>
        <w:widowControl w:val="0"/>
        <w:spacing w:before="200" w:line="260" w:lineRule="atLeast"/>
        <w:jc w:val="both"/>
      </w:pPr>
      <w:bookmarkStart w:id="3783" w:name="Bookmark_para_51_6"/>
      <w:bookmarkStart w:id="3784" w:name="Bookmark_I668RJNC2SF7K10030000400"/>
      <w:bookmarkStart w:id="3785" w:name="Bookmark_LNHNREFclscc18_2"/>
      <w:bookmarkEnd w:id="3783"/>
      <w:bookmarkEnd w:id="3784"/>
      <w:bookmarkEnd w:id="3785"/>
      <w:r>
        <w:rPr>
          <w:rFonts w:ascii="Arial" w:eastAsia="Arial" w:hAnsi="Arial" w:cs="Arial"/>
          <w:color w:val="000000"/>
          <w:sz w:val="20"/>
        </w:rPr>
        <w:t>We've held that to prevail on a failure-to-accommodate [**27]  claim, a plaintiff must prove:</w:t>
      </w:r>
    </w:p>
    <w:p w:rsidR="00022B47" w:rsidRDefault="00000000">
      <w:pPr>
        <w:pStyle w:val="Normal19"/>
        <w:widowControl w:val="0"/>
        <w:spacing w:line="260" w:lineRule="atLeast"/>
        <w:ind w:left="400"/>
        <w:jc w:val="both"/>
      </w:pPr>
      <w:bookmarkStart w:id="3786" w:name="Bookmark_para_52_6"/>
      <w:bookmarkStart w:id="3787" w:name="Bookmark_I668RJNC2SF7K10030000400_2"/>
      <w:bookmarkEnd w:id="3786"/>
      <w:bookmarkEnd w:id="3787"/>
      <w:r>
        <w:rPr>
          <w:rFonts w:ascii="Arial" w:eastAsia="Arial" w:hAnsi="Arial" w:cs="Arial"/>
          <w:color w:val="000000"/>
          <w:sz w:val="20"/>
        </w:rPr>
        <w:t>(1) that he is disabled, (2) that he requested a reasonable accommodation, (3) that the requested accommodation was necessary to afford him an equal opportunity to use and enjoy a dwelling, and (4) that the defendant refused to make the requested accommodation.</w:t>
      </w:r>
    </w:p>
    <w:p w:rsidR="00022B47" w:rsidRDefault="00000000">
      <w:pPr>
        <w:pStyle w:val="Normal19"/>
        <w:widowControl w:val="0"/>
        <w:spacing w:before="200" w:line="260" w:lineRule="atLeast"/>
        <w:jc w:val="both"/>
      </w:pPr>
      <w:bookmarkStart w:id="3788" w:name="Bookmark_I668RJNC2SF7K10030000400_3"/>
      <w:bookmarkStart w:id="3789" w:name="Bookmark_I668RJNC2SF7K10020000400"/>
      <w:bookmarkEnd w:id="3788"/>
      <w:bookmarkEnd w:id="3789"/>
      <w:r>
        <w:rPr>
          <w:rFonts w:ascii="Arial" w:eastAsia="Arial" w:hAnsi="Arial" w:cs="Arial"/>
          <w:i/>
          <w:color w:val="000000"/>
          <w:sz w:val="20"/>
        </w:rPr>
        <w:t>Schaw v. Habitat for Human. of Citrus Cnty., Inc.</w:t>
      </w:r>
      <w:r>
        <w:rPr>
          <w:rFonts w:ascii="Arial" w:eastAsia="Arial" w:hAnsi="Arial" w:cs="Arial"/>
          <w:color w:val="000000"/>
          <w:sz w:val="20"/>
        </w:rPr>
        <w:t xml:space="preserve">, 938 F.3d 1259, 1264 (11th Cir. 2019) (cleaned up); </w:t>
      </w:r>
      <w:r>
        <w:rPr>
          <w:rFonts w:ascii="Arial" w:eastAsia="Arial" w:hAnsi="Arial" w:cs="Arial"/>
          <w:i/>
          <w:color w:val="000000"/>
          <w:sz w:val="20"/>
        </w:rPr>
        <w:t xml:space="preserve">see also </w:t>
      </w:r>
      <w:bookmarkStart w:id="3790" w:name="Bookmark_I668RJNC2SF7K10040000400"/>
      <w:bookmarkEnd w:id="3790"/>
      <w:r>
        <w:rPr>
          <w:rFonts w:ascii="Arial" w:eastAsia="Arial" w:hAnsi="Arial" w:cs="Arial"/>
          <w:i/>
          <w:color w:val="000000"/>
          <w:sz w:val="20"/>
        </w:rPr>
        <w:t>Cinnamon Hills Youth Crisis Ctr.</w:t>
      </w:r>
      <w:r>
        <w:rPr>
          <w:rFonts w:ascii="Arial" w:eastAsia="Arial" w:hAnsi="Arial" w:cs="Arial"/>
          <w:color w:val="000000"/>
          <w:sz w:val="20"/>
        </w:rPr>
        <w:t>, 685 F.3d at 919. The City moved for summary judgment on the reasonableness and necessity prongs. The district court avoided answering whether the accommodation was reasonable because it found that it was not necessary under this Court's precedents.</w:t>
      </w:r>
    </w:p>
    <w:p w:rsidR="00022B47" w:rsidRDefault="00000000">
      <w:pPr>
        <w:pStyle w:val="Normal19"/>
        <w:widowControl w:val="0"/>
        <w:spacing w:before="200" w:line="260" w:lineRule="atLeast"/>
        <w:jc w:val="both"/>
      </w:pPr>
      <w:bookmarkStart w:id="3791" w:name="Bookmark_para_53_5"/>
      <w:bookmarkStart w:id="3792" w:name="Bookmark_I668RJNC2SF7K80020000400"/>
      <w:bookmarkStart w:id="3793" w:name="Bookmark_LNHNREFclscc19_1"/>
      <w:bookmarkEnd w:id="3791"/>
      <w:bookmarkEnd w:id="3792"/>
      <w:bookmarkEnd w:id="3793"/>
      <w:r>
        <w:rPr>
          <w:rFonts w:ascii="Arial" w:eastAsia="Arial" w:hAnsi="Arial" w:cs="Arial"/>
          <w:color w:val="000000"/>
          <w:sz w:val="20"/>
        </w:rPr>
        <w:t xml:space="preserve">The necessity element focuses on the relationship between the requested accommodation and the plaintiff's disability. The accommodation must (1) actually alleviate the effects of the plaintiff's disability and (2) address the needs created by the plaintiff's disability. </w:t>
      </w:r>
      <w:bookmarkStart w:id="3794" w:name="Bookmark_I668RJNC2SF7K80040000400"/>
      <w:bookmarkStart w:id="3795" w:name="Bookmark_I668RJNC2SF7K80010000400"/>
      <w:bookmarkEnd w:id="3794"/>
      <w:bookmarkEnd w:id="3795"/>
      <w:r>
        <w:rPr>
          <w:rFonts w:ascii="Arial" w:eastAsia="Arial" w:hAnsi="Arial" w:cs="Arial"/>
          <w:i/>
          <w:color w:val="000000"/>
          <w:sz w:val="20"/>
        </w:rPr>
        <w:t>Schwarz</w:t>
      </w:r>
      <w:r>
        <w:rPr>
          <w:rFonts w:ascii="Arial" w:eastAsia="Arial" w:hAnsi="Arial" w:cs="Arial"/>
          <w:color w:val="000000"/>
          <w:sz w:val="20"/>
        </w:rPr>
        <w:t xml:space="preserve">, 544 F.3d at 1226. </w:t>
      </w:r>
      <w:bookmarkStart w:id="3796" w:name="Bookmark_I668RJNC2SF7K80040000400_2"/>
      <w:bookmarkEnd w:id="3796"/>
      <w:r>
        <w:rPr>
          <w:rFonts w:ascii="Arial" w:eastAsia="Arial" w:hAnsi="Arial" w:cs="Arial"/>
          <w:color w:val="000000"/>
          <w:sz w:val="20"/>
        </w:rPr>
        <w:t xml:space="preserve">This Court has clarified what it means for an accommodation to address the needs "created by" a disability. </w:t>
      </w:r>
      <w:bookmarkStart w:id="3797" w:name="Bookmark_I668RJNC28T4HK0010000400"/>
      <w:bookmarkEnd w:id="3797"/>
      <w:r>
        <w:rPr>
          <w:rFonts w:ascii="Arial" w:eastAsia="Arial" w:hAnsi="Arial" w:cs="Arial"/>
          <w:color w:val="000000"/>
          <w:sz w:val="20"/>
        </w:rPr>
        <w:t xml:space="preserve">In </w:t>
      </w:r>
      <w:r>
        <w:rPr>
          <w:rFonts w:ascii="Arial" w:eastAsia="Arial" w:hAnsi="Arial" w:cs="Arial"/>
          <w:i/>
          <w:color w:val="000000"/>
          <w:sz w:val="20"/>
        </w:rPr>
        <w:t>Schaw v. Habitat for Humanity of Citrus County, Inc.</w:t>
      </w:r>
      <w:r>
        <w:rPr>
          <w:rFonts w:ascii="Arial" w:eastAsia="Arial" w:hAnsi="Arial" w:cs="Arial"/>
          <w:color w:val="000000"/>
          <w:sz w:val="20"/>
        </w:rPr>
        <w:t xml:space="preserve">, the plaintiff, a quadriplegic, did not meet Habitat for Humanity's minimum-income threshold. </w:t>
      </w:r>
      <w:bookmarkStart w:id="3798" w:name="Bookmark_I668RJNC2SF7K80030000400"/>
      <w:bookmarkEnd w:id="3798"/>
      <w:r>
        <w:rPr>
          <w:rFonts w:ascii="Arial" w:eastAsia="Arial" w:hAnsi="Arial" w:cs="Arial"/>
          <w:color w:val="000000"/>
          <w:sz w:val="20"/>
        </w:rPr>
        <w:t xml:space="preserve">938 F.3d at 1262-63. </w:t>
      </w:r>
      <w:bookmarkStart w:id="3799" w:name="Bookmark_I668RJNC28T4HK0010000400_2"/>
      <w:bookmarkEnd w:id="3799"/>
      <w:r>
        <w:rPr>
          <w:rFonts w:ascii="Arial" w:eastAsia="Arial" w:hAnsi="Arial" w:cs="Arial"/>
          <w:color w:val="000000"/>
          <w:sz w:val="20"/>
        </w:rPr>
        <w:t xml:space="preserve">In his request for an accommodation, he asked the organization to include in his income computation either the amount he [**28]  received in food stamps or a letter that documented the financial assistance he received from his family. </w:t>
      </w:r>
      <w:r>
        <w:rPr>
          <w:rFonts w:ascii="Arial" w:eastAsia="Arial" w:hAnsi="Arial" w:cs="Arial"/>
          <w:i/>
          <w:color w:val="000000"/>
          <w:sz w:val="20"/>
        </w:rPr>
        <w:t>Id.</w:t>
      </w:r>
      <w:r>
        <w:rPr>
          <w:rFonts w:ascii="Arial" w:eastAsia="Arial" w:hAnsi="Arial" w:cs="Arial"/>
          <w:color w:val="000000"/>
          <w:sz w:val="20"/>
        </w:rPr>
        <w:t xml:space="preserve"> The district court held that "because the requested accommodation went solely to [the plaintiff's] financial condition -- not his disability, it wasn't 'necessary' within the meaning of the [FHA]." </w:t>
      </w:r>
      <w:bookmarkStart w:id="3800" w:name="Bookmark_I668RJNC2SF7K80050000400"/>
      <w:bookmarkEnd w:id="3800"/>
      <w:r>
        <w:rPr>
          <w:rFonts w:ascii="Arial" w:eastAsia="Arial" w:hAnsi="Arial" w:cs="Arial"/>
          <w:i/>
          <w:color w:val="000000"/>
          <w:sz w:val="20"/>
        </w:rPr>
        <w:t>Id.</w:t>
      </w:r>
      <w:r>
        <w:rPr>
          <w:rFonts w:ascii="Arial" w:eastAsia="Arial" w:hAnsi="Arial" w:cs="Arial"/>
          <w:color w:val="000000"/>
          <w:sz w:val="20"/>
        </w:rPr>
        <w:t xml:space="preserve"> at 1270 (quotation marks omitted). A panel of this Court reversed, finding this "too simplistic an explanation." </w:t>
      </w:r>
      <w:r>
        <w:rPr>
          <w:rFonts w:ascii="Arial" w:eastAsia="Arial" w:hAnsi="Arial" w:cs="Arial"/>
          <w:i/>
          <w:color w:val="000000"/>
          <w:sz w:val="20"/>
        </w:rPr>
        <w:t>Id.</w:t>
      </w:r>
    </w:p>
    <w:p w:rsidR="00022B47" w:rsidRDefault="00000000">
      <w:pPr>
        <w:pStyle w:val="Normal19"/>
        <w:widowControl w:val="0"/>
        <w:spacing w:before="200" w:line="260" w:lineRule="atLeast"/>
        <w:jc w:val="both"/>
      </w:pPr>
      <w:bookmarkStart w:id="3801" w:name="Bookmark_para_54_4"/>
      <w:bookmarkStart w:id="3802" w:name="Bookmark_I668RJNC28T4HK0030000400"/>
      <w:bookmarkEnd w:id="3801"/>
      <w:bookmarkEnd w:id="3802"/>
      <w:r>
        <w:rPr>
          <w:rFonts w:ascii="Arial" w:eastAsia="Arial" w:hAnsi="Arial" w:cs="Arial"/>
          <w:color w:val="000000"/>
          <w:sz w:val="20"/>
        </w:rPr>
        <w:t xml:space="preserve">Instead, we took a more expansive view of the term "necessary." </w:t>
      </w:r>
      <w:bookmarkStart w:id="3803" w:name="Bookmark_LNHNREFclscc20_1"/>
      <w:bookmarkEnd w:id="3803"/>
      <w:r>
        <w:rPr>
          <w:rFonts w:ascii="Arial" w:eastAsia="Arial" w:hAnsi="Arial" w:cs="Arial"/>
          <w:color w:val="000000"/>
          <w:sz w:val="20"/>
        </w:rPr>
        <w:t xml:space="preserve">We held that an individual's inability to pay </w:t>
      </w:r>
      <w:r>
        <w:rPr>
          <w:rFonts w:ascii="Arial" w:eastAsia="Arial" w:hAnsi="Arial" w:cs="Arial"/>
          <w:i/>
          <w:color w:val="000000"/>
          <w:sz w:val="20"/>
        </w:rPr>
        <w:t>can</w:t>
      </w:r>
      <w:r>
        <w:rPr>
          <w:rFonts w:ascii="Arial" w:eastAsia="Arial" w:hAnsi="Arial" w:cs="Arial"/>
          <w:color w:val="000000"/>
          <w:sz w:val="20"/>
        </w:rPr>
        <w:t xml:space="preserve"> render an otherwise-reasonable accommodation necessary, so long as "there is some causal relationship" between the disability and the inability to pay. </w:t>
      </w:r>
      <w:bookmarkStart w:id="3804" w:name="Bookmark_I668RJNC28T4HK0020000400"/>
      <w:bookmarkEnd w:id="3804"/>
      <w:r>
        <w:rPr>
          <w:rFonts w:ascii="Arial" w:eastAsia="Arial" w:hAnsi="Arial" w:cs="Arial"/>
          <w:i/>
          <w:color w:val="000000"/>
          <w:sz w:val="20"/>
        </w:rPr>
        <w:t>Id.</w:t>
      </w:r>
      <w:r>
        <w:rPr>
          <w:rFonts w:ascii="Arial" w:eastAsia="Arial" w:hAnsi="Arial" w:cs="Arial"/>
          <w:color w:val="000000"/>
          <w:sz w:val="20"/>
        </w:rPr>
        <w:t xml:space="preserve"> at 1271. The proper inquiry is whether a plaintiff's inability to work -- and therefore to make enough money to afford a rent increase -- is caused in some way by his disability (here, addiction). </w:t>
      </w:r>
      <w:r>
        <w:rPr>
          <w:rFonts w:ascii="Arial" w:eastAsia="Arial" w:hAnsi="Arial" w:cs="Arial"/>
          <w:i/>
          <w:color w:val="000000"/>
          <w:sz w:val="20"/>
        </w:rPr>
        <w:t>Id.</w:t>
      </w:r>
    </w:p>
    <w:p w:rsidR="00022B47" w:rsidRDefault="00000000">
      <w:pPr>
        <w:pStyle w:val="Normal19"/>
        <w:widowControl w:val="0"/>
        <w:spacing w:before="200" w:line="260" w:lineRule="atLeast"/>
        <w:jc w:val="both"/>
      </w:pPr>
      <w:bookmarkStart w:id="3805" w:name="Bookmark_para_55_4"/>
      <w:bookmarkEnd w:id="3805"/>
      <w:r>
        <w:rPr>
          <w:rFonts w:ascii="Arial" w:eastAsia="Arial" w:hAnsi="Arial" w:cs="Arial"/>
          <w:color w:val="000000"/>
          <w:sz w:val="20"/>
        </w:rPr>
        <w:t>Even with the benefit of a more capacious definition of "necessary," the Plaintiffs have adduced no concrete evidence that their residents' addiction has some causal tie to their inability to afford a rent increase. The Plaintiffs attempt to prove that their residents typically have low incomes and that some residents, such [**29]  as R. William Von Sydow, could not afford a substantial rent increase. But even assuming this to be true, a reasonable juror still could not conclude, based on the scant record, that the residents' disabilities are the reason for their low incomes.</w:t>
      </w:r>
    </w:p>
    <w:p w:rsidR="00022B47" w:rsidRDefault="00000000">
      <w:pPr>
        <w:pStyle w:val="Normal19"/>
        <w:widowControl w:val="0"/>
        <w:spacing w:before="200" w:line="260" w:lineRule="atLeast"/>
        <w:jc w:val="both"/>
      </w:pPr>
      <w:bookmarkStart w:id="3806" w:name="Bookmark_para_56_4"/>
      <w:bookmarkStart w:id="3807" w:name="Bookmark_I668RJNC28T4HK0050000400"/>
      <w:bookmarkEnd w:id="3806"/>
      <w:bookmarkEnd w:id="3807"/>
      <w:r>
        <w:rPr>
          <w:rFonts w:ascii="Arial" w:eastAsia="Arial" w:hAnsi="Arial" w:cs="Arial"/>
          <w:color w:val="000000"/>
          <w:sz w:val="20"/>
        </w:rPr>
        <w:t xml:space="preserve">The Plaintiffs insist that they've introduced enough evidence to establish a causal link and survive summary judgment. But the only evidence we can find is in one line drawn from a two-page affidavit offered by a single resident, Von Sydow, who avers at the highest order of generality that "[l]iving at Sailboat Bend Sober Living's residence has had an ameliorative  [*1281]  effect on my disabling addiction, which previously precluded me from caring for myself, holding employment, or paying bills." Doc. 61-13 ¶ 7. This is not nearly enough to create a genuine issue of material fact. There is not the slightest information about what this resident earned before becoming disabled or whether he lived independently or paid rent before becoming disabled, or anything else. </w:t>
      </w:r>
      <w:r>
        <w:rPr>
          <w:rFonts w:ascii="Arial" w:eastAsia="Arial" w:hAnsi="Arial" w:cs="Arial"/>
          <w:i/>
          <w:color w:val="000000"/>
          <w:sz w:val="20"/>
        </w:rPr>
        <w:t xml:space="preserve">See </w:t>
      </w:r>
      <w:bookmarkStart w:id="3808" w:name="Bookmark_I668RJNC28T4HK0040000400"/>
      <w:bookmarkEnd w:id="3808"/>
      <w:r>
        <w:rPr>
          <w:rFonts w:ascii="Arial" w:eastAsia="Arial" w:hAnsi="Arial" w:cs="Arial"/>
          <w:i/>
          <w:color w:val="000000"/>
          <w:sz w:val="20"/>
        </w:rPr>
        <w:t>Schaw</w:t>
      </w:r>
      <w:r>
        <w:rPr>
          <w:rFonts w:ascii="Arial" w:eastAsia="Arial" w:hAnsi="Arial" w:cs="Arial"/>
          <w:color w:val="000000"/>
          <w:sz w:val="20"/>
        </w:rPr>
        <w:t>, 938 F.3d at 1271. And the Plaintiffs have offered nothing about the rent-paying capabilities of any other resident at any time over the past fourteen years the facility has operated in the City of Fort [**30]  Lauderdale. Nor have the Plaintiffs explained how any disability may have caused an inability to pay more rent, or for that matter, any rent at all. Nor, more generally, have they offered anything about any correlation or connection between addiction and earning capacity.</w:t>
      </w:r>
    </w:p>
    <w:p w:rsidR="00022B47" w:rsidRDefault="00000000">
      <w:pPr>
        <w:pStyle w:val="Normal19"/>
        <w:widowControl w:val="0"/>
        <w:spacing w:before="200" w:line="260" w:lineRule="atLeast"/>
        <w:jc w:val="both"/>
      </w:pPr>
      <w:bookmarkStart w:id="3809" w:name="Bookmark_para_57_4"/>
      <w:bookmarkEnd w:id="3809"/>
      <w:r>
        <w:rPr>
          <w:rFonts w:ascii="Arial" w:eastAsia="Arial" w:hAnsi="Arial" w:cs="Arial"/>
          <w:color w:val="000000"/>
          <w:sz w:val="20"/>
        </w:rPr>
        <w:t>The scintilla of evidence these Plaintiffs point to is insufficient to carry their burden or create a question of fact for the jury. Thus, we need not address the "reasonableness" prong of the reasonable accommodation analysis today.</w:t>
      </w:r>
    </w:p>
    <w:p w:rsidR="00022B47" w:rsidRDefault="00000000">
      <w:pPr>
        <w:pStyle w:val="Normal19"/>
        <w:widowControl w:val="0"/>
        <w:spacing w:before="240" w:line="260" w:lineRule="atLeast"/>
      </w:pPr>
      <w:r>
        <w:br/>
      </w:r>
      <w:r>
        <w:rPr>
          <w:rFonts w:ascii="Arial" w:eastAsia="Arial" w:hAnsi="Arial" w:cs="Arial"/>
          <w:b/>
          <w:color w:val="000000"/>
          <w:sz w:val="20"/>
        </w:rPr>
        <w:t>C</w:t>
      </w:r>
      <w:r>
        <w:rPr>
          <w:rFonts w:ascii="Arial" w:eastAsia="Arial" w:hAnsi="Arial" w:cs="Arial"/>
          <w:color w:val="000000"/>
          <w:sz w:val="20"/>
        </w:rPr>
        <w:t>.</w:t>
      </w:r>
    </w:p>
    <w:p w:rsidR="00022B47" w:rsidRDefault="00000000">
      <w:pPr>
        <w:pStyle w:val="Normal19"/>
        <w:widowControl w:val="0"/>
        <w:spacing w:before="200" w:line="260" w:lineRule="atLeast"/>
        <w:jc w:val="both"/>
      </w:pPr>
      <w:bookmarkStart w:id="3810" w:name="Bookmark_para_58_4"/>
      <w:bookmarkEnd w:id="3810"/>
      <w:r>
        <w:rPr>
          <w:rFonts w:ascii="Arial" w:eastAsia="Arial" w:hAnsi="Arial" w:cs="Arial"/>
          <w:color w:val="000000"/>
          <w:sz w:val="20"/>
        </w:rPr>
        <w:t xml:space="preserve">Finally, the Plaintiffs claim that the City (through Fire Captain Kisarewich) intentionally discriminated against them on account of the tenants' disabilities when it decided to enforce the Fire Code against them. Again, the district court granted summary judgment to the City because the circumstantial evidence presented was "so slight, so innocuous, so meager that no reasonable jury could use it to find that the City intended to discriminate against Sailboat Bend </w:t>
      </w:r>
      <w:r>
        <w:rPr>
          <w:rFonts w:ascii="Arial" w:eastAsia="Arial" w:hAnsi="Arial" w:cs="Arial"/>
          <w:i/>
          <w:color w:val="000000"/>
          <w:sz w:val="20"/>
        </w:rPr>
        <w:t>because of</w:t>
      </w:r>
      <w:r>
        <w:rPr>
          <w:rFonts w:ascii="Arial" w:eastAsia="Arial" w:hAnsi="Arial" w:cs="Arial"/>
          <w:color w:val="000000"/>
          <w:sz w:val="20"/>
        </w:rPr>
        <w:t xml:space="preserve"> its tenants' disabilities." Doc. 96 at 48 (emphasis in original). We agree.</w:t>
      </w:r>
    </w:p>
    <w:p w:rsidR="00022B47" w:rsidRDefault="00000000">
      <w:pPr>
        <w:pStyle w:val="Normal19"/>
        <w:widowControl w:val="0"/>
        <w:spacing w:before="200" w:line="260" w:lineRule="atLeast"/>
        <w:jc w:val="both"/>
      </w:pPr>
      <w:bookmarkStart w:id="3811" w:name="Bookmark_para_59_3"/>
      <w:bookmarkStart w:id="3812" w:name="Bookmark_I668RJNC2D6N3D0020000400"/>
      <w:bookmarkStart w:id="3813" w:name="Bookmark_LNHNREFclscc21_1"/>
      <w:bookmarkEnd w:id="3811"/>
      <w:bookmarkEnd w:id="3812"/>
      <w:bookmarkEnd w:id="3813"/>
      <w:r>
        <w:rPr>
          <w:rFonts w:ascii="Arial" w:eastAsia="Arial" w:hAnsi="Arial" w:cs="Arial"/>
          <w:color w:val="000000"/>
          <w:sz w:val="20"/>
        </w:rPr>
        <w:t xml:space="preserve">To prevail on an intentional discrimination claim, a plaintiff must show that his disability played some role in the defendant's action. </w:t>
      </w:r>
      <w:bookmarkStart w:id="3814" w:name="Bookmark_I668RJNC2D6N3D0040000400"/>
      <w:bookmarkEnd w:id="3814"/>
      <w:r>
        <w:rPr>
          <w:rFonts w:ascii="Arial" w:eastAsia="Arial" w:hAnsi="Arial" w:cs="Arial"/>
          <w:i/>
          <w:color w:val="000000"/>
          <w:sz w:val="20"/>
        </w:rPr>
        <w:t xml:space="preserve"> [**31] See </w:t>
      </w:r>
      <w:bookmarkStart w:id="3815" w:name="Bookmark_I668RJNC2D6N3D0010000400"/>
      <w:bookmarkEnd w:id="3815"/>
      <w:r>
        <w:rPr>
          <w:rFonts w:ascii="Arial" w:eastAsia="Arial" w:hAnsi="Arial" w:cs="Arial"/>
          <w:i/>
          <w:color w:val="000000"/>
          <w:sz w:val="20"/>
        </w:rPr>
        <w:t>Hallmark</w:t>
      </w:r>
      <w:r>
        <w:rPr>
          <w:rFonts w:ascii="Arial" w:eastAsia="Arial" w:hAnsi="Arial" w:cs="Arial"/>
          <w:color w:val="000000"/>
          <w:sz w:val="20"/>
        </w:rPr>
        <w:t xml:space="preserve">, 466 F.3d at 1283. Disparate treatment may be proven using either direct or circumstantial evidence. </w:t>
      </w:r>
      <w:bookmarkStart w:id="3816" w:name="Bookmark_I668RJNC2D6N3D0040000400_2"/>
      <w:bookmarkStart w:id="3817" w:name="Bookmark_I668RJNC2D6N3D0030000400"/>
      <w:bookmarkEnd w:id="3816"/>
      <w:bookmarkEnd w:id="3817"/>
      <w:r>
        <w:rPr>
          <w:rFonts w:ascii="Arial" w:eastAsia="Arial" w:hAnsi="Arial" w:cs="Arial"/>
          <w:i/>
          <w:color w:val="000000"/>
          <w:sz w:val="20"/>
        </w:rPr>
        <w:t>Vill. of Arlington Heights v. Metro. Hous. Dev. Corp.</w:t>
      </w:r>
      <w:r>
        <w:rPr>
          <w:rFonts w:ascii="Arial" w:eastAsia="Arial" w:hAnsi="Arial" w:cs="Arial"/>
          <w:color w:val="000000"/>
          <w:sz w:val="20"/>
        </w:rPr>
        <w:t xml:space="preserve">, 429 U.S. 252, 266, 97 S. Ct. 555, 50 L. Ed. 2d 450 (1977); </w:t>
      </w:r>
      <w:r>
        <w:rPr>
          <w:rFonts w:ascii="Arial" w:eastAsia="Arial" w:hAnsi="Arial" w:cs="Arial"/>
          <w:i/>
          <w:color w:val="000000"/>
          <w:sz w:val="20"/>
        </w:rPr>
        <w:t xml:space="preserve">see also </w:t>
      </w:r>
      <w:bookmarkStart w:id="3818" w:name="Bookmark_I668RJNC2D6N3D0050000400"/>
      <w:bookmarkEnd w:id="3818"/>
      <w:r>
        <w:rPr>
          <w:rFonts w:ascii="Arial" w:eastAsia="Arial" w:hAnsi="Arial" w:cs="Arial"/>
          <w:i/>
          <w:color w:val="000000"/>
          <w:sz w:val="20"/>
        </w:rPr>
        <w:t>Cinnamon Hills</w:t>
      </w:r>
      <w:r>
        <w:rPr>
          <w:rFonts w:ascii="Arial" w:eastAsia="Arial" w:hAnsi="Arial" w:cs="Arial"/>
          <w:color w:val="000000"/>
          <w:sz w:val="20"/>
        </w:rPr>
        <w:t>, 685 F.3d at 919.</w:t>
      </w:r>
    </w:p>
    <w:p w:rsidR="00022B47" w:rsidRDefault="00000000">
      <w:pPr>
        <w:pStyle w:val="Normal19"/>
        <w:widowControl w:val="0"/>
        <w:spacing w:before="200" w:line="260" w:lineRule="atLeast"/>
        <w:jc w:val="both"/>
      </w:pPr>
      <w:bookmarkStart w:id="3819" w:name="Bookmark_para_60_3"/>
      <w:bookmarkStart w:id="3820" w:name="Bookmark_I668RJND28T4HN0030000400"/>
      <w:bookmarkStart w:id="3821" w:name="Bookmark_I668RJND28T4HN0050000400"/>
      <w:bookmarkEnd w:id="3819"/>
      <w:bookmarkEnd w:id="3820"/>
      <w:bookmarkEnd w:id="3821"/>
      <w:r>
        <w:rPr>
          <w:rFonts w:ascii="Arial" w:eastAsia="Arial" w:hAnsi="Arial" w:cs="Arial"/>
          <w:color w:val="000000"/>
          <w:sz w:val="20"/>
        </w:rPr>
        <w:t xml:space="preserve">Direct proof of discriminatory animus involves "evidence, which if believed, proves existence of [the] fact in issue without inference or presumption." </w:t>
      </w:r>
      <w:bookmarkStart w:id="3822" w:name="Bookmark_I668RJND28T4HN0020000400"/>
      <w:bookmarkEnd w:id="3822"/>
      <w:r>
        <w:rPr>
          <w:rFonts w:ascii="Arial" w:eastAsia="Arial" w:hAnsi="Arial" w:cs="Arial"/>
          <w:i/>
          <w:color w:val="000000"/>
          <w:sz w:val="20"/>
        </w:rPr>
        <w:t>Rollins v. TechSouth, Inc.</w:t>
      </w:r>
      <w:r>
        <w:rPr>
          <w:rFonts w:ascii="Arial" w:eastAsia="Arial" w:hAnsi="Arial" w:cs="Arial"/>
          <w:color w:val="000000"/>
          <w:sz w:val="20"/>
        </w:rPr>
        <w:t xml:space="preserve">, 833 F.2d 1525, 1528 n.6 (11th Cir. 1987) (cleaned up) (quoting </w:t>
      </w:r>
      <w:r>
        <w:rPr>
          <w:rFonts w:ascii="Arial" w:eastAsia="Arial" w:hAnsi="Arial" w:cs="Arial"/>
          <w:smallCaps/>
          <w:color w:val="000000"/>
          <w:sz w:val="20"/>
        </w:rPr>
        <w:t>Black's Law Dictionary</w:t>
      </w:r>
      <w:r>
        <w:rPr>
          <w:rFonts w:ascii="Arial" w:eastAsia="Arial" w:hAnsi="Arial" w:cs="Arial"/>
          <w:color w:val="000000"/>
          <w:sz w:val="20"/>
        </w:rPr>
        <w:t xml:space="preserve"> 413 (5th ed. 1979)). So, for example, if a city official "makes discriminatory comments about the disabled while explaining his basis for the contested decision, that is direct evidence of discrimination." </w:t>
      </w:r>
      <w:bookmarkStart w:id="3823" w:name="Bookmark_I668RJND28T4HN0040000400"/>
      <w:bookmarkEnd w:id="3823"/>
      <w:r>
        <w:rPr>
          <w:rFonts w:ascii="Arial" w:eastAsia="Arial" w:hAnsi="Arial" w:cs="Arial"/>
          <w:i/>
          <w:color w:val="000000"/>
          <w:sz w:val="20"/>
        </w:rPr>
        <w:t>Cinnamon Hills</w:t>
      </w:r>
      <w:r>
        <w:rPr>
          <w:rFonts w:ascii="Arial" w:eastAsia="Arial" w:hAnsi="Arial" w:cs="Arial"/>
          <w:color w:val="000000"/>
          <w:sz w:val="20"/>
        </w:rPr>
        <w:t>, 685 F.3d at 920. The district court found that the Plaintiffs did not pursue a direct proof claim and that there was no direct evidence of discrimination. The Plaintiffs say this finding is not supported by the record, "where there are admissions of the Fire Marshal and the testimony of Sailboat Bend." But there is nothing in the Fire Marshal's deposition that would constitute direct proof of discrimination, and they have offered nothing at all from anyone at Sailboat Bend on this point.</w:t>
      </w:r>
    </w:p>
    <w:p w:rsidR="00022B47" w:rsidRDefault="00000000">
      <w:pPr>
        <w:pStyle w:val="Normal19"/>
        <w:widowControl w:val="0"/>
        <w:spacing w:before="200" w:line="260" w:lineRule="atLeast"/>
        <w:jc w:val="both"/>
      </w:pPr>
      <w:bookmarkStart w:id="3824" w:name="Bookmark_para_61_3"/>
      <w:bookmarkStart w:id="3825" w:name="Bookmark_I23JPJXVWRV00007B7G00006"/>
      <w:bookmarkStart w:id="3826" w:name="Bookmark_I668RJND2D6N3J0020000400"/>
      <w:bookmarkStart w:id="3827" w:name="Bookmark_I668RJND2D6N3J0040000400"/>
      <w:bookmarkEnd w:id="3824"/>
      <w:bookmarkEnd w:id="3825"/>
      <w:bookmarkEnd w:id="3826"/>
      <w:bookmarkEnd w:id="3827"/>
      <w:r>
        <w:rPr>
          <w:rFonts w:ascii="Arial" w:eastAsia="Arial" w:hAnsi="Arial" w:cs="Arial"/>
          <w:color w:val="000000"/>
          <w:sz w:val="20"/>
        </w:rPr>
        <w:t xml:space="preserve">As for circumstantial evidence, we employ the burden-shifting framework provided by </w:t>
      </w:r>
      <w:bookmarkStart w:id="3828" w:name="Bookmark_I668RJND2D6N3J0010000400"/>
      <w:bookmarkEnd w:id="3828"/>
      <w:r>
        <w:rPr>
          <w:rFonts w:ascii="Arial" w:eastAsia="Arial" w:hAnsi="Arial" w:cs="Arial"/>
          <w:i/>
          <w:color w:val="000000"/>
          <w:sz w:val="20"/>
        </w:rPr>
        <w:t>McDonnell Douglas Corporation v. Green</w:t>
      </w:r>
      <w:r>
        <w:rPr>
          <w:rFonts w:ascii="Arial" w:eastAsia="Arial" w:hAnsi="Arial" w:cs="Arial"/>
          <w:color w:val="000000"/>
          <w:sz w:val="20"/>
        </w:rPr>
        <w:t xml:space="preserve">, 411 U.S. 792, 802, 93 S. Ct. 1817, 36 L. Ed. 2d 668 (1973). This requires a plaintiff first to make a </w:t>
      </w:r>
      <w:r>
        <w:rPr>
          <w:rFonts w:ascii="Arial" w:eastAsia="Arial" w:hAnsi="Arial" w:cs="Arial"/>
          <w:i/>
          <w:color w:val="000000"/>
          <w:sz w:val="20"/>
        </w:rPr>
        <w:t>prima facie</w:t>
      </w:r>
      <w:r>
        <w:rPr>
          <w:rFonts w:ascii="Arial" w:eastAsia="Arial" w:hAnsi="Arial" w:cs="Arial"/>
          <w:color w:val="000000"/>
          <w:sz w:val="20"/>
        </w:rPr>
        <w:t xml:space="preserve"> case of discrimination. </w:t>
      </w:r>
      <w:bookmarkStart w:id="3829" w:name="Bookmark_I668RJND2N1R9H0030000400"/>
      <w:bookmarkStart w:id="3830" w:name="Bookmark_I668RJND2D6N3J0030000400"/>
      <w:bookmarkEnd w:id="3829"/>
      <w:bookmarkEnd w:id="3830"/>
      <w:r>
        <w:rPr>
          <w:rFonts w:ascii="Arial" w:eastAsia="Arial" w:hAnsi="Arial" w:cs="Arial"/>
          <w:i/>
          <w:color w:val="000000"/>
          <w:sz w:val="20"/>
        </w:rPr>
        <w:t>Wascura v. City of S. Miami</w:t>
      </w:r>
      <w:r>
        <w:rPr>
          <w:rFonts w:ascii="Arial" w:eastAsia="Arial" w:hAnsi="Arial" w:cs="Arial"/>
          <w:color w:val="000000"/>
          <w:sz w:val="20"/>
        </w:rPr>
        <w:t xml:space="preserve">, 257 F.3d 1238, 1242 (11th Cir. 2001); </w:t>
      </w:r>
      <w:r>
        <w:rPr>
          <w:rFonts w:ascii="Arial" w:eastAsia="Arial" w:hAnsi="Arial" w:cs="Arial"/>
          <w:i/>
          <w:color w:val="000000"/>
          <w:sz w:val="20"/>
        </w:rPr>
        <w:t xml:space="preserve">see also </w:t>
      </w:r>
      <w:bookmarkStart w:id="3831" w:name="Bookmark_I668RJND2D6N3J0050000400"/>
      <w:bookmarkEnd w:id="3831"/>
      <w:r>
        <w:rPr>
          <w:rFonts w:ascii="Arial" w:eastAsia="Arial" w:hAnsi="Arial" w:cs="Arial"/>
          <w:i/>
          <w:color w:val="000000"/>
          <w:sz w:val="20"/>
        </w:rPr>
        <w:t>Massaro v. Mainlands Section 1 &amp; 2 Civic Ass'n, Inc.</w:t>
      </w:r>
      <w:r>
        <w:rPr>
          <w:rFonts w:ascii="Arial" w:eastAsia="Arial" w:hAnsi="Arial" w:cs="Arial"/>
          <w:color w:val="000000"/>
          <w:sz w:val="20"/>
        </w:rPr>
        <w:t xml:space="preserve">, 3 F.3d 1472, 1476 n.6 (11th Cir. 1993). </w:t>
      </w:r>
      <w:bookmarkStart w:id="3832" w:name="Bookmark_I668RJND2N1R9H0030000400_2"/>
      <w:bookmarkStart w:id="3833" w:name="Bookmark_I23JPJXVMD800007B7G00004"/>
      <w:bookmarkStart w:id="3834" w:name="Bookmark_I668RJND2N1R9H0050000400"/>
      <w:bookmarkEnd w:id="3832"/>
      <w:bookmarkEnd w:id="3833"/>
      <w:bookmarkEnd w:id="3834"/>
      <w:r>
        <w:rPr>
          <w:rFonts w:ascii="Arial" w:eastAsia="Arial" w:hAnsi="Arial" w:cs="Arial"/>
          <w:color w:val="000000"/>
          <w:sz w:val="20"/>
        </w:rPr>
        <w:t xml:space="preserve">In assessing whether a plaintiff has established [**32]  a </w:t>
      </w:r>
      <w:r>
        <w:rPr>
          <w:rFonts w:ascii="Arial" w:eastAsia="Arial" w:hAnsi="Arial" w:cs="Arial"/>
          <w:i/>
          <w:color w:val="000000"/>
          <w:sz w:val="20"/>
        </w:rPr>
        <w:t>prima facie</w:t>
      </w:r>
      <w:r>
        <w:rPr>
          <w:rFonts w:ascii="Arial" w:eastAsia="Arial" w:hAnsi="Arial" w:cs="Arial"/>
          <w:color w:val="000000"/>
          <w:sz w:val="20"/>
        </w:rPr>
        <w:t xml:space="preserve"> case of discrimination, we employ the factors set out in </w:t>
      </w:r>
      <w:r>
        <w:rPr>
          <w:rFonts w:ascii="Arial" w:eastAsia="Arial" w:hAnsi="Arial" w:cs="Arial"/>
          <w:i/>
          <w:color w:val="000000"/>
          <w:sz w:val="20"/>
        </w:rPr>
        <w:t>Village of Arlington Heights v. Metropolitan Housing Development  [*1282]  Corporation. See</w:t>
      </w:r>
      <w:r>
        <w:rPr>
          <w:rFonts w:ascii="Arial" w:eastAsia="Arial" w:hAnsi="Arial" w:cs="Arial"/>
          <w:color w:val="000000"/>
          <w:sz w:val="20"/>
        </w:rPr>
        <w:t xml:space="preserve"> </w:t>
      </w:r>
      <w:bookmarkStart w:id="3835" w:name="Bookmark_I668RJND2N1R9H0020000400"/>
      <w:bookmarkEnd w:id="3835"/>
      <w:r>
        <w:rPr>
          <w:rFonts w:ascii="Arial" w:eastAsia="Arial" w:hAnsi="Arial" w:cs="Arial"/>
          <w:color w:val="000000"/>
          <w:sz w:val="20"/>
        </w:rPr>
        <w:t xml:space="preserve">429 U.S. at 266. </w:t>
      </w:r>
      <w:bookmarkStart w:id="3836" w:name="Bookmark_I668RJND2N1R9H0050000400_2"/>
      <w:bookmarkEnd w:id="3836"/>
      <w:r>
        <w:rPr>
          <w:rFonts w:ascii="Arial" w:eastAsia="Arial" w:hAnsi="Arial" w:cs="Arial"/>
          <w:color w:val="000000"/>
          <w:sz w:val="20"/>
        </w:rPr>
        <w:t xml:space="preserve">Among these are: (1) "discriminatory or segregative effect"; (2) "historical background"; (3) "the sequence of events leading up to the challenged actions"; and (4) "whether there were any departures from normal or substantive criteria." </w:t>
      </w:r>
      <w:bookmarkStart w:id="3837" w:name="Bookmark_I668RJND2N1R9H0040000400"/>
      <w:bookmarkEnd w:id="3837"/>
      <w:r>
        <w:rPr>
          <w:rFonts w:ascii="Arial" w:eastAsia="Arial" w:hAnsi="Arial" w:cs="Arial"/>
          <w:i/>
          <w:color w:val="000000"/>
          <w:sz w:val="20"/>
        </w:rPr>
        <w:t>Hallmark</w:t>
      </w:r>
      <w:r>
        <w:rPr>
          <w:rFonts w:ascii="Arial" w:eastAsia="Arial" w:hAnsi="Arial" w:cs="Arial"/>
          <w:color w:val="000000"/>
          <w:sz w:val="20"/>
        </w:rPr>
        <w:t>, 466 F.3d at 1283 (quotation marks omitted).</w:t>
      </w:r>
    </w:p>
    <w:p w:rsidR="00022B47" w:rsidRDefault="00000000">
      <w:pPr>
        <w:pStyle w:val="Normal19"/>
        <w:widowControl w:val="0"/>
        <w:spacing w:before="200" w:line="260" w:lineRule="atLeast"/>
        <w:jc w:val="both"/>
      </w:pPr>
      <w:bookmarkStart w:id="3838" w:name="Bookmark_para_62_2"/>
      <w:bookmarkStart w:id="3839" w:name="Bookmark_I668RJND2HM6G70020000400"/>
      <w:bookmarkEnd w:id="3838"/>
      <w:bookmarkEnd w:id="3839"/>
      <w:r>
        <w:rPr>
          <w:rFonts w:ascii="Arial" w:eastAsia="Arial" w:hAnsi="Arial" w:cs="Arial"/>
          <w:color w:val="000000"/>
          <w:sz w:val="20"/>
        </w:rPr>
        <w:t xml:space="preserve">The first factor focuses on the effect of the government's decision. In assessing this factor, we look to whether the city's decision, though neutral on its face and as applied, has a "disparate impact" on individuals with disabilities. </w:t>
      </w:r>
      <w:bookmarkStart w:id="3840" w:name="Bookmark_I668RJND2HM6G70010000400"/>
      <w:bookmarkEnd w:id="3840"/>
      <w:r>
        <w:rPr>
          <w:rFonts w:ascii="Arial" w:eastAsia="Arial" w:hAnsi="Arial" w:cs="Arial"/>
          <w:i/>
          <w:color w:val="000000"/>
          <w:sz w:val="20"/>
        </w:rPr>
        <w:t>Id.</w:t>
      </w:r>
      <w:r>
        <w:rPr>
          <w:rFonts w:ascii="Arial" w:eastAsia="Arial" w:hAnsi="Arial" w:cs="Arial"/>
          <w:color w:val="000000"/>
          <w:sz w:val="20"/>
        </w:rPr>
        <w:t xml:space="preserve"> at 1285-87. The Plaintiffs conceded in district court that they were not offering proof of a disparate impact on people with disabilities. Doc. 96 at 40. Nor have they offered any statistical evidence on this point, or indeed, any evidence that the City applied the Fire Code to their home, but failed to apply the same Code to some other category of similarly situated homes.</w:t>
      </w:r>
    </w:p>
    <w:p w:rsidR="00022B47" w:rsidRDefault="00000000">
      <w:pPr>
        <w:pStyle w:val="Normal19"/>
        <w:widowControl w:val="0"/>
        <w:spacing w:before="200" w:line="260" w:lineRule="atLeast"/>
        <w:jc w:val="both"/>
      </w:pPr>
      <w:bookmarkStart w:id="3841" w:name="Bookmark_para_63_2"/>
      <w:bookmarkEnd w:id="3841"/>
      <w:r>
        <w:rPr>
          <w:rFonts w:ascii="Arial" w:eastAsia="Arial" w:hAnsi="Arial" w:cs="Arial"/>
          <w:color w:val="000000"/>
          <w:sz w:val="20"/>
        </w:rPr>
        <w:t xml:space="preserve">The Plaintiffs say, nevertheless, that the City reclassified its property to a Residential Board and Care Occupancy </w:t>
      </w:r>
      <w:r>
        <w:rPr>
          <w:rFonts w:ascii="Arial" w:eastAsia="Arial" w:hAnsi="Arial" w:cs="Arial"/>
          <w:i/>
          <w:color w:val="000000"/>
          <w:sz w:val="20"/>
        </w:rPr>
        <w:t>because</w:t>
      </w:r>
      <w:r>
        <w:rPr>
          <w:rFonts w:ascii="Arial" w:eastAsia="Arial" w:hAnsi="Arial" w:cs="Arial"/>
          <w:color w:val="000000"/>
          <w:sz w:val="20"/>
        </w:rPr>
        <w:t xml:space="preserve"> of the residents' disability, thereby making the Fire [**33]  Code applicable. But the Plaintiffs have offered no remotely convincing evidence on this point. The reason the City reclassified the property is because it determined that the home operated as a Residential Board and Care Occupancy, rather than as a single-family home.</w:t>
      </w:r>
    </w:p>
    <w:p w:rsidR="00022B47" w:rsidRDefault="00000000">
      <w:pPr>
        <w:pStyle w:val="Normal19"/>
        <w:widowControl w:val="0"/>
        <w:spacing w:before="200" w:line="260" w:lineRule="atLeast"/>
        <w:jc w:val="both"/>
      </w:pPr>
      <w:bookmarkStart w:id="3842" w:name="Bookmark_para_64_2"/>
      <w:bookmarkEnd w:id="3842"/>
      <w:r>
        <w:rPr>
          <w:rFonts w:ascii="Arial" w:eastAsia="Arial" w:hAnsi="Arial" w:cs="Arial"/>
          <w:color w:val="000000"/>
          <w:sz w:val="20"/>
        </w:rPr>
        <w:t xml:space="preserve">The Plaintiffs next point to the fact that the City ordered Sailboat Bend to remove itself from FARR's website. But, again, Sailboat Bend does not -- and cannot -- explain why we should view this request as evidence of discrimination on the basis of disability. Instead, it is explained by Sailboat Bend's </w:t>
      </w:r>
      <w:r>
        <w:rPr>
          <w:rFonts w:ascii="Arial" w:eastAsia="Arial" w:hAnsi="Arial" w:cs="Arial"/>
          <w:i/>
          <w:color w:val="000000"/>
          <w:sz w:val="20"/>
        </w:rPr>
        <w:t>voluntary</w:t>
      </w:r>
      <w:r>
        <w:rPr>
          <w:rFonts w:ascii="Arial" w:eastAsia="Arial" w:hAnsi="Arial" w:cs="Arial"/>
          <w:color w:val="000000"/>
          <w:sz w:val="20"/>
        </w:rPr>
        <w:t xml:space="preserve"> decision to reduce its occupancy to three residents in order to qualify as a single-family home and thereby avoid complying with the important safety requirement that an automatic sprinkler system be installed.</w:t>
      </w:r>
    </w:p>
    <w:p w:rsidR="00022B47" w:rsidRDefault="00000000">
      <w:pPr>
        <w:pStyle w:val="Normal19"/>
        <w:widowControl w:val="0"/>
        <w:spacing w:before="200" w:line="260" w:lineRule="atLeast"/>
        <w:jc w:val="both"/>
      </w:pPr>
      <w:bookmarkStart w:id="3843" w:name="Bookmark_para_65_2"/>
      <w:bookmarkEnd w:id="3843"/>
      <w:r>
        <w:rPr>
          <w:rFonts w:ascii="Arial" w:eastAsia="Arial" w:hAnsi="Arial" w:cs="Arial"/>
          <w:color w:val="000000"/>
          <w:sz w:val="20"/>
        </w:rPr>
        <w:t>Finally, the Plaintiffs fault the district court for ignoring "that the Fire Code does not apply to one- and two-family dwellings." The district court disposed of this argument simply:</w:t>
      </w:r>
    </w:p>
    <w:p w:rsidR="00022B47" w:rsidRDefault="00000000">
      <w:pPr>
        <w:pStyle w:val="Normal19"/>
        <w:widowControl w:val="0"/>
        <w:spacing w:before="200" w:line="260" w:lineRule="atLeast"/>
        <w:ind w:left="400"/>
        <w:jc w:val="both"/>
      </w:pPr>
      <w:bookmarkStart w:id="3844" w:name="Bookmark_para_66_2"/>
      <w:bookmarkEnd w:id="3844"/>
      <w:r>
        <w:rPr>
          <w:rFonts w:ascii="Arial" w:eastAsia="Arial" w:hAnsi="Arial" w:cs="Arial"/>
          <w:color w:val="000000"/>
          <w:sz w:val="20"/>
        </w:rPr>
        <w:t xml:space="preserve">The Fire Code applies to the Property </w:t>
      </w:r>
      <w:r>
        <w:rPr>
          <w:rFonts w:ascii="Arial" w:eastAsia="Arial" w:hAnsi="Arial" w:cs="Arial"/>
          <w:i/>
          <w:color w:val="000000"/>
          <w:sz w:val="20"/>
        </w:rPr>
        <w:t>only</w:t>
      </w:r>
      <w:r>
        <w:rPr>
          <w:rFonts w:ascii="Arial" w:eastAsia="Arial" w:hAnsi="Arial" w:cs="Arial"/>
          <w:color w:val="000000"/>
          <w:sz w:val="20"/>
        </w:rPr>
        <w:t xml:space="preserve"> because its residents -- disabled or not -- are a group of more than three </w:t>
      </w:r>
      <w:r>
        <w:rPr>
          <w:rFonts w:ascii="Arial" w:eastAsia="Arial" w:hAnsi="Arial" w:cs="Arial"/>
          <w:i/>
          <w:color w:val="000000"/>
          <w:sz w:val="20"/>
        </w:rPr>
        <w:t>unrelated</w:t>
      </w:r>
      <w:r>
        <w:rPr>
          <w:rFonts w:ascii="Arial" w:eastAsia="Arial" w:hAnsi="Arial" w:cs="Arial"/>
          <w:color w:val="000000"/>
          <w:sz w:val="20"/>
        </w:rPr>
        <w:t xml:space="preserve"> persons living together. </w:t>
      </w:r>
      <w:r>
        <w:rPr>
          <w:rFonts w:ascii="Arial" w:eastAsia="Arial" w:hAnsi="Arial" w:cs="Arial"/>
          <w:i/>
          <w:color w:val="000000"/>
          <w:sz w:val="20"/>
        </w:rPr>
        <w:t>See</w:t>
      </w:r>
      <w:r>
        <w:rPr>
          <w:rFonts w:ascii="Arial" w:eastAsia="Arial" w:hAnsi="Arial" w:cs="Arial"/>
          <w:color w:val="000000"/>
          <w:sz w:val="20"/>
        </w:rPr>
        <w:t xml:space="preserve"> Fla. Stat. § 633.208(8)(a). The Fire Code's application thus has nothing to do with the tenants' [**34]  disability.</w:t>
      </w:r>
    </w:p>
    <w:p w:rsidR="00022B47" w:rsidRDefault="00000000">
      <w:pPr>
        <w:pStyle w:val="Normal19"/>
        <w:widowControl w:val="0"/>
        <w:spacing w:line="260" w:lineRule="atLeast"/>
        <w:jc w:val="both"/>
      </w:pPr>
      <w:r>
        <w:rPr>
          <w:rFonts w:ascii="Arial" w:eastAsia="Arial" w:hAnsi="Arial" w:cs="Arial"/>
          <w:color w:val="000000"/>
          <w:sz w:val="20"/>
        </w:rPr>
        <w:t>Doc. 96 at 42. We agree.</w:t>
      </w:r>
    </w:p>
    <w:p w:rsidR="00022B47" w:rsidRDefault="00000000">
      <w:pPr>
        <w:pStyle w:val="Normal19"/>
        <w:widowControl w:val="0"/>
        <w:spacing w:before="200" w:line="260" w:lineRule="atLeast"/>
        <w:jc w:val="both"/>
      </w:pPr>
      <w:bookmarkStart w:id="3845" w:name="Bookmark_para_67_1"/>
      <w:bookmarkStart w:id="3846" w:name="Bookmark_I23JPJXWCYT00007B7G0000B"/>
      <w:bookmarkStart w:id="3847" w:name="Bookmark_I668RJND2HM6G70040000400"/>
      <w:bookmarkEnd w:id="3845"/>
      <w:bookmarkEnd w:id="3846"/>
      <w:bookmarkEnd w:id="3847"/>
      <w:r>
        <w:rPr>
          <w:rFonts w:ascii="Arial" w:eastAsia="Arial" w:hAnsi="Arial" w:cs="Arial"/>
          <w:color w:val="000000"/>
          <w:sz w:val="20"/>
        </w:rPr>
        <w:t xml:space="preserve">The second </w:t>
      </w:r>
      <w:bookmarkStart w:id="3848" w:name="Bookmark_I668RJND2HM6G70030000400"/>
      <w:bookmarkEnd w:id="3848"/>
      <w:r>
        <w:rPr>
          <w:rFonts w:ascii="Arial" w:eastAsia="Arial" w:hAnsi="Arial" w:cs="Arial"/>
          <w:i/>
          <w:color w:val="000000"/>
          <w:sz w:val="20"/>
        </w:rPr>
        <w:t>Arlington Heights</w:t>
      </w:r>
      <w:r>
        <w:rPr>
          <w:rFonts w:ascii="Arial" w:eastAsia="Arial" w:hAnsi="Arial" w:cs="Arial"/>
          <w:color w:val="000000"/>
          <w:sz w:val="20"/>
        </w:rPr>
        <w:t xml:space="preserve"> factor looks to the historical context of the challenged actions. The district court found that the Plaintiffs had provided no relevant historical context and the Plaintiffs do not challenge this finding on appeal.</w:t>
      </w:r>
    </w:p>
    <w:p w:rsidR="00022B47" w:rsidRDefault="00000000">
      <w:pPr>
        <w:pStyle w:val="Normal19"/>
        <w:widowControl w:val="0"/>
        <w:spacing w:before="200" w:line="260" w:lineRule="atLeast"/>
        <w:jc w:val="both"/>
      </w:pPr>
      <w:bookmarkStart w:id="3849" w:name="Bookmark_para_68_1"/>
      <w:bookmarkStart w:id="3850" w:name="Bookmark_I668RJND28T4HY0010000400"/>
      <w:bookmarkStart w:id="3851" w:name="Bookmark_LNHNREFclscc22_0"/>
      <w:bookmarkEnd w:id="3849"/>
      <w:bookmarkEnd w:id="3850"/>
      <w:bookmarkEnd w:id="3851"/>
      <w:r>
        <w:rPr>
          <w:rFonts w:ascii="Arial" w:eastAsia="Arial" w:hAnsi="Arial" w:cs="Arial"/>
          <w:color w:val="000000"/>
          <w:sz w:val="20"/>
        </w:rPr>
        <w:t xml:space="preserve">The third factor looks to "the sequence of events" preceding the challenged actions. In applying this factor, we often consider evidence of community animus preceding a government's actions. </w:t>
      </w:r>
      <w:r>
        <w:rPr>
          <w:rFonts w:ascii="Arial" w:eastAsia="Arial" w:hAnsi="Arial" w:cs="Arial"/>
          <w:i/>
          <w:color w:val="000000"/>
          <w:sz w:val="20"/>
        </w:rPr>
        <w:t xml:space="preserve">See </w:t>
      </w:r>
      <w:bookmarkStart w:id="3852" w:name="Bookmark_I668RJND2HM6G70050000400"/>
      <w:bookmarkEnd w:id="3852"/>
      <w:r>
        <w:rPr>
          <w:rFonts w:ascii="Arial" w:eastAsia="Arial" w:hAnsi="Arial" w:cs="Arial"/>
          <w:i/>
          <w:color w:val="000000"/>
          <w:sz w:val="20"/>
        </w:rPr>
        <w:t>Vill. of Arlington Heights</w:t>
      </w:r>
      <w:r>
        <w:rPr>
          <w:rFonts w:ascii="Arial" w:eastAsia="Arial" w:hAnsi="Arial" w:cs="Arial"/>
          <w:color w:val="000000"/>
          <w:sz w:val="20"/>
        </w:rPr>
        <w:t xml:space="preserve">, 429 U.S. at 267; </w:t>
      </w:r>
      <w:r>
        <w:rPr>
          <w:rFonts w:ascii="Arial" w:eastAsia="Arial" w:hAnsi="Arial" w:cs="Arial"/>
          <w:i/>
          <w:color w:val="000000"/>
          <w:sz w:val="20"/>
        </w:rPr>
        <w:t xml:space="preserve">see also </w:t>
      </w:r>
      <w:bookmarkStart w:id="3853" w:name="Bookmark_I668RJND28T4HY0020000400"/>
      <w:bookmarkEnd w:id="3853"/>
      <w:r>
        <w:rPr>
          <w:rFonts w:ascii="Arial" w:eastAsia="Arial" w:hAnsi="Arial" w:cs="Arial"/>
          <w:i/>
          <w:color w:val="000000"/>
          <w:sz w:val="20"/>
        </w:rPr>
        <w:t>Caron Found.</w:t>
      </w:r>
      <w:r>
        <w:rPr>
          <w:rFonts w:ascii="Arial" w:eastAsia="Arial" w:hAnsi="Arial" w:cs="Arial"/>
          <w:color w:val="000000"/>
          <w:sz w:val="20"/>
        </w:rPr>
        <w:t>, 879 F. Supp. 2d at 1369 (finding support for intentional discrimination where "[c]ommunity outrage erupted" after a sober home "applied for a reasonable accommodation"). The Plaintiffs claimed that the City's decision not "to respond or even acknowledge the reasonable accommodation request sent to the City" evinces an intent to discriminate. Doc. 96 at 44 (quotation marks omitted). But the City did discuss the letter at a public meeting. The Plaintiffs do not press the point as evidence of intentional discrimination on appeal.</w:t>
      </w:r>
    </w:p>
    <w:p w:rsidR="00022B47" w:rsidRDefault="00000000">
      <w:pPr>
        <w:pStyle w:val="Normal19"/>
        <w:widowControl w:val="0"/>
        <w:spacing w:before="200" w:line="260" w:lineRule="atLeast"/>
        <w:jc w:val="both"/>
      </w:pPr>
      <w:bookmarkStart w:id="3854" w:name="Bookmark_para_69_1"/>
      <w:bookmarkEnd w:id="3854"/>
      <w:r>
        <w:rPr>
          <w:rFonts w:ascii="Arial" w:eastAsia="Arial" w:hAnsi="Arial" w:cs="Arial"/>
          <w:color w:val="000000"/>
          <w:sz w:val="20"/>
        </w:rPr>
        <w:t>The Plaintiffs also complained that after the City required them to remove the central AC unit and required the installation  [*1283]  of window AC units, the City then cited the Plaintiffs for violating the Fire Code [**35]  by blocking emergency escapes with the same window AC units. The district court discounted this argument, too, because it was Sailboat Bend's own choice (1) to install window AC units instead of a compliant central AC system, and (2) to place the window units in a location that violated the Fire Code. Once again, the Plaintiffs do not press the point on appeal.</w:t>
      </w:r>
    </w:p>
    <w:p w:rsidR="00022B47" w:rsidRDefault="00000000">
      <w:pPr>
        <w:pStyle w:val="Normal19"/>
        <w:widowControl w:val="0"/>
        <w:spacing w:before="200" w:line="260" w:lineRule="atLeast"/>
        <w:jc w:val="both"/>
      </w:pPr>
      <w:bookmarkStart w:id="3855" w:name="Bookmark_para_70_1"/>
      <w:bookmarkStart w:id="3856" w:name="Bookmark_I668RJND28T4HY0050000400"/>
      <w:bookmarkStart w:id="3857" w:name="Bookmark_LNHNREFclscc23_0"/>
      <w:bookmarkEnd w:id="3855"/>
      <w:bookmarkEnd w:id="3856"/>
      <w:bookmarkEnd w:id="3857"/>
      <w:r>
        <w:rPr>
          <w:rFonts w:ascii="Arial" w:eastAsia="Arial" w:hAnsi="Arial" w:cs="Arial"/>
          <w:color w:val="000000"/>
          <w:sz w:val="20"/>
        </w:rPr>
        <w:t xml:space="preserve">The fourth and final factor asks whether the City deviated from its ordinary practice. As for this factor, we have said that "procedural abnormalities are only relevant within a larger scope." </w:t>
      </w:r>
      <w:bookmarkStart w:id="3858" w:name="Bookmark_I668RJND28T4HY0040000400"/>
      <w:bookmarkEnd w:id="3858"/>
      <w:r>
        <w:rPr>
          <w:rFonts w:ascii="Arial" w:eastAsia="Arial" w:hAnsi="Arial" w:cs="Arial"/>
          <w:i/>
          <w:color w:val="000000"/>
          <w:sz w:val="20"/>
        </w:rPr>
        <w:t>Hallmark</w:t>
      </w:r>
      <w:r>
        <w:rPr>
          <w:rFonts w:ascii="Arial" w:eastAsia="Arial" w:hAnsi="Arial" w:cs="Arial"/>
          <w:color w:val="000000"/>
          <w:sz w:val="20"/>
        </w:rPr>
        <w:t>, 466 F.3d at 1285 (quotation marks omitted). The Plaintiffs point to the deposition of Fire Captain Kisarewich, who testified that, when the building inspectors contacted the fire inspectors about the Plaintiffs' enterprise in 2017, he "[w]as a little surprised" because "it was a single-family residence and normally [they] would not have a fire account at a single-family residence." Doc. 55-7 at 29:22-25. As the district court noted (and the Plaintiffs do not dispute this on appeal), Kisarewich did not know Sailboat Bend was not operating as a single-family residence when the fire account was opened. Of course he would have been surprised, precisely because [**36]  the Fire Code does not apply to single-family dwellings.</w:t>
      </w:r>
    </w:p>
    <w:p w:rsidR="00022B47" w:rsidRDefault="00000000">
      <w:pPr>
        <w:pStyle w:val="Normal19"/>
        <w:widowControl w:val="0"/>
        <w:spacing w:before="200" w:line="260" w:lineRule="atLeast"/>
        <w:jc w:val="both"/>
      </w:pPr>
      <w:bookmarkStart w:id="3859" w:name="Bookmark_para_71_1"/>
      <w:bookmarkEnd w:id="3859"/>
      <w:r>
        <w:rPr>
          <w:rFonts w:ascii="Arial" w:eastAsia="Arial" w:hAnsi="Arial" w:cs="Arial"/>
          <w:color w:val="000000"/>
          <w:sz w:val="20"/>
        </w:rPr>
        <w:t xml:space="preserve">Finally, the Plaintiffs again raise that the Fire Inspector insisted that Sailboat Bend remove its name from the FARR-certified list if it wanted to be classified as a single-family dwelling. Even if this were a deviation from standard procedure, it is clear that, when viewed within the "larger scope" of the record, removing itself from the FARR-certified list actually </w:t>
      </w:r>
      <w:r>
        <w:rPr>
          <w:rFonts w:ascii="Arial" w:eastAsia="Arial" w:hAnsi="Arial" w:cs="Arial"/>
          <w:i/>
          <w:color w:val="000000"/>
          <w:sz w:val="20"/>
        </w:rPr>
        <w:t>helped</w:t>
      </w:r>
      <w:r>
        <w:rPr>
          <w:rFonts w:ascii="Arial" w:eastAsia="Arial" w:hAnsi="Arial" w:cs="Arial"/>
          <w:color w:val="000000"/>
          <w:sz w:val="20"/>
        </w:rPr>
        <w:t xml:space="preserve"> Sailboat Bend avoid further enforcement action because it could operate as a single-family dwelling, rather than as a Residential Board and Care Occupancy.</w:t>
      </w:r>
    </w:p>
    <w:p w:rsidR="00022B47" w:rsidRDefault="00000000">
      <w:pPr>
        <w:pStyle w:val="Normal19"/>
        <w:widowControl w:val="0"/>
        <w:spacing w:before="200" w:line="260" w:lineRule="atLeast"/>
        <w:jc w:val="both"/>
      </w:pPr>
      <w:bookmarkStart w:id="3860" w:name="Bookmark_para_72_1"/>
      <w:bookmarkEnd w:id="3860"/>
      <w:r>
        <w:rPr>
          <w:rFonts w:ascii="Arial" w:eastAsia="Arial" w:hAnsi="Arial" w:cs="Arial"/>
          <w:color w:val="000000"/>
          <w:sz w:val="20"/>
        </w:rPr>
        <w:t>The sum of the Plaintiffs' evidence, then, is that the City cited Sailboat Bend for a violation of the Fire Code after the City made the facility remove its central AC unit and asked the facility to remove its name from the FARR-certified list because it was operating as a single-family dwelling. Even when viewing the evidence in the light most favorable to the non-movant, this is an insufficient evidential foundation to establish that the residents' disabilities played some role in the City's decision to enforce the Fire Code against the Plaintiffs.</w:t>
      </w:r>
    </w:p>
    <w:p w:rsidR="00022B47" w:rsidRDefault="00000000">
      <w:pPr>
        <w:pStyle w:val="Normal19"/>
        <w:widowControl w:val="0"/>
        <w:spacing w:before="200" w:line="260" w:lineRule="atLeast"/>
        <w:jc w:val="both"/>
      </w:pPr>
      <w:bookmarkStart w:id="3861" w:name="Bookmark_para_73_0"/>
      <w:bookmarkEnd w:id="3861"/>
      <w:r>
        <w:rPr>
          <w:rFonts w:ascii="Arial" w:eastAsia="Arial" w:hAnsi="Arial" w:cs="Arial"/>
          <w:color w:val="000000"/>
          <w:sz w:val="20"/>
        </w:rPr>
        <w:t xml:space="preserve">We </w:t>
      </w:r>
      <w:r>
        <w:rPr>
          <w:rFonts w:ascii="Arial" w:eastAsia="Arial" w:hAnsi="Arial" w:cs="Arial"/>
          <w:b/>
          <w:color w:val="000000"/>
          <w:sz w:val="20"/>
        </w:rPr>
        <w:t>AFFIRM</w:t>
      </w:r>
      <w:r>
        <w:rPr>
          <w:rFonts w:ascii="Arial" w:eastAsia="Arial" w:hAnsi="Arial" w:cs="Arial"/>
          <w:color w:val="000000"/>
          <w:sz w:val="20"/>
        </w:rPr>
        <w:t>.</w:t>
      </w:r>
    </w:p>
    <w:p w:rsidR="00022B47" w:rsidRDefault="00022B47">
      <w:pPr>
        <w:pStyle w:val="Normal19"/>
      </w:pPr>
    </w:p>
    <w:p w:rsidR="00022B47" w:rsidRDefault="00000000">
      <w:pPr>
        <w:pStyle w:val="Normal19"/>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699200"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2042059189"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DA5712" id="Line 42"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20"/>
        <w:sectPr w:rsidR="00022B47">
          <w:headerReference w:type="even" r:id="rId127"/>
          <w:headerReference w:type="default" r:id="rId128"/>
          <w:footerReference w:type="even" r:id="rId129"/>
          <w:footerReference w:type="default" r:id="rId130"/>
          <w:headerReference w:type="first" r:id="rId131"/>
          <w:footerReference w:type="first" r:id="rId132"/>
          <w:pgSz w:w="12240" w:h="15840"/>
          <w:pgMar w:top="840" w:right="1000" w:bottom="840" w:left="1000" w:header="400" w:footer="400" w:gutter="0"/>
          <w:cols w:space="720"/>
          <w:titlePg/>
        </w:sectPr>
      </w:pPr>
    </w:p>
    <w:p w:rsidR="00022B47" w:rsidRDefault="00022B47">
      <w:pPr>
        <w:pStyle w:val="Normal20"/>
      </w:pPr>
    </w:p>
    <w:p w:rsidR="00022B47" w:rsidRDefault="00000000">
      <w:pPr>
        <w:pStyle w:val="Heading119"/>
        <w:keepNext w:val="0"/>
        <w:widowControl w:val="0"/>
        <w:spacing w:after="200" w:line="340" w:lineRule="atLeast"/>
        <w:jc w:val="center"/>
      </w:pPr>
      <w:r>
        <w:rPr>
          <w:rFonts w:eastAsia="Arial"/>
          <w:color w:val="000000"/>
          <w:sz w:val="28"/>
        </w:rPr>
        <w:t>EEOC v. Cash Depot, Ltd.</w:t>
      </w:r>
    </w:p>
    <w:p w:rsidR="00022B47" w:rsidRDefault="00000000">
      <w:pPr>
        <w:pStyle w:val="Normal20"/>
        <w:widowControl w:val="0"/>
        <w:spacing w:before="120" w:line="260" w:lineRule="atLeast"/>
        <w:jc w:val="center"/>
      </w:pPr>
      <w:r>
        <w:rPr>
          <w:rFonts w:ascii="Arial" w:eastAsia="Arial" w:hAnsi="Arial" w:cs="Arial"/>
          <w:color w:val="000000"/>
          <w:sz w:val="20"/>
        </w:rPr>
        <w:t>United States Court of Appeals for the Fifth Circuit</w:t>
      </w:r>
    </w:p>
    <w:p w:rsidR="00022B47" w:rsidRDefault="00000000">
      <w:pPr>
        <w:pStyle w:val="Normal20"/>
        <w:widowControl w:val="0"/>
        <w:spacing w:before="120" w:line="260" w:lineRule="atLeast"/>
        <w:jc w:val="center"/>
      </w:pPr>
      <w:r>
        <w:rPr>
          <w:rFonts w:ascii="Arial" w:eastAsia="Arial" w:hAnsi="Arial" w:cs="Arial"/>
          <w:color w:val="000000"/>
          <w:sz w:val="20"/>
        </w:rPr>
        <w:t>August 24, 2022, Filed</w:t>
      </w:r>
    </w:p>
    <w:p w:rsidR="00022B47" w:rsidRDefault="00000000">
      <w:pPr>
        <w:pStyle w:val="Normal20"/>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21-20515</w:t>
      </w:r>
    </w:p>
    <w:p w:rsidR="00022B47" w:rsidRDefault="00022B47">
      <w:pPr>
        <w:pStyle w:val="Normal20"/>
        <w:widowControl w:val="0"/>
        <w:spacing w:line="240" w:lineRule="atLeast"/>
        <w:jc w:val="both"/>
      </w:pPr>
      <w:bookmarkStart w:id="3862" w:name="Bookmark_21"/>
      <w:bookmarkEnd w:id="3862"/>
    </w:p>
    <w:p w:rsidR="00022B47" w:rsidRDefault="00000000">
      <w:pPr>
        <w:pStyle w:val="Normal20"/>
        <w:widowControl w:val="0"/>
        <w:spacing w:before="200" w:line="240" w:lineRule="atLeast"/>
      </w:pPr>
      <w:bookmarkStart w:id="3863" w:name="Reporter_19"/>
      <w:bookmarkEnd w:id="3863"/>
      <w:r>
        <w:rPr>
          <w:rFonts w:ascii="Arial" w:eastAsia="Arial" w:hAnsi="Arial" w:cs="Arial"/>
          <w:b/>
          <w:color w:val="000000"/>
          <w:sz w:val="18"/>
        </w:rPr>
        <w:t>Reporter</w:t>
      </w:r>
    </w:p>
    <w:p w:rsidR="00022B47" w:rsidRDefault="00000000">
      <w:pPr>
        <w:pStyle w:val="Normal20"/>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2022 U.S. App. LEXIS 23743 *; 2022 WL 3644186</w:t>
      </w:r>
    </w:p>
    <w:p w:rsidR="00022B47" w:rsidRDefault="00000000">
      <w:pPr>
        <w:pStyle w:val="Normal20"/>
        <w:widowControl w:val="0"/>
        <w:spacing w:before="120" w:line="260" w:lineRule="atLeast"/>
      </w:pPr>
      <w:r>
        <w:rPr>
          <w:rFonts w:ascii="Arial" w:eastAsia="Arial" w:hAnsi="Arial" w:cs="Arial"/>
          <w:color w:val="000000"/>
          <w:sz w:val="20"/>
        </w:rPr>
        <w:t>EQUAL EMPLOYMENT OPPORTUNITY COMMISSION, Plaintiff—Appellant, versus CASH DEPOT, LTD., Defendant—Appellee.</w:t>
      </w:r>
    </w:p>
    <w:p w:rsidR="00022B47" w:rsidRDefault="00000000">
      <w:pPr>
        <w:pStyle w:val="Normal20"/>
        <w:widowControl w:val="0"/>
        <w:spacing w:before="240" w:line="260" w:lineRule="atLeast"/>
        <w:jc w:val="both"/>
      </w:pPr>
      <w:bookmarkStart w:id="3864" w:name="Notice_8"/>
      <w:bookmarkEnd w:id="3864"/>
      <w:r>
        <w:rPr>
          <w:rFonts w:ascii="Arial" w:eastAsia="Arial" w:hAnsi="Arial" w:cs="Arial"/>
          <w:b/>
          <w:color w:val="000000"/>
          <w:sz w:val="20"/>
        </w:rPr>
        <w:t>Notice:</w:t>
      </w:r>
      <w:r>
        <w:rPr>
          <w:rFonts w:ascii="Arial" w:eastAsia="Arial" w:hAnsi="Arial" w:cs="Arial"/>
          <w:color w:val="000000"/>
          <w:sz w:val="20"/>
        </w:rPr>
        <w:t> </w:t>
      </w:r>
      <w:bookmarkStart w:id="3865" w:name="Bookmark_para_1_19"/>
      <w:bookmarkEnd w:id="3865"/>
      <w:r>
        <w:rPr>
          <w:rFonts w:ascii="Arial" w:eastAsia="Arial" w:hAnsi="Arial" w:cs="Arial"/>
          <w:color w:val="000000"/>
          <w:sz w:val="20"/>
        </w:rPr>
        <w:t>PLEASE REFER TO FEDERAL RULES OF APPELLATE PROCEDURE RULE 32.1 GOVERNING THE CITATION TO UNPUBLISHED OPINIONS.</w:t>
      </w:r>
    </w:p>
    <w:p w:rsidR="00022B47" w:rsidRDefault="00000000">
      <w:pPr>
        <w:pStyle w:val="Normal20"/>
        <w:widowControl w:val="0"/>
        <w:spacing w:before="240" w:line="260" w:lineRule="atLeast"/>
        <w:jc w:val="both"/>
      </w:pPr>
      <w:bookmarkStart w:id="3866" w:name="Prior_History_19"/>
      <w:bookmarkEnd w:id="3866"/>
      <w:r>
        <w:rPr>
          <w:rFonts w:ascii="Arial" w:eastAsia="Arial" w:hAnsi="Arial" w:cs="Arial"/>
          <w:b/>
          <w:color w:val="000000"/>
          <w:sz w:val="20"/>
        </w:rPr>
        <w:t>Prior History:</w:t>
      </w:r>
      <w:r>
        <w:rPr>
          <w:rFonts w:ascii="Arial" w:eastAsia="Arial" w:hAnsi="Arial" w:cs="Arial"/>
          <w:color w:val="000000"/>
          <w:sz w:val="20"/>
        </w:rPr>
        <w:t> </w:t>
      </w:r>
      <w:bookmarkStart w:id="3867" w:name="Bookmark_para_2_19"/>
      <w:bookmarkEnd w:id="3867"/>
      <w:r>
        <w:rPr>
          <w:rFonts w:ascii="Arial" w:eastAsia="Arial" w:hAnsi="Arial" w:cs="Arial"/>
          <w:color w:val="000000"/>
          <w:sz w:val="20"/>
        </w:rPr>
        <w:t> [*1] Appeal from the United States District Court for the Southern District of Texas. USDC Case No. 4:20-CV-03343.</w:t>
      </w:r>
    </w:p>
    <w:p w:rsidR="00022B47" w:rsidRDefault="00000000">
      <w:pPr>
        <w:pStyle w:val="Normal20"/>
        <w:widowControl w:val="0"/>
        <w:spacing w:before="120" w:line="260" w:lineRule="atLeast"/>
      </w:pPr>
      <w:r>
        <w:rPr>
          <w:rFonts w:ascii="Arial" w:eastAsia="Arial" w:hAnsi="Arial" w:cs="Arial"/>
          <w:color w:val="000000"/>
          <w:sz w:val="20"/>
        </w:rPr>
        <w:t>EEOC v. Cash Depot, Ltd., 2021 U.S. Dist. LEXIS 185146 (S.D. Tex., July 21, 2021)</w:t>
      </w:r>
    </w:p>
    <w:p w:rsidR="00022B47" w:rsidRDefault="00000000">
      <w:pPr>
        <w:pStyle w:val="Normal20"/>
        <w:widowControl w:val="0"/>
        <w:spacing w:before="240" w:line="260" w:lineRule="atLeast"/>
      </w:pPr>
      <w:bookmarkStart w:id="3868" w:name="Counsel_19"/>
      <w:bookmarkEnd w:id="3868"/>
      <w:r>
        <w:rPr>
          <w:rFonts w:ascii="Arial" w:eastAsia="Arial" w:hAnsi="Arial" w:cs="Arial"/>
          <w:b/>
          <w:color w:val="000000"/>
          <w:sz w:val="20"/>
        </w:rPr>
        <w:t>Counsel:</w:t>
      </w:r>
      <w:r>
        <w:rPr>
          <w:rFonts w:ascii="Arial" w:eastAsia="Arial" w:hAnsi="Arial" w:cs="Arial"/>
          <w:color w:val="000000"/>
          <w:sz w:val="20"/>
        </w:rPr>
        <w:t> For Equal Employment Opportunity Commission, Plaintiff - Appellant: Nicolas Sansone, U.S. Equal Employment Opportunity Commission, Washington, DC.</w:t>
      </w:r>
    </w:p>
    <w:p w:rsidR="00022B47" w:rsidRDefault="00000000">
      <w:pPr>
        <w:pStyle w:val="Normal20"/>
        <w:widowControl w:val="0"/>
        <w:spacing w:before="120" w:line="260" w:lineRule="atLeast"/>
      </w:pPr>
      <w:r>
        <w:rPr>
          <w:rFonts w:ascii="Arial" w:eastAsia="Arial" w:hAnsi="Arial" w:cs="Arial"/>
          <w:color w:val="000000"/>
          <w:sz w:val="20"/>
        </w:rPr>
        <w:t>For Cash Depot, Ltd., Defendant - Appellee: Kathleen Anne Carney O'Connor, Attorney, O'ConnorWechsler, P.L.L.C., Houston, TX.</w:t>
      </w:r>
    </w:p>
    <w:p w:rsidR="00022B47" w:rsidRDefault="00000000">
      <w:pPr>
        <w:pStyle w:val="Normal20"/>
        <w:widowControl w:val="0"/>
        <w:spacing w:before="240" w:line="260" w:lineRule="atLeast"/>
      </w:pPr>
      <w:bookmarkStart w:id="3869" w:name="Judges_19"/>
      <w:bookmarkEnd w:id="3869"/>
      <w:r>
        <w:rPr>
          <w:rFonts w:ascii="Arial" w:eastAsia="Arial" w:hAnsi="Arial" w:cs="Arial"/>
          <w:b/>
          <w:color w:val="000000"/>
          <w:sz w:val="20"/>
        </w:rPr>
        <w:t>Judges:</w:t>
      </w:r>
      <w:r>
        <w:rPr>
          <w:rFonts w:ascii="Arial" w:eastAsia="Arial" w:hAnsi="Arial" w:cs="Arial"/>
          <w:color w:val="000000"/>
          <w:sz w:val="20"/>
        </w:rPr>
        <w:t> Before HIGGINBOTHAM, DENNIS, and GRAVES, Circuit Judges.</w:t>
      </w:r>
    </w:p>
    <w:p w:rsidR="00022B47" w:rsidRDefault="00000000">
      <w:pPr>
        <w:pStyle w:val="Normal20"/>
        <w:keepNext/>
        <w:widowControl w:val="0"/>
        <w:spacing w:before="240" w:line="340" w:lineRule="atLeast"/>
      </w:pPr>
      <w:bookmarkStart w:id="3870" w:name="Opinion_19"/>
      <w:bookmarkEnd w:id="3870"/>
      <w:r>
        <w:rPr>
          <w:rFonts w:ascii="Arial" w:eastAsia="Arial" w:hAnsi="Arial" w:cs="Arial"/>
          <w:b/>
          <w:color w:val="000000"/>
          <w:sz w:val="28"/>
        </w:rPr>
        <w:t>Opinion</w:t>
      </w:r>
    </w:p>
    <w:p w:rsidR="00022B47" w:rsidRDefault="0025213E">
      <w:pPr>
        <w:pStyle w:val="Normal20"/>
        <w:spacing w:line="60" w:lineRule="exact"/>
      </w:pPr>
      <w:r>
        <w:rPr>
          <w:noProof/>
        </w:rPr>
        <mc:AlternateContent>
          <mc:Choice Requires="wps">
            <w:drawing>
              <wp:anchor distT="0" distB="0" distL="114300" distR="114300" simplePos="0" relativeHeight="251700224"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038979650"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B72275" id="Line 43"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20"/>
      </w:pPr>
    </w:p>
    <w:p w:rsidR="00022B47" w:rsidRDefault="00000000">
      <w:pPr>
        <w:pStyle w:val="Normal20"/>
        <w:widowControl w:val="0"/>
        <w:spacing w:before="200" w:line="260" w:lineRule="atLeast"/>
        <w:jc w:val="both"/>
      </w:pPr>
      <w:bookmarkStart w:id="3871" w:name="Bookmark_para_3_19"/>
      <w:bookmarkEnd w:id="3871"/>
      <w:r>
        <w:rPr>
          <w:rFonts w:ascii="Arial" w:eastAsia="Arial" w:hAnsi="Arial" w:cs="Arial"/>
          <w:smallCaps/>
          <w:color w:val="000000"/>
          <w:sz w:val="20"/>
        </w:rPr>
        <w:t>Per Curiam</w:t>
      </w:r>
      <w:r>
        <w:rPr>
          <w:rFonts w:ascii="Arial" w:eastAsia="Arial" w:hAnsi="Arial" w:cs="Arial"/>
          <w:color w:val="000000"/>
          <w:sz w:val="20"/>
        </w:rPr>
        <w:t>:</w:t>
      </w:r>
      <w:r>
        <w:rPr>
          <w:rFonts w:ascii="Arial" w:eastAsia="Arial" w:hAnsi="Arial" w:cs="Arial"/>
          <w:vertAlign w:val="superscript"/>
        </w:rPr>
        <w:footnoteReference w:customMarkFollows="1" w:id="79"/>
        <w:t>*</w:t>
      </w:r>
    </w:p>
    <w:p w:rsidR="00022B47" w:rsidRDefault="00000000">
      <w:pPr>
        <w:pStyle w:val="Normal20"/>
        <w:widowControl w:val="0"/>
        <w:spacing w:before="200" w:line="260" w:lineRule="atLeast"/>
        <w:jc w:val="both"/>
      </w:pPr>
      <w:bookmarkStart w:id="3873" w:name="Bookmark_para_4_19"/>
      <w:bookmarkStart w:id="3874" w:name="Bookmark_I668HFHY2N1R480010000400"/>
      <w:bookmarkEnd w:id="3873"/>
      <w:bookmarkEnd w:id="3874"/>
      <w:r>
        <w:rPr>
          <w:rFonts w:ascii="Arial" w:eastAsia="Arial" w:hAnsi="Arial" w:cs="Arial"/>
          <w:color w:val="000000"/>
          <w:sz w:val="20"/>
        </w:rPr>
        <w:t xml:space="preserve">The Equal Employment Opportunity Commission appeals the district court's grant of summary judgment to Cash Depot and denial of additional discovery in this action under the Americans with Disabilities Act. </w:t>
      </w:r>
      <w:r>
        <w:rPr>
          <w:rFonts w:ascii="Arial" w:eastAsia="Arial" w:hAnsi="Arial" w:cs="Arial"/>
          <w:i/>
          <w:color w:val="000000"/>
          <w:sz w:val="20"/>
        </w:rPr>
        <w:t>See</w:t>
      </w:r>
      <w:r>
        <w:rPr>
          <w:rFonts w:ascii="Arial" w:eastAsia="Arial" w:hAnsi="Arial" w:cs="Arial"/>
          <w:color w:val="000000"/>
          <w:sz w:val="20"/>
        </w:rPr>
        <w:t xml:space="preserve"> 42 U.S.C. §§ 12101, et seq. Because the district court erred in granting summary judgment, we REVERSE and REMAND.</w:t>
      </w:r>
    </w:p>
    <w:p w:rsidR="00022B47" w:rsidRDefault="00000000">
      <w:pPr>
        <w:pStyle w:val="Normal20"/>
        <w:widowControl w:val="0"/>
        <w:spacing w:before="240" w:line="260" w:lineRule="atLeast"/>
      </w:pPr>
      <w:r>
        <w:br/>
      </w:r>
      <w:r>
        <w:rPr>
          <w:rFonts w:ascii="Arial" w:eastAsia="Arial" w:hAnsi="Arial" w:cs="Arial"/>
          <w:b/>
          <w:smallCaps/>
          <w:color w:val="000000"/>
          <w:sz w:val="20"/>
        </w:rPr>
        <w:t>Facts And Procedural History</w:t>
      </w:r>
    </w:p>
    <w:p w:rsidR="00022B47" w:rsidRDefault="00000000">
      <w:pPr>
        <w:pStyle w:val="Normal20"/>
        <w:widowControl w:val="0"/>
        <w:spacing w:before="200" w:line="260" w:lineRule="atLeast"/>
        <w:jc w:val="both"/>
      </w:pPr>
      <w:bookmarkStart w:id="3875" w:name="Bookmark_para_5_19"/>
      <w:bookmarkEnd w:id="3875"/>
      <w:r>
        <w:rPr>
          <w:rFonts w:ascii="Arial" w:eastAsia="Arial" w:hAnsi="Arial" w:cs="Arial"/>
          <w:color w:val="000000"/>
          <w:sz w:val="20"/>
        </w:rPr>
        <w:t>Cash Depot (CD) is a company that installs and services ATMs and air/vacuum machines. Barney Galloway began working for CD in 2018 as one of two field service technicians responsible for the Houston region.</w:t>
      </w:r>
      <w:r>
        <w:rPr>
          <w:rFonts w:ascii="Arial" w:eastAsia="Arial" w:hAnsi="Arial" w:cs="Arial"/>
          <w:vertAlign w:val="superscript"/>
        </w:rPr>
        <w:footnoteReference w:customMarkFollows="1" w:id="80"/>
        <w:t>1</w:t>
      </w:r>
    </w:p>
    <w:p w:rsidR="00022B47" w:rsidRDefault="00000000">
      <w:pPr>
        <w:pStyle w:val="Normal20"/>
        <w:widowControl w:val="0"/>
        <w:spacing w:before="200" w:line="260" w:lineRule="atLeast"/>
        <w:jc w:val="both"/>
      </w:pPr>
      <w:bookmarkStart w:id="3877" w:name="Bookmark_para_6_19"/>
      <w:bookmarkEnd w:id="3877"/>
      <w:r>
        <w:rPr>
          <w:rFonts w:ascii="Arial" w:eastAsia="Arial" w:hAnsi="Arial" w:cs="Arial"/>
          <w:color w:val="000000"/>
          <w:sz w:val="20"/>
        </w:rPr>
        <w:t>In February of 2019, Galloway had a stroke at home while off duty. On March 4, 2019, Galloway informed CD that he was getting better but was still unable to return to work and asked about short-term disability. Galloway submitted a doctor's note on March [*2]  6 that said he had a follow-up appointment on April 2 to be evaluated for a determination of whether he could return to work. That same day, CD posted a job opening for Galloway's position.</w:t>
      </w:r>
    </w:p>
    <w:p w:rsidR="00022B47" w:rsidRDefault="00000000">
      <w:pPr>
        <w:pStyle w:val="Normal20"/>
        <w:widowControl w:val="0"/>
        <w:spacing w:before="200" w:line="260" w:lineRule="atLeast"/>
        <w:jc w:val="both"/>
      </w:pPr>
      <w:bookmarkStart w:id="3878" w:name="Bookmark_para_7_19"/>
      <w:bookmarkEnd w:id="3878"/>
      <w:r>
        <w:rPr>
          <w:rFonts w:ascii="Arial" w:eastAsia="Arial" w:hAnsi="Arial" w:cs="Arial"/>
          <w:color w:val="000000"/>
          <w:sz w:val="20"/>
        </w:rPr>
        <w:t>Darlene Lassiter, the director of human resources for CD, sent Galloway a letter on March 13 that said CD had approved a personal, unpaid leave of absence for him until April 3 because he was not yet eligible for leave under the Family Medical Leave Act or for short-term disability. The letter said that CD "agrees to hold your current service technician position open for you until April 3, 2019. However, please understand that Cash Depot cannot guarantee that your position will be available if you are unable to return to work at that time, with or without restrictions." The letter also said that, after April 3, reinstatement would depend on various factors.</w:t>
      </w:r>
    </w:p>
    <w:p w:rsidR="00022B47" w:rsidRDefault="00000000">
      <w:pPr>
        <w:pStyle w:val="Normal20"/>
        <w:widowControl w:val="0"/>
        <w:spacing w:before="200" w:line="260" w:lineRule="atLeast"/>
        <w:jc w:val="both"/>
      </w:pPr>
      <w:bookmarkStart w:id="3879" w:name="Bookmark_para_8_18"/>
      <w:bookmarkEnd w:id="3879"/>
      <w:r>
        <w:rPr>
          <w:rFonts w:ascii="Arial" w:eastAsia="Arial" w:hAnsi="Arial" w:cs="Arial"/>
          <w:color w:val="000000"/>
          <w:sz w:val="20"/>
        </w:rPr>
        <w:t>On April 2, 2019, CD offered Galloway's field technician position to Michael Negron, who accepted with a tentative start date of April 15, 2019. Also on April 2, Galloway emailed Murphy to inform him that he could return to work with a 25-pound restriction, that he "could do coin empties and do repairs, which was most of the work," and that he had two aneurysms which [*3]  could possibly need treatment in the future. Galloway also inquired as to which day CD wanted him to return to work.</w:t>
      </w:r>
    </w:p>
    <w:p w:rsidR="00022B47" w:rsidRDefault="00000000">
      <w:pPr>
        <w:pStyle w:val="Normal20"/>
        <w:widowControl w:val="0"/>
        <w:spacing w:before="200" w:line="260" w:lineRule="atLeast"/>
        <w:jc w:val="both"/>
      </w:pPr>
      <w:bookmarkStart w:id="3880" w:name="Bookmark_para_9_18"/>
      <w:bookmarkEnd w:id="3880"/>
      <w:r>
        <w:rPr>
          <w:rFonts w:ascii="Arial" w:eastAsia="Arial" w:hAnsi="Arial" w:cs="Arial"/>
          <w:color w:val="000000"/>
          <w:sz w:val="20"/>
        </w:rPr>
        <w:t>Galloway's doctor submitted a letter on April 3 to CD/Lassiter confirming that he was released to return to work, "however, he is restricted from performing job functions or duties that involve lifting, pushing or pulling items greater than 25 lbs." That same day, Lassiter sent Galloway a letter of termination which stated, in relevant part:</w:t>
      </w:r>
    </w:p>
    <w:p w:rsidR="00022B47" w:rsidRDefault="00000000">
      <w:pPr>
        <w:pStyle w:val="Normal20"/>
        <w:widowControl w:val="0"/>
        <w:spacing w:line="260" w:lineRule="atLeast"/>
        <w:ind w:left="400"/>
        <w:jc w:val="both"/>
      </w:pPr>
      <w:bookmarkStart w:id="3881" w:name="Bookmark_para_10_18"/>
      <w:bookmarkEnd w:id="3881"/>
      <w:r>
        <w:rPr>
          <w:rFonts w:ascii="Arial" w:eastAsia="Arial" w:hAnsi="Arial" w:cs="Arial"/>
          <w:color w:val="000000"/>
          <w:sz w:val="20"/>
        </w:rPr>
        <w:t>We received a medical note on April 3, 2019 stating that you can return to work, however, you are restricted from performing job functions that involve lifting, pushing or pulling items greater than 25 lbs with an unknown end date.</w:t>
      </w:r>
    </w:p>
    <w:p w:rsidR="00022B47" w:rsidRDefault="00000000">
      <w:pPr>
        <w:pStyle w:val="Normal20"/>
        <w:widowControl w:val="0"/>
        <w:spacing w:before="200" w:line="260" w:lineRule="atLeast"/>
        <w:ind w:left="400"/>
        <w:jc w:val="both"/>
      </w:pPr>
      <w:bookmarkStart w:id="3882" w:name="Bookmark_para_11_18"/>
      <w:bookmarkEnd w:id="3882"/>
      <w:r>
        <w:rPr>
          <w:rFonts w:ascii="Arial" w:eastAsia="Arial" w:hAnsi="Arial" w:cs="Arial"/>
          <w:color w:val="000000"/>
          <w:sz w:val="20"/>
        </w:rPr>
        <w:t xml:space="preserve">After reviewing the medical note, we have determined that due to the nature of your job and the unknown of when you will be able to return to full duty to perform the physical requirements/essential functions of your position, that we </w:t>
      </w:r>
      <w:r>
        <w:rPr>
          <w:rFonts w:ascii="Arial" w:eastAsia="Arial" w:hAnsi="Arial" w:cs="Arial"/>
          <w:b/>
          <w:color w:val="000000"/>
          <w:sz w:val="20"/>
          <w:u w:val="single"/>
        </w:rPr>
        <w:t>will</w:t>
      </w:r>
      <w:r>
        <w:rPr>
          <w:rFonts w:ascii="Arial" w:eastAsia="Arial" w:hAnsi="Arial" w:cs="Arial"/>
          <w:color w:val="000000"/>
          <w:sz w:val="20"/>
        </w:rPr>
        <w:t xml:space="preserve"> </w:t>
      </w:r>
      <w:r>
        <w:rPr>
          <w:rFonts w:ascii="Arial" w:eastAsia="Arial" w:hAnsi="Arial" w:cs="Arial"/>
          <w:b/>
          <w:color w:val="000000"/>
          <w:sz w:val="20"/>
          <w:u w:val="single"/>
        </w:rPr>
        <w:t>not</w:t>
      </w:r>
      <w:r>
        <w:rPr>
          <w:rFonts w:ascii="Arial" w:eastAsia="Arial" w:hAnsi="Arial" w:cs="Arial"/>
          <w:color w:val="000000"/>
          <w:sz w:val="20"/>
        </w:rPr>
        <w:t xml:space="preserve"> be able to accommodate your restrictions and will be terminating your employment </w:t>
      </w:r>
      <w:r>
        <w:rPr>
          <w:rFonts w:ascii="Arial" w:eastAsia="Arial" w:hAnsi="Arial" w:cs="Arial"/>
          <w:b/>
          <w:color w:val="000000"/>
          <w:sz w:val="20"/>
        </w:rPr>
        <w:t>effective April 3, 2019</w:t>
      </w:r>
      <w:r>
        <w:rPr>
          <w:rFonts w:ascii="Arial" w:eastAsia="Arial" w:hAnsi="Arial" w:cs="Arial"/>
          <w:color w:val="000000"/>
          <w:sz w:val="20"/>
        </w:rPr>
        <w:t>.</w:t>
      </w:r>
    </w:p>
    <w:p w:rsidR="00022B47" w:rsidRDefault="00000000">
      <w:pPr>
        <w:pStyle w:val="Normal20"/>
        <w:widowControl w:val="0"/>
        <w:spacing w:before="200" w:line="260" w:lineRule="atLeast"/>
        <w:jc w:val="both"/>
      </w:pPr>
      <w:r>
        <w:rPr>
          <w:rFonts w:ascii="Arial" w:eastAsia="Arial" w:hAnsi="Arial" w:cs="Arial"/>
          <w:color w:val="000000"/>
          <w:sz w:val="20"/>
        </w:rPr>
        <w:t>(Emphasis original). Galloway followed up with an email to Murphy expressing his inability to understand why he would be terminated over a temporary restriction. [*4] </w:t>
      </w:r>
    </w:p>
    <w:p w:rsidR="00022B47" w:rsidRDefault="00000000">
      <w:pPr>
        <w:pStyle w:val="Normal20"/>
        <w:widowControl w:val="0"/>
        <w:spacing w:before="200" w:line="260" w:lineRule="atLeast"/>
        <w:jc w:val="both"/>
      </w:pPr>
      <w:bookmarkStart w:id="3883" w:name="Bookmark_para_12_18"/>
      <w:bookmarkEnd w:id="3883"/>
      <w:r>
        <w:rPr>
          <w:rFonts w:ascii="Arial" w:eastAsia="Arial" w:hAnsi="Arial" w:cs="Arial"/>
          <w:color w:val="000000"/>
          <w:sz w:val="20"/>
        </w:rPr>
        <w:t>As a result of Galloway's termination, the Equal Employment Opportunity Commission (EEOC or the Commission) brought an action under the Americans with Disabilities Act (ADA) against CD alleging that it engaged in unlawful discrimination by firing Galloway because of his disability and failed to reasonably accommodate. CD moved for summary judgment, asserting that: 1) Galloway is not a qualified individual with a disability because a lifting restriction is not a disability under the ADA; 2) the EEOC failed to show that Galloway could perform the essential job functions of field technician with or without reasonable accommodation; and 3) Galloway is totally and permanently disabled due to his service-connected disability and is unemployable pursuant to 38 C.F.R. § 4.16.</w:t>
      </w:r>
    </w:p>
    <w:p w:rsidR="00022B47" w:rsidRDefault="00000000">
      <w:pPr>
        <w:pStyle w:val="Normal20"/>
        <w:widowControl w:val="0"/>
        <w:spacing w:before="200" w:line="260" w:lineRule="atLeast"/>
        <w:jc w:val="both"/>
      </w:pPr>
      <w:bookmarkStart w:id="3884" w:name="Bookmark_para_13_18"/>
      <w:bookmarkEnd w:id="3884"/>
      <w:r>
        <w:rPr>
          <w:rFonts w:ascii="Arial" w:eastAsia="Arial" w:hAnsi="Arial" w:cs="Arial"/>
          <w:color w:val="000000"/>
          <w:sz w:val="20"/>
        </w:rPr>
        <w:t>On July 21, 2021, the district court granted summary judgment for CD, finding that Galloway was unable to perform the essential functions of his job, that no reasonable accommodations were possible, and that it need not infer bad faith from CD's decision to immediately hire a replacement. The EEOC then filed this appeal.</w:t>
      </w:r>
    </w:p>
    <w:p w:rsidR="00022B47" w:rsidRDefault="00000000">
      <w:pPr>
        <w:pStyle w:val="Normal20"/>
        <w:widowControl w:val="0"/>
        <w:spacing w:before="240" w:line="260" w:lineRule="atLeast"/>
      </w:pPr>
      <w:r>
        <w:br/>
      </w:r>
      <w:r>
        <w:rPr>
          <w:rFonts w:ascii="Arial" w:eastAsia="Arial" w:hAnsi="Arial" w:cs="Arial"/>
          <w:b/>
          <w:smallCaps/>
          <w:color w:val="000000"/>
          <w:sz w:val="20"/>
        </w:rPr>
        <w:t>Standard Of Review</w:t>
      </w:r>
    </w:p>
    <w:p w:rsidR="00022B47" w:rsidRDefault="00000000">
      <w:pPr>
        <w:pStyle w:val="Normal20"/>
        <w:widowControl w:val="0"/>
        <w:spacing w:before="200" w:line="260" w:lineRule="atLeast"/>
        <w:jc w:val="both"/>
      </w:pPr>
      <w:bookmarkStart w:id="3885" w:name="Bookmark_para_14_18"/>
      <w:bookmarkStart w:id="3886" w:name="Bookmark_I668RJ7W2SF8PB0020000400"/>
      <w:bookmarkStart w:id="3887" w:name="Bookmark_I668RJ7W2SF8PB0040000400"/>
      <w:bookmarkStart w:id="3888" w:name="Bookmark_LNHNREFclscc1_17"/>
      <w:bookmarkEnd w:id="3885"/>
      <w:bookmarkEnd w:id="3886"/>
      <w:bookmarkEnd w:id="3887"/>
      <w:bookmarkEnd w:id="3888"/>
      <w:r>
        <w:rPr>
          <w:rFonts w:ascii="Arial" w:eastAsia="Arial" w:hAnsi="Arial" w:cs="Arial"/>
          <w:color w:val="000000"/>
          <w:sz w:val="20"/>
        </w:rPr>
        <w:t xml:space="preserve">This court reviews a district court's grant of summary judgment de novo. </w:t>
      </w:r>
      <w:bookmarkStart w:id="3889" w:name="Bookmark_I668RJ7W2SF8PB0010000400"/>
      <w:bookmarkEnd w:id="3889"/>
      <w:r>
        <w:rPr>
          <w:rFonts w:ascii="Arial" w:eastAsia="Arial" w:hAnsi="Arial" w:cs="Arial"/>
          <w:i/>
          <w:color w:val="000000"/>
          <w:sz w:val="20"/>
        </w:rPr>
        <w:t>Campos v. Steves &amp; Sons, Inc.</w:t>
      </w:r>
      <w:r>
        <w:rPr>
          <w:rFonts w:ascii="Arial" w:eastAsia="Arial" w:hAnsi="Arial" w:cs="Arial"/>
          <w:color w:val="000000"/>
          <w:sz w:val="20"/>
        </w:rPr>
        <w:t xml:space="preserve">, 10 F.4th 515, 520 (5th Cir. 2021). Summary judgment is appropriate where "there is no genuine dispute [*5]  as to any material fact and the movant is entitled to judgment as a matter of law." Fed. R. Civ. P. 56(a). The court must "refrain from making credibility determinations or weighing the evidence." </w:t>
      </w:r>
      <w:bookmarkStart w:id="3890" w:name="Bookmark_I668RJ7W2SF8PB0030000400"/>
      <w:bookmarkEnd w:id="3890"/>
      <w:r>
        <w:rPr>
          <w:rFonts w:ascii="Arial" w:eastAsia="Arial" w:hAnsi="Arial" w:cs="Arial"/>
          <w:i/>
          <w:color w:val="000000"/>
          <w:sz w:val="20"/>
        </w:rPr>
        <w:t>Turner v. Baylor Richardson Med. Ctr.</w:t>
      </w:r>
      <w:r>
        <w:rPr>
          <w:rFonts w:ascii="Arial" w:eastAsia="Arial" w:hAnsi="Arial" w:cs="Arial"/>
          <w:color w:val="000000"/>
          <w:sz w:val="20"/>
        </w:rPr>
        <w:t>, 476 F.3d 337, 343 (5th Cir. 2007).</w:t>
      </w:r>
    </w:p>
    <w:p w:rsidR="00022B47" w:rsidRDefault="00000000">
      <w:pPr>
        <w:pStyle w:val="Normal20"/>
        <w:widowControl w:val="0"/>
        <w:spacing w:before="200" w:line="260" w:lineRule="atLeast"/>
        <w:jc w:val="both"/>
      </w:pPr>
      <w:bookmarkStart w:id="3891" w:name="Bookmark_para_15_18"/>
      <w:bookmarkStart w:id="3892" w:name="Bookmark_I668RJ7Y2HM69C0010000400"/>
      <w:bookmarkStart w:id="3893" w:name="Bookmark_I668RJ7Y2HM69C0030000400"/>
      <w:bookmarkStart w:id="3894" w:name="Bookmark_LNHNREFclscc2_17"/>
      <w:bookmarkEnd w:id="3891"/>
      <w:bookmarkEnd w:id="3892"/>
      <w:bookmarkEnd w:id="3893"/>
      <w:bookmarkEnd w:id="3894"/>
      <w:r>
        <w:rPr>
          <w:rFonts w:ascii="Arial" w:eastAsia="Arial" w:hAnsi="Arial" w:cs="Arial"/>
          <w:color w:val="000000"/>
          <w:sz w:val="20"/>
        </w:rPr>
        <w:t xml:space="preserve">Regarding materiality, "[o]nly disputes over facts that might affect the outcome of the suit under the governing law will properly preclude the entry of summary judgment." </w:t>
      </w:r>
      <w:bookmarkStart w:id="3895" w:name="Bookmark_I668RJ7W2SF8PB0050000400"/>
      <w:bookmarkEnd w:id="3895"/>
      <w:r>
        <w:rPr>
          <w:rFonts w:ascii="Arial" w:eastAsia="Arial" w:hAnsi="Arial" w:cs="Arial"/>
          <w:i/>
          <w:color w:val="000000"/>
          <w:sz w:val="20"/>
        </w:rPr>
        <w:t>Anderson v. Liberty Lobby, Inc.</w:t>
      </w:r>
      <w:r>
        <w:rPr>
          <w:rFonts w:ascii="Arial" w:eastAsia="Arial" w:hAnsi="Arial" w:cs="Arial"/>
          <w:color w:val="000000"/>
          <w:sz w:val="20"/>
        </w:rPr>
        <w:t xml:space="preserve">, 477 U.S. 242, 248, 106 S. Ct. 2505, 91 L. Ed. 2d 202 (5th Cir. 1986). </w:t>
      </w:r>
      <w:bookmarkStart w:id="3896" w:name="Bookmark_I668RJ7Y2HM69C0050000400"/>
      <w:bookmarkEnd w:id="3896"/>
      <w:r>
        <w:rPr>
          <w:rFonts w:ascii="Arial" w:eastAsia="Arial" w:hAnsi="Arial" w:cs="Arial"/>
          <w:color w:val="000000"/>
          <w:sz w:val="20"/>
        </w:rPr>
        <w:t xml:space="preserve">"A genuine issue of material fact exists when the evidence is such that a reasonable jury could return a verdict for the non-movant. All facts and evidence must be taken in the light most favorable to the non-movant." </w:t>
      </w:r>
      <w:bookmarkStart w:id="3897" w:name="Bookmark_I668RJ7Y2HM69C0020000400"/>
      <w:bookmarkEnd w:id="3897"/>
      <w:r>
        <w:rPr>
          <w:rFonts w:ascii="Arial" w:eastAsia="Arial" w:hAnsi="Arial" w:cs="Arial"/>
          <w:i/>
          <w:color w:val="000000"/>
          <w:sz w:val="20"/>
        </w:rPr>
        <w:t>Davis-Lynch, Inc. v. Moreno</w:t>
      </w:r>
      <w:r>
        <w:rPr>
          <w:rFonts w:ascii="Arial" w:eastAsia="Arial" w:hAnsi="Arial" w:cs="Arial"/>
          <w:color w:val="000000"/>
          <w:sz w:val="20"/>
        </w:rPr>
        <w:t xml:space="preserve">, 667 F.3d 539, 549-50 (5th Cir. 2012) (internal marks and citations omitted). </w:t>
      </w:r>
      <w:bookmarkStart w:id="3898" w:name="Bookmark_I668RJ7Y2HM69C0050000400_2"/>
      <w:bookmarkEnd w:id="3898"/>
      <w:r>
        <w:rPr>
          <w:rFonts w:ascii="Arial" w:eastAsia="Arial" w:hAnsi="Arial" w:cs="Arial"/>
          <w:color w:val="000000"/>
          <w:sz w:val="20"/>
        </w:rPr>
        <w:t xml:space="preserve">Rule 56 does not require the genuine issue of material fact "to be resolved conclusively in favor of the party asserting its existence; rather, all that is required is that sufficient evidence supporting the claimed factual dispute be shown to require a jury or judge to resolve the parties' differing versions of the truth at trial." </w:t>
      </w:r>
      <w:bookmarkStart w:id="3899" w:name="Bookmark_I668RJ7Y2HM69C0040000400"/>
      <w:bookmarkEnd w:id="3899"/>
      <w:r>
        <w:rPr>
          <w:rFonts w:ascii="Arial" w:eastAsia="Arial" w:hAnsi="Arial" w:cs="Arial"/>
          <w:i/>
          <w:color w:val="000000"/>
          <w:sz w:val="20"/>
        </w:rPr>
        <w:t>First Nat'l Bank of Ariz. v. Cities Serv. Co.</w:t>
      </w:r>
      <w:r>
        <w:rPr>
          <w:rFonts w:ascii="Arial" w:eastAsia="Arial" w:hAnsi="Arial" w:cs="Arial"/>
          <w:color w:val="000000"/>
          <w:sz w:val="20"/>
        </w:rPr>
        <w:t>, 391 U.S. 253, 288-89, 88 S. Ct. 1575, 20 L. Ed. 2d 569 (1968).</w:t>
      </w:r>
    </w:p>
    <w:p w:rsidR="00022B47" w:rsidRDefault="00000000">
      <w:pPr>
        <w:pStyle w:val="Normal20"/>
        <w:widowControl w:val="0"/>
        <w:spacing w:before="240" w:line="260" w:lineRule="atLeast"/>
      </w:pPr>
      <w:r>
        <w:br/>
      </w:r>
      <w:r>
        <w:rPr>
          <w:rFonts w:ascii="Arial" w:eastAsia="Arial" w:hAnsi="Arial" w:cs="Arial"/>
          <w:b/>
          <w:smallCaps/>
          <w:color w:val="000000"/>
          <w:sz w:val="20"/>
        </w:rPr>
        <w:t>Discussion</w:t>
      </w:r>
    </w:p>
    <w:p w:rsidR="00022B47" w:rsidRDefault="00000000">
      <w:pPr>
        <w:pStyle w:val="Normal20"/>
        <w:widowControl w:val="0"/>
        <w:spacing w:before="240" w:line="260" w:lineRule="atLeast"/>
      </w:pPr>
      <w:r>
        <w:br/>
      </w:r>
      <w:r>
        <w:rPr>
          <w:rFonts w:ascii="Arial" w:eastAsia="Arial" w:hAnsi="Arial" w:cs="Arial"/>
          <w:b/>
          <w:color w:val="000000"/>
          <w:sz w:val="20"/>
        </w:rPr>
        <w:t>I. Whether the district court erred in granting summary judgment to Cash Depot, defendant-appellee</w:t>
      </w:r>
      <w:r>
        <w:rPr>
          <w:rFonts w:ascii="Arial" w:eastAsia="Arial" w:hAnsi="Arial" w:cs="Arial"/>
          <w:color w:val="000000"/>
          <w:sz w:val="20"/>
        </w:rPr>
        <w:t>.</w:t>
      </w:r>
    </w:p>
    <w:p w:rsidR="00022B47" w:rsidRDefault="00000000">
      <w:pPr>
        <w:pStyle w:val="Normal20"/>
        <w:widowControl w:val="0"/>
        <w:spacing w:before="200" w:line="260" w:lineRule="atLeast"/>
        <w:jc w:val="both"/>
      </w:pPr>
      <w:bookmarkStart w:id="3900" w:name="Bookmark_para_16_18"/>
      <w:bookmarkEnd w:id="3900"/>
      <w:r>
        <w:rPr>
          <w:rFonts w:ascii="Arial" w:eastAsia="Arial" w:hAnsi="Arial" w:cs="Arial"/>
          <w:color w:val="000000"/>
          <w:sz w:val="20"/>
        </w:rPr>
        <w:t>Galloway asserts that there are genuine issues of material fact as to whether he was qualified to perform his essential job functions. Specifically, Galloway [*6]  says that the district court discounted ample evidence that his 25-pound restriction was consistent with the job's demands. Galloway alternatively asserts that a jury could find him qualified because CD could reasonably accommodate his restriction. CD counters that the district court correctly found that no reasonable jury could find that Galloway's medical restriction would allow him to perform the essential functions of his job or that there was a reasonable accommodation.</w:t>
      </w:r>
    </w:p>
    <w:p w:rsidR="00022B47" w:rsidRDefault="00000000">
      <w:pPr>
        <w:pStyle w:val="Normal20"/>
        <w:widowControl w:val="0"/>
        <w:spacing w:before="200" w:line="260" w:lineRule="atLeast"/>
        <w:jc w:val="both"/>
      </w:pPr>
      <w:bookmarkStart w:id="3901" w:name="Bookmark_para_17_17"/>
      <w:bookmarkStart w:id="3902" w:name="Bookmark_I28M4BSSWC900007BM200001"/>
      <w:bookmarkStart w:id="3903" w:name="Bookmark_I668RJ7Y28T4C30020000400"/>
      <w:bookmarkStart w:id="3904" w:name="Bookmark_LNHNREFclscc3_17"/>
      <w:bookmarkEnd w:id="3901"/>
      <w:bookmarkEnd w:id="3902"/>
      <w:bookmarkEnd w:id="3903"/>
      <w:bookmarkEnd w:id="3904"/>
      <w:r>
        <w:rPr>
          <w:rFonts w:ascii="Arial" w:eastAsia="Arial" w:hAnsi="Arial" w:cs="Arial"/>
          <w:color w:val="000000"/>
          <w:sz w:val="20"/>
        </w:rPr>
        <w:t xml:space="preserve">The ADA prohibits employers from discriminating against qualified employees on the basis of a disability. 42 U.S.C. § 12112(a). Galloway must prove that (1) he has a disability, (2) he is qualified for the job of field technician, and (3) he was subject to an adverse employment decision because of his disability. </w:t>
      </w:r>
      <w:bookmarkStart w:id="3905" w:name="Bookmark_I668RJ7Y28T4C30010000400"/>
      <w:bookmarkEnd w:id="3905"/>
      <w:r>
        <w:rPr>
          <w:rFonts w:ascii="Arial" w:eastAsia="Arial" w:hAnsi="Arial" w:cs="Arial"/>
          <w:i/>
          <w:color w:val="000000"/>
          <w:sz w:val="20"/>
        </w:rPr>
        <w:t>EEOC v. LHC Group, Inc.</w:t>
      </w:r>
      <w:r>
        <w:rPr>
          <w:rFonts w:ascii="Arial" w:eastAsia="Arial" w:hAnsi="Arial" w:cs="Arial"/>
          <w:color w:val="000000"/>
          <w:sz w:val="20"/>
        </w:rPr>
        <w:t xml:space="preserve">, 773 F.3d 688, 695-97 (5th Cir. 2014). To be qualified, Galloway must have been able to do the essential functions of a field service technician with or without reasonable accommodation. </w:t>
      </w:r>
      <w:r>
        <w:rPr>
          <w:rFonts w:ascii="Arial" w:eastAsia="Arial" w:hAnsi="Arial" w:cs="Arial"/>
          <w:i/>
          <w:color w:val="000000"/>
          <w:sz w:val="20"/>
        </w:rPr>
        <w:t>See</w:t>
      </w:r>
      <w:r>
        <w:rPr>
          <w:rFonts w:ascii="Arial" w:eastAsia="Arial" w:hAnsi="Arial" w:cs="Arial"/>
          <w:color w:val="000000"/>
          <w:sz w:val="20"/>
        </w:rPr>
        <w:t xml:space="preserve"> § 42 U.S.C. § 12111(8).</w:t>
      </w:r>
    </w:p>
    <w:p w:rsidR="00022B47" w:rsidRDefault="00000000">
      <w:pPr>
        <w:pStyle w:val="Normal20"/>
        <w:widowControl w:val="0"/>
        <w:spacing w:before="200" w:line="260" w:lineRule="atLeast"/>
        <w:jc w:val="both"/>
      </w:pPr>
      <w:bookmarkStart w:id="3906" w:name="Bookmark_para_18_17"/>
      <w:bookmarkEnd w:id="3906"/>
      <w:r>
        <w:rPr>
          <w:rFonts w:ascii="Arial" w:eastAsia="Arial" w:hAnsi="Arial" w:cs="Arial"/>
          <w:color w:val="000000"/>
          <w:sz w:val="20"/>
        </w:rPr>
        <w:t>The district court said that Galloway's testimony regarding his ability to do his job was mere "speculation" which "does not create a fact issue and does not overcome the deference given to Cash Depot's business judgment in how the job is done." The district court also said: [*7] </w:t>
      </w:r>
    </w:p>
    <w:p w:rsidR="00022B47" w:rsidRDefault="00000000">
      <w:pPr>
        <w:pStyle w:val="Normal20"/>
        <w:widowControl w:val="0"/>
        <w:spacing w:line="260" w:lineRule="atLeast"/>
        <w:ind w:left="400"/>
        <w:jc w:val="both"/>
      </w:pPr>
      <w:bookmarkStart w:id="3907" w:name="Bookmark_para_19_16"/>
      <w:bookmarkEnd w:id="3907"/>
      <w:r>
        <w:rPr>
          <w:rFonts w:ascii="Arial" w:eastAsia="Arial" w:hAnsi="Arial" w:cs="Arial"/>
          <w:color w:val="000000"/>
          <w:sz w:val="20"/>
        </w:rPr>
        <w:t>The Commission also highlights how the job description gives a 20-pound lifting requirement. This may be considered, but it is not conclusive. The court must consider the full range of the facts. It may give deference to Cash Depot's judgment. The company's more experienced workers understood that the technicians would have to lift more than 25 pounds during most of the job's activities - including coin empties, repairs, moves, and replacements.</w:t>
      </w:r>
    </w:p>
    <w:p w:rsidR="00022B47" w:rsidRDefault="00000000">
      <w:pPr>
        <w:pStyle w:val="Normal20"/>
        <w:widowControl w:val="0"/>
        <w:spacing w:line="260" w:lineRule="atLeast"/>
        <w:ind w:left="400"/>
        <w:jc w:val="both"/>
      </w:pPr>
      <w:bookmarkStart w:id="3908" w:name="Bookmark_para_20_16"/>
      <w:bookmarkEnd w:id="3908"/>
      <w:r>
        <w:rPr>
          <w:rFonts w:ascii="Arial" w:eastAsia="Arial" w:hAnsi="Arial" w:cs="Arial"/>
          <w:color w:val="000000"/>
          <w:sz w:val="20"/>
        </w:rPr>
        <w:t>The Commission considers this speculative. It confuses the burden in the case. It cannot challenge with Galloway's own speculation. It carries the burden to prove the case it brought - not Cash Depot's burden to prove it is not liable.</w:t>
      </w:r>
    </w:p>
    <w:p w:rsidR="00022B47" w:rsidRDefault="00000000">
      <w:pPr>
        <w:pStyle w:val="Normal20"/>
        <w:widowControl w:val="0"/>
        <w:spacing w:before="200" w:line="260" w:lineRule="atLeast"/>
        <w:jc w:val="both"/>
      </w:pPr>
      <w:bookmarkStart w:id="3909" w:name="Bookmark_para_21_16"/>
      <w:bookmarkStart w:id="3910" w:name="Bookmark_I668RJ7Y28T4C30040000400"/>
      <w:bookmarkStart w:id="3911" w:name="Bookmark_I668RJ802D6MXY0010000400"/>
      <w:bookmarkEnd w:id="3909"/>
      <w:bookmarkEnd w:id="3910"/>
      <w:bookmarkEnd w:id="3911"/>
      <w:r>
        <w:rPr>
          <w:rFonts w:ascii="Arial" w:eastAsia="Arial" w:hAnsi="Arial" w:cs="Arial"/>
          <w:color w:val="000000"/>
          <w:sz w:val="20"/>
        </w:rPr>
        <w:t xml:space="preserve">The Commission does not have the burden to prove its entire case on summary judgment. </w:t>
      </w:r>
      <w:bookmarkStart w:id="3912" w:name="Bookmark_LNHNREFclscc4_17"/>
      <w:bookmarkEnd w:id="3912"/>
      <w:r>
        <w:rPr>
          <w:rFonts w:ascii="Arial" w:eastAsia="Arial" w:hAnsi="Arial" w:cs="Arial"/>
          <w:color w:val="000000"/>
          <w:sz w:val="20"/>
        </w:rPr>
        <w:t xml:space="preserve">Instead, CD has the burden of establishing the absence of a genuine issue of material fact. </w:t>
      </w:r>
      <w:r>
        <w:rPr>
          <w:rFonts w:ascii="Arial" w:eastAsia="Arial" w:hAnsi="Arial" w:cs="Arial"/>
          <w:i/>
          <w:color w:val="000000"/>
          <w:sz w:val="20"/>
        </w:rPr>
        <w:t>See</w:t>
      </w:r>
      <w:r>
        <w:rPr>
          <w:rFonts w:ascii="Arial" w:eastAsia="Arial" w:hAnsi="Arial" w:cs="Arial"/>
          <w:color w:val="000000"/>
          <w:sz w:val="20"/>
        </w:rPr>
        <w:t xml:space="preserve"> Fed. R. Civ. P. 56(a); </w:t>
      </w:r>
      <w:r>
        <w:rPr>
          <w:rFonts w:ascii="Arial" w:eastAsia="Arial" w:hAnsi="Arial" w:cs="Arial"/>
          <w:i/>
          <w:color w:val="000000"/>
          <w:sz w:val="20"/>
        </w:rPr>
        <w:t xml:space="preserve">see also </w:t>
      </w:r>
      <w:bookmarkStart w:id="3913" w:name="Bookmark_I668RJ7Y28T4C30030000400"/>
      <w:bookmarkEnd w:id="3913"/>
      <w:r>
        <w:rPr>
          <w:rFonts w:ascii="Arial" w:eastAsia="Arial" w:hAnsi="Arial" w:cs="Arial"/>
          <w:i/>
          <w:color w:val="000000"/>
          <w:sz w:val="20"/>
        </w:rPr>
        <w:t>Celotex Corp. v. Catrett</w:t>
      </w:r>
      <w:r>
        <w:rPr>
          <w:rFonts w:ascii="Arial" w:eastAsia="Arial" w:hAnsi="Arial" w:cs="Arial"/>
          <w:color w:val="000000"/>
          <w:sz w:val="20"/>
        </w:rPr>
        <w:t xml:space="preserve">, 477 U.S. 317, 325, 106 S. Ct. 2548, 91 L. Ed. 2d 265 (1986) . If CD does that, then the EEOC is required "to go beyond the pleadings and by [its] own affidavits, or by the depositions, answers to interrogatories, and admissions on file, designate specific facts showing that there is a genuine issue for trial." </w:t>
      </w:r>
      <w:bookmarkStart w:id="3914" w:name="Bookmark_I668RJ7Y28T4C30050000400"/>
      <w:bookmarkEnd w:id="3914"/>
      <w:r>
        <w:rPr>
          <w:rFonts w:ascii="Arial" w:eastAsia="Arial" w:hAnsi="Arial" w:cs="Arial"/>
          <w:i/>
          <w:color w:val="000000"/>
          <w:sz w:val="20"/>
        </w:rPr>
        <w:t>Catrett</w:t>
      </w:r>
      <w:r>
        <w:rPr>
          <w:rFonts w:ascii="Arial" w:eastAsia="Arial" w:hAnsi="Arial" w:cs="Arial"/>
          <w:color w:val="000000"/>
          <w:sz w:val="20"/>
        </w:rPr>
        <w:t>, 477 U.S. at 324 (internal marks omitted). The record establishes that the EEOC did that. [*8]  What the record does not establish is that no jury could find discrimination.</w:t>
      </w:r>
    </w:p>
    <w:p w:rsidR="00022B47" w:rsidRDefault="00000000">
      <w:pPr>
        <w:pStyle w:val="Normal20"/>
        <w:widowControl w:val="0"/>
        <w:spacing w:before="200" w:line="260" w:lineRule="atLeast"/>
        <w:jc w:val="both"/>
      </w:pPr>
      <w:bookmarkStart w:id="3915" w:name="Bookmark_para_22_15"/>
      <w:bookmarkStart w:id="3916" w:name="Bookmark_I668RJ802D6MXY0030000400"/>
      <w:bookmarkEnd w:id="3915"/>
      <w:bookmarkEnd w:id="3916"/>
      <w:r>
        <w:rPr>
          <w:rFonts w:ascii="Arial" w:eastAsia="Arial" w:hAnsi="Arial" w:cs="Arial"/>
          <w:color w:val="000000"/>
          <w:sz w:val="20"/>
        </w:rPr>
        <w:t xml:space="preserve">Further, the district court failed to construe the facts and evidence in the light most favorable to the EEOC, as it is required. </w:t>
      </w:r>
      <w:bookmarkStart w:id="3917" w:name="Bookmark_I668RJ802D6MXY0050000400"/>
      <w:bookmarkEnd w:id="3917"/>
      <w:r>
        <w:rPr>
          <w:rFonts w:ascii="Arial" w:eastAsia="Arial" w:hAnsi="Arial" w:cs="Arial"/>
          <w:i/>
          <w:color w:val="000000"/>
          <w:sz w:val="20"/>
        </w:rPr>
        <w:t xml:space="preserve">See </w:t>
      </w:r>
      <w:bookmarkStart w:id="3918" w:name="Bookmark_I668RJ802D6MXY0020000400"/>
      <w:bookmarkEnd w:id="3918"/>
      <w:r>
        <w:rPr>
          <w:rFonts w:ascii="Arial" w:eastAsia="Arial" w:hAnsi="Arial" w:cs="Arial"/>
          <w:i/>
          <w:color w:val="000000"/>
          <w:sz w:val="20"/>
        </w:rPr>
        <w:t>Davis-Lynch, Inc.</w:t>
      </w:r>
      <w:r>
        <w:rPr>
          <w:rFonts w:ascii="Arial" w:eastAsia="Arial" w:hAnsi="Arial" w:cs="Arial"/>
          <w:color w:val="000000"/>
          <w:sz w:val="20"/>
        </w:rPr>
        <w:t xml:space="preserve">, 667 F.3d at 549-50. Instead, the district court improperly made credibility determinations or weighed the evidence. </w:t>
      </w:r>
      <w:bookmarkStart w:id="3919" w:name="Bookmark_I668RJ802D6MXY0050000400_2"/>
      <w:bookmarkEnd w:id="3919"/>
      <w:r>
        <w:rPr>
          <w:rFonts w:ascii="Arial" w:eastAsia="Arial" w:hAnsi="Arial" w:cs="Arial"/>
          <w:i/>
          <w:color w:val="000000"/>
          <w:sz w:val="20"/>
        </w:rPr>
        <w:t xml:space="preserve">See </w:t>
      </w:r>
      <w:bookmarkStart w:id="3920" w:name="Bookmark_I668RJ802D6MXY0040000400"/>
      <w:bookmarkEnd w:id="3920"/>
      <w:r>
        <w:rPr>
          <w:rFonts w:ascii="Arial" w:eastAsia="Arial" w:hAnsi="Arial" w:cs="Arial"/>
          <w:i/>
          <w:color w:val="000000"/>
          <w:sz w:val="20"/>
        </w:rPr>
        <w:t>Turner</w:t>
      </w:r>
      <w:r>
        <w:rPr>
          <w:rFonts w:ascii="Arial" w:eastAsia="Arial" w:hAnsi="Arial" w:cs="Arial"/>
          <w:color w:val="000000"/>
          <w:sz w:val="20"/>
        </w:rPr>
        <w:t>, 476 F.3d at 343.</w:t>
      </w:r>
    </w:p>
    <w:p w:rsidR="00022B47" w:rsidRDefault="00000000">
      <w:pPr>
        <w:pStyle w:val="Normal20"/>
        <w:widowControl w:val="0"/>
        <w:spacing w:before="200" w:line="260" w:lineRule="atLeast"/>
        <w:jc w:val="both"/>
      </w:pPr>
      <w:bookmarkStart w:id="3921" w:name="Bookmark_para_23_14"/>
      <w:bookmarkEnd w:id="3921"/>
      <w:r>
        <w:rPr>
          <w:rFonts w:ascii="Arial" w:eastAsia="Arial" w:hAnsi="Arial" w:cs="Arial"/>
          <w:color w:val="000000"/>
          <w:sz w:val="20"/>
        </w:rPr>
        <w:t>The definition of "qualified individual" here includes the following:</w:t>
      </w:r>
    </w:p>
    <w:p w:rsidR="00022B47" w:rsidRDefault="00000000">
      <w:pPr>
        <w:pStyle w:val="Normal20"/>
        <w:widowControl w:val="0"/>
        <w:spacing w:line="260" w:lineRule="atLeast"/>
        <w:ind w:left="400"/>
        <w:jc w:val="both"/>
      </w:pPr>
      <w:bookmarkStart w:id="3922" w:name="Bookmark_para_24_14"/>
      <w:bookmarkEnd w:id="3922"/>
      <w:r>
        <w:rPr>
          <w:rFonts w:ascii="Arial" w:eastAsia="Arial" w:hAnsi="Arial" w:cs="Arial"/>
          <w:color w:val="000000"/>
          <w:sz w:val="20"/>
        </w:rPr>
        <w:t>For the purposes of this subchapter, consideration shall be given to the employer's judgment as to what functions of a job are essential, and if an employer has prepared a written description before advertising or interviewing applicants for the job, this description shall be considered evidence of the essential functions of the job.</w:t>
      </w:r>
    </w:p>
    <w:p w:rsidR="00022B47" w:rsidRDefault="00000000">
      <w:pPr>
        <w:pStyle w:val="Normal20"/>
        <w:widowControl w:val="0"/>
        <w:spacing w:line="260" w:lineRule="atLeast"/>
        <w:jc w:val="both"/>
      </w:pPr>
      <w:r>
        <w:rPr>
          <w:rFonts w:ascii="Arial" w:eastAsia="Arial" w:hAnsi="Arial" w:cs="Arial"/>
          <w:color w:val="000000"/>
          <w:sz w:val="20"/>
        </w:rPr>
        <w:t>42 U.S.C. § 12111(8).</w:t>
      </w:r>
    </w:p>
    <w:p w:rsidR="00022B47" w:rsidRDefault="00000000">
      <w:pPr>
        <w:pStyle w:val="Normal20"/>
        <w:widowControl w:val="0"/>
        <w:spacing w:before="200" w:line="260" w:lineRule="atLeast"/>
        <w:jc w:val="both"/>
      </w:pPr>
      <w:bookmarkStart w:id="3923" w:name="Bookmark_para_25_14"/>
      <w:bookmarkStart w:id="3924" w:name="Bookmark_I668RJ802N1R4T0020000400"/>
      <w:bookmarkStart w:id="3925" w:name="Bookmark_I668RJ802N1R4T0040000400"/>
      <w:bookmarkEnd w:id="3923"/>
      <w:bookmarkEnd w:id="3924"/>
      <w:bookmarkEnd w:id="3925"/>
      <w:r>
        <w:rPr>
          <w:rFonts w:ascii="Arial" w:eastAsia="Arial" w:hAnsi="Arial" w:cs="Arial"/>
          <w:color w:val="000000"/>
          <w:sz w:val="20"/>
        </w:rPr>
        <w:t xml:space="preserve">The district court here not only gave consideration to CD's judgment but also gave deference to it despite contradictory evidence. The district court cited </w:t>
      </w:r>
      <w:bookmarkStart w:id="3926" w:name="Bookmark_I668RJ802N1R4T0010000400"/>
      <w:bookmarkEnd w:id="3926"/>
      <w:r>
        <w:rPr>
          <w:rFonts w:ascii="Arial" w:eastAsia="Arial" w:hAnsi="Arial" w:cs="Arial"/>
          <w:i/>
          <w:color w:val="000000"/>
          <w:sz w:val="20"/>
        </w:rPr>
        <w:t>Credeur v. Louisiana Through Office of the Attorney General</w:t>
      </w:r>
      <w:r>
        <w:rPr>
          <w:rFonts w:ascii="Arial" w:eastAsia="Arial" w:hAnsi="Arial" w:cs="Arial"/>
          <w:color w:val="000000"/>
          <w:sz w:val="20"/>
        </w:rPr>
        <w:t xml:space="preserve">, 860 F.3d 785, 794 (5th Cir. 2017), for the proposition that Galloway's "speculation does not create a fact issue and does not overcome the deference given to Cash Depot's business judgment in how the job is done." Galloway was not merely speculating about his job or whether what he did was essential; he was testifying as to what he actually did on that job [*9]  on a daily basis. </w:t>
      </w:r>
      <w:bookmarkStart w:id="3927" w:name="Bookmark_I668RJ802N1R4V0030000400"/>
      <w:bookmarkStart w:id="3928" w:name="Bookmark_LNHNREFclscc5_17"/>
      <w:bookmarkEnd w:id="3927"/>
      <w:bookmarkEnd w:id="3928"/>
      <w:r>
        <w:rPr>
          <w:rFonts w:ascii="Arial" w:eastAsia="Arial" w:hAnsi="Arial" w:cs="Arial"/>
          <w:color w:val="000000"/>
          <w:sz w:val="20"/>
        </w:rPr>
        <w:t xml:space="preserve">In </w:t>
      </w:r>
      <w:bookmarkStart w:id="3929" w:name="Bookmark_I668RJ802N1R4V0030000400_2"/>
      <w:bookmarkStart w:id="3930" w:name="Bookmark_I668RJ802N1R4T0040000400_2"/>
      <w:bookmarkStart w:id="3931" w:name="Bookmark_I668RJ802N1R4T0020000400_2"/>
      <w:bookmarkStart w:id="3932" w:name="Bookmark_I668RJ802N1R4T0030000400"/>
      <w:bookmarkEnd w:id="3929"/>
      <w:bookmarkEnd w:id="3930"/>
      <w:bookmarkEnd w:id="3931"/>
      <w:bookmarkEnd w:id="3932"/>
      <w:r>
        <w:rPr>
          <w:rFonts w:ascii="Arial" w:eastAsia="Arial" w:hAnsi="Arial" w:cs="Arial"/>
          <w:i/>
          <w:color w:val="000000"/>
          <w:sz w:val="20"/>
        </w:rPr>
        <w:t>Credeur</w:t>
      </w:r>
      <w:r>
        <w:rPr>
          <w:rFonts w:ascii="Arial" w:eastAsia="Arial" w:hAnsi="Arial" w:cs="Arial"/>
          <w:color w:val="000000"/>
          <w:sz w:val="20"/>
        </w:rPr>
        <w:t xml:space="preserve">, this court said that "[w]hile we are mindful that employees can be good sources of information regarding their day-to-day activities and the prerequisites for success on the job, [a]n employee's unsupported testimony that she could perform her job functions from home does not create a genuine dispute of fact to preclude summary judgment." </w:t>
      </w:r>
      <w:bookmarkStart w:id="3933" w:name="Bookmark_I668RJ802N1R4T0050000400"/>
      <w:bookmarkEnd w:id="3933"/>
      <w:r>
        <w:rPr>
          <w:rFonts w:ascii="Arial" w:eastAsia="Arial" w:hAnsi="Arial" w:cs="Arial"/>
          <w:i/>
          <w:color w:val="000000"/>
          <w:sz w:val="20"/>
        </w:rPr>
        <w:t>Id.</w:t>
      </w:r>
      <w:r>
        <w:rPr>
          <w:rFonts w:ascii="Arial" w:eastAsia="Arial" w:hAnsi="Arial" w:cs="Arial"/>
          <w:color w:val="000000"/>
          <w:sz w:val="20"/>
        </w:rPr>
        <w:t xml:space="preserve"> at 793 (internal marks and citation omitted). Importantly, this court also said in </w:t>
      </w:r>
      <w:bookmarkStart w:id="3934" w:name="Bookmark_I668RJ802N1R4V0030000400_3"/>
      <w:bookmarkStart w:id="3935" w:name="Bookmark_I668RJ802N1R4V0020000400"/>
      <w:bookmarkEnd w:id="3934"/>
      <w:bookmarkEnd w:id="3935"/>
      <w:r>
        <w:rPr>
          <w:rFonts w:ascii="Arial" w:eastAsia="Arial" w:hAnsi="Arial" w:cs="Arial"/>
          <w:i/>
          <w:color w:val="000000"/>
          <w:sz w:val="20"/>
        </w:rPr>
        <w:t>Credeur</w:t>
      </w:r>
      <w:r>
        <w:rPr>
          <w:rFonts w:ascii="Arial" w:eastAsia="Arial" w:hAnsi="Arial" w:cs="Arial"/>
          <w:color w:val="000000"/>
          <w:sz w:val="20"/>
        </w:rPr>
        <w:t xml:space="preserve"> that, "[o]f course, courts should not give blind deference to an employer's judgment, but should instead evaluate the employer's words alongside its policies and practices." </w:t>
      </w:r>
      <w:r>
        <w:rPr>
          <w:rFonts w:ascii="Arial" w:eastAsia="Arial" w:hAnsi="Arial" w:cs="Arial"/>
          <w:i/>
          <w:color w:val="000000"/>
          <w:sz w:val="20"/>
        </w:rPr>
        <w:t>Id.</w:t>
      </w:r>
    </w:p>
    <w:p w:rsidR="00022B47" w:rsidRDefault="00000000">
      <w:pPr>
        <w:pStyle w:val="Normal20"/>
        <w:widowControl w:val="0"/>
        <w:spacing w:before="200" w:line="260" w:lineRule="atLeast"/>
        <w:jc w:val="both"/>
      </w:pPr>
      <w:bookmarkStart w:id="3936" w:name="Bookmark_para_26_13"/>
      <w:bookmarkEnd w:id="3936"/>
      <w:r>
        <w:rPr>
          <w:rFonts w:ascii="Arial" w:eastAsia="Arial" w:hAnsi="Arial" w:cs="Arial"/>
          <w:color w:val="000000"/>
          <w:sz w:val="20"/>
        </w:rPr>
        <w:t>The district court dismissed Galloway's deposition testimony as speculative on the basis that he had only worked for CD for seven months. In doing so, the district court failed to give sufficient consideration to the fact that Galloway's testimony was supported by his doctors and CD's own job description. The relevant portions of the job description for field technician said that the employee would frequently be required to lift up to 20 pounds, carry 2-5 pounds for 20-40 feet, pull or move 400-900 pounds on a dolly and with a winch, and be willing to drive more than 50 percent [*10]  of a day.</w:t>
      </w:r>
      <w:r>
        <w:rPr>
          <w:rFonts w:ascii="Arial" w:eastAsia="Arial" w:hAnsi="Arial" w:cs="Arial"/>
          <w:vertAlign w:val="superscript"/>
        </w:rPr>
        <w:footnoteReference w:customMarkFollows="1" w:id="81"/>
        <w:t>2</w:t>
      </w:r>
    </w:p>
    <w:p w:rsidR="00022B47" w:rsidRDefault="00000000">
      <w:pPr>
        <w:pStyle w:val="Normal20"/>
        <w:widowControl w:val="0"/>
        <w:spacing w:before="200" w:line="260" w:lineRule="atLeast"/>
        <w:jc w:val="both"/>
      </w:pPr>
      <w:bookmarkStart w:id="3938" w:name="Bookmark_para_27_13"/>
      <w:bookmarkStart w:id="3939" w:name="Bookmark_LNHNREFclscc6_14"/>
      <w:bookmarkEnd w:id="3938"/>
      <w:bookmarkEnd w:id="3939"/>
      <w:r>
        <w:rPr>
          <w:rFonts w:ascii="Arial" w:eastAsia="Arial" w:hAnsi="Arial" w:cs="Arial"/>
          <w:color w:val="000000"/>
          <w:sz w:val="20"/>
        </w:rPr>
        <w:t>As quoted above, "consideration shall be given to the employer's judgment as to what functions of a job are essential." 42 U.S.C. § 12111(8). Consideration — not deference; and the consideration is limited to CD's judgment only as to what functions of a job are essential. But subsection 8 also explicitly states the job description "shall be considered evidence of the essential functions of the job." The district court failed to do that. Moreover, the district court failed to evaluate CD's judgment alongside its policies and practices. As discussed below, the EEOC offered evidence that CD had made similar accommodations for various other employees.</w:t>
      </w:r>
    </w:p>
    <w:p w:rsidR="00022B47" w:rsidRDefault="00000000">
      <w:pPr>
        <w:pStyle w:val="Normal20"/>
        <w:widowControl w:val="0"/>
        <w:spacing w:before="200" w:line="260" w:lineRule="atLeast"/>
        <w:jc w:val="both"/>
      </w:pPr>
      <w:bookmarkStart w:id="3940" w:name="Bookmark_para_28_13"/>
      <w:bookmarkStart w:id="3941" w:name="Bookmark_I668RJ802N1R4V0050000400"/>
      <w:bookmarkEnd w:id="3940"/>
      <w:bookmarkEnd w:id="3941"/>
      <w:r>
        <w:rPr>
          <w:rFonts w:ascii="Arial" w:eastAsia="Arial" w:hAnsi="Arial" w:cs="Arial"/>
          <w:color w:val="000000"/>
          <w:sz w:val="20"/>
        </w:rPr>
        <w:t xml:space="preserve">The district court also relied on the standard in </w:t>
      </w:r>
      <w:bookmarkStart w:id="3942" w:name="Bookmark_I668RJ802N1R4V0040000400"/>
      <w:bookmarkEnd w:id="3942"/>
      <w:r>
        <w:rPr>
          <w:rFonts w:ascii="Arial" w:eastAsia="Arial" w:hAnsi="Arial" w:cs="Arial"/>
          <w:i/>
          <w:color w:val="000000"/>
          <w:sz w:val="20"/>
        </w:rPr>
        <w:t>Credeur</w:t>
      </w:r>
      <w:r>
        <w:rPr>
          <w:rFonts w:ascii="Arial" w:eastAsia="Arial" w:hAnsi="Arial" w:cs="Arial"/>
          <w:color w:val="000000"/>
          <w:sz w:val="20"/>
        </w:rPr>
        <w:t xml:space="preserve"> for a failure to accommodate claim which states: "A prima facie claim for failure to accommodate requires that: (1) the plaintiff is a qualified individual with a disability; (2) the disability and its consequential limitations were known by the covered employer; and (3) the employer failed to make reasonable accommodations for such known limitations." </w:t>
      </w:r>
      <w:bookmarkStart w:id="3943" w:name="Bookmark_I668RJ802HM69J0010000400"/>
      <w:bookmarkEnd w:id="3943"/>
      <w:r>
        <w:rPr>
          <w:rFonts w:ascii="Arial" w:eastAsia="Arial" w:hAnsi="Arial" w:cs="Arial"/>
          <w:i/>
          <w:color w:val="000000"/>
          <w:sz w:val="20"/>
        </w:rPr>
        <w:t>Id.</w:t>
      </w:r>
      <w:r>
        <w:rPr>
          <w:rFonts w:ascii="Arial" w:eastAsia="Arial" w:hAnsi="Arial" w:cs="Arial"/>
          <w:color w:val="000000"/>
          <w:sz w:val="20"/>
        </w:rPr>
        <w:t>, 860 F.3d at 792. The court then found that Galloway was not a qualified individual because he could not perform the essential functions of a field service technician [*11]  with or without a reasonable accommodation.</w:t>
      </w:r>
    </w:p>
    <w:p w:rsidR="00022B47" w:rsidRDefault="00000000">
      <w:pPr>
        <w:pStyle w:val="Normal20"/>
        <w:widowControl w:val="0"/>
        <w:spacing w:before="200" w:line="260" w:lineRule="atLeast"/>
        <w:jc w:val="both"/>
      </w:pPr>
      <w:bookmarkStart w:id="3944" w:name="Bookmark_para_29_13"/>
      <w:bookmarkStart w:id="3945" w:name="Bookmark_LNHNREFclscc7_13"/>
      <w:bookmarkEnd w:id="3944"/>
      <w:bookmarkEnd w:id="3945"/>
      <w:r>
        <w:rPr>
          <w:rFonts w:ascii="Arial" w:eastAsia="Arial" w:hAnsi="Arial" w:cs="Arial"/>
          <w:color w:val="000000"/>
          <w:sz w:val="20"/>
        </w:rPr>
        <w:t>A reasonable accommodation may include:</w:t>
      </w:r>
    </w:p>
    <w:p w:rsidR="00022B47" w:rsidRDefault="00000000">
      <w:pPr>
        <w:pStyle w:val="Normal20"/>
        <w:widowControl w:val="0"/>
        <w:spacing w:line="260" w:lineRule="atLeast"/>
        <w:ind w:left="400"/>
        <w:jc w:val="both"/>
      </w:pPr>
      <w:bookmarkStart w:id="3946" w:name="Bookmark_para_30_12"/>
      <w:bookmarkEnd w:id="3946"/>
      <w:r>
        <w:rPr>
          <w:rFonts w:ascii="Arial" w:eastAsia="Arial" w:hAnsi="Arial" w:cs="Arial"/>
          <w:color w:val="000000"/>
          <w:sz w:val="20"/>
        </w:rPr>
        <w:t>(A) making existing facilities used by employees readily accessible to and usable by individuals with disabilities; and</w:t>
      </w:r>
    </w:p>
    <w:p w:rsidR="00022B47" w:rsidRDefault="00000000">
      <w:pPr>
        <w:pStyle w:val="Normal20"/>
        <w:widowControl w:val="0"/>
        <w:spacing w:line="260" w:lineRule="atLeast"/>
        <w:ind w:left="400"/>
        <w:jc w:val="both"/>
      </w:pPr>
      <w:bookmarkStart w:id="3947" w:name="Bookmark_para_31_12"/>
      <w:bookmarkEnd w:id="3947"/>
      <w:r>
        <w:rPr>
          <w:rFonts w:ascii="Arial" w:eastAsia="Arial" w:hAnsi="Arial" w:cs="Arial"/>
          <w:color w:val="000000"/>
          <w:sz w:val="20"/>
        </w:rPr>
        <w:t>(B) job restructuring, part-time or modified work schedules, reassignment to a vacant position, acquisition or modification of equipment or devices, appropriate adjustment or modifications of examinations, training materials or policies, the provision of qualified readers or interpreters, and other similar accommodations for individuals with disabilities.</w:t>
      </w:r>
    </w:p>
    <w:p w:rsidR="00022B47" w:rsidRDefault="00000000">
      <w:pPr>
        <w:pStyle w:val="Normal20"/>
        <w:widowControl w:val="0"/>
        <w:spacing w:line="260" w:lineRule="atLeast"/>
        <w:jc w:val="both"/>
      </w:pPr>
      <w:r>
        <w:rPr>
          <w:rFonts w:ascii="Arial" w:eastAsia="Arial" w:hAnsi="Arial" w:cs="Arial"/>
          <w:color w:val="000000"/>
          <w:sz w:val="20"/>
        </w:rPr>
        <w:t>42 U.S.C. § 12111(9).</w:t>
      </w:r>
    </w:p>
    <w:p w:rsidR="00022B47" w:rsidRDefault="00000000">
      <w:pPr>
        <w:pStyle w:val="Normal20"/>
        <w:widowControl w:val="0"/>
        <w:spacing w:before="200" w:line="260" w:lineRule="atLeast"/>
        <w:jc w:val="both"/>
      </w:pPr>
      <w:bookmarkStart w:id="3948" w:name="Bookmark_para_32_12"/>
      <w:bookmarkEnd w:id="3948"/>
      <w:r>
        <w:rPr>
          <w:rFonts w:ascii="Arial" w:eastAsia="Arial" w:hAnsi="Arial" w:cs="Arial"/>
          <w:color w:val="000000"/>
          <w:sz w:val="20"/>
        </w:rPr>
        <w:t>The EEOC asserts that CD could have allowed Galloway to temporarily split coin retrievals into more than one bag, restructured his work to temporarily avoid installations and removals that he rarely performed anyway, or extend his unpaid leave until the restriction was lifted. The district court dismissed any suggestion of splitting coin retrievals as speculative and then speculated that, "[t]his could lead to stolen bags as they would be left unattended." As to restructuring Galloway's work, the district court held that "Cash Depot is not required to hire others to cover or do parts of Galloway's job. Paying someone else to do his work [*12]  — whether he is also getting paid or not — is not a reasonable accommodation."</w:t>
      </w:r>
      <w:r>
        <w:rPr>
          <w:rFonts w:ascii="Arial" w:eastAsia="Arial" w:hAnsi="Arial" w:cs="Arial"/>
          <w:vertAlign w:val="superscript"/>
        </w:rPr>
        <w:footnoteReference w:customMarkFollows="1" w:id="82"/>
        <w:t>3</w:t>
      </w:r>
    </w:p>
    <w:p w:rsidR="00022B47" w:rsidRDefault="00000000">
      <w:pPr>
        <w:pStyle w:val="Normal20"/>
        <w:widowControl w:val="0"/>
        <w:spacing w:before="200" w:line="260" w:lineRule="atLeast"/>
        <w:jc w:val="both"/>
      </w:pPr>
      <w:bookmarkStart w:id="3950" w:name="Bookmark_para_33_11"/>
      <w:bookmarkEnd w:id="3950"/>
      <w:r>
        <w:rPr>
          <w:rFonts w:ascii="Arial" w:eastAsia="Arial" w:hAnsi="Arial" w:cs="Arial"/>
          <w:color w:val="000000"/>
          <w:sz w:val="20"/>
        </w:rPr>
        <w:t>The district court found that the Commission failed to identify an accommodation that CD "could have reasonably considered." The court also found that "Galloway has the principal responsibility to engage — merely giving an indefinite limitation at the twilight hour of his leave does not meet that responsibility. Cash Depot also does not have to discuss a reasonable accommodation with Galloway if one does not exist."</w:t>
      </w:r>
    </w:p>
    <w:p w:rsidR="00022B47" w:rsidRDefault="00000000">
      <w:pPr>
        <w:pStyle w:val="Normal20"/>
        <w:widowControl w:val="0"/>
        <w:spacing w:before="200" w:line="260" w:lineRule="atLeast"/>
        <w:jc w:val="both"/>
      </w:pPr>
      <w:bookmarkStart w:id="3951" w:name="Bookmark_para_34_11"/>
      <w:bookmarkEnd w:id="3951"/>
      <w:r>
        <w:rPr>
          <w:rFonts w:ascii="Arial" w:eastAsia="Arial" w:hAnsi="Arial" w:cs="Arial"/>
          <w:color w:val="000000"/>
          <w:sz w:val="20"/>
        </w:rPr>
        <w:t>But Galloway did engage by notifying CD on the day of his appointment that he had been cleared to return to work with a temporary limitation. CD knew well in advance that Galloway's appointment was scheduled for April 2 and told him that they would hold his position open for him "with or without restrictions" until April 3, 2019. CD also told Galloway that "it could terminate his employment if he were unable to return to work by April 3, 2019 or very shortly thereafter." (Internal marks omitted). CD did not hold Galloway's position open until April 3; it held it open until April 2 when it hired Negron to replace him.</w:t>
      </w:r>
    </w:p>
    <w:p w:rsidR="00022B47" w:rsidRDefault="00000000">
      <w:pPr>
        <w:pStyle w:val="Normal20"/>
        <w:widowControl w:val="0"/>
        <w:spacing w:before="200" w:line="260" w:lineRule="atLeast"/>
        <w:jc w:val="both"/>
      </w:pPr>
      <w:bookmarkStart w:id="3952" w:name="Bookmark_para_35_11"/>
      <w:bookmarkEnd w:id="3952"/>
      <w:r>
        <w:rPr>
          <w:rFonts w:ascii="Arial" w:eastAsia="Arial" w:hAnsi="Arial" w:cs="Arial"/>
          <w:color w:val="000000"/>
          <w:sz w:val="20"/>
        </w:rPr>
        <w:t>The district court said that CD "is not expected to sit on its hands and wait to [*13]  see if Galloway might be able to return to work. Any responsible company would make alternate plans." The district court further found that making alternate plans does not establish bad faith. As the EEOC asserts, bad faith is not part of the standard. Regardless, one would assume that CD would wait the length of time it agreed to wait in writing rather than hire a replacement the day before Galloway's deadline, then claim it did so because of the accommodation for which it did not yet have notice. The district court also failed to address whether CD made accommodations for other employees.</w:t>
      </w:r>
    </w:p>
    <w:p w:rsidR="00022B47" w:rsidRDefault="00000000">
      <w:pPr>
        <w:pStyle w:val="Normal20"/>
        <w:widowControl w:val="0"/>
        <w:spacing w:before="200" w:line="260" w:lineRule="atLeast"/>
        <w:jc w:val="both"/>
      </w:pPr>
      <w:bookmarkStart w:id="3953" w:name="Bookmark_para_36_11"/>
      <w:bookmarkEnd w:id="3953"/>
      <w:r>
        <w:rPr>
          <w:rFonts w:ascii="Arial" w:eastAsia="Arial" w:hAnsi="Arial" w:cs="Arial"/>
          <w:color w:val="000000"/>
          <w:sz w:val="20"/>
        </w:rPr>
        <w:t>The EEOC's argument here that it could reasonably prevail on its discriminatory termination claim is supported by the record. Further, as discussed below, the record also supports its reasonable accommodation claim.</w:t>
      </w:r>
    </w:p>
    <w:p w:rsidR="00022B47" w:rsidRDefault="00000000">
      <w:pPr>
        <w:pStyle w:val="Normal20"/>
        <w:widowControl w:val="0"/>
        <w:spacing w:before="200" w:line="260" w:lineRule="atLeast"/>
        <w:jc w:val="both"/>
      </w:pPr>
      <w:bookmarkStart w:id="3954" w:name="Bookmark_para_37_9"/>
      <w:bookmarkEnd w:id="3954"/>
      <w:r>
        <w:rPr>
          <w:rFonts w:ascii="Arial" w:eastAsia="Arial" w:hAnsi="Arial" w:cs="Arial"/>
          <w:color w:val="000000"/>
          <w:sz w:val="20"/>
        </w:rPr>
        <w:t>Galloway testified at length during his deposition. He said that he was able to work full time and discussed his limitations following his stroke. Galloway maintained that he would have kept working and would not have applied for disability if CD had not fired him. Galloway also testified that he was fired approximately thirty minutes after he notified CD of his temporary restriction.</w:t>
      </w:r>
    </w:p>
    <w:p w:rsidR="00022B47" w:rsidRDefault="00000000">
      <w:pPr>
        <w:pStyle w:val="Normal20"/>
        <w:widowControl w:val="0"/>
        <w:spacing w:before="200" w:line="260" w:lineRule="atLeast"/>
        <w:jc w:val="both"/>
      </w:pPr>
      <w:bookmarkStart w:id="3955" w:name="Bookmark_para_38_9"/>
      <w:bookmarkEnd w:id="3955"/>
      <w:r>
        <w:rPr>
          <w:rFonts w:ascii="Arial" w:eastAsia="Arial" w:hAnsi="Arial" w:cs="Arial"/>
          <w:color w:val="000000"/>
          <w:sz w:val="20"/>
        </w:rPr>
        <w:t> [*14] Galloway reported to Regional Supervisor John Murphy. Murphy also testified regarding Galloway's job description and duties. Murphy's testimony was largely consistent with Galloway's testimony.</w:t>
      </w:r>
    </w:p>
    <w:p w:rsidR="00022B47" w:rsidRDefault="00000000">
      <w:pPr>
        <w:pStyle w:val="Normal20"/>
        <w:widowControl w:val="0"/>
        <w:spacing w:before="200" w:line="260" w:lineRule="atLeast"/>
        <w:jc w:val="both"/>
      </w:pPr>
      <w:bookmarkStart w:id="3956" w:name="Bookmark_para_39_7"/>
      <w:bookmarkEnd w:id="3956"/>
      <w:r>
        <w:rPr>
          <w:rFonts w:ascii="Arial" w:eastAsia="Arial" w:hAnsi="Arial" w:cs="Arial"/>
          <w:color w:val="000000"/>
          <w:sz w:val="20"/>
        </w:rPr>
        <w:t>Murphy's manager was Brad Mueller, the field services manager. During Murphy's deposition, he was asked about multiple other employees in various areas who had received similar accommodations. In some of those instances, Murphy said that Mueller made the decision to grant or deny the accommodations. But Mueller did not make the decision as to Galloway. Regardless, Mueller was also deposed. Murphy's successor, Joshua Kolodziej, also testified consistent with the other evidence. Kolodziej confirmed that an employee would have the assistance of tools or another worker during heavier jobs. This is consistent with other evidence.</w:t>
      </w:r>
    </w:p>
    <w:p w:rsidR="00022B47" w:rsidRDefault="00000000">
      <w:pPr>
        <w:pStyle w:val="Normal20"/>
        <w:widowControl w:val="0"/>
        <w:spacing w:before="200" w:line="260" w:lineRule="atLeast"/>
        <w:jc w:val="both"/>
      </w:pPr>
      <w:bookmarkStart w:id="3957" w:name="Bookmark_para_40_7"/>
      <w:bookmarkEnd w:id="3957"/>
      <w:r>
        <w:rPr>
          <w:rFonts w:ascii="Arial" w:eastAsia="Arial" w:hAnsi="Arial" w:cs="Arial"/>
          <w:color w:val="000000"/>
          <w:sz w:val="20"/>
        </w:rPr>
        <w:t>The district court also references Galloway's subsequent disability determinations through the Department of Veteran's Affairs. However, these are two entirely different programs with different determinations and requirements; they are not interchangeable. CD's attempts to muddle the two are without merit.</w:t>
      </w:r>
    </w:p>
    <w:p w:rsidR="00022B47" w:rsidRDefault="00000000">
      <w:pPr>
        <w:pStyle w:val="Normal20"/>
        <w:widowControl w:val="0"/>
        <w:spacing w:before="240" w:line="260" w:lineRule="atLeast"/>
      </w:pPr>
      <w:r>
        <w:br/>
      </w:r>
      <w:r>
        <w:rPr>
          <w:rFonts w:ascii="Arial" w:eastAsia="Arial" w:hAnsi="Arial" w:cs="Arial"/>
          <w:b/>
          <w:smallCaps/>
          <w:color w:val="000000"/>
          <w:sz w:val="20"/>
        </w:rPr>
        <w:t>Conclusion</w:t>
      </w:r>
    </w:p>
    <w:p w:rsidR="00022B47" w:rsidRDefault="00000000">
      <w:pPr>
        <w:pStyle w:val="Normal20"/>
        <w:widowControl w:val="0"/>
        <w:spacing w:before="200" w:line="260" w:lineRule="atLeast"/>
        <w:jc w:val="both"/>
      </w:pPr>
      <w:bookmarkStart w:id="3958" w:name="Bookmark_para_41_7"/>
      <w:bookmarkStart w:id="3959" w:name="Bookmark_I668RJ802HM69J0040000400"/>
      <w:bookmarkEnd w:id="3958"/>
      <w:bookmarkEnd w:id="3959"/>
      <w:r>
        <w:rPr>
          <w:rFonts w:ascii="Arial" w:eastAsia="Arial" w:hAnsi="Arial" w:cs="Arial"/>
          <w:color w:val="000000"/>
          <w:sz w:val="20"/>
        </w:rPr>
        <w:t>The record supports the EEOC's assertion that there are genuine [*15]  issues of material fact to establish that the district court erred in granting summary judgment. Because the district court erred in granting summary judgment, we REVERSE and REMAND.</w:t>
      </w:r>
      <w:r>
        <w:rPr>
          <w:rFonts w:ascii="Arial" w:eastAsia="Arial" w:hAnsi="Arial" w:cs="Arial"/>
          <w:vertAlign w:val="superscript"/>
        </w:rPr>
        <w:footnoteReference w:customMarkFollows="1" w:id="83"/>
        <w:t>4</w:t>
      </w:r>
    </w:p>
    <w:p w:rsidR="00022B47" w:rsidRDefault="00022B47">
      <w:pPr>
        <w:pStyle w:val="Normal20"/>
      </w:pPr>
    </w:p>
    <w:p w:rsidR="00022B47" w:rsidRDefault="00000000">
      <w:pPr>
        <w:pStyle w:val="Normal20"/>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01248"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439526306"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A18056" id="Line 44"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21"/>
        <w:sectPr w:rsidR="00022B47">
          <w:headerReference w:type="even" r:id="rId133"/>
          <w:headerReference w:type="default" r:id="rId134"/>
          <w:footerReference w:type="even" r:id="rId135"/>
          <w:footerReference w:type="default" r:id="rId136"/>
          <w:headerReference w:type="first" r:id="rId137"/>
          <w:footerReference w:type="first" r:id="rId138"/>
          <w:pgSz w:w="12240" w:h="15840"/>
          <w:pgMar w:top="840" w:right="1000" w:bottom="840" w:left="1000" w:header="400" w:footer="400" w:gutter="0"/>
          <w:cols w:space="720"/>
          <w:titlePg/>
        </w:sectPr>
      </w:pPr>
    </w:p>
    <w:p w:rsidR="00022B47" w:rsidRDefault="00022B47">
      <w:pPr>
        <w:pStyle w:val="Normal21"/>
      </w:pPr>
    </w:p>
    <w:p w:rsidR="00022B47" w:rsidRDefault="00000000">
      <w:pPr>
        <w:pStyle w:val="Heading120"/>
        <w:keepNext w:val="0"/>
        <w:widowControl w:val="0"/>
        <w:spacing w:after="200" w:line="340" w:lineRule="atLeast"/>
        <w:jc w:val="center"/>
      </w:pPr>
      <w:r>
        <w:rPr>
          <w:rFonts w:eastAsia="Arial"/>
          <w:color w:val="000000"/>
          <w:sz w:val="28"/>
        </w:rPr>
        <w:t>Luke v. Texas</w:t>
      </w:r>
    </w:p>
    <w:p w:rsidR="00022B47" w:rsidRDefault="00000000">
      <w:pPr>
        <w:pStyle w:val="Normal21"/>
        <w:widowControl w:val="0"/>
        <w:spacing w:before="120" w:line="260" w:lineRule="atLeast"/>
        <w:jc w:val="center"/>
      </w:pPr>
      <w:r>
        <w:rPr>
          <w:rFonts w:ascii="Arial" w:eastAsia="Arial" w:hAnsi="Arial" w:cs="Arial"/>
          <w:color w:val="000000"/>
          <w:sz w:val="20"/>
        </w:rPr>
        <w:t>United States Court of Appeals for the Fifth Circuit</w:t>
      </w:r>
    </w:p>
    <w:p w:rsidR="00022B47" w:rsidRDefault="00000000">
      <w:pPr>
        <w:pStyle w:val="Normal21"/>
        <w:widowControl w:val="0"/>
        <w:spacing w:before="120" w:line="260" w:lineRule="atLeast"/>
        <w:jc w:val="center"/>
      </w:pPr>
      <w:r>
        <w:rPr>
          <w:rFonts w:ascii="Arial" w:eastAsia="Arial" w:hAnsi="Arial" w:cs="Arial"/>
          <w:color w:val="000000"/>
          <w:sz w:val="20"/>
        </w:rPr>
        <w:t>August 19, 2022, Filed</w:t>
      </w:r>
    </w:p>
    <w:p w:rsidR="00022B47" w:rsidRDefault="00000000">
      <w:pPr>
        <w:pStyle w:val="Normal21"/>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21-50791</w:t>
      </w:r>
    </w:p>
    <w:p w:rsidR="00022B47" w:rsidRDefault="00022B47">
      <w:pPr>
        <w:pStyle w:val="Normal21"/>
        <w:widowControl w:val="0"/>
        <w:spacing w:line="240" w:lineRule="atLeast"/>
        <w:jc w:val="both"/>
      </w:pPr>
      <w:bookmarkStart w:id="3962" w:name="Bookmark_22"/>
      <w:bookmarkEnd w:id="3962"/>
    </w:p>
    <w:p w:rsidR="00022B47" w:rsidRDefault="00000000">
      <w:pPr>
        <w:pStyle w:val="Normal21"/>
        <w:widowControl w:val="0"/>
        <w:spacing w:before="200" w:line="240" w:lineRule="atLeast"/>
      </w:pPr>
      <w:bookmarkStart w:id="3963" w:name="Reporter_20"/>
      <w:bookmarkEnd w:id="3963"/>
      <w:r>
        <w:rPr>
          <w:rFonts w:ascii="Arial" w:eastAsia="Arial" w:hAnsi="Arial" w:cs="Arial"/>
          <w:b/>
          <w:color w:val="000000"/>
          <w:sz w:val="18"/>
        </w:rPr>
        <w:t>Reporter</w:t>
      </w:r>
    </w:p>
    <w:p w:rsidR="00022B47" w:rsidRDefault="00000000">
      <w:pPr>
        <w:pStyle w:val="Normal21"/>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46 F.4th 301 *; 2022 U.S. App. LEXIS 23239 **</w:t>
      </w:r>
    </w:p>
    <w:p w:rsidR="00022B47" w:rsidRDefault="00000000">
      <w:pPr>
        <w:pStyle w:val="Normal21"/>
        <w:widowControl w:val="0"/>
        <w:spacing w:before="120" w:line="260" w:lineRule="atLeast"/>
      </w:pPr>
      <w:r>
        <w:rPr>
          <w:rFonts w:ascii="Arial" w:eastAsia="Arial" w:hAnsi="Arial" w:cs="Arial"/>
          <w:color w:val="000000"/>
          <w:sz w:val="20"/>
        </w:rPr>
        <w:t>CAMERON LUKE, Plaintiff—Appellant, versus STATE OF TEXAS; LEE COUNTY, COMMUNITY SUPERVISION AND CORRECTIONS DEPARTMENT; SAN JACINTO COUNTY, TEXAS, COMMUNITY SUPERVISION AND CORRECTIONS DEPARTMENT; LEE COUNTY, Defendants—Appellees.</w:t>
      </w:r>
    </w:p>
    <w:p w:rsidR="00022B47" w:rsidRDefault="00000000">
      <w:pPr>
        <w:pStyle w:val="Normal21"/>
        <w:widowControl w:val="0"/>
        <w:spacing w:before="240" w:line="260" w:lineRule="atLeast"/>
        <w:jc w:val="both"/>
      </w:pPr>
      <w:bookmarkStart w:id="3964" w:name="Prior_History_20"/>
      <w:bookmarkEnd w:id="3964"/>
      <w:r>
        <w:rPr>
          <w:rFonts w:ascii="Arial" w:eastAsia="Arial" w:hAnsi="Arial" w:cs="Arial"/>
          <w:b/>
          <w:color w:val="000000"/>
          <w:sz w:val="20"/>
        </w:rPr>
        <w:t>Prior History:</w:t>
      </w:r>
      <w:r>
        <w:rPr>
          <w:rFonts w:ascii="Arial" w:eastAsia="Arial" w:hAnsi="Arial" w:cs="Arial"/>
          <w:color w:val="000000"/>
          <w:sz w:val="20"/>
        </w:rPr>
        <w:t> </w:t>
      </w:r>
      <w:bookmarkStart w:id="3965" w:name="Bookmark_para_1_20"/>
      <w:bookmarkEnd w:id="3965"/>
      <w:r>
        <w:rPr>
          <w:rFonts w:ascii="Arial" w:eastAsia="Arial" w:hAnsi="Arial" w:cs="Arial"/>
          <w:color w:val="000000"/>
          <w:sz w:val="20"/>
        </w:rPr>
        <w:t> [**1] Appeal from the United States District Court for the Western District of Texas. USDC No. 1:20-CV-388.</w:t>
      </w:r>
    </w:p>
    <w:p w:rsidR="00022B47" w:rsidRDefault="00000000">
      <w:pPr>
        <w:pStyle w:val="Normal21"/>
        <w:widowControl w:val="0"/>
        <w:spacing w:before="240" w:line="260" w:lineRule="atLeast"/>
      </w:pPr>
      <w:bookmarkStart w:id="3966" w:name="Counsel_20"/>
      <w:bookmarkEnd w:id="3966"/>
      <w:r>
        <w:rPr>
          <w:rFonts w:ascii="Arial" w:eastAsia="Arial" w:hAnsi="Arial" w:cs="Arial"/>
          <w:b/>
          <w:color w:val="000000"/>
          <w:sz w:val="20"/>
        </w:rPr>
        <w:t>Counsel:</w:t>
      </w:r>
      <w:r>
        <w:rPr>
          <w:rFonts w:ascii="Arial" w:eastAsia="Arial" w:hAnsi="Arial" w:cs="Arial"/>
          <w:color w:val="000000"/>
          <w:sz w:val="20"/>
        </w:rPr>
        <w:t> For Cameron Luke, Plaintiff - Appellant: Andrew Rozynski, Eisenberg &amp; Baum, L.L.P., New York, NY.</w:t>
      </w:r>
    </w:p>
    <w:p w:rsidR="00022B47" w:rsidRDefault="00000000">
      <w:pPr>
        <w:pStyle w:val="Normal21"/>
        <w:widowControl w:val="0"/>
        <w:spacing w:before="120" w:line="260" w:lineRule="atLeast"/>
      </w:pPr>
      <w:r>
        <w:rPr>
          <w:rFonts w:ascii="Arial" w:eastAsia="Arial" w:hAnsi="Arial" w:cs="Arial"/>
          <w:color w:val="000000"/>
          <w:sz w:val="20"/>
        </w:rPr>
        <w:t>For State of Texas, Lee County, Community Supervision and Corrections Department, San Jacinto County, Texas, Community Supervision and Corrections Department, Defendants - Appellees: Jeffrey E. Farrell, Landon Wade, Assistant Attorney General, Office of the Attorney General, Austin, TX.</w:t>
      </w:r>
    </w:p>
    <w:p w:rsidR="00022B47" w:rsidRDefault="00000000">
      <w:pPr>
        <w:pStyle w:val="Normal21"/>
        <w:widowControl w:val="0"/>
        <w:spacing w:before="120" w:line="260" w:lineRule="atLeast"/>
      </w:pPr>
      <w:r>
        <w:rPr>
          <w:rFonts w:ascii="Arial" w:eastAsia="Arial" w:hAnsi="Arial" w:cs="Arial"/>
          <w:color w:val="000000"/>
          <w:sz w:val="20"/>
        </w:rPr>
        <w:t>For Lee County, Defendant - Appellee: Jason Eric Magee, Allison, Bass &amp; Magee, L.L.P., Austin, TX.</w:t>
      </w:r>
    </w:p>
    <w:p w:rsidR="00022B47" w:rsidRDefault="00000000">
      <w:pPr>
        <w:pStyle w:val="Normal21"/>
        <w:widowControl w:val="0"/>
        <w:spacing w:before="240" w:line="260" w:lineRule="atLeast"/>
      </w:pPr>
      <w:bookmarkStart w:id="3967" w:name="Judges_20"/>
      <w:bookmarkEnd w:id="3967"/>
      <w:r>
        <w:rPr>
          <w:rFonts w:ascii="Arial" w:eastAsia="Arial" w:hAnsi="Arial" w:cs="Arial"/>
          <w:b/>
          <w:color w:val="000000"/>
          <w:sz w:val="20"/>
        </w:rPr>
        <w:t>Judges:</w:t>
      </w:r>
      <w:r>
        <w:rPr>
          <w:rFonts w:ascii="Arial" w:eastAsia="Arial" w:hAnsi="Arial" w:cs="Arial"/>
          <w:color w:val="000000"/>
          <w:sz w:val="20"/>
        </w:rPr>
        <w:t> Before RICHMAN, Chief Judge, and COSTA and HO, Circuit Judges.</w:t>
      </w:r>
    </w:p>
    <w:p w:rsidR="00022B47" w:rsidRDefault="00000000">
      <w:pPr>
        <w:pStyle w:val="Normal21"/>
        <w:widowControl w:val="0"/>
        <w:spacing w:before="240" w:line="260" w:lineRule="atLeast"/>
      </w:pPr>
      <w:bookmarkStart w:id="3968" w:name="Opinion_by_11"/>
      <w:bookmarkEnd w:id="3968"/>
      <w:r>
        <w:rPr>
          <w:rFonts w:ascii="Arial" w:eastAsia="Arial" w:hAnsi="Arial" w:cs="Arial"/>
          <w:b/>
          <w:color w:val="000000"/>
          <w:sz w:val="20"/>
        </w:rPr>
        <w:t>Opinion by:</w:t>
      </w:r>
      <w:r>
        <w:rPr>
          <w:rFonts w:ascii="Arial" w:eastAsia="Arial" w:hAnsi="Arial" w:cs="Arial"/>
          <w:color w:val="000000"/>
          <w:sz w:val="20"/>
        </w:rPr>
        <w:t> Gregg Costa</w:t>
      </w:r>
    </w:p>
    <w:p w:rsidR="00022B47" w:rsidRDefault="00000000">
      <w:pPr>
        <w:pStyle w:val="Normal21"/>
        <w:keepNext/>
        <w:widowControl w:val="0"/>
        <w:spacing w:before="240" w:line="340" w:lineRule="atLeast"/>
      </w:pPr>
      <w:bookmarkStart w:id="3969" w:name="Opinion_20"/>
      <w:bookmarkEnd w:id="3969"/>
      <w:r>
        <w:rPr>
          <w:rFonts w:ascii="Arial" w:eastAsia="Arial" w:hAnsi="Arial" w:cs="Arial"/>
          <w:b/>
          <w:color w:val="000000"/>
          <w:sz w:val="28"/>
        </w:rPr>
        <w:t>Opinion</w:t>
      </w:r>
    </w:p>
    <w:p w:rsidR="00022B47" w:rsidRDefault="0025213E">
      <w:pPr>
        <w:pStyle w:val="Normal21"/>
        <w:spacing w:line="60" w:lineRule="exact"/>
      </w:pPr>
      <w:r>
        <w:rPr>
          <w:noProof/>
        </w:rPr>
        <mc:AlternateContent>
          <mc:Choice Requires="wps">
            <w:drawing>
              <wp:anchor distT="0" distB="0" distL="114300" distR="114300" simplePos="0" relativeHeight="251702272"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930180277"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C7FE8C" id="Line 45"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21"/>
      </w:pPr>
    </w:p>
    <w:p w:rsidR="00022B47" w:rsidRDefault="00000000">
      <w:pPr>
        <w:pStyle w:val="Normal21"/>
        <w:widowControl w:val="0"/>
        <w:spacing w:before="200" w:line="260" w:lineRule="atLeast"/>
        <w:jc w:val="both"/>
      </w:pPr>
      <w:bookmarkStart w:id="3970" w:name="Bookmark_para_2_20"/>
      <w:bookmarkEnd w:id="3970"/>
      <w:r>
        <w:rPr>
          <w:rFonts w:ascii="Arial" w:eastAsia="Arial" w:hAnsi="Arial" w:cs="Arial"/>
          <w:color w:val="000000"/>
          <w:sz w:val="20"/>
        </w:rPr>
        <w:t xml:space="preserve"> [*303]  </w:t>
      </w:r>
      <w:r>
        <w:rPr>
          <w:rFonts w:ascii="Arial" w:eastAsia="Arial" w:hAnsi="Arial" w:cs="Arial"/>
          <w:smallCaps/>
          <w:color w:val="000000"/>
          <w:sz w:val="20"/>
        </w:rPr>
        <w:t>Gregg Costa</w:t>
      </w:r>
      <w:r>
        <w:rPr>
          <w:rFonts w:ascii="Arial" w:eastAsia="Arial" w:hAnsi="Arial" w:cs="Arial"/>
          <w:color w:val="000000"/>
          <w:sz w:val="20"/>
        </w:rPr>
        <w:t xml:space="preserve">, </w:t>
      </w:r>
      <w:r>
        <w:rPr>
          <w:rFonts w:ascii="Arial" w:eastAsia="Arial" w:hAnsi="Arial" w:cs="Arial"/>
          <w:i/>
          <w:color w:val="000000"/>
          <w:sz w:val="20"/>
        </w:rPr>
        <w:t>Circuit Judge</w:t>
      </w:r>
      <w:r>
        <w:rPr>
          <w:rFonts w:ascii="Arial" w:eastAsia="Arial" w:hAnsi="Arial" w:cs="Arial"/>
          <w:color w:val="000000"/>
          <w:sz w:val="20"/>
        </w:rPr>
        <w:t>:</w:t>
      </w:r>
    </w:p>
    <w:p w:rsidR="00022B47" w:rsidRDefault="00000000">
      <w:pPr>
        <w:pStyle w:val="Normal21"/>
        <w:widowControl w:val="0"/>
        <w:spacing w:before="200" w:line="260" w:lineRule="atLeast"/>
        <w:jc w:val="both"/>
      </w:pPr>
      <w:bookmarkStart w:id="3971" w:name="Bookmark_para_3_20"/>
      <w:bookmarkEnd w:id="3971"/>
      <w:r>
        <w:rPr>
          <w:rFonts w:ascii="Arial" w:eastAsia="Arial" w:hAnsi="Arial" w:cs="Arial"/>
          <w:color w:val="000000"/>
          <w:sz w:val="20"/>
        </w:rPr>
        <w:t>Cameron Luke, who is deaf, was arrested for marijuana possession. Throughout his encounter with the criminal justice system—during his arrest, court proceedings, and interactions with probation officers—he was denied a sign language interpreter.  [*304]  The question is whether denying a deaf defendant an interpreter during his criminal proceedings violates the Americans with Disabilities Act. The answer is yes.</w:t>
      </w:r>
    </w:p>
    <w:p w:rsidR="00022B47" w:rsidRDefault="00000000">
      <w:pPr>
        <w:pStyle w:val="Normal21"/>
        <w:widowControl w:val="0"/>
        <w:spacing w:before="120" w:line="260" w:lineRule="atLeast"/>
      </w:pPr>
      <w:r>
        <w:rPr>
          <w:rFonts w:ascii="Arial" w:eastAsia="Arial" w:hAnsi="Arial" w:cs="Arial"/>
          <w:color w:val="000000"/>
          <w:sz w:val="20"/>
        </w:rPr>
        <w:t>I</w:t>
      </w:r>
    </w:p>
    <w:p w:rsidR="00022B47" w:rsidRDefault="00000000">
      <w:pPr>
        <w:pStyle w:val="Normal21"/>
        <w:widowControl w:val="0"/>
        <w:spacing w:before="200" w:line="260" w:lineRule="atLeast"/>
        <w:jc w:val="both"/>
      </w:pPr>
      <w:bookmarkStart w:id="3972" w:name="Bookmark_para_4_20"/>
      <w:bookmarkStart w:id="3973" w:name="Bookmark_I6677RT82N1R2T0020000400"/>
      <w:bookmarkEnd w:id="3972"/>
      <w:bookmarkEnd w:id="3973"/>
      <w:r>
        <w:rPr>
          <w:rFonts w:ascii="Arial" w:eastAsia="Arial" w:hAnsi="Arial" w:cs="Arial"/>
          <w:color w:val="000000"/>
          <w:sz w:val="20"/>
        </w:rPr>
        <w:t>Like many deaf individuals, Luke has trouble speaking and reading English.</w:t>
      </w:r>
      <w:r>
        <w:rPr>
          <w:rFonts w:ascii="Arial" w:eastAsia="Arial" w:hAnsi="Arial" w:cs="Arial"/>
          <w:vertAlign w:val="superscript"/>
        </w:rPr>
        <w:footnoteReference w:customMarkFollows="1" w:id="84"/>
        <w:t>1</w:t>
      </w:r>
      <w:r>
        <w:rPr>
          <w:rFonts w:ascii="Arial" w:eastAsia="Arial" w:hAnsi="Arial" w:cs="Arial"/>
          <w:color w:val="000000"/>
          <w:sz w:val="20"/>
        </w:rPr>
        <w:t xml:space="preserve"> He also has difficulty lip reading. So in order to effectively communicate, [**2]  Luke requires an American Sign Language (ASL) interpreter.</w:t>
      </w:r>
    </w:p>
    <w:p w:rsidR="00022B47" w:rsidRDefault="00000000">
      <w:pPr>
        <w:pStyle w:val="Normal21"/>
        <w:widowControl w:val="0"/>
        <w:spacing w:before="200" w:line="260" w:lineRule="atLeast"/>
        <w:jc w:val="both"/>
      </w:pPr>
      <w:bookmarkStart w:id="3977" w:name="Bookmark_para_5_20"/>
      <w:bookmarkEnd w:id="3977"/>
      <w:r>
        <w:rPr>
          <w:rFonts w:ascii="Arial" w:eastAsia="Arial" w:hAnsi="Arial" w:cs="Arial"/>
          <w:color w:val="000000"/>
          <w:sz w:val="20"/>
        </w:rPr>
        <w:t>Such an interpreter was never provided during Luke's case for marijuana possession. No interpreter was provided the night of his arrest during a traffic stop, even though his mother, who was watching the scene via FaceTime, urged the officers to provide him with one. No interpreter was present when Luke was booked and detained at Lee County Jail. Nor was one present when a Lee County justice of the peace arraigned him and released him on bond. No interpreter ever explained to Luke his legal rights, the charges against him, or the terms and conditions of his bail.</w:t>
      </w:r>
    </w:p>
    <w:p w:rsidR="00022B47" w:rsidRDefault="00000000">
      <w:pPr>
        <w:pStyle w:val="Normal21"/>
        <w:widowControl w:val="0"/>
        <w:spacing w:before="200" w:line="260" w:lineRule="atLeast"/>
        <w:jc w:val="both"/>
      </w:pPr>
      <w:bookmarkStart w:id="3978" w:name="Bookmark_para_6_20"/>
      <w:bookmarkEnd w:id="3978"/>
      <w:r>
        <w:rPr>
          <w:rFonts w:ascii="Arial" w:eastAsia="Arial" w:hAnsi="Arial" w:cs="Arial"/>
          <w:color w:val="000000"/>
          <w:sz w:val="20"/>
        </w:rPr>
        <w:t>The county court said that an interpreter would be provided for the hearing at which Luke was going to plead guilty in exchange for one year of probation. But the court did not follow through on that commitment. Instead, it insisted that Luke's mother, who has only basic knowledge of sign language, interpret for her son during the hearing. Thus, no qualified interpreter ever explained to Luke the terms of his probation.</w:t>
      </w:r>
    </w:p>
    <w:p w:rsidR="00022B47" w:rsidRDefault="00000000">
      <w:pPr>
        <w:pStyle w:val="Normal21"/>
        <w:widowControl w:val="0"/>
        <w:spacing w:before="200" w:line="260" w:lineRule="atLeast"/>
        <w:jc w:val="both"/>
      </w:pPr>
      <w:bookmarkStart w:id="3979" w:name="Bookmark_para_7_20"/>
      <w:bookmarkEnd w:id="3979"/>
      <w:r>
        <w:rPr>
          <w:rFonts w:ascii="Arial" w:eastAsia="Arial" w:hAnsi="Arial" w:cs="Arial"/>
          <w:color w:val="000000"/>
          <w:sz w:val="20"/>
        </w:rPr>
        <w:t>Luke's experience on probation, which began with Lee County's Community Supervision Corrections Department but was later transferred to San Jacinto County's, [**3]  was more of the same. Neither department provided Luke with an interpreter for his meetings with probation officers. Just like at the hearing, the probation officers instead had Luke's mother interpret for him. No qualified interpreter ever explained to Luke what happened during those meetings or whether he was satisfying the terms of his probation.</w:t>
      </w:r>
    </w:p>
    <w:p w:rsidR="00022B47" w:rsidRDefault="00000000">
      <w:pPr>
        <w:pStyle w:val="Normal21"/>
        <w:widowControl w:val="0"/>
        <w:spacing w:before="200" w:line="260" w:lineRule="atLeast"/>
        <w:jc w:val="both"/>
      </w:pPr>
      <w:bookmarkStart w:id="3980" w:name="Bookmark_para_8_19"/>
      <w:bookmarkEnd w:id="3980"/>
      <w:r>
        <w:rPr>
          <w:rFonts w:ascii="Arial" w:eastAsia="Arial" w:hAnsi="Arial" w:cs="Arial"/>
          <w:color w:val="000000"/>
          <w:sz w:val="20"/>
        </w:rPr>
        <w:t>Contending that the lack of interpreters left him "isolated and confused" during the criminal proceedings, Luke sued the following entities under Title II of the Americans with Disabilities Act: (1) Lee County, which operated the jail and court; (2) the Community Supervision and Corrections Departments of both Lee County and San Jacinto County (the "Supervision Departments"), the Texas state agencies that oversaw his probation; and (3) the State of Texas.</w:t>
      </w:r>
      <w:r>
        <w:rPr>
          <w:rFonts w:ascii="Arial" w:eastAsia="Arial" w:hAnsi="Arial" w:cs="Arial"/>
          <w:vertAlign w:val="superscript"/>
        </w:rPr>
        <w:footnoteReference w:customMarkFollows="1" w:id="85"/>
        <w:t>2</w:t>
      </w:r>
      <w:r>
        <w:rPr>
          <w:rFonts w:ascii="Arial" w:eastAsia="Arial" w:hAnsi="Arial" w:cs="Arial"/>
          <w:color w:val="000000"/>
          <w:sz w:val="20"/>
        </w:rPr>
        <w:t xml:space="preserve"> Luke sought injunctive relief against the Supervision Departments and the State of Texas and compensatory and nominal damages from all defendants.</w:t>
      </w:r>
    </w:p>
    <w:p w:rsidR="00022B47" w:rsidRDefault="00000000">
      <w:pPr>
        <w:pStyle w:val="Normal21"/>
        <w:widowControl w:val="0"/>
        <w:spacing w:before="200" w:line="260" w:lineRule="atLeast"/>
        <w:jc w:val="both"/>
      </w:pPr>
      <w:bookmarkStart w:id="3982" w:name="Bookmark_para_9_19"/>
      <w:bookmarkEnd w:id="3982"/>
      <w:r>
        <w:rPr>
          <w:rFonts w:ascii="Arial" w:eastAsia="Arial" w:hAnsi="Arial" w:cs="Arial"/>
          <w:color w:val="000000"/>
          <w:sz w:val="20"/>
        </w:rPr>
        <w:t>The district court dismissed all of Luke's claims at the pleading stage. It initially dismissed claims against the Supervision Departments on the ground that Luke's claims were moot because he had successfully completed probation. Responding to [**4]  Luke's motion to reconsider the mootness dismissal because he also sought damages, the court maintained the dismissal but gave a different reason. This time it concluded the Supervision Departments enjoyed sovereign immunity. The court then granted Lee County's motion for judgment on the pleadings, again on sovereign immunity [*305]  grounds. The court also granted Texas's motion to dismiss for improper service of process because Luke served the wrong Texas official. Luke appeals.</w:t>
      </w:r>
    </w:p>
    <w:p w:rsidR="00022B47" w:rsidRDefault="00000000">
      <w:pPr>
        <w:pStyle w:val="Normal21"/>
        <w:widowControl w:val="0"/>
        <w:spacing w:before="120" w:line="260" w:lineRule="atLeast"/>
      </w:pPr>
      <w:r>
        <w:rPr>
          <w:rFonts w:ascii="Arial" w:eastAsia="Arial" w:hAnsi="Arial" w:cs="Arial"/>
          <w:color w:val="000000"/>
          <w:sz w:val="20"/>
        </w:rPr>
        <w:t>II</w:t>
      </w:r>
    </w:p>
    <w:p w:rsidR="00022B47" w:rsidRDefault="00000000">
      <w:pPr>
        <w:pStyle w:val="Normal21"/>
        <w:widowControl w:val="0"/>
        <w:spacing w:before="200" w:line="260" w:lineRule="atLeast"/>
        <w:jc w:val="both"/>
      </w:pPr>
      <w:bookmarkStart w:id="3983" w:name="Bookmark_para_10_19"/>
      <w:bookmarkStart w:id="3984" w:name="Bookmark_I6677RT82N1R2T0040000400"/>
      <w:bookmarkEnd w:id="3983"/>
      <w:bookmarkEnd w:id="3984"/>
      <w:r>
        <w:rPr>
          <w:rFonts w:ascii="Arial" w:eastAsia="Arial" w:hAnsi="Arial" w:cs="Arial"/>
          <w:color w:val="000000"/>
          <w:sz w:val="20"/>
        </w:rPr>
        <w:t xml:space="preserve">The district court dismissed Luke's claims against Lee County and the Supervision Departments on sovereign immunity grounds, using the same reasoning for all those entities. But there is a basic problem with its sovereign immunity dismissal of the county: Lee County is a political subdivision of Texas, rather than an arm of the State, and thus does not enjoy state sovereign immunity. </w:t>
      </w:r>
      <w:r>
        <w:rPr>
          <w:rFonts w:ascii="Arial" w:eastAsia="Arial" w:hAnsi="Arial" w:cs="Arial"/>
          <w:i/>
          <w:color w:val="000000"/>
          <w:sz w:val="20"/>
        </w:rPr>
        <w:t xml:space="preserve">See </w:t>
      </w:r>
      <w:bookmarkStart w:id="3985" w:name="Bookmark_I6677RT82N1R2T0030000400"/>
      <w:bookmarkEnd w:id="3985"/>
      <w:r>
        <w:rPr>
          <w:rFonts w:ascii="Arial" w:eastAsia="Arial" w:hAnsi="Arial" w:cs="Arial"/>
          <w:i/>
          <w:color w:val="000000"/>
          <w:sz w:val="20"/>
        </w:rPr>
        <w:t>Alden v. Maine</w:t>
      </w:r>
      <w:r>
        <w:rPr>
          <w:rFonts w:ascii="Arial" w:eastAsia="Arial" w:hAnsi="Arial" w:cs="Arial"/>
          <w:color w:val="000000"/>
          <w:sz w:val="20"/>
        </w:rPr>
        <w:t>, 527 U.S. 706, 756, 119 S. Ct. 2240, 144 L. Ed. 2d 636 (1999) (</w:t>
      </w:r>
      <w:bookmarkStart w:id="3986" w:name="Bookmark_LNHNREFclscc2_18"/>
      <w:bookmarkEnd w:id="3986"/>
      <w:r>
        <w:rPr>
          <w:rFonts w:ascii="Arial" w:eastAsia="Arial" w:hAnsi="Arial" w:cs="Arial"/>
          <w:color w:val="000000"/>
          <w:sz w:val="20"/>
        </w:rPr>
        <w:t xml:space="preserve">"The immunity does not extend to suits prosecuted against a municipal corporation or other governmental entity which is not an arm of the State."); </w:t>
      </w:r>
      <w:bookmarkStart w:id="3987" w:name="Bookmark_I6677RT82N1R2T0050000400"/>
      <w:bookmarkEnd w:id="3987"/>
      <w:r>
        <w:rPr>
          <w:rFonts w:ascii="Arial" w:eastAsia="Arial" w:hAnsi="Arial" w:cs="Arial"/>
          <w:i/>
          <w:color w:val="000000"/>
          <w:sz w:val="20"/>
        </w:rPr>
        <w:t>Stratta v. Roe</w:t>
      </w:r>
      <w:r>
        <w:rPr>
          <w:rFonts w:ascii="Arial" w:eastAsia="Arial" w:hAnsi="Arial" w:cs="Arial"/>
          <w:color w:val="000000"/>
          <w:sz w:val="20"/>
        </w:rPr>
        <w:t>, 961 F.3d 340, 352 (5th Cir. 2020) ("Counties, of course, are not entitled to Eleventh Amendment immunity.").</w:t>
      </w:r>
    </w:p>
    <w:p w:rsidR="00022B47" w:rsidRDefault="00000000">
      <w:pPr>
        <w:pStyle w:val="Normal21"/>
        <w:widowControl w:val="0"/>
        <w:spacing w:before="200" w:line="260" w:lineRule="atLeast"/>
        <w:jc w:val="both"/>
      </w:pPr>
      <w:bookmarkStart w:id="3988" w:name="Bookmark_para_11_19"/>
      <w:bookmarkStart w:id="3989" w:name="Bookmark_I1XGT15GNNX00006DR600002"/>
      <w:bookmarkStart w:id="3990" w:name="Bookmark_I6677RT92D6MW30030000400"/>
      <w:bookmarkEnd w:id="3988"/>
      <w:bookmarkEnd w:id="3989"/>
      <w:bookmarkEnd w:id="3990"/>
      <w:r>
        <w:rPr>
          <w:rFonts w:ascii="Arial" w:eastAsia="Arial" w:hAnsi="Arial" w:cs="Arial"/>
          <w:color w:val="000000"/>
          <w:sz w:val="20"/>
        </w:rPr>
        <w:t xml:space="preserve">Still, the district court's reasons for dismissing Lee County could support a dismissal even outside a sovereign immunity framework. [**5]  That is because the district court's conclusion that Congress had not abrogated sovereign immunity for this type of suit is akin to a conclusion that Luke did not state a violation of Title II of the ADA. </w:t>
      </w:r>
      <w:bookmarkStart w:id="3991" w:name="Bookmark_LNHNREFclscc3_18"/>
      <w:bookmarkEnd w:id="3991"/>
      <w:r>
        <w:rPr>
          <w:rFonts w:ascii="Arial" w:eastAsia="Arial" w:hAnsi="Arial" w:cs="Arial"/>
          <w:color w:val="000000"/>
          <w:sz w:val="20"/>
        </w:rPr>
        <w:t xml:space="preserve">The abrogation inquiry for Title II claims requires an inquiry into: "(1) which aspects of the State's alleged conduct violated Title II; (2) to what extent such misconduct also violated the Fourteenth Amendment; and (3) insofar as such misconduct violated Title II but did not violate the Fourteenth Amendment, whether Congress's purported abrogation of sovereign immunity as to that class of conduct is nevertheless valid." </w:t>
      </w:r>
      <w:bookmarkStart w:id="3992" w:name="Bookmark_I6677RT92D6MW30020000400"/>
      <w:bookmarkEnd w:id="3992"/>
      <w:r>
        <w:rPr>
          <w:rFonts w:ascii="Arial" w:eastAsia="Arial" w:hAnsi="Arial" w:cs="Arial"/>
          <w:i/>
          <w:color w:val="000000"/>
          <w:sz w:val="20"/>
        </w:rPr>
        <w:t>United States v. Georgia</w:t>
      </w:r>
      <w:r>
        <w:rPr>
          <w:rFonts w:ascii="Arial" w:eastAsia="Arial" w:hAnsi="Arial" w:cs="Arial"/>
          <w:color w:val="000000"/>
          <w:sz w:val="20"/>
        </w:rPr>
        <w:t>, 546 U.S. 151, 159, 126 S. Ct. 877, 163 L. Ed. 2d 650 (2006). In considering the first step, the district court concluded that Luke did not identify a violation of Title II. That is akin to ruling that he failed stated a claim under Rule 12(b)(6). So if correct, the district court's ruling would support a sovereign immunity dismissal against the Supervision Departments that are state agencies and a dismissal for failure to state a claim against Lee County.</w:t>
      </w:r>
    </w:p>
    <w:p w:rsidR="00022B47" w:rsidRDefault="00000000">
      <w:pPr>
        <w:pStyle w:val="Normal21"/>
        <w:widowControl w:val="0"/>
        <w:spacing w:before="200" w:line="260" w:lineRule="atLeast"/>
        <w:jc w:val="both"/>
      </w:pPr>
      <w:bookmarkStart w:id="3993" w:name="Bookmark_para_12_19"/>
      <w:bookmarkStart w:id="3994" w:name="Bookmark_I6677RT92D6MW30050000400"/>
      <w:bookmarkEnd w:id="3993"/>
      <w:bookmarkEnd w:id="3994"/>
      <w:r>
        <w:rPr>
          <w:rFonts w:ascii="Arial" w:eastAsia="Arial" w:hAnsi="Arial" w:cs="Arial"/>
          <w:color w:val="000000"/>
          <w:sz w:val="20"/>
        </w:rPr>
        <w:t xml:space="preserve">But the district court was mistaken; Luke did allege disability discrimination. </w:t>
      </w:r>
      <w:bookmarkStart w:id="3995" w:name="Bookmark_LNHNREFclscc4_18"/>
      <w:bookmarkEnd w:id="3995"/>
      <w:r>
        <w:rPr>
          <w:rFonts w:ascii="Arial" w:eastAsia="Arial" w:hAnsi="Arial" w:cs="Arial"/>
          <w:color w:val="000000"/>
          <w:sz w:val="20"/>
        </w:rPr>
        <w:t xml:space="preserve">To make out a claim under Title II, Luke had to show: (1) that he is a qualified individual with a disability; (2) that he was excluded from participation [**6]  in, or denied the benefits of, services, programs, or activities for which the public entity is responsible, or was otherwise being discriminated against; and (3) that such discrimination is because of his disability. 42 U.S.C. § 12132; </w:t>
      </w:r>
      <w:bookmarkStart w:id="3996" w:name="Bookmark_I6677RT92D6MW30040000400"/>
      <w:bookmarkEnd w:id="3996"/>
      <w:r>
        <w:rPr>
          <w:rFonts w:ascii="Arial" w:eastAsia="Arial" w:hAnsi="Arial" w:cs="Arial"/>
          <w:i/>
          <w:color w:val="000000"/>
          <w:sz w:val="20"/>
        </w:rPr>
        <w:t>Hale v. King</w:t>
      </w:r>
      <w:r>
        <w:rPr>
          <w:rFonts w:ascii="Arial" w:eastAsia="Arial" w:hAnsi="Arial" w:cs="Arial"/>
          <w:color w:val="000000"/>
          <w:sz w:val="20"/>
        </w:rPr>
        <w:t>, 642 F.3d 492, 499 (5th Cir. 2011).</w:t>
      </w:r>
    </w:p>
    <w:p w:rsidR="00022B47" w:rsidRDefault="00000000">
      <w:pPr>
        <w:pStyle w:val="Normal21"/>
        <w:widowControl w:val="0"/>
        <w:spacing w:before="200" w:line="260" w:lineRule="atLeast"/>
        <w:jc w:val="both"/>
      </w:pPr>
      <w:bookmarkStart w:id="3997" w:name="Bookmark_para_13_19"/>
      <w:bookmarkStart w:id="3998" w:name="Bookmark_I6677RTB2HM67V0020000400"/>
      <w:bookmarkEnd w:id="3997"/>
      <w:bookmarkEnd w:id="3998"/>
      <w:r>
        <w:rPr>
          <w:rFonts w:ascii="Arial" w:eastAsia="Arial" w:hAnsi="Arial" w:cs="Arial"/>
          <w:color w:val="000000"/>
          <w:sz w:val="20"/>
        </w:rPr>
        <w:t xml:space="preserve">Luke's deafness makes him a qualified individual with a disability. </w:t>
      </w:r>
      <w:bookmarkStart w:id="3999" w:name="Bookmark_I6677RTB2HM67V0040000400"/>
      <w:bookmarkEnd w:id="3999"/>
      <w:r>
        <w:rPr>
          <w:rFonts w:ascii="Arial" w:eastAsia="Arial" w:hAnsi="Arial" w:cs="Arial"/>
          <w:i/>
          <w:color w:val="000000"/>
          <w:sz w:val="20"/>
        </w:rPr>
        <w:t>See</w:t>
      </w:r>
      <w:r>
        <w:rPr>
          <w:rFonts w:ascii="Arial" w:eastAsia="Arial" w:hAnsi="Arial" w:cs="Arial"/>
          <w:color w:val="000000"/>
          <w:sz w:val="20"/>
        </w:rPr>
        <w:t xml:space="preserve"> 42 U.S.C. § 12131(2); </w:t>
      </w:r>
      <w:r>
        <w:rPr>
          <w:rFonts w:ascii="Arial" w:eastAsia="Arial" w:hAnsi="Arial" w:cs="Arial"/>
          <w:i/>
          <w:color w:val="000000"/>
          <w:sz w:val="20"/>
        </w:rPr>
        <w:t xml:space="preserve">see also </w:t>
      </w:r>
      <w:bookmarkStart w:id="4000" w:name="Bookmark_I6677RTB2HM67V0010000400"/>
      <w:bookmarkEnd w:id="4000"/>
      <w:r>
        <w:rPr>
          <w:rFonts w:ascii="Arial" w:eastAsia="Arial" w:hAnsi="Arial" w:cs="Arial"/>
          <w:i/>
          <w:color w:val="000000"/>
          <w:sz w:val="20"/>
        </w:rPr>
        <w:t>Delano-Pyle v. Victoria County</w:t>
      </w:r>
      <w:r>
        <w:rPr>
          <w:rFonts w:ascii="Arial" w:eastAsia="Arial" w:hAnsi="Arial" w:cs="Arial"/>
          <w:color w:val="000000"/>
          <w:sz w:val="20"/>
        </w:rPr>
        <w:t xml:space="preserve">, 302 F.3d 567, 575-76 (5th Cir. 2002). And Luke can show that he was discriminated against because of his disability as both Lee County and the Supervision Departments knew he was deaf yet failed to provide an accommodation despite multiple requests for an interpreter. </w:t>
      </w:r>
      <w:bookmarkStart w:id="4001" w:name="Bookmark_I6677RTB2HM67V0040000400_2"/>
      <w:bookmarkEnd w:id="4001"/>
      <w:r>
        <w:rPr>
          <w:rFonts w:ascii="Arial" w:eastAsia="Arial" w:hAnsi="Arial" w:cs="Arial"/>
          <w:i/>
          <w:color w:val="000000"/>
          <w:sz w:val="20"/>
        </w:rPr>
        <w:t xml:space="preserve">See </w:t>
      </w:r>
      <w:bookmarkStart w:id="4002" w:name="Bookmark_I6677RTB2HM67V0030000400"/>
      <w:bookmarkEnd w:id="4002"/>
      <w:r>
        <w:rPr>
          <w:rFonts w:ascii="Arial" w:eastAsia="Arial" w:hAnsi="Arial" w:cs="Arial"/>
          <w:i/>
          <w:color w:val="000000"/>
          <w:sz w:val="20"/>
        </w:rPr>
        <w:t>Windham v. Harris County</w:t>
      </w:r>
      <w:r>
        <w:rPr>
          <w:rFonts w:ascii="Arial" w:eastAsia="Arial" w:hAnsi="Arial" w:cs="Arial"/>
          <w:color w:val="000000"/>
          <w:sz w:val="20"/>
        </w:rPr>
        <w:t xml:space="preserve">, 875 F.3d 229, 235 (5th Cir. 2017). </w:t>
      </w:r>
      <w:bookmarkStart w:id="4003" w:name="Bookmark_LNHNREFclscc5_18"/>
      <w:bookmarkEnd w:id="4003"/>
      <w:r>
        <w:rPr>
          <w:rFonts w:ascii="Arial" w:eastAsia="Arial" w:hAnsi="Arial" w:cs="Arial"/>
          <w:color w:val="000000"/>
          <w:sz w:val="20"/>
        </w:rPr>
        <w:t xml:space="preserve">Title II regulations list "auxiliary aids," including "[q]ualified interpreters," as reasonable accommodations that public entities "shall" provide when necessary. 28 C.F.R. § 35.160(b)(1); </w:t>
      </w:r>
      <w:r>
        <w:rPr>
          <w:rFonts w:ascii="Arial" w:eastAsia="Arial" w:hAnsi="Arial" w:cs="Arial"/>
          <w:i/>
          <w:color w:val="000000"/>
          <w:sz w:val="20"/>
        </w:rPr>
        <w:t>id.</w:t>
      </w:r>
      <w:r>
        <w:rPr>
          <w:rFonts w:ascii="Arial" w:eastAsia="Arial" w:hAnsi="Arial" w:cs="Arial"/>
          <w:color w:val="000000"/>
          <w:sz w:val="20"/>
        </w:rPr>
        <w:t xml:space="preserve"> § 35.104.</w:t>
      </w:r>
    </w:p>
    <w:p w:rsidR="00022B47" w:rsidRDefault="00000000">
      <w:pPr>
        <w:pStyle w:val="Normal21"/>
        <w:widowControl w:val="0"/>
        <w:spacing w:before="200" w:line="260" w:lineRule="atLeast"/>
        <w:jc w:val="both"/>
      </w:pPr>
      <w:bookmarkStart w:id="4004" w:name="Bookmark_para_14_19"/>
      <w:bookmarkStart w:id="4005" w:name="Bookmark_I6677RTB2HM6820010000400"/>
      <w:bookmarkEnd w:id="4004"/>
      <w:bookmarkEnd w:id="4005"/>
      <w:r>
        <w:rPr>
          <w:rFonts w:ascii="Arial" w:eastAsia="Arial" w:hAnsi="Arial" w:cs="Arial"/>
          <w:color w:val="000000"/>
          <w:sz w:val="20"/>
        </w:rPr>
        <w:t xml:space="preserve">Luke also alleges that he was denied the benefit of "meaningful access" to public services. </w:t>
      </w:r>
      <w:r>
        <w:rPr>
          <w:rFonts w:ascii="Arial" w:eastAsia="Arial" w:hAnsi="Arial" w:cs="Arial"/>
          <w:i/>
          <w:color w:val="000000"/>
          <w:sz w:val="20"/>
        </w:rPr>
        <w:t xml:space="preserve">See </w:t>
      </w:r>
      <w:bookmarkStart w:id="4006" w:name="Bookmark_I6677RTB2HM67V0050000400"/>
      <w:bookmarkEnd w:id="4006"/>
      <w:r>
        <w:rPr>
          <w:rFonts w:ascii="Arial" w:eastAsia="Arial" w:hAnsi="Arial" w:cs="Arial"/>
          <w:i/>
          <w:color w:val="000000"/>
          <w:sz w:val="20"/>
        </w:rPr>
        <w:t>Alexander v. Choate</w:t>
      </w:r>
      <w:r>
        <w:rPr>
          <w:rFonts w:ascii="Arial" w:eastAsia="Arial" w:hAnsi="Arial" w:cs="Arial"/>
          <w:color w:val="000000"/>
          <w:sz w:val="20"/>
        </w:rPr>
        <w:t>, 469 U.S. 287, 301, 105 S. Ct. 712, 83 L. Ed. 2d 661 [*306]  (1985)</w:t>
      </w:r>
      <w:r>
        <w:rPr>
          <w:rFonts w:ascii="Arial" w:eastAsia="Arial" w:hAnsi="Arial" w:cs="Arial"/>
          <w:vertAlign w:val="superscript"/>
        </w:rPr>
        <w:footnoteReference w:customMarkFollows="1" w:id="86"/>
        <w:t>3</w:t>
      </w:r>
      <w:r>
        <w:rPr>
          <w:rFonts w:ascii="Arial" w:eastAsia="Arial" w:hAnsi="Arial" w:cs="Arial"/>
          <w:color w:val="000000"/>
          <w:sz w:val="20"/>
        </w:rPr>
        <w:t xml:space="preserve">; </w:t>
      </w:r>
      <w:r>
        <w:rPr>
          <w:rFonts w:ascii="Arial" w:eastAsia="Arial" w:hAnsi="Arial" w:cs="Arial"/>
          <w:i/>
          <w:color w:val="000000"/>
          <w:sz w:val="20"/>
        </w:rPr>
        <w:t xml:space="preserve">see also </w:t>
      </w:r>
      <w:bookmarkStart w:id="4016" w:name="Bookmark_I6677RTB2HM6820020000400"/>
      <w:bookmarkEnd w:id="4016"/>
      <w:r>
        <w:rPr>
          <w:rFonts w:ascii="Arial" w:eastAsia="Arial" w:hAnsi="Arial" w:cs="Arial"/>
          <w:i/>
          <w:color w:val="000000"/>
          <w:sz w:val="20"/>
        </w:rPr>
        <w:t>Cadena v. El Paso County</w:t>
      </w:r>
      <w:r>
        <w:rPr>
          <w:rFonts w:ascii="Arial" w:eastAsia="Arial" w:hAnsi="Arial" w:cs="Arial"/>
          <w:color w:val="000000"/>
          <w:sz w:val="20"/>
        </w:rPr>
        <w:t xml:space="preserve">, 946 F.3d 717, 725 (5th Cir. 2020). </w:t>
      </w:r>
      <w:bookmarkStart w:id="4017" w:name="Bookmark_I6677RTB2HM6820050000400"/>
      <w:bookmarkEnd w:id="4017"/>
      <w:r>
        <w:rPr>
          <w:rFonts w:ascii="Arial" w:eastAsia="Arial" w:hAnsi="Arial" w:cs="Arial"/>
          <w:color w:val="000000"/>
          <w:sz w:val="20"/>
        </w:rPr>
        <w:t xml:space="preserve">He says that he was not able to understand his legal rights or effectively communicate throughout his proceedings. </w:t>
      </w:r>
      <w:bookmarkStart w:id="4018" w:name="Bookmark_I6677RTB2HM6820050000400_2"/>
      <w:bookmarkEnd w:id="4018"/>
      <w:r>
        <w:rPr>
          <w:rFonts w:ascii="Arial" w:eastAsia="Arial" w:hAnsi="Arial" w:cs="Arial"/>
          <w:color w:val="000000"/>
          <w:sz w:val="20"/>
        </w:rPr>
        <w:t xml:space="preserve">Not being able to understand a court hearing or meeting with a probation officer is, by definition, a lack of meaningful access to those public services. </w:t>
      </w:r>
      <w:bookmarkStart w:id="4019" w:name="Bookmark_LNHNREFclscc6_15"/>
      <w:bookmarkEnd w:id="4019"/>
      <w:r>
        <w:rPr>
          <w:rFonts w:ascii="Arial" w:eastAsia="Arial" w:hAnsi="Arial" w:cs="Arial"/>
          <w:color w:val="000000"/>
          <w:sz w:val="20"/>
        </w:rPr>
        <w:t xml:space="preserve">Indeed, a core purpose of Title II is for public entities to "accommodate persons with disabilities in the administration [**7]  of justice." </w:t>
      </w:r>
      <w:r>
        <w:rPr>
          <w:rFonts w:ascii="Arial" w:eastAsia="Arial" w:hAnsi="Arial" w:cs="Arial"/>
          <w:i/>
          <w:color w:val="000000"/>
          <w:sz w:val="20"/>
        </w:rPr>
        <w:t xml:space="preserve">See </w:t>
      </w:r>
      <w:bookmarkStart w:id="4020" w:name="Bookmark_I6677RTB2HM6820040000400"/>
      <w:bookmarkEnd w:id="4020"/>
      <w:r>
        <w:rPr>
          <w:rFonts w:ascii="Arial" w:eastAsia="Arial" w:hAnsi="Arial" w:cs="Arial"/>
          <w:i/>
          <w:color w:val="000000"/>
          <w:sz w:val="20"/>
        </w:rPr>
        <w:t>Tennessee v. Lane</w:t>
      </w:r>
      <w:r>
        <w:rPr>
          <w:rFonts w:ascii="Arial" w:eastAsia="Arial" w:hAnsi="Arial" w:cs="Arial"/>
          <w:color w:val="000000"/>
          <w:sz w:val="20"/>
        </w:rPr>
        <w:t>, 541 U.S. 509, 533, 124 S. Ct. 1978, 158 L. Ed. 2d 820 (2004).</w:t>
      </w:r>
    </w:p>
    <w:p w:rsidR="00022B47" w:rsidRDefault="00000000">
      <w:pPr>
        <w:pStyle w:val="Normal21"/>
        <w:widowControl w:val="0"/>
        <w:spacing w:before="200" w:line="260" w:lineRule="atLeast"/>
        <w:jc w:val="both"/>
      </w:pPr>
      <w:bookmarkStart w:id="4021" w:name="Bookmark_para_15_19"/>
      <w:bookmarkEnd w:id="4021"/>
      <w:r>
        <w:rPr>
          <w:rFonts w:ascii="Arial" w:eastAsia="Arial" w:hAnsi="Arial" w:cs="Arial"/>
          <w:color w:val="000000"/>
          <w:sz w:val="20"/>
        </w:rPr>
        <w:t>It was on this element that the district court rejected Luke's claims. It reasoned that Luke was not denied a public service because he "successfully participated in, availed himself of, and completed the terms of his probation." In other words, the criminal case turned out okay for Luke.</w:t>
      </w:r>
    </w:p>
    <w:p w:rsidR="00022B47" w:rsidRDefault="00000000">
      <w:pPr>
        <w:pStyle w:val="Normal21"/>
        <w:widowControl w:val="0"/>
        <w:spacing w:before="200" w:line="260" w:lineRule="atLeast"/>
        <w:jc w:val="both"/>
      </w:pPr>
      <w:bookmarkStart w:id="4022" w:name="Bookmark_para_16_19"/>
      <w:bookmarkStart w:id="4023" w:name="Bookmark_I6677RTC2N1R3T0030000400"/>
      <w:bookmarkEnd w:id="4022"/>
      <w:bookmarkEnd w:id="4023"/>
      <w:r>
        <w:rPr>
          <w:rFonts w:ascii="Arial" w:eastAsia="Arial" w:hAnsi="Arial" w:cs="Arial"/>
          <w:color w:val="000000"/>
          <w:sz w:val="20"/>
        </w:rPr>
        <w:t xml:space="preserve">This no-harm-no-foul theory is inconsistent with the ADA. Nothing in the statute's text or the caselaw applying it requires Luke to have alleged a bad outcome—something like being wrongly arrested, getting his bail or probation revoked, or mistakenly entering a guilty plea because of confusion without an interpreter. </w:t>
      </w:r>
      <w:bookmarkStart w:id="4024" w:name="Bookmark_LNHNREFclscc8_13"/>
      <w:bookmarkEnd w:id="4024"/>
      <w:r>
        <w:rPr>
          <w:rFonts w:ascii="Arial" w:eastAsia="Arial" w:hAnsi="Arial" w:cs="Arial"/>
          <w:color w:val="000000"/>
          <w:sz w:val="20"/>
        </w:rPr>
        <w:t xml:space="preserve">And for good reason: Lack of meaningful access is </w:t>
      </w:r>
      <w:r>
        <w:rPr>
          <w:rFonts w:ascii="Arial" w:eastAsia="Arial" w:hAnsi="Arial" w:cs="Arial"/>
          <w:i/>
          <w:color w:val="000000"/>
          <w:sz w:val="20"/>
        </w:rPr>
        <w:t>itself</w:t>
      </w:r>
      <w:r>
        <w:rPr>
          <w:rFonts w:ascii="Arial" w:eastAsia="Arial" w:hAnsi="Arial" w:cs="Arial"/>
          <w:color w:val="000000"/>
          <w:sz w:val="20"/>
        </w:rPr>
        <w:t xml:space="preserve"> the harm under Title II, regardless of whether any additional injury follows. </w:t>
      </w:r>
      <w:r>
        <w:rPr>
          <w:rFonts w:ascii="Arial" w:eastAsia="Arial" w:hAnsi="Arial" w:cs="Arial"/>
          <w:i/>
          <w:color w:val="000000"/>
          <w:sz w:val="20"/>
        </w:rPr>
        <w:t xml:space="preserve">See </w:t>
      </w:r>
      <w:bookmarkStart w:id="4025" w:name="Bookmark_I6677RTC2N1R3T0020000400"/>
      <w:bookmarkEnd w:id="4025"/>
      <w:r>
        <w:rPr>
          <w:rFonts w:ascii="Arial" w:eastAsia="Arial" w:hAnsi="Arial" w:cs="Arial"/>
          <w:i/>
          <w:color w:val="000000"/>
          <w:sz w:val="20"/>
        </w:rPr>
        <w:t>Lane</w:t>
      </w:r>
      <w:r>
        <w:rPr>
          <w:rFonts w:ascii="Arial" w:eastAsia="Arial" w:hAnsi="Arial" w:cs="Arial"/>
          <w:color w:val="000000"/>
          <w:sz w:val="20"/>
        </w:rPr>
        <w:t>, 541 U.S. at 532-33. Luke's Title II injury is not being able to understand the judges and probation officers as a nondeaf defendant would.</w:t>
      </w:r>
    </w:p>
    <w:p w:rsidR="00022B47" w:rsidRDefault="00000000">
      <w:pPr>
        <w:pStyle w:val="Normal21"/>
        <w:widowControl w:val="0"/>
        <w:spacing w:before="200" w:line="260" w:lineRule="atLeast"/>
        <w:jc w:val="both"/>
      </w:pPr>
      <w:bookmarkStart w:id="4026" w:name="Bookmark_para_17_18"/>
      <w:bookmarkStart w:id="4027" w:name="Bookmark_I6677RTC2N1R3T0050000400"/>
      <w:bookmarkEnd w:id="4026"/>
      <w:bookmarkEnd w:id="4027"/>
      <w:r>
        <w:rPr>
          <w:rFonts w:ascii="Arial" w:eastAsia="Arial" w:hAnsi="Arial" w:cs="Arial"/>
          <w:color w:val="000000"/>
          <w:sz w:val="20"/>
        </w:rPr>
        <w:t xml:space="preserve">Under the district court's reasoning, a state could refuse to provide an ASL interpreter at a deaf individual's trial and then avoid Title II liability if the defendant is acquitted. Courts have rightly rejected that position. </w:t>
      </w:r>
      <w:r>
        <w:rPr>
          <w:rFonts w:ascii="Arial" w:eastAsia="Arial" w:hAnsi="Arial" w:cs="Arial"/>
          <w:i/>
          <w:color w:val="000000"/>
          <w:sz w:val="20"/>
        </w:rPr>
        <w:t xml:space="preserve">See, e.g., </w:t>
      </w:r>
      <w:bookmarkStart w:id="4028" w:name="Bookmark_I6677RTC2N1R3T0040000400"/>
      <w:bookmarkEnd w:id="4028"/>
      <w:r>
        <w:rPr>
          <w:rFonts w:ascii="Arial" w:eastAsia="Arial" w:hAnsi="Arial" w:cs="Arial"/>
          <w:i/>
          <w:color w:val="000000"/>
          <w:sz w:val="20"/>
        </w:rPr>
        <w:t>Robertson v. Las Animas Cnty. Sheriff's Dep't</w:t>
      </w:r>
      <w:r>
        <w:rPr>
          <w:rFonts w:ascii="Arial" w:eastAsia="Arial" w:hAnsi="Arial" w:cs="Arial"/>
          <w:color w:val="000000"/>
          <w:sz w:val="20"/>
        </w:rPr>
        <w:t xml:space="preserve">, 500 F.3d 1185, 1199 (10th Cir. 2007) (holding that failing to provide deaf arrestee with auxiliary [**8]  aids at probable cause hearing constituted a Title II injury even though the charges were dismissed); </w:t>
      </w:r>
      <w:bookmarkStart w:id="4029" w:name="Bookmark_I6677RTC2HM68H0010000400"/>
      <w:bookmarkEnd w:id="4029"/>
      <w:r>
        <w:rPr>
          <w:rFonts w:ascii="Arial" w:eastAsia="Arial" w:hAnsi="Arial" w:cs="Arial"/>
          <w:i/>
          <w:color w:val="000000"/>
          <w:sz w:val="20"/>
        </w:rPr>
        <w:t>Chisolm v. McManimon</w:t>
      </w:r>
      <w:r>
        <w:rPr>
          <w:rFonts w:ascii="Arial" w:eastAsia="Arial" w:hAnsi="Arial" w:cs="Arial"/>
          <w:color w:val="000000"/>
          <w:sz w:val="20"/>
        </w:rPr>
        <w:t xml:space="preserve">, 275 F.3d 315, 328-30 (3d Cir. 2001) (recognizing that denying deaf plaintiff auxiliary aids during his criminal proceedings could amount to Title II violation even though the charges against him were quashed); </w:t>
      </w:r>
      <w:bookmarkStart w:id="4030" w:name="Bookmark_I6677RTC2HM68H0030000400"/>
      <w:bookmarkEnd w:id="4030"/>
      <w:r>
        <w:rPr>
          <w:rFonts w:ascii="Arial" w:eastAsia="Arial" w:hAnsi="Arial" w:cs="Arial"/>
          <w:i/>
          <w:color w:val="000000"/>
          <w:sz w:val="20"/>
        </w:rPr>
        <w:t>Duvall v. County of Kitsap</w:t>
      </w:r>
      <w:r>
        <w:rPr>
          <w:rFonts w:ascii="Arial" w:eastAsia="Arial" w:hAnsi="Arial" w:cs="Arial"/>
          <w:color w:val="000000"/>
          <w:sz w:val="20"/>
        </w:rPr>
        <w:t xml:space="preserve">, 260 F.3d 1124, 1137-38 (9th Cir. 2001) (concluding that failure to provide deaf individual effective auxiliary aids during his trial can violate Title II without regard for that trial's outcome); </w:t>
      </w:r>
      <w:r>
        <w:rPr>
          <w:rFonts w:ascii="Arial" w:eastAsia="Arial" w:hAnsi="Arial" w:cs="Arial"/>
          <w:i/>
          <w:color w:val="000000"/>
          <w:sz w:val="20"/>
        </w:rPr>
        <w:t xml:space="preserve">see also </w:t>
      </w:r>
      <w:bookmarkStart w:id="4031" w:name="Bookmark_I6677RTC2HM68H0050000400"/>
      <w:bookmarkEnd w:id="4031"/>
      <w:r>
        <w:rPr>
          <w:rFonts w:ascii="Arial" w:eastAsia="Arial" w:hAnsi="Arial" w:cs="Arial"/>
          <w:i/>
          <w:color w:val="000000"/>
          <w:sz w:val="20"/>
        </w:rPr>
        <w:t>Perez v. Drs. Hosp. at Renaissance, Ltd.</w:t>
      </w:r>
      <w:r>
        <w:rPr>
          <w:rFonts w:ascii="Arial" w:eastAsia="Arial" w:hAnsi="Arial" w:cs="Arial"/>
          <w:color w:val="000000"/>
          <w:sz w:val="20"/>
        </w:rPr>
        <w:t>, 624 F. App'x 180, 184 (5th Cir. 2015) (holding that jury could find that hospital's failure to provide effective auxiliary aids to deaf patient violated Title III despite patient not suffering any additional harm).</w:t>
      </w:r>
    </w:p>
    <w:p w:rsidR="00022B47" w:rsidRDefault="00000000">
      <w:pPr>
        <w:pStyle w:val="Normal21"/>
        <w:widowControl w:val="0"/>
        <w:spacing w:before="200" w:line="260" w:lineRule="atLeast"/>
        <w:jc w:val="both"/>
      </w:pPr>
      <w:bookmarkStart w:id="4032" w:name="Bookmark_para_18_18"/>
      <w:bookmarkEnd w:id="4032"/>
      <w:r>
        <w:rPr>
          <w:rFonts w:ascii="Arial" w:eastAsia="Arial" w:hAnsi="Arial" w:cs="Arial"/>
          <w:color w:val="000000"/>
          <w:sz w:val="20"/>
        </w:rPr>
        <w:t>The positive outcome of Luke's criminal case may, of course, affect his damages.</w:t>
      </w:r>
      <w:r>
        <w:rPr>
          <w:rFonts w:ascii="Arial" w:eastAsia="Arial" w:hAnsi="Arial" w:cs="Arial"/>
          <w:vertAlign w:val="superscript"/>
        </w:rPr>
        <w:footnoteReference w:customMarkFollows="1" w:id="87"/>
        <w:t>4</w:t>
      </w:r>
      <w:r>
        <w:rPr>
          <w:rFonts w:ascii="Arial" w:eastAsia="Arial" w:hAnsi="Arial" w:cs="Arial"/>
          <w:color w:val="000000"/>
          <w:sz w:val="20"/>
        </w:rPr>
        <w:t xml:space="preserve">  [*307]  But it does not allow courts to escape their ADA obligations.</w:t>
      </w:r>
    </w:p>
    <w:p w:rsidR="00022B47" w:rsidRDefault="00000000">
      <w:pPr>
        <w:pStyle w:val="Normal21"/>
        <w:widowControl w:val="0"/>
        <w:spacing w:before="200" w:line="260" w:lineRule="atLeast"/>
        <w:jc w:val="both"/>
      </w:pPr>
      <w:bookmarkStart w:id="4043" w:name="Bookmark_para_19_17"/>
      <w:bookmarkEnd w:id="4043"/>
      <w:r>
        <w:rPr>
          <w:rFonts w:ascii="Arial" w:eastAsia="Arial" w:hAnsi="Arial" w:cs="Arial"/>
          <w:color w:val="000000"/>
          <w:sz w:val="20"/>
        </w:rPr>
        <w:t xml:space="preserve">Even with this understanding of Title II, the Supervision Departments contend there is no ADA violation because Luke's mother served as an interpreter. But taking Luke's allegations as true, his mother knows only basic sign language. His mother's involvement thus did not fully inform him of the proceedings or otherwise provide the meaningful access the ADA requires. </w:t>
      </w:r>
      <w:bookmarkStart w:id="4044" w:name="Bookmark_LNHNREFclscc9_13"/>
      <w:bookmarkEnd w:id="4044"/>
      <w:r>
        <w:rPr>
          <w:rFonts w:ascii="Arial" w:eastAsia="Arial" w:hAnsi="Arial" w:cs="Arial"/>
          <w:color w:val="000000"/>
          <w:sz w:val="20"/>
        </w:rPr>
        <w:t xml:space="preserve">What is more, public entities cannot force a disabled person's family [**9]  member to provide the interpretation services for which the entity is responsible. </w:t>
      </w:r>
      <w:r>
        <w:rPr>
          <w:rFonts w:ascii="Arial" w:eastAsia="Arial" w:hAnsi="Arial" w:cs="Arial"/>
          <w:i/>
          <w:color w:val="000000"/>
          <w:sz w:val="20"/>
        </w:rPr>
        <w:t>See</w:t>
      </w:r>
      <w:r>
        <w:rPr>
          <w:rFonts w:ascii="Arial" w:eastAsia="Arial" w:hAnsi="Arial" w:cs="Arial"/>
          <w:color w:val="000000"/>
          <w:sz w:val="20"/>
        </w:rPr>
        <w:t xml:space="preserve"> 28 C.F.R. § 35.160(c)(2).</w:t>
      </w:r>
    </w:p>
    <w:p w:rsidR="00022B47" w:rsidRDefault="00000000">
      <w:pPr>
        <w:pStyle w:val="Normal21"/>
        <w:widowControl w:val="0"/>
        <w:spacing w:before="200" w:line="260" w:lineRule="atLeast"/>
        <w:jc w:val="both"/>
      </w:pPr>
      <w:bookmarkStart w:id="4045" w:name="Bookmark_para_20_17"/>
      <w:bookmarkEnd w:id="4045"/>
      <w:r>
        <w:rPr>
          <w:rFonts w:ascii="Arial" w:eastAsia="Arial" w:hAnsi="Arial" w:cs="Arial"/>
          <w:color w:val="000000"/>
          <w:sz w:val="20"/>
        </w:rPr>
        <w:t>Luke thus has sufficiently stated a Title II claim. This means his claim against Lee County should proceed past the pleading stage.</w:t>
      </w:r>
    </w:p>
    <w:p w:rsidR="00022B47" w:rsidRDefault="00000000">
      <w:pPr>
        <w:pStyle w:val="Normal21"/>
        <w:widowControl w:val="0"/>
        <w:spacing w:before="200" w:line="260" w:lineRule="atLeast"/>
        <w:jc w:val="both"/>
      </w:pPr>
      <w:bookmarkStart w:id="4046" w:name="Bookmark_para_21_17"/>
      <w:bookmarkStart w:id="4047" w:name="Bookmark_I1XGT15G8HS00006DR600001"/>
      <w:bookmarkStart w:id="4048" w:name="Bookmark_I6677RTD2HM68N0030000400"/>
      <w:bookmarkEnd w:id="4046"/>
      <w:bookmarkEnd w:id="4047"/>
      <w:bookmarkEnd w:id="4048"/>
      <w:r>
        <w:rPr>
          <w:rFonts w:ascii="Arial" w:eastAsia="Arial" w:hAnsi="Arial" w:cs="Arial"/>
          <w:color w:val="000000"/>
          <w:sz w:val="20"/>
        </w:rPr>
        <w:t xml:space="preserve">It is not so simple for the Supervision Departments. We hold only that Luke's allegations satisfy step one of the abrogation test. The inquiry should now proceed to the second and, if necessary, third step. </w:t>
      </w:r>
      <w:r>
        <w:rPr>
          <w:rFonts w:ascii="Arial" w:eastAsia="Arial" w:hAnsi="Arial" w:cs="Arial"/>
          <w:i/>
          <w:color w:val="000000"/>
          <w:sz w:val="20"/>
        </w:rPr>
        <w:t xml:space="preserve">See </w:t>
      </w:r>
      <w:bookmarkStart w:id="4049" w:name="Bookmark_I6677RTD2HM68N0020000400"/>
      <w:bookmarkEnd w:id="4049"/>
      <w:r>
        <w:rPr>
          <w:rFonts w:ascii="Arial" w:eastAsia="Arial" w:hAnsi="Arial" w:cs="Arial"/>
          <w:i/>
          <w:color w:val="000000"/>
          <w:sz w:val="20"/>
        </w:rPr>
        <w:t>Georgia</w:t>
      </w:r>
      <w:r>
        <w:rPr>
          <w:rFonts w:ascii="Arial" w:eastAsia="Arial" w:hAnsi="Arial" w:cs="Arial"/>
          <w:color w:val="000000"/>
          <w:sz w:val="20"/>
        </w:rPr>
        <w:t>, 546 U.S. at 159. These difficult abrogation questions would benefit from full briefing and initial consideration by the district court.</w:t>
      </w:r>
    </w:p>
    <w:p w:rsidR="00022B47" w:rsidRDefault="00000000">
      <w:pPr>
        <w:pStyle w:val="Normal21"/>
        <w:widowControl w:val="0"/>
        <w:spacing w:before="120" w:line="260" w:lineRule="atLeast"/>
      </w:pPr>
      <w:r>
        <w:rPr>
          <w:rFonts w:ascii="Arial" w:eastAsia="Arial" w:hAnsi="Arial" w:cs="Arial"/>
          <w:color w:val="000000"/>
          <w:sz w:val="20"/>
        </w:rPr>
        <w:t>III</w:t>
      </w:r>
    </w:p>
    <w:p w:rsidR="00022B47" w:rsidRDefault="00000000">
      <w:pPr>
        <w:pStyle w:val="Normal21"/>
        <w:widowControl w:val="0"/>
        <w:spacing w:before="200" w:line="260" w:lineRule="atLeast"/>
        <w:jc w:val="both"/>
      </w:pPr>
      <w:bookmarkStart w:id="4050" w:name="Bookmark_para_22_16"/>
      <w:bookmarkEnd w:id="4050"/>
      <w:r>
        <w:rPr>
          <w:rFonts w:ascii="Arial" w:eastAsia="Arial" w:hAnsi="Arial" w:cs="Arial"/>
          <w:color w:val="000000"/>
          <w:sz w:val="20"/>
        </w:rPr>
        <w:t xml:space="preserve">This leaves the claim against the State of Texas. We struggle to see what suing Texas directly does for Luke given that he has also sued the state agencies (the Supervision Departments) that oversaw his probation. In any event, the district court did not abuse its discretion in dismissing Texas for improper service. </w:t>
      </w:r>
      <w:bookmarkStart w:id="4051" w:name="Bookmark_LNHNREFclscc10_13"/>
      <w:bookmarkEnd w:id="4051"/>
      <w:r>
        <w:rPr>
          <w:rFonts w:ascii="Arial" w:eastAsia="Arial" w:hAnsi="Arial" w:cs="Arial"/>
          <w:color w:val="000000"/>
          <w:sz w:val="20"/>
        </w:rPr>
        <w:t xml:space="preserve">For plaintiffs to sue a state in federal court, they must either: (1) serve the state's "chief executive officer"; or (2) provide service in a manner prescribed by that state's law. Fed. R. Civ. P. 4(j)(2). Luke did neither. The governor is Texas's chief executive officer, but Luke served the Secretary of State. </w:t>
      </w:r>
      <w:r>
        <w:rPr>
          <w:rFonts w:ascii="Arial" w:eastAsia="Arial" w:hAnsi="Arial" w:cs="Arial"/>
          <w:i/>
          <w:color w:val="000000"/>
          <w:sz w:val="20"/>
        </w:rPr>
        <w:t>See</w:t>
      </w:r>
      <w:r>
        <w:rPr>
          <w:rFonts w:ascii="Arial" w:eastAsia="Arial" w:hAnsi="Arial" w:cs="Arial"/>
          <w:color w:val="000000"/>
          <w:sz w:val="20"/>
        </w:rPr>
        <w:t xml:space="preserve"> Tex. Const. art. IV, § 1. And no state law authorizes [**10]  the Secretary of State to accept service on behalf of Texas in ADA cases. Luke points to a state law allowing the Secretary of State to accept service for claims that arise under the Texas Tort Claims Act and argues that it applies here because ADA suits are analogous to TTCA suits. </w:t>
      </w:r>
      <w:r>
        <w:rPr>
          <w:rFonts w:ascii="Arial" w:eastAsia="Arial" w:hAnsi="Arial" w:cs="Arial"/>
          <w:i/>
          <w:color w:val="000000"/>
          <w:sz w:val="20"/>
        </w:rPr>
        <w:t>See</w:t>
      </w:r>
      <w:r>
        <w:rPr>
          <w:rFonts w:ascii="Arial" w:eastAsia="Arial" w:hAnsi="Arial" w:cs="Arial"/>
          <w:color w:val="000000"/>
          <w:sz w:val="20"/>
        </w:rPr>
        <w:t xml:space="preserve"> Tex. Civ. Prac. &amp; Rem. Code § 101.102. But whether they are analogous is of no moment. The statute limits the service-of-process provision to claims arising "under th[at] chapter," which ADA claims do not. </w:t>
      </w:r>
      <w:r>
        <w:rPr>
          <w:rFonts w:ascii="Arial" w:eastAsia="Arial" w:hAnsi="Arial" w:cs="Arial"/>
          <w:i/>
          <w:color w:val="000000"/>
          <w:sz w:val="20"/>
        </w:rPr>
        <w:t>Id.</w:t>
      </w:r>
      <w:r>
        <w:rPr>
          <w:rFonts w:ascii="Arial" w:eastAsia="Arial" w:hAnsi="Arial" w:cs="Arial"/>
          <w:color w:val="000000"/>
          <w:sz w:val="20"/>
        </w:rPr>
        <w:t xml:space="preserve"> Luke's service on the Secretary of State was therefore improper and the claim was correctly dismissed without prejudice.</w:t>
      </w:r>
    </w:p>
    <w:p w:rsidR="00022B47" w:rsidRDefault="00000000">
      <w:pPr>
        <w:pStyle w:val="Normal21"/>
        <w:widowControl w:val="0"/>
        <w:spacing w:before="200" w:line="260" w:lineRule="atLeast"/>
        <w:jc w:val="both"/>
      </w:pPr>
      <w:bookmarkStart w:id="4052" w:name="Bookmark_para_23_15"/>
      <w:bookmarkEnd w:id="4052"/>
      <w:r>
        <w:rPr>
          <w:rFonts w:ascii="Arial" w:eastAsia="Arial" w:hAnsi="Arial" w:cs="Arial"/>
          <w:color w:val="000000"/>
          <w:sz w:val="20"/>
        </w:rPr>
        <w:t>* * *</w:t>
      </w:r>
    </w:p>
    <w:p w:rsidR="00022B47" w:rsidRDefault="00000000">
      <w:pPr>
        <w:pStyle w:val="Normal21"/>
        <w:widowControl w:val="0"/>
        <w:spacing w:before="200" w:line="260" w:lineRule="atLeast"/>
        <w:jc w:val="both"/>
      </w:pPr>
      <w:bookmarkStart w:id="4053" w:name="Bookmark_para_24_15"/>
      <w:bookmarkEnd w:id="4053"/>
      <w:r>
        <w:rPr>
          <w:rFonts w:ascii="Arial" w:eastAsia="Arial" w:hAnsi="Arial" w:cs="Arial"/>
          <w:color w:val="000000"/>
          <w:sz w:val="20"/>
        </w:rPr>
        <w:t>We REVERSE the dismissal of Luke's claim against Lee County, VACATE the dismissal against the Supervision Departments, and AFFIRM the dismissal against Texas. We REMAND for further proceedings consistent with this opinion, including consideration of whether Congress validly abrogated state sovereign immunity for the claims against the Supervisions Departments.</w:t>
      </w:r>
    </w:p>
    <w:p w:rsidR="00022B47" w:rsidRDefault="00022B47">
      <w:pPr>
        <w:pStyle w:val="Normal21"/>
      </w:pPr>
    </w:p>
    <w:p w:rsidR="00022B47" w:rsidRDefault="00000000">
      <w:pPr>
        <w:pStyle w:val="Normal21"/>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03296"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343901079"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0DA46E" id="Line 46"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22"/>
        <w:sectPr w:rsidR="00022B47">
          <w:headerReference w:type="even" r:id="rId139"/>
          <w:headerReference w:type="default" r:id="rId140"/>
          <w:footerReference w:type="even" r:id="rId141"/>
          <w:footerReference w:type="default" r:id="rId142"/>
          <w:headerReference w:type="first" r:id="rId143"/>
          <w:footerReference w:type="first" r:id="rId144"/>
          <w:pgSz w:w="12240" w:h="15840"/>
          <w:pgMar w:top="840" w:right="1000" w:bottom="840" w:left="1000" w:header="400" w:footer="400" w:gutter="0"/>
          <w:cols w:space="720"/>
          <w:titlePg/>
        </w:sectPr>
      </w:pPr>
    </w:p>
    <w:p w:rsidR="00022B47" w:rsidRDefault="00022B47">
      <w:pPr>
        <w:pStyle w:val="Normal22"/>
      </w:pPr>
    </w:p>
    <w:p w:rsidR="00022B47" w:rsidRDefault="00000000">
      <w:pPr>
        <w:pStyle w:val="Heading121"/>
        <w:keepNext w:val="0"/>
        <w:widowControl w:val="0"/>
        <w:spacing w:after="200" w:line="340" w:lineRule="atLeast"/>
        <w:jc w:val="center"/>
      </w:pPr>
      <w:r>
        <w:rPr>
          <w:rFonts w:eastAsia="Arial"/>
          <w:color w:val="000000"/>
          <w:sz w:val="28"/>
        </w:rPr>
        <w:t>Greenbaum v. N.Y. City Transit Auth.</w:t>
      </w:r>
    </w:p>
    <w:p w:rsidR="00022B47" w:rsidRDefault="00000000">
      <w:pPr>
        <w:pStyle w:val="Normal22"/>
        <w:widowControl w:val="0"/>
        <w:spacing w:before="120" w:line="260" w:lineRule="atLeast"/>
        <w:jc w:val="center"/>
      </w:pPr>
      <w:r>
        <w:rPr>
          <w:rFonts w:ascii="Arial" w:eastAsia="Arial" w:hAnsi="Arial" w:cs="Arial"/>
          <w:color w:val="000000"/>
          <w:sz w:val="20"/>
        </w:rPr>
        <w:t>United States Court of Appeals for the Second Circuit</w:t>
      </w:r>
    </w:p>
    <w:p w:rsidR="00022B47" w:rsidRDefault="00000000">
      <w:pPr>
        <w:pStyle w:val="Normal22"/>
        <w:widowControl w:val="0"/>
        <w:spacing w:before="120" w:line="260" w:lineRule="atLeast"/>
        <w:jc w:val="center"/>
      </w:pPr>
      <w:r>
        <w:rPr>
          <w:rFonts w:ascii="Arial" w:eastAsia="Arial" w:hAnsi="Arial" w:cs="Arial"/>
          <w:color w:val="000000"/>
          <w:sz w:val="20"/>
        </w:rPr>
        <w:t>August 15, 2022, Decided</w:t>
      </w:r>
    </w:p>
    <w:p w:rsidR="00022B47" w:rsidRDefault="00000000">
      <w:pPr>
        <w:pStyle w:val="Normal22"/>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21-1777</w:t>
      </w:r>
    </w:p>
    <w:p w:rsidR="00022B47" w:rsidRDefault="00022B47">
      <w:pPr>
        <w:pStyle w:val="Normal22"/>
        <w:widowControl w:val="0"/>
        <w:spacing w:line="240" w:lineRule="atLeast"/>
        <w:jc w:val="both"/>
      </w:pPr>
      <w:bookmarkStart w:id="4054" w:name="Bookmark_23"/>
      <w:bookmarkEnd w:id="4054"/>
    </w:p>
    <w:p w:rsidR="00022B47" w:rsidRDefault="00000000">
      <w:pPr>
        <w:pStyle w:val="Normal22"/>
        <w:widowControl w:val="0"/>
        <w:spacing w:before="200" w:line="240" w:lineRule="atLeast"/>
      </w:pPr>
      <w:bookmarkStart w:id="4055" w:name="Reporter_21"/>
      <w:bookmarkEnd w:id="4055"/>
      <w:r>
        <w:rPr>
          <w:rFonts w:ascii="Arial" w:eastAsia="Arial" w:hAnsi="Arial" w:cs="Arial"/>
          <w:b/>
          <w:color w:val="000000"/>
          <w:sz w:val="18"/>
        </w:rPr>
        <w:t>Reporter</w:t>
      </w:r>
    </w:p>
    <w:p w:rsidR="00022B47" w:rsidRDefault="00000000">
      <w:pPr>
        <w:pStyle w:val="Normal22"/>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2022 U.S. App. LEXIS 22589 *; 2022 WL 3347893</w:t>
      </w:r>
    </w:p>
    <w:p w:rsidR="00022B47" w:rsidRDefault="00000000">
      <w:pPr>
        <w:pStyle w:val="Normal22"/>
        <w:widowControl w:val="0"/>
        <w:spacing w:before="120" w:line="260" w:lineRule="atLeast"/>
      </w:pPr>
      <w:r>
        <w:rPr>
          <w:rFonts w:ascii="Arial" w:eastAsia="Arial" w:hAnsi="Arial" w:cs="Arial"/>
          <w:color w:val="000000"/>
          <w:sz w:val="20"/>
        </w:rPr>
        <w:t>Steven Greenbaum, Plaintiff-Appellant, v. New York City Transit Authority, Metropolitan Transportation Authority Corporation, Manhattan and Bronx Surface Transit Operating Authority, Defendants-Appellees.</w:t>
      </w:r>
    </w:p>
    <w:p w:rsidR="00022B47" w:rsidRDefault="00000000">
      <w:pPr>
        <w:pStyle w:val="Normal22"/>
        <w:widowControl w:val="0"/>
        <w:spacing w:before="240" w:line="260" w:lineRule="atLeast"/>
        <w:jc w:val="both"/>
      </w:pPr>
      <w:bookmarkStart w:id="4056" w:name="Notice_9"/>
      <w:bookmarkEnd w:id="4056"/>
      <w:r>
        <w:rPr>
          <w:rFonts w:ascii="Arial" w:eastAsia="Arial" w:hAnsi="Arial" w:cs="Arial"/>
          <w:b/>
          <w:color w:val="000000"/>
          <w:sz w:val="20"/>
        </w:rPr>
        <w:t>Notice:</w:t>
      </w:r>
      <w:r>
        <w:rPr>
          <w:rFonts w:ascii="Arial" w:eastAsia="Arial" w:hAnsi="Arial" w:cs="Arial"/>
          <w:color w:val="000000"/>
          <w:sz w:val="20"/>
        </w:rPr>
        <w:t> </w:t>
      </w:r>
      <w:bookmarkStart w:id="4057" w:name="Bookmark_para_1_21"/>
      <w:bookmarkEnd w:id="4057"/>
      <w:r>
        <w:rPr>
          <w:rFonts w:ascii="Arial" w:eastAsia="Arial" w:hAnsi="Arial" w:cs="Arial"/>
          <w:color w:val="000000"/>
          <w:sz w:val="20"/>
        </w:rPr>
        <w:t>PLEASE REFER TO FEDERAL RULES OF APPELLATE PROCEDURE RULE 32.1 GOVERNING THE CITATION TO UNPUBLISHED OPINIONS.</w:t>
      </w:r>
    </w:p>
    <w:p w:rsidR="00022B47" w:rsidRDefault="00000000">
      <w:pPr>
        <w:pStyle w:val="Normal22"/>
        <w:widowControl w:val="0"/>
        <w:spacing w:before="240" w:line="260" w:lineRule="atLeast"/>
        <w:jc w:val="both"/>
      </w:pPr>
      <w:bookmarkStart w:id="4058" w:name="Prior_History_21"/>
      <w:bookmarkEnd w:id="4058"/>
      <w:r>
        <w:rPr>
          <w:rFonts w:ascii="Arial" w:eastAsia="Arial" w:hAnsi="Arial" w:cs="Arial"/>
          <w:b/>
          <w:color w:val="000000"/>
          <w:sz w:val="20"/>
        </w:rPr>
        <w:t>Prior History:</w:t>
      </w:r>
      <w:r>
        <w:rPr>
          <w:rFonts w:ascii="Arial" w:eastAsia="Arial" w:hAnsi="Arial" w:cs="Arial"/>
          <w:color w:val="000000"/>
          <w:sz w:val="20"/>
        </w:rPr>
        <w:t> </w:t>
      </w:r>
      <w:bookmarkStart w:id="4059" w:name="Bookmark_para_2_21"/>
      <w:bookmarkEnd w:id="4059"/>
      <w:r>
        <w:rPr>
          <w:rFonts w:ascii="Arial" w:eastAsia="Arial" w:hAnsi="Arial" w:cs="Arial"/>
          <w:color w:val="000000"/>
          <w:sz w:val="20"/>
        </w:rPr>
        <w:t> [*1] Appeal from the United States District Court for the Southern District of New York (Cote, J.).</w:t>
      </w:r>
    </w:p>
    <w:p w:rsidR="00022B47" w:rsidRDefault="00000000">
      <w:pPr>
        <w:pStyle w:val="Normal22"/>
        <w:widowControl w:val="0"/>
        <w:spacing w:before="120" w:line="260" w:lineRule="atLeast"/>
      </w:pPr>
      <w:r>
        <w:rPr>
          <w:rFonts w:ascii="Arial" w:eastAsia="Arial" w:hAnsi="Arial" w:cs="Arial"/>
          <w:color w:val="000000"/>
          <w:sz w:val="20"/>
        </w:rPr>
        <w:t>Greenbaum v. N.Y. City Transit Auth., 2021 U.S. Dist. LEXIS 119024, 2021 WL 2650509 (S.D.N.Y., June 25, 2021)</w:t>
      </w:r>
    </w:p>
    <w:p w:rsidR="00022B47" w:rsidRDefault="00000000">
      <w:pPr>
        <w:pStyle w:val="Normal22"/>
        <w:widowControl w:val="0"/>
        <w:spacing w:before="240" w:line="260" w:lineRule="atLeast"/>
      </w:pPr>
      <w:bookmarkStart w:id="4060" w:name="Counsel_21"/>
      <w:bookmarkEnd w:id="4060"/>
      <w:r>
        <w:rPr>
          <w:rFonts w:ascii="Arial" w:eastAsia="Arial" w:hAnsi="Arial" w:cs="Arial"/>
          <w:b/>
          <w:color w:val="000000"/>
          <w:sz w:val="20"/>
        </w:rPr>
        <w:t>Counsel:</w:t>
      </w:r>
      <w:r>
        <w:rPr>
          <w:rFonts w:ascii="Arial" w:eastAsia="Arial" w:hAnsi="Arial" w:cs="Arial"/>
          <w:color w:val="000000"/>
          <w:sz w:val="20"/>
        </w:rPr>
        <w:t> FOR PLAINTIFF-APPELLANT: STEWART LEE KARLIN, Stewart Lee Karlin Law Group, PC, New York, NY.</w:t>
      </w:r>
    </w:p>
    <w:p w:rsidR="00022B47" w:rsidRDefault="00000000">
      <w:pPr>
        <w:pStyle w:val="Normal22"/>
        <w:widowControl w:val="0"/>
        <w:spacing w:before="120" w:line="260" w:lineRule="atLeast"/>
      </w:pPr>
      <w:r>
        <w:rPr>
          <w:rFonts w:ascii="Arial" w:eastAsia="Arial" w:hAnsi="Arial" w:cs="Arial"/>
          <w:color w:val="000000"/>
          <w:sz w:val="20"/>
        </w:rPr>
        <w:t>FOR DEFENDANTS-APPELLEES: HELENE R. HECHTKOPF (Miriam J. Manber, on the brief), Hoguet Newman Regal &amp; Kenney, LLP, New York, NY.</w:t>
      </w:r>
    </w:p>
    <w:p w:rsidR="00022B47" w:rsidRDefault="00000000">
      <w:pPr>
        <w:pStyle w:val="Normal22"/>
        <w:widowControl w:val="0"/>
        <w:spacing w:before="240" w:line="260" w:lineRule="atLeast"/>
      </w:pPr>
      <w:bookmarkStart w:id="4061" w:name="Judges_21"/>
      <w:bookmarkEnd w:id="4061"/>
      <w:r>
        <w:rPr>
          <w:rFonts w:ascii="Arial" w:eastAsia="Arial" w:hAnsi="Arial" w:cs="Arial"/>
          <w:b/>
          <w:color w:val="000000"/>
          <w:sz w:val="20"/>
        </w:rPr>
        <w:t>Judges:</w:t>
      </w:r>
      <w:r>
        <w:rPr>
          <w:rFonts w:ascii="Arial" w:eastAsia="Arial" w:hAnsi="Arial" w:cs="Arial"/>
          <w:color w:val="000000"/>
          <w:sz w:val="20"/>
        </w:rPr>
        <w:t> PRESENT: GERARD E. LYNCH, JOSEPH F. BIANCO, WILLIAM J. NARDINI, Circuit Judges.</w:t>
      </w:r>
    </w:p>
    <w:p w:rsidR="00022B47" w:rsidRDefault="00000000">
      <w:pPr>
        <w:pStyle w:val="Normal22"/>
        <w:keepNext/>
        <w:widowControl w:val="0"/>
        <w:spacing w:before="240" w:line="340" w:lineRule="atLeast"/>
      </w:pPr>
      <w:bookmarkStart w:id="4062" w:name="Opinion_21"/>
      <w:bookmarkEnd w:id="4062"/>
      <w:r>
        <w:rPr>
          <w:rFonts w:ascii="Arial" w:eastAsia="Arial" w:hAnsi="Arial" w:cs="Arial"/>
          <w:b/>
          <w:color w:val="000000"/>
          <w:sz w:val="28"/>
        </w:rPr>
        <w:t>Opinion</w:t>
      </w:r>
    </w:p>
    <w:p w:rsidR="00022B47" w:rsidRDefault="0025213E">
      <w:pPr>
        <w:pStyle w:val="Normal22"/>
        <w:spacing w:line="60" w:lineRule="exact"/>
      </w:pPr>
      <w:r>
        <w:rPr>
          <w:noProof/>
        </w:rPr>
        <mc:AlternateContent>
          <mc:Choice Requires="wps">
            <w:drawing>
              <wp:anchor distT="0" distB="0" distL="114300" distR="114300" simplePos="0" relativeHeight="25170432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358337898"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918DD3" id="Line 47"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22"/>
        <w:spacing w:line="120" w:lineRule="exact"/>
      </w:pPr>
    </w:p>
    <w:p w:rsidR="00022B47" w:rsidRDefault="00000000">
      <w:pPr>
        <w:pStyle w:val="Normal22"/>
        <w:widowControl w:val="0"/>
        <w:spacing w:before="240" w:line="260" w:lineRule="atLeast"/>
      </w:pPr>
      <w:r>
        <w:br/>
      </w:r>
      <w:r>
        <w:rPr>
          <w:rFonts w:ascii="Arial" w:eastAsia="Arial" w:hAnsi="Arial" w:cs="Arial"/>
          <w:b/>
          <w:color w:val="000000"/>
          <w:sz w:val="20"/>
          <w:u w:val="single"/>
        </w:rPr>
        <w:t>SUMMARY ORDER</w:t>
      </w:r>
    </w:p>
    <w:p w:rsidR="00022B47" w:rsidRDefault="00000000">
      <w:pPr>
        <w:pStyle w:val="Normal22"/>
        <w:widowControl w:val="0"/>
        <w:spacing w:before="200" w:line="260" w:lineRule="atLeast"/>
        <w:jc w:val="both"/>
      </w:pPr>
      <w:bookmarkStart w:id="4063" w:name="Bookmark_para_3_21"/>
      <w:bookmarkEnd w:id="4063"/>
      <w:r>
        <w:rPr>
          <w:rFonts w:ascii="Arial" w:eastAsia="Arial" w:hAnsi="Arial" w:cs="Arial"/>
          <w:b/>
          <w:color w:val="000000"/>
          <w:sz w:val="20"/>
        </w:rPr>
        <w:t>UPON DUE CONSIDERATION, IT IS HEREBY ORDERED, ADJUDGED, AND DECREED</w:t>
      </w:r>
      <w:r>
        <w:rPr>
          <w:rFonts w:ascii="Arial" w:eastAsia="Arial" w:hAnsi="Arial" w:cs="Arial"/>
          <w:color w:val="000000"/>
          <w:sz w:val="20"/>
        </w:rPr>
        <w:t xml:space="preserve"> that the judgment of the district court is hereby </w:t>
      </w:r>
      <w:r>
        <w:rPr>
          <w:rFonts w:ascii="Arial" w:eastAsia="Arial" w:hAnsi="Arial" w:cs="Arial"/>
          <w:b/>
          <w:color w:val="000000"/>
          <w:sz w:val="20"/>
        </w:rPr>
        <w:t>VACATED</w:t>
      </w:r>
      <w:r>
        <w:rPr>
          <w:rFonts w:ascii="Arial" w:eastAsia="Arial" w:hAnsi="Arial" w:cs="Arial"/>
          <w:color w:val="000000"/>
          <w:sz w:val="20"/>
        </w:rPr>
        <w:t xml:space="preserve"> in part and </w:t>
      </w:r>
      <w:r>
        <w:rPr>
          <w:rFonts w:ascii="Arial" w:eastAsia="Arial" w:hAnsi="Arial" w:cs="Arial"/>
          <w:b/>
          <w:color w:val="000000"/>
          <w:sz w:val="20"/>
        </w:rPr>
        <w:t>AFFIRMED</w:t>
      </w:r>
      <w:r>
        <w:rPr>
          <w:rFonts w:ascii="Arial" w:eastAsia="Arial" w:hAnsi="Arial" w:cs="Arial"/>
          <w:color w:val="000000"/>
          <w:sz w:val="20"/>
        </w:rPr>
        <w:t xml:space="preserve"> in part, and the action is </w:t>
      </w:r>
      <w:r>
        <w:rPr>
          <w:rFonts w:ascii="Arial" w:eastAsia="Arial" w:hAnsi="Arial" w:cs="Arial"/>
          <w:b/>
          <w:color w:val="000000"/>
          <w:sz w:val="20"/>
        </w:rPr>
        <w:t>REMANDED</w:t>
      </w:r>
      <w:r>
        <w:rPr>
          <w:rFonts w:ascii="Arial" w:eastAsia="Arial" w:hAnsi="Arial" w:cs="Arial"/>
          <w:color w:val="000000"/>
          <w:sz w:val="20"/>
        </w:rPr>
        <w:t xml:space="preserve"> for further proceedings consistent with this order.</w:t>
      </w:r>
    </w:p>
    <w:p w:rsidR="00022B47" w:rsidRDefault="00000000">
      <w:pPr>
        <w:pStyle w:val="Normal22"/>
        <w:widowControl w:val="0"/>
        <w:spacing w:before="200" w:line="260" w:lineRule="atLeast"/>
        <w:jc w:val="both"/>
      </w:pPr>
      <w:bookmarkStart w:id="4064" w:name="Bookmark_para_4_21"/>
      <w:bookmarkEnd w:id="4064"/>
      <w:r>
        <w:rPr>
          <w:rFonts w:ascii="Arial" w:eastAsia="Arial" w:hAnsi="Arial" w:cs="Arial"/>
          <w:color w:val="000000"/>
          <w:sz w:val="20"/>
        </w:rPr>
        <w:t xml:space="preserve">Plaintiff-appellant Steven Greenbaum ("Greenbaum") was employed as a Computer Specialist with the Manhattan and Bronx Surface Transit Operating Authority's ("MaBSTOA") Office of Management and Budget ("OMB"). Greenbaum, who suffers from wrist tendonitis, alleged, </w:t>
      </w:r>
      <w:r>
        <w:rPr>
          <w:rFonts w:ascii="Arial" w:eastAsia="Arial" w:hAnsi="Arial" w:cs="Arial"/>
          <w:i/>
          <w:color w:val="000000"/>
          <w:sz w:val="20"/>
        </w:rPr>
        <w:t>inter alia</w:t>
      </w:r>
      <w:r>
        <w:rPr>
          <w:rFonts w:ascii="Arial" w:eastAsia="Arial" w:hAnsi="Arial" w:cs="Arial"/>
          <w:color w:val="000000"/>
          <w:sz w:val="20"/>
        </w:rPr>
        <w:t xml:space="preserve">, that the MaBSTOA, the New York City Transit Authority ("NYCTA"), and the Metropolitan Transportation Authority Corporation ("MTA") (collectively, "defendants") discriminated against him on account of his disability when they terminated his employment after refusing to provide him with [*2]  a reasonable accommodation for his condition, in violation of the Americans with Disabilities Act of 1990, 42 U.S.C. § 12101 </w:t>
      </w:r>
      <w:r>
        <w:rPr>
          <w:rFonts w:ascii="Arial" w:eastAsia="Arial" w:hAnsi="Arial" w:cs="Arial"/>
          <w:i/>
          <w:color w:val="000000"/>
          <w:sz w:val="20"/>
        </w:rPr>
        <w:t>et seq.</w:t>
      </w:r>
      <w:r>
        <w:rPr>
          <w:rFonts w:ascii="Arial" w:eastAsia="Arial" w:hAnsi="Arial" w:cs="Arial"/>
          <w:color w:val="000000"/>
          <w:sz w:val="20"/>
        </w:rPr>
        <w:t xml:space="preserve"> ("ADA"), the New York State Human Rights Law, N.Y. Exec. L. § 290 </w:t>
      </w:r>
      <w:r>
        <w:rPr>
          <w:rFonts w:ascii="Arial" w:eastAsia="Arial" w:hAnsi="Arial" w:cs="Arial"/>
          <w:i/>
          <w:color w:val="000000"/>
          <w:sz w:val="20"/>
        </w:rPr>
        <w:t>et seq.</w:t>
      </w:r>
      <w:r>
        <w:rPr>
          <w:rFonts w:ascii="Arial" w:eastAsia="Arial" w:hAnsi="Arial" w:cs="Arial"/>
          <w:color w:val="000000"/>
          <w:sz w:val="20"/>
        </w:rPr>
        <w:t xml:space="preserve"> ("NYSHRL"), and the New York City Human Rights Law, N.Y.C. Admin. Code § 8-101 </w:t>
      </w:r>
      <w:r>
        <w:rPr>
          <w:rFonts w:ascii="Arial" w:eastAsia="Arial" w:hAnsi="Arial" w:cs="Arial"/>
          <w:i/>
          <w:color w:val="000000"/>
          <w:sz w:val="20"/>
        </w:rPr>
        <w:t>et seq.</w:t>
      </w:r>
      <w:r>
        <w:rPr>
          <w:rFonts w:ascii="Arial" w:eastAsia="Arial" w:hAnsi="Arial" w:cs="Arial"/>
          <w:color w:val="000000"/>
          <w:sz w:val="20"/>
        </w:rPr>
        <w:t xml:space="preserve"> ("NYCHRL"). Greenbaum appeals from the judgment of the United States District Court for the Southern District of New York (Cote, </w:t>
      </w:r>
      <w:r>
        <w:rPr>
          <w:rFonts w:ascii="Arial" w:eastAsia="Arial" w:hAnsi="Arial" w:cs="Arial"/>
          <w:i/>
          <w:color w:val="000000"/>
          <w:sz w:val="20"/>
        </w:rPr>
        <w:t>J.</w:t>
      </w:r>
      <w:r>
        <w:rPr>
          <w:rFonts w:ascii="Arial" w:eastAsia="Arial" w:hAnsi="Arial" w:cs="Arial"/>
          <w:color w:val="000000"/>
          <w:sz w:val="20"/>
        </w:rPr>
        <w:t>) granting defendants' motion for summary judgment on these claims under Federal Rule of Civil Procedure 56 and denying his cross-motion for summary judgment.</w:t>
      </w:r>
      <w:r>
        <w:rPr>
          <w:rFonts w:ascii="Arial" w:eastAsia="Arial" w:hAnsi="Arial" w:cs="Arial"/>
          <w:vertAlign w:val="superscript"/>
        </w:rPr>
        <w:footnoteReference w:customMarkFollows="1" w:id="88"/>
        <w:t>1</w:t>
      </w:r>
      <w:r>
        <w:rPr>
          <w:rFonts w:ascii="Arial" w:eastAsia="Arial" w:hAnsi="Arial" w:cs="Arial"/>
          <w:color w:val="000000"/>
          <w:sz w:val="20"/>
        </w:rPr>
        <w:t xml:space="preserve"> We assume the parties' familiarity with the underlying facts and procedural history, to which we refer only as necessary to explain our decision.</w:t>
      </w:r>
    </w:p>
    <w:p w:rsidR="00022B47" w:rsidRDefault="00000000">
      <w:pPr>
        <w:pStyle w:val="Normal22"/>
        <w:widowControl w:val="0"/>
        <w:spacing w:before="200" w:line="260" w:lineRule="atLeast"/>
        <w:jc w:val="both"/>
      </w:pPr>
      <w:bookmarkStart w:id="4066" w:name="Bookmark_para_5_21"/>
      <w:bookmarkStart w:id="4067" w:name="Bookmark_I666CVG62SF8TX0020000400"/>
      <w:bookmarkStart w:id="4068" w:name="Bookmark_I666CVG62SF8TX0040000400"/>
      <w:bookmarkStart w:id="4069" w:name="Bookmark_LNHNREFclscc1_19"/>
      <w:bookmarkEnd w:id="4066"/>
      <w:bookmarkEnd w:id="4067"/>
      <w:bookmarkEnd w:id="4068"/>
      <w:bookmarkEnd w:id="4069"/>
      <w:r>
        <w:rPr>
          <w:rFonts w:ascii="Arial" w:eastAsia="Arial" w:hAnsi="Arial" w:cs="Arial"/>
          <w:color w:val="000000"/>
          <w:sz w:val="20"/>
        </w:rPr>
        <w:t xml:space="preserve">We review </w:t>
      </w:r>
      <w:r>
        <w:rPr>
          <w:rFonts w:ascii="Arial" w:eastAsia="Arial" w:hAnsi="Arial" w:cs="Arial"/>
          <w:i/>
          <w:color w:val="000000"/>
          <w:sz w:val="20"/>
        </w:rPr>
        <w:t>de novo</w:t>
      </w:r>
      <w:r>
        <w:rPr>
          <w:rFonts w:ascii="Arial" w:eastAsia="Arial" w:hAnsi="Arial" w:cs="Arial"/>
          <w:color w:val="000000"/>
          <w:sz w:val="20"/>
        </w:rPr>
        <w:t xml:space="preserve"> an order granting a motion for summary judgment. </w:t>
      </w:r>
      <w:bookmarkStart w:id="4070" w:name="Bookmark_I666CVG62SF8TX0010000400"/>
      <w:bookmarkEnd w:id="4070"/>
      <w:r>
        <w:rPr>
          <w:rFonts w:ascii="Arial" w:eastAsia="Arial" w:hAnsi="Arial" w:cs="Arial"/>
          <w:i/>
          <w:color w:val="000000"/>
          <w:sz w:val="20"/>
        </w:rPr>
        <w:t>Brooklyn Ctr. for Indep. of the Disabled v. Metro. Transp. Auth.</w:t>
      </w:r>
      <w:r>
        <w:rPr>
          <w:rFonts w:ascii="Arial" w:eastAsia="Arial" w:hAnsi="Arial" w:cs="Arial"/>
          <w:color w:val="000000"/>
          <w:sz w:val="20"/>
        </w:rPr>
        <w:t xml:space="preserve">, 11 F.4th 55, 61 (2d Cir. 2021). Summary judgment is appropriate "only upon a showing 'that there is no genuine dispute as to any material fact and the movant is entitled to judgment as a matter of law.'" </w:t>
      </w:r>
      <w:bookmarkStart w:id="4071" w:name="Bookmark_I666CVG62SF8TX0030000400"/>
      <w:bookmarkEnd w:id="4071"/>
      <w:r>
        <w:rPr>
          <w:rFonts w:ascii="Arial" w:eastAsia="Arial" w:hAnsi="Arial" w:cs="Arial"/>
          <w:i/>
          <w:color w:val="000000"/>
          <w:sz w:val="20"/>
        </w:rPr>
        <w:t>Johnson v. Killian</w:t>
      </w:r>
      <w:r>
        <w:rPr>
          <w:rFonts w:ascii="Arial" w:eastAsia="Arial" w:hAnsi="Arial" w:cs="Arial"/>
          <w:color w:val="000000"/>
          <w:sz w:val="20"/>
        </w:rPr>
        <w:t xml:space="preserve">, 680 F.3d 234, 236 (2d Cir. 2012) (quoting Fed. R. Civ. P. 56(a)). When deciding a motion for summary judgment, we must "resolve all ambiguities and draw all permissible factual inferences in favor of the party against whom summary judgment is sought." </w:t>
      </w:r>
      <w:r>
        <w:rPr>
          <w:rFonts w:ascii="Arial" w:eastAsia="Arial" w:hAnsi="Arial" w:cs="Arial"/>
          <w:i/>
          <w:color w:val="000000"/>
          <w:sz w:val="20"/>
        </w:rPr>
        <w:t>Id.</w:t>
      </w:r>
      <w:r>
        <w:rPr>
          <w:rFonts w:ascii="Arial" w:eastAsia="Arial" w:hAnsi="Arial" w:cs="Arial"/>
          <w:color w:val="000000"/>
          <w:sz w:val="20"/>
        </w:rPr>
        <w:t xml:space="preserve"> (internal quotation marks and citation omitted).</w:t>
      </w:r>
    </w:p>
    <w:p w:rsidR="00022B47" w:rsidRDefault="00000000">
      <w:pPr>
        <w:pStyle w:val="Normal22"/>
        <w:widowControl w:val="0"/>
        <w:spacing w:before="200" w:line="260" w:lineRule="atLeast"/>
        <w:jc w:val="both"/>
      </w:pPr>
      <w:bookmarkStart w:id="4072" w:name="Bookmark_para_6_21"/>
      <w:bookmarkEnd w:id="4072"/>
      <w:r>
        <w:rPr>
          <w:rFonts w:ascii="Arial" w:eastAsia="Arial" w:hAnsi="Arial" w:cs="Arial"/>
          <w:color w:val="000000"/>
          <w:sz w:val="20"/>
        </w:rPr>
        <w:t>Greenbaum advances three principal arguments on appeal. First, he argues that the district court erred in dismissing his ADA-based claims when [*3]  it concluded that he failed to present evidence demonstrating his wrist tendonitis impairment fell within the definition of a "disability" under the ADA. Second, Greenbaum contends that the district court erred in dismissing his reasonable accommodation claims under the ADA, the NYSHRL, and the NYCHRL, after determining that the evidence in the record established that the implementation of his proposed accommodation—the installation of voice dictation software on his employer's computer systems to enable him to carry out the essential functions of his job without typing on a keyboard or clicking on a mouse—would have caused the employer an undue hardship. Finally, Greenbaum argues that material issues of fact precluded summary judgment for defendants on his separate claims that defendants failed to appropriately engage in an interactive process as required by the ADA, the NYSHRL, and the NYCHRL.</w:t>
      </w:r>
    </w:p>
    <w:p w:rsidR="00022B47" w:rsidRDefault="00000000">
      <w:pPr>
        <w:pStyle w:val="Normal22"/>
        <w:widowControl w:val="0"/>
        <w:spacing w:before="200" w:line="260" w:lineRule="atLeast"/>
        <w:jc w:val="both"/>
      </w:pPr>
      <w:bookmarkStart w:id="4073" w:name="Bookmark_para_7_21"/>
      <w:bookmarkEnd w:id="4073"/>
      <w:r>
        <w:rPr>
          <w:rFonts w:ascii="Arial" w:eastAsia="Arial" w:hAnsi="Arial" w:cs="Arial"/>
          <w:color w:val="000000"/>
          <w:sz w:val="20"/>
        </w:rPr>
        <w:t>As set forth below, we conclude that the district court erred in granting summary judgment on the issue of whether Greenbaum's permanent wrist tendonitis is a disability within the meaning of the ADA because, construing the evidence in the record most favorably to Greenbaum, there is sufficient [*4]  evidence from which a reasonable jury could conclude that he was substantially limited in the major life activity of working. Similarly, we conclude that material issues of fact preclude summary judgment on whether the proposed accommodation would impose an undue hardship on Greenbaum's employer. Therefore, summary judgment in favor of defendants on the reasonable accommodation claims was unwarranted.</w:t>
      </w:r>
      <w:r>
        <w:rPr>
          <w:rFonts w:ascii="Arial" w:eastAsia="Arial" w:hAnsi="Arial" w:cs="Arial"/>
          <w:vertAlign w:val="superscript"/>
        </w:rPr>
        <w:footnoteReference w:customMarkFollows="1" w:id="89"/>
        <w:t>2</w:t>
      </w:r>
      <w:r>
        <w:rPr>
          <w:rFonts w:ascii="Arial" w:eastAsia="Arial" w:hAnsi="Arial" w:cs="Arial"/>
          <w:color w:val="000000"/>
          <w:sz w:val="20"/>
        </w:rPr>
        <w:t xml:space="preserve"> However, we agree with the district court's decision to grant summary judgment to defendants on Greenbaum's separate claims asserting that defendants failed to appropriately engage in an interactive process with respect to his alleged disability.</w:t>
      </w:r>
    </w:p>
    <w:p w:rsidR="00022B47" w:rsidRDefault="00000000">
      <w:pPr>
        <w:pStyle w:val="Normal22"/>
        <w:widowControl w:val="0"/>
        <w:spacing w:before="240" w:line="260" w:lineRule="atLeast"/>
      </w:pPr>
      <w:r>
        <w:br/>
      </w:r>
      <w:r>
        <w:rPr>
          <w:rFonts w:ascii="Arial" w:eastAsia="Arial" w:hAnsi="Arial" w:cs="Arial"/>
          <w:b/>
          <w:color w:val="000000"/>
          <w:sz w:val="20"/>
        </w:rPr>
        <w:t>I. "Disability" under the ADA</w:t>
      </w:r>
    </w:p>
    <w:p w:rsidR="00022B47" w:rsidRDefault="00000000">
      <w:pPr>
        <w:pStyle w:val="Normal22"/>
        <w:widowControl w:val="0"/>
        <w:spacing w:before="200" w:line="260" w:lineRule="atLeast"/>
        <w:jc w:val="both"/>
      </w:pPr>
      <w:bookmarkStart w:id="4075" w:name="Bookmark_para_8_20"/>
      <w:bookmarkStart w:id="4076" w:name="Bookmark_I666CVGB2N1R8F0010000400"/>
      <w:bookmarkStart w:id="4077" w:name="Bookmark_LNHNREFclscc2_19"/>
      <w:bookmarkEnd w:id="4075"/>
      <w:bookmarkEnd w:id="4076"/>
      <w:bookmarkEnd w:id="4077"/>
      <w:r>
        <w:rPr>
          <w:rFonts w:ascii="Arial" w:eastAsia="Arial" w:hAnsi="Arial" w:cs="Arial"/>
          <w:color w:val="000000"/>
          <w:sz w:val="20"/>
        </w:rPr>
        <w:t xml:space="preserve">A person is disabled within the meaning of the ADA if he has "a physical . . . impairment that substantially limits one or more [of his] major life activities." 42 U.S.C. § 12102(1)(A). Major life activities include "caring for oneself, performing manual tasks, seeing, hearing . . . and working." </w:t>
      </w:r>
      <w:r>
        <w:rPr>
          <w:rFonts w:ascii="Arial" w:eastAsia="Arial" w:hAnsi="Arial" w:cs="Arial"/>
          <w:i/>
          <w:color w:val="000000"/>
          <w:sz w:val="20"/>
        </w:rPr>
        <w:t>Id.</w:t>
      </w:r>
      <w:r>
        <w:rPr>
          <w:rFonts w:ascii="Arial" w:eastAsia="Arial" w:hAnsi="Arial" w:cs="Arial"/>
          <w:color w:val="000000"/>
          <w:sz w:val="20"/>
        </w:rPr>
        <w:t xml:space="preserve"> § 12102(2)(A). The "substantial-limitation requirement in the definition of 'disability' is not an exacting one." </w:t>
      </w:r>
      <w:bookmarkStart w:id="4078" w:name="Bookmark_I666CVG62SF8TX0050000400"/>
      <w:bookmarkEnd w:id="4078"/>
      <w:r>
        <w:rPr>
          <w:rFonts w:ascii="Arial" w:eastAsia="Arial" w:hAnsi="Arial" w:cs="Arial"/>
          <w:i/>
          <w:color w:val="000000"/>
          <w:sz w:val="20"/>
        </w:rPr>
        <w:t>Woolf v. Strada</w:t>
      </w:r>
      <w:r>
        <w:rPr>
          <w:rFonts w:ascii="Arial" w:eastAsia="Arial" w:hAnsi="Arial" w:cs="Arial"/>
          <w:color w:val="000000"/>
          <w:sz w:val="20"/>
        </w:rPr>
        <w:t xml:space="preserve">, 949 F.3d 89, 94 (2d Cir. 2020) (citation omitted). When the major life activity involved is working, a plaintiff's "inability to perform a single, particular job does not [*5]  constitute a substantial limitation." </w:t>
      </w:r>
      <w:r>
        <w:rPr>
          <w:rFonts w:ascii="Arial" w:eastAsia="Arial" w:hAnsi="Arial" w:cs="Arial"/>
          <w:i/>
          <w:color w:val="000000"/>
          <w:sz w:val="20"/>
        </w:rPr>
        <w:t>Id.</w:t>
      </w:r>
      <w:r>
        <w:rPr>
          <w:rFonts w:ascii="Arial" w:eastAsia="Arial" w:hAnsi="Arial" w:cs="Arial"/>
          <w:color w:val="000000"/>
          <w:sz w:val="20"/>
        </w:rPr>
        <w:t xml:space="preserve"> (internal quotation marks omitted). Instead, a plaintiff "must show that the limitation affects the ability to perform a </w:t>
      </w:r>
      <w:r>
        <w:rPr>
          <w:rFonts w:ascii="Arial" w:eastAsia="Arial" w:hAnsi="Arial" w:cs="Arial"/>
          <w:i/>
          <w:color w:val="000000"/>
          <w:sz w:val="20"/>
        </w:rPr>
        <w:t>class</w:t>
      </w:r>
      <w:r>
        <w:rPr>
          <w:rFonts w:ascii="Arial" w:eastAsia="Arial" w:hAnsi="Arial" w:cs="Arial"/>
          <w:color w:val="000000"/>
          <w:sz w:val="20"/>
        </w:rPr>
        <w:t xml:space="preserve"> . . . </w:t>
      </w:r>
      <w:r>
        <w:rPr>
          <w:rFonts w:ascii="Arial" w:eastAsia="Arial" w:hAnsi="Arial" w:cs="Arial"/>
          <w:i/>
          <w:color w:val="000000"/>
          <w:sz w:val="20"/>
        </w:rPr>
        <w:t>or broad range of jobs</w:t>
      </w:r>
      <w:r>
        <w:rPr>
          <w:rFonts w:ascii="Arial" w:eastAsia="Arial" w:hAnsi="Arial" w:cs="Arial"/>
          <w:color w:val="000000"/>
          <w:sz w:val="20"/>
        </w:rPr>
        <w:t xml:space="preserve">." </w:t>
      </w:r>
      <w:r>
        <w:rPr>
          <w:rFonts w:ascii="Arial" w:eastAsia="Arial" w:hAnsi="Arial" w:cs="Arial"/>
          <w:i/>
          <w:color w:val="000000"/>
          <w:sz w:val="20"/>
        </w:rPr>
        <w:t>Id.</w:t>
      </w:r>
      <w:r>
        <w:rPr>
          <w:rFonts w:ascii="Arial" w:eastAsia="Arial" w:hAnsi="Arial" w:cs="Arial"/>
          <w:color w:val="000000"/>
          <w:sz w:val="20"/>
        </w:rPr>
        <w:t xml:space="preserve"> (quoting 29 C.F.R. § 1630, App. (2016)).</w:t>
      </w:r>
    </w:p>
    <w:p w:rsidR="00022B47" w:rsidRDefault="00000000">
      <w:pPr>
        <w:pStyle w:val="Normal22"/>
        <w:widowControl w:val="0"/>
        <w:spacing w:before="200" w:line="260" w:lineRule="atLeast"/>
        <w:jc w:val="both"/>
      </w:pPr>
      <w:bookmarkStart w:id="4079" w:name="Bookmark_para_9_20"/>
      <w:bookmarkStart w:id="4080" w:name="Bookmark_I666CVGB2N1R8F0030000400"/>
      <w:bookmarkEnd w:id="4079"/>
      <w:bookmarkEnd w:id="4080"/>
      <w:r>
        <w:rPr>
          <w:rFonts w:ascii="Arial" w:eastAsia="Arial" w:hAnsi="Arial" w:cs="Arial"/>
          <w:color w:val="000000"/>
          <w:sz w:val="20"/>
        </w:rPr>
        <w:t xml:space="preserve">Greenbaum asserts that his tendonitis impairment was a disability under the ADA because it interfered with his major life activity of working by limiting his ability to perform a class of jobs including "computer programming, or any job that requires extensive computer use." Appellant's Br. at 54. The district court concluded otherwise, holding that Greenbaum "has not offered evidence to raise a question of fact that his tendonitis prevents him from working in a broad class of jobs." </w:t>
      </w:r>
      <w:bookmarkStart w:id="4081" w:name="Bookmark_I666CVGB2N1R8F0020000400"/>
      <w:bookmarkEnd w:id="4081"/>
      <w:r>
        <w:rPr>
          <w:rFonts w:ascii="Arial" w:eastAsia="Arial" w:hAnsi="Arial" w:cs="Arial"/>
          <w:i/>
          <w:color w:val="000000"/>
          <w:sz w:val="20"/>
        </w:rPr>
        <w:t>Greenbaum v. N.Y.C. Transit Auth.</w:t>
      </w:r>
      <w:r>
        <w:rPr>
          <w:rFonts w:ascii="Arial" w:eastAsia="Arial" w:hAnsi="Arial" w:cs="Arial"/>
          <w:color w:val="000000"/>
          <w:sz w:val="20"/>
        </w:rPr>
        <w:t>, No. 20CV771 (DLC), 2021 U.S. Dist. LEXIS 119024, 2021 WL 2650509, at *5 (S.D.N.Y. June 25, 2021). We disagree.</w:t>
      </w:r>
    </w:p>
    <w:p w:rsidR="00022B47" w:rsidRDefault="00000000">
      <w:pPr>
        <w:pStyle w:val="Normal22"/>
        <w:widowControl w:val="0"/>
        <w:spacing w:before="200" w:line="260" w:lineRule="atLeast"/>
        <w:jc w:val="both"/>
      </w:pPr>
      <w:bookmarkStart w:id="4082" w:name="Bookmark_para_10_20"/>
      <w:bookmarkEnd w:id="4082"/>
      <w:r>
        <w:rPr>
          <w:rFonts w:ascii="Arial" w:eastAsia="Arial" w:hAnsi="Arial" w:cs="Arial"/>
          <w:color w:val="000000"/>
          <w:sz w:val="20"/>
        </w:rPr>
        <w:t>Greenbaum offered evidence that, after he began suffering from wrist pains, his physician ultimately restricted him, in November 2018, to 30 minutes of typing or clicking at a time, for a total of four hours a day—an assessment that was later confirmed by his employer's medical staff. As a result of these limitations, which Greenbaum's employer admitted substantially interfered with his job duties at OMB, he was placed on leave until such time that he was fit to return [*6]  to duty or a reasonable accommodation was found. Greenbaum's employment status was initially changed to "Restricted Work Temporary" and then to "Restricted Work Permanent" to reflect the indefinite duration of his disability. App'x at 772. In addition, Greenbaum submitted evidence that, when he has a tendonitis flare-up, the pain from his permanent condition is magnified and he is not permitted to do any typing or mouse-clicking.</w:t>
      </w:r>
    </w:p>
    <w:p w:rsidR="00022B47" w:rsidRDefault="00000000">
      <w:pPr>
        <w:pStyle w:val="Normal22"/>
        <w:widowControl w:val="0"/>
        <w:spacing w:before="200" w:line="260" w:lineRule="atLeast"/>
        <w:jc w:val="both"/>
      </w:pPr>
      <w:bookmarkStart w:id="4083" w:name="Bookmark_para_11_20"/>
      <w:bookmarkStart w:id="4084" w:name="Bookmark_I666CVGB2N1R8F0050000400"/>
      <w:bookmarkEnd w:id="4083"/>
      <w:bookmarkEnd w:id="4084"/>
      <w:r>
        <w:rPr>
          <w:rFonts w:ascii="Arial" w:eastAsia="Arial" w:hAnsi="Arial" w:cs="Arial"/>
          <w:color w:val="000000"/>
          <w:sz w:val="20"/>
        </w:rPr>
        <w:t xml:space="preserve">When viewed in the light most favorable to Greenbaum, this evidence creates a genuine issue of fact as to whether this impairment affected his ability to perform not just a particular computer programming job, but rather a class of jobs involving use of a keyboard or mouse for periods of time beyond the limitations he experienced. </w:t>
      </w:r>
      <w:r>
        <w:rPr>
          <w:rFonts w:ascii="Arial" w:eastAsia="Arial" w:hAnsi="Arial" w:cs="Arial"/>
          <w:i/>
          <w:color w:val="000000"/>
          <w:sz w:val="20"/>
        </w:rPr>
        <w:t xml:space="preserve">See </w:t>
      </w:r>
      <w:bookmarkStart w:id="4085" w:name="Bookmark_I666CVGB2N1R8F0040000400"/>
      <w:bookmarkEnd w:id="4085"/>
      <w:r>
        <w:rPr>
          <w:rFonts w:ascii="Arial" w:eastAsia="Arial" w:hAnsi="Arial" w:cs="Arial"/>
          <w:i/>
          <w:color w:val="000000"/>
          <w:sz w:val="20"/>
        </w:rPr>
        <w:t>Bartlett v. N.Y. State Bd. of Law Exam'rs</w:t>
      </w:r>
      <w:r>
        <w:rPr>
          <w:rFonts w:ascii="Arial" w:eastAsia="Arial" w:hAnsi="Arial" w:cs="Arial"/>
          <w:color w:val="000000"/>
          <w:sz w:val="20"/>
        </w:rPr>
        <w:t xml:space="preserve">, 226 F.3d 69, 83 (2d Cir. 2000) ("With respect to 'a class of jobs,' a court must consider '[t]he job from which the individual has been disqualified because of an impairment, and the number and types of jobs utilizing similar training, knowledge, skills or abilities.'") (quoting 29 C.F.R. § 1630.2(j)(3)(ii)(B)); </w:t>
      </w:r>
      <w:r>
        <w:rPr>
          <w:rFonts w:ascii="Arial" w:eastAsia="Arial" w:hAnsi="Arial" w:cs="Arial"/>
          <w:i/>
          <w:color w:val="000000"/>
          <w:sz w:val="20"/>
        </w:rPr>
        <w:t xml:space="preserve">see also </w:t>
      </w:r>
      <w:bookmarkStart w:id="4086" w:name="Bookmark_I666CVGD2SF8VB0010000400"/>
      <w:bookmarkEnd w:id="4086"/>
      <w:r>
        <w:rPr>
          <w:rFonts w:ascii="Arial" w:eastAsia="Arial" w:hAnsi="Arial" w:cs="Arial"/>
          <w:i/>
          <w:color w:val="000000"/>
          <w:sz w:val="20"/>
        </w:rPr>
        <w:t>Williams v. Philadelphia Hous. Auth. Police Dep't</w:t>
      </w:r>
      <w:r>
        <w:rPr>
          <w:rFonts w:ascii="Arial" w:eastAsia="Arial" w:hAnsi="Arial" w:cs="Arial"/>
          <w:color w:val="000000"/>
          <w:sz w:val="20"/>
        </w:rPr>
        <w:t xml:space="preserve">, 380 F.3d 751, 764 (3d Cir. 2004) (citing to a 1992 U.S. Equal Employment Opportunity Commission's Technical Assistance Manual that references an example of a computer programmer who develops a vision [*7]  impairment that "'prevents her from working as a computer operator, programmer, instructor, or systems analyst'" as being "'substantially limited in working, because her impairment prevents her from working in the class of jobs requiring use of a computer'"), </w:t>
      </w:r>
      <w:r>
        <w:rPr>
          <w:rFonts w:ascii="Arial" w:eastAsia="Arial" w:hAnsi="Arial" w:cs="Arial"/>
          <w:i/>
          <w:color w:val="000000"/>
          <w:sz w:val="20"/>
        </w:rPr>
        <w:t>superseded by statute on other grounds</w:t>
      </w:r>
      <w:r>
        <w:rPr>
          <w:rFonts w:ascii="Arial" w:eastAsia="Arial" w:hAnsi="Arial" w:cs="Arial"/>
          <w:color w:val="000000"/>
          <w:sz w:val="20"/>
        </w:rPr>
        <w:t>, ADA Amendments Act of 2008, Pub. L. No. 110-325, § 6, 122 Stat. 3553, 3557-58.</w:t>
      </w:r>
    </w:p>
    <w:p w:rsidR="00022B47" w:rsidRDefault="00000000">
      <w:pPr>
        <w:pStyle w:val="Normal22"/>
        <w:widowControl w:val="0"/>
        <w:spacing w:before="200" w:line="260" w:lineRule="atLeast"/>
        <w:jc w:val="both"/>
      </w:pPr>
      <w:bookmarkStart w:id="4087" w:name="Bookmark_para_12_20"/>
      <w:bookmarkEnd w:id="4087"/>
      <w:r>
        <w:rPr>
          <w:rFonts w:ascii="Arial" w:eastAsia="Arial" w:hAnsi="Arial" w:cs="Arial"/>
          <w:color w:val="000000"/>
          <w:sz w:val="20"/>
        </w:rPr>
        <w:t>Accordingly, because a triable question of fact precluding summary judgment exists on whether Greenbaum has a "disability" within the meaning of the ADA, the district court erred in granting summary judgment for defendants on this ground on the ADA-based claims.</w:t>
      </w:r>
      <w:r>
        <w:rPr>
          <w:rFonts w:ascii="Arial" w:eastAsia="Arial" w:hAnsi="Arial" w:cs="Arial"/>
          <w:vertAlign w:val="superscript"/>
        </w:rPr>
        <w:footnoteReference w:customMarkFollows="1" w:id="90"/>
        <w:t>3</w:t>
      </w:r>
    </w:p>
    <w:p w:rsidR="00022B47" w:rsidRDefault="00000000">
      <w:pPr>
        <w:pStyle w:val="Normal22"/>
        <w:widowControl w:val="0"/>
        <w:spacing w:before="240" w:line="260" w:lineRule="atLeast"/>
      </w:pPr>
      <w:r>
        <w:br/>
      </w:r>
      <w:r>
        <w:rPr>
          <w:rFonts w:ascii="Arial" w:eastAsia="Arial" w:hAnsi="Arial" w:cs="Arial"/>
          <w:b/>
          <w:color w:val="000000"/>
          <w:sz w:val="20"/>
        </w:rPr>
        <w:t>II. Failure to Accommodate Claim</w:t>
      </w:r>
    </w:p>
    <w:p w:rsidR="00022B47" w:rsidRDefault="00000000">
      <w:pPr>
        <w:pStyle w:val="Normal22"/>
        <w:widowControl w:val="0"/>
        <w:spacing w:before="200" w:line="260" w:lineRule="atLeast"/>
        <w:jc w:val="both"/>
      </w:pPr>
      <w:bookmarkStart w:id="4092" w:name="Bookmark_para_13_20"/>
      <w:bookmarkEnd w:id="4092"/>
      <w:r>
        <w:rPr>
          <w:rFonts w:ascii="Arial" w:eastAsia="Arial" w:hAnsi="Arial" w:cs="Arial"/>
          <w:color w:val="000000"/>
          <w:sz w:val="20"/>
        </w:rPr>
        <w:t>We further conclude that the district court erred in granting summary judgment on the failure to accommodate claims under the ADA, the NYSHRL, and the NYCHRL because of an undue hardship on the employer from the proposed accommodation.</w:t>
      </w:r>
    </w:p>
    <w:p w:rsidR="00022B47" w:rsidRDefault="00000000">
      <w:pPr>
        <w:pStyle w:val="Normal22"/>
        <w:widowControl w:val="0"/>
        <w:spacing w:before="200" w:line="260" w:lineRule="atLeast"/>
        <w:jc w:val="both"/>
      </w:pPr>
      <w:bookmarkStart w:id="4093" w:name="Bookmark_para_14_20"/>
      <w:bookmarkStart w:id="4094" w:name="Bookmark_I666CVGD2HM6XG0010000400"/>
      <w:bookmarkStart w:id="4095" w:name="Bookmark_I666CVGD2HM6XG0030000400"/>
      <w:bookmarkStart w:id="4096" w:name="Bookmark_LNHNREFclscc4_19"/>
      <w:bookmarkEnd w:id="4093"/>
      <w:bookmarkEnd w:id="4094"/>
      <w:bookmarkEnd w:id="4095"/>
      <w:bookmarkEnd w:id="4096"/>
      <w:r>
        <w:rPr>
          <w:rFonts w:ascii="Arial" w:eastAsia="Arial" w:hAnsi="Arial" w:cs="Arial"/>
          <w:color w:val="000000"/>
          <w:sz w:val="20"/>
        </w:rPr>
        <w:t xml:space="preserve">To establish a failure to accommodate claim under the ADA, a plaintiff employee must show that: "(1) [the employee] is a person with a disability under the meaning of the ADA; (2) an employer covered by the statute had notice of his disability; (3) with reasonable accommodation, [the employee] could perform the essential functions of the job at issue; and (4) the employer [*8]  has refused to make such accommodations." </w:t>
      </w:r>
      <w:bookmarkStart w:id="4097" w:name="Bookmark_I666CVGD2SF8VB0050000400"/>
      <w:bookmarkEnd w:id="4097"/>
      <w:r>
        <w:rPr>
          <w:rFonts w:ascii="Arial" w:eastAsia="Arial" w:hAnsi="Arial" w:cs="Arial"/>
          <w:i/>
          <w:color w:val="000000"/>
          <w:sz w:val="20"/>
        </w:rPr>
        <w:t>McBride v. BIC Consumer Prods. Mfg. Co.</w:t>
      </w:r>
      <w:r>
        <w:rPr>
          <w:rFonts w:ascii="Arial" w:eastAsia="Arial" w:hAnsi="Arial" w:cs="Arial"/>
          <w:color w:val="000000"/>
          <w:sz w:val="20"/>
        </w:rPr>
        <w:t xml:space="preserve">, 583 F.3d 92, 96-97 (2d Cir. 2009) (internal quotation marks omitted). However, a defendant employer is not required to accommodate an employee's disability if the proposed accommodation is unreasonable or would impose an undue hardship on the employer. </w:t>
      </w:r>
      <w:bookmarkStart w:id="4098" w:name="Bookmark_I666CVGD2HM6XG0050000400"/>
      <w:bookmarkStart w:id="4099" w:name="Bookmark_I666CVGD2HM6XG0020000400"/>
      <w:bookmarkEnd w:id="4098"/>
      <w:bookmarkEnd w:id="4099"/>
      <w:r>
        <w:rPr>
          <w:rFonts w:ascii="Arial" w:eastAsia="Arial" w:hAnsi="Arial" w:cs="Arial"/>
          <w:i/>
          <w:color w:val="000000"/>
          <w:sz w:val="20"/>
        </w:rPr>
        <w:t>Jackan v. N.Y. State Dep't of Lab.</w:t>
      </w:r>
      <w:r>
        <w:rPr>
          <w:rFonts w:ascii="Arial" w:eastAsia="Arial" w:hAnsi="Arial" w:cs="Arial"/>
          <w:color w:val="000000"/>
          <w:sz w:val="20"/>
        </w:rPr>
        <w:t xml:space="preserve">, 205 F.3d 562, 566 (2d Cir. 2000). </w:t>
      </w:r>
      <w:bookmarkStart w:id="4100" w:name="Bookmark_I666CVGD2HM6XG0050000400_2"/>
      <w:bookmarkEnd w:id="4100"/>
      <w:r>
        <w:rPr>
          <w:rFonts w:ascii="Arial" w:eastAsia="Arial" w:hAnsi="Arial" w:cs="Arial"/>
          <w:color w:val="000000"/>
          <w:sz w:val="20"/>
        </w:rPr>
        <w:t xml:space="preserve">The NYSHRL and the NYCHRL also do not require an employer to provide an accommodation if it would cause an undue hardship for an employer. </w:t>
      </w:r>
      <w:r>
        <w:rPr>
          <w:rFonts w:ascii="Arial" w:eastAsia="Arial" w:hAnsi="Arial" w:cs="Arial"/>
          <w:i/>
          <w:color w:val="000000"/>
          <w:sz w:val="20"/>
        </w:rPr>
        <w:t xml:space="preserve">See </w:t>
      </w:r>
      <w:bookmarkStart w:id="4101" w:name="Bookmark_I666CVGD2HM6XG0040000400"/>
      <w:bookmarkEnd w:id="4101"/>
      <w:r>
        <w:rPr>
          <w:rFonts w:ascii="Arial" w:eastAsia="Arial" w:hAnsi="Arial" w:cs="Arial"/>
          <w:i/>
          <w:color w:val="000000"/>
          <w:sz w:val="20"/>
        </w:rPr>
        <w:t>Jacobsen v. N.Y.C. Health &amp; Hosps. Corp.</w:t>
      </w:r>
      <w:r>
        <w:rPr>
          <w:rFonts w:ascii="Arial" w:eastAsia="Arial" w:hAnsi="Arial" w:cs="Arial"/>
          <w:color w:val="000000"/>
          <w:sz w:val="20"/>
        </w:rPr>
        <w:t>, 22 N.Y.3d 824, 835, 988 N.Y.S.2d 86, 11 N.E.3d 159 (2014); N.Y. Exec. L. § 292(21-e); N.Y.C. Admin. Code § 8-102(18).</w:t>
      </w:r>
    </w:p>
    <w:p w:rsidR="00022B47" w:rsidRDefault="00000000">
      <w:pPr>
        <w:pStyle w:val="Normal22"/>
        <w:widowControl w:val="0"/>
        <w:spacing w:before="200" w:line="260" w:lineRule="atLeast"/>
        <w:jc w:val="both"/>
      </w:pPr>
      <w:bookmarkStart w:id="4102" w:name="Bookmark_para_15_20"/>
      <w:bookmarkStart w:id="4103" w:name="Bookmark_I666CVGF2D6N310020000400"/>
      <w:bookmarkStart w:id="4104" w:name="Bookmark_I666CVGF2D6N310040000400"/>
      <w:bookmarkStart w:id="4105" w:name="Bookmark_LNHNREFclscc5_19"/>
      <w:bookmarkEnd w:id="4102"/>
      <w:bookmarkEnd w:id="4103"/>
      <w:bookmarkEnd w:id="4104"/>
      <w:bookmarkEnd w:id="4105"/>
      <w:r>
        <w:rPr>
          <w:rFonts w:ascii="Arial" w:eastAsia="Arial" w:hAnsi="Arial" w:cs="Arial"/>
          <w:color w:val="000000"/>
          <w:sz w:val="20"/>
        </w:rPr>
        <w:t xml:space="preserve">This Court follows a "two-step process to evaluate whether the failure to provide a proposed accommodation constitutes a violation of the ADA." </w:t>
      </w:r>
      <w:bookmarkStart w:id="4106" w:name="Bookmark_I666CVGF2D6N310010000400"/>
      <w:bookmarkEnd w:id="4106"/>
      <w:r>
        <w:rPr>
          <w:rFonts w:ascii="Arial" w:eastAsia="Arial" w:hAnsi="Arial" w:cs="Arial"/>
          <w:i/>
          <w:color w:val="000000"/>
          <w:sz w:val="20"/>
        </w:rPr>
        <w:t>Jackan</w:t>
      </w:r>
      <w:r>
        <w:rPr>
          <w:rFonts w:ascii="Arial" w:eastAsia="Arial" w:hAnsi="Arial" w:cs="Arial"/>
          <w:color w:val="000000"/>
          <w:sz w:val="20"/>
        </w:rPr>
        <w:t xml:space="preserve">, 205 F.3d at 566. A plaintiff bears the initial "burdens of both production and persuasion as to the existence of some accommodation that would allow [him] to perform the essential functions of [his] employment." </w:t>
      </w:r>
      <w:bookmarkStart w:id="4107" w:name="Bookmark_I666CVGF2D6N310030000400"/>
      <w:bookmarkEnd w:id="4107"/>
      <w:r>
        <w:rPr>
          <w:rFonts w:ascii="Arial" w:eastAsia="Arial" w:hAnsi="Arial" w:cs="Arial"/>
          <w:i/>
          <w:color w:val="000000"/>
          <w:sz w:val="20"/>
        </w:rPr>
        <w:t>McBride</w:t>
      </w:r>
      <w:r>
        <w:rPr>
          <w:rFonts w:ascii="Arial" w:eastAsia="Arial" w:hAnsi="Arial" w:cs="Arial"/>
          <w:color w:val="000000"/>
          <w:sz w:val="20"/>
        </w:rPr>
        <w:t>, 583 F.3d at 97. A reasonable accommodation may include, for example, the "acquisition or modification of equipment or devices . . . and other similar accommodations for individuals with disabilities." 42 U.S.C § 12111(9)(B).</w:t>
      </w:r>
    </w:p>
    <w:p w:rsidR="00022B47" w:rsidRDefault="00000000">
      <w:pPr>
        <w:pStyle w:val="Normal22"/>
        <w:widowControl w:val="0"/>
        <w:spacing w:before="200" w:line="260" w:lineRule="atLeast"/>
        <w:jc w:val="both"/>
      </w:pPr>
      <w:bookmarkStart w:id="4108" w:name="Bookmark_para_16_20"/>
      <w:bookmarkEnd w:id="4108"/>
      <w:r>
        <w:rPr>
          <w:rFonts w:ascii="Arial" w:eastAsia="Arial" w:hAnsi="Arial" w:cs="Arial"/>
          <w:color w:val="000000"/>
          <w:sz w:val="20"/>
        </w:rPr>
        <w:t xml:space="preserve">Greenbaum has met this initial burden, as the record evidence supports his claim that the three voice dictation software programs, which he proposed as an accommodation, would have allowed him to perform the essential functions of his job. Specifically, Greenbaum [*9]  presented evidence that he identified, procured, and successfully tested at least two of the three proposed software—Dragon Naturally Speaking ("Dragon") and VoiceComputer—on his laptop computer at home and on various programs he used in the office, and that these software programs enabled him to carry out his programming duties without the need for clicking or typing. In addition, Greenbaum relies on the report of Patricia Enriquez, an expert in the field of assistive technology services, in further support of his contention that the requested accommodation is reasonable. Enriquez's report concludes—based on her extensive prior experience assisting employers and clients in using Dragon, including installation of the program on employment sites; working with worksite information technology staff on compatibility software requirements; and handling costs, support, and other maintenance issues—that the proposed software accommodation is a viable and affordable assistive technology solution for Greenbaum and his employer. Lastly, the report concludes that the three proposed software programs are widely used across the business community and would not be difficult or expensive to acquire. [*10]  </w:t>
      </w:r>
      <w:bookmarkStart w:id="4109" w:name="Bookmark_I666CVGF28T4H70010000400"/>
      <w:bookmarkEnd w:id="4109"/>
      <w:r>
        <w:rPr>
          <w:rFonts w:ascii="Arial" w:eastAsia="Arial" w:hAnsi="Arial" w:cs="Arial"/>
          <w:color w:val="000000"/>
          <w:sz w:val="20"/>
        </w:rPr>
        <w:t xml:space="preserve">In fact, one of the three proposed software programs was already used by a small number of employees in NYCTA's legal department—albeit for narrative-intensive work only and not for programming. App'x at 296. Thus, viewing this evidence in a light most favorable to Greenbaum, we hold that he has met his modest burden of proposing "the existence of a plausible accommodation, the costs of which, facially, do not clearly exceed its benefits." </w:t>
      </w:r>
      <w:bookmarkStart w:id="4110" w:name="Bookmark_I666CVGF2D6N310050000400"/>
      <w:bookmarkEnd w:id="4110"/>
      <w:r>
        <w:rPr>
          <w:rFonts w:ascii="Arial" w:eastAsia="Arial" w:hAnsi="Arial" w:cs="Arial"/>
          <w:i/>
          <w:color w:val="000000"/>
          <w:sz w:val="20"/>
        </w:rPr>
        <w:t>Borkowski v. Valley Cent. Sch. Dist.</w:t>
      </w:r>
      <w:r>
        <w:rPr>
          <w:rFonts w:ascii="Arial" w:eastAsia="Arial" w:hAnsi="Arial" w:cs="Arial"/>
          <w:color w:val="000000"/>
          <w:sz w:val="20"/>
        </w:rPr>
        <w:t>, 63 F.3d 131, 138 (2d Cir. 1995).</w:t>
      </w:r>
    </w:p>
    <w:p w:rsidR="00022B47" w:rsidRDefault="00000000">
      <w:pPr>
        <w:pStyle w:val="Normal22"/>
        <w:widowControl w:val="0"/>
        <w:spacing w:before="200" w:line="260" w:lineRule="atLeast"/>
        <w:jc w:val="both"/>
      </w:pPr>
      <w:bookmarkStart w:id="4111" w:name="Bookmark_para_17_19"/>
      <w:bookmarkStart w:id="4112" w:name="Bookmark_I666CVGF28T4H70030000400"/>
      <w:bookmarkStart w:id="4113" w:name="Bookmark_LNHNREFclscc6_16"/>
      <w:bookmarkEnd w:id="4111"/>
      <w:bookmarkEnd w:id="4112"/>
      <w:bookmarkEnd w:id="4113"/>
      <w:r>
        <w:rPr>
          <w:rFonts w:ascii="Arial" w:eastAsia="Arial" w:hAnsi="Arial" w:cs="Arial"/>
          <w:color w:val="000000"/>
          <w:sz w:val="20"/>
        </w:rPr>
        <w:t xml:space="preserve">Once a plaintiff "has made out a </w:t>
      </w:r>
      <w:r>
        <w:rPr>
          <w:rFonts w:ascii="Arial" w:eastAsia="Arial" w:hAnsi="Arial" w:cs="Arial"/>
          <w:i/>
          <w:color w:val="000000"/>
          <w:sz w:val="20"/>
        </w:rPr>
        <w:t>prima facie</w:t>
      </w:r>
      <w:r>
        <w:rPr>
          <w:rFonts w:ascii="Arial" w:eastAsia="Arial" w:hAnsi="Arial" w:cs="Arial"/>
          <w:color w:val="000000"/>
          <w:sz w:val="20"/>
        </w:rPr>
        <w:t xml:space="preserve"> showing that a reasonable accommodation is available," </w:t>
      </w:r>
      <w:r>
        <w:rPr>
          <w:rFonts w:ascii="Arial" w:eastAsia="Arial" w:hAnsi="Arial" w:cs="Arial"/>
          <w:i/>
          <w:color w:val="000000"/>
          <w:sz w:val="20"/>
        </w:rPr>
        <w:t>id.</w:t>
      </w:r>
      <w:r>
        <w:rPr>
          <w:rFonts w:ascii="Arial" w:eastAsia="Arial" w:hAnsi="Arial" w:cs="Arial"/>
          <w:color w:val="000000"/>
          <w:sz w:val="20"/>
        </w:rPr>
        <w:t xml:space="preserve">, the burden then shifts to the defendant to show that the requested accommodation is unreasonable or would impose an undue hardship on the employer, </w:t>
      </w:r>
      <w:bookmarkStart w:id="4114" w:name="Bookmark_I666CVGF28T4H70020000400"/>
      <w:bookmarkEnd w:id="4114"/>
      <w:r>
        <w:rPr>
          <w:rFonts w:ascii="Arial" w:eastAsia="Arial" w:hAnsi="Arial" w:cs="Arial"/>
          <w:i/>
          <w:color w:val="000000"/>
          <w:sz w:val="20"/>
        </w:rPr>
        <w:t>Jackan</w:t>
      </w:r>
      <w:r>
        <w:rPr>
          <w:rFonts w:ascii="Arial" w:eastAsia="Arial" w:hAnsi="Arial" w:cs="Arial"/>
          <w:color w:val="000000"/>
          <w:sz w:val="20"/>
        </w:rPr>
        <w:t xml:space="preserve">, 205 F.3d at 566; </w:t>
      </w:r>
      <w:r>
        <w:rPr>
          <w:rFonts w:ascii="Arial" w:eastAsia="Arial" w:hAnsi="Arial" w:cs="Arial"/>
          <w:i/>
          <w:color w:val="000000"/>
          <w:sz w:val="20"/>
        </w:rPr>
        <w:t xml:space="preserve">see also </w:t>
      </w:r>
      <w:bookmarkStart w:id="4115" w:name="Bookmark_I666CVGF28T4H70040000400"/>
      <w:bookmarkEnd w:id="4115"/>
      <w:r>
        <w:rPr>
          <w:rFonts w:ascii="Arial" w:eastAsia="Arial" w:hAnsi="Arial" w:cs="Arial"/>
          <w:i/>
          <w:color w:val="000000"/>
          <w:sz w:val="20"/>
        </w:rPr>
        <w:t>Borkowski</w:t>
      </w:r>
      <w:r>
        <w:rPr>
          <w:rFonts w:ascii="Arial" w:eastAsia="Arial" w:hAnsi="Arial" w:cs="Arial"/>
          <w:color w:val="000000"/>
          <w:sz w:val="20"/>
        </w:rPr>
        <w:t>, 63 F.3d at 138 (explaining that, at this stage, a defendant's "burden of persuading the factfinder that the plaintiff's proposed accommodation is unreasonable merges, in effect, with its burden of showing, as an affirmative defense, that the proposed accommodation would cause it to suffer an undue hardship"). An undue hardship is defined as "an action requiring significant difficulty or expense." 42 U.S.C. § 12111(10)(A). Factors to be considered by the employer in determining whether an accommodation would impose an undue [*11]  hardship may include:</w:t>
      </w:r>
    </w:p>
    <w:p w:rsidR="00022B47" w:rsidRDefault="00000000">
      <w:pPr>
        <w:pStyle w:val="Normal22"/>
        <w:widowControl w:val="0"/>
        <w:spacing w:line="260" w:lineRule="atLeast"/>
        <w:ind w:left="400"/>
        <w:jc w:val="both"/>
      </w:pPr>
      <w:bookmarkStart w:id="4116" w:name="Bookmark_para_18_19"/>
      <w:bookmarkStart w:id="4117" w:name="Bookmark_I666CVGF28T4H80020000400"/>
      <w:bookmarkEnd w:id="4116"/>
      <w:bookmarkEnd w:id="4117"/>
      <w:r>
        <w:rPr>
          <w:rFonts w:ascii="Arial" w:eastAsia="Arial" w:hAnsi="Arial" w:cs="Arial"/>
          <w:color w:val="000000"/>
          <w:sz w:val="20"/>
        </w:rPr>
        <w:t>(i) the nature and cost of the accommodation . . . ; (ii). . . the number of persons employed at [the] facility [involved]; the effect on expenses and resources, or the impact otherwise of such accommodation upon the operation of the facility; (iii) . . . the overall size of the business of a covered entity with respect to the number of its employees; and (iv) . . . the composition, structure, and functions of the workforce of such entity.</w:t>
      </w:r>
    </w:p>
    <w:p w:rsidR="00022B47" w:rsidRDefault="00000000">
      <w:pPr>
        <w:pStyle w:val="Normal22"/>
        <w:widowControl w:val="0"/>
        <w:spacing w:before="200" w:line="260" w:lineRule="atLeast"/>
        <w:jc w:val="both"/>
      </w:pPr>
      <w:bookmarkStart w:id="4118" w:name="Bookmark_I666CVGF28T4H80020000400_2"/>
      <w:bookmarkEnd w:id="4118"/>
      <w:r>
        <w:rPr>
          <w:rFonts w:ascii="Arial" w:eastAsia="Arial" w:hAnsi="Arial" w:cs="Arial"/>
          <w:i/>
          <w:color w:val="000000"/>
          <w:sz w:val="20"/>
        </w:rPr>
        <w:t>Id.</w:t>
      </w:r>
      <w:r>
        <w:rPr>
          <w:rFonts w:ascii="Arial" w:eastAsia="Arial" w:hAnsi="Arial" w:cs="Arial"/>
          <w:color w:val="000000"/>
          <w:sz w:val="20"/>
        </w:rPr>
        <w:t xml:space="preserve"> § 12111(10)(B). In sum, an employer seeking to meet its burden of persuasion must evaluate the "hardship sought to be imposed through the lens of the factors listed in the regulations," </w:t>
      </w:r>
      <w:bookmarkStart w:id="4119" w:name="Bookmark_I666CVGF28T4H80010000400"/>
      <w:bookmarkEnd w:id="4119"/>
      <w:r>
        <w:rPr>
          <w:rFonts w:ascii="Arial" w:eastAsia="Arial" w:hAnsi="Arial" w:cs="Arial"/>
          <w:i/>
          <w:color w:val="000000"/>
          <w:sz w:val="20"/>
        </w:rPr>
        <w:t>Borkowski</w:t>
      </w:r>
      <w:r>
        <w:rPr>
          <w:rFonts w:ascii="Arial" w:eastAsia="Arial" w:hAnsi="Arial" w:cs="Arial"/>
          <w:color w:val="000000"/>
          <w:sz w:val="20"/>
        </w:rPr>
        <w:t xml:space="preserve">, 63 F.3d at 139, and "show special (typically case-specific) circumstances demonstrating undue hardship in the particular circumstances," </w:t>
      </w:r>
      <w:bookmarkStart w:id="4120" w:name="Bookmark_I666CVGF28T4H80030000400"/>
      <w:bookmarkEnd w:id="4120"/>
      <w:r>
        <w:rPr>
          <w:rFonts w:ascii="Arial" w:eastAsia="Arial" w:hAnsi="Arial" w:cs="Arial"/>
          <w:i/>
          <w:color w:val="000000"/>
          <w:sz w:val="20"/>
        </w:rPr>
        <w:t>US Airways, Inc. v. Barnett</w:t>
      </w:r>
      <w:r>
        <w:rPr>
          <w:rFonts w:ascii="Arial" w:eastAsia="Arial" w:hAnsi="Arial" w:cs="Arial"/>
          <w:color w:val="000000"/>
          <w:sz w:val="20"/>
        </w:rPr>
        <w:t>, 535 U.S. 391, 402, 122 S. Ct. 1516, 152 L. Ed. 2d 589 (2002).</w:t>
      </w:r>
    </w:p>
    <w:p w:rsidR="00022B47" w:rsidRDefault="00000000">
      <w:pPr>
        <w:pStyle w:val="Normal22"/>
        <w:widowControl w:val="0"/>
        <w:spacing w:before="200" w:line="260" w:lineRule="atLeast"/>
        <w:jc w:val="both"/>
      </w:pPr>
      <w:bookmarkStart w:id="4121" w:name="Bookmark_para_19_18"/>
      <w:bookmarkEnd w:id="4121"/>
      <w:r>
        <w:rPr>
          <w:rFonts w:ascii="Arial" w:eastAsia="Arial" w:hAnsi="Arial" w:cs="Arial"/>
          <w:color w:val="000000"/>
          <w:sz w:val="20"/>
        </w:rPr>
        <w:t>We conclude that the "undue hardship" issue cannot be decided on summary judgment with respect to the reasonable accommodation claims on this record.</w:t>
      </w:r>
      <w:r>
        <w:rPr>
          <w:rFonts w:ascii="Arial" w:eastAsia="Arial" w:hAnsi="Arial" w:cs="Arial"/>
          <w:vertAlign w:val="superscript"/>
        </w:rPr>
        <w:footnoteReference w:customMarkFollows="1" w:id="91"/>
        <w:t>4</w:t>
      </w:r>
      <w:r>
        <w:rPr>
          <w:rFonts w:ascii="Arial" w:eastAsia="Arial" w:hAnsi="Arial" w:cs="Arial"/>
          <w:color w:val="000000"/>
          <w:sz w:val="20"/>
        </w:rPr>
        <w:t xml:space="preserve"> To be sure, in an effort to demonstrate that the accommodation was not reasonably feasible, defendants submitted email exchanges and testimony by staff within OMB, including information technology personnel, expressing concerns about the compatibility of the proposed software with defendants' [*12]  current computer systems—a problem defendants asserted would be compounded because OMB is a small department with limited resources, and further, that any necessary technical support would likely need to be provided by Greenbaum's immediate supervisor or manager, rather than the information technology department which lacked the requisite expertise on such software. Moreover, defendants fault Greenbaum's assistive technology expert for failing to independently test the proposed software. In addition, defendants contend that any conclusions reached by Greenbaum's expert about the feasibility of the proposed software were based entirely on Greenbaum's own representations to her that the software would work, as well as on unedited product information and descriptions that appear to have been copied and reproduced from software websites and other related promotional materials.</w:t>
      </w:r>
    </w:p>
    <w:p w:rsidR="00022B47" w:rsidRDefault="00000000">
      <w:pPr>
        <w:pStyle w:val="Normal22"/>
        <w:widowControl w:val="0"/>
        <w:spacing w:before="200" w:line="260" w:lineRule="atLeast"/>
        <w:jc w:val="both"/>
      </w:pPr>
      <w:bookmarkStart w:id="4128" w:name="Bookmark_para_20_18"/>
      <w:bookmarkStart w:id="4129" w:name="Bookmark_I666CVGG28T4H90050000400"/>
      <w:bookmarkStart w:id="4130" w:name="Bookmark_I666CVGG2SF7K20020000400"/>
      <w:bookmarkEnd w:id="4128"/>
      <w:bookmarkEnd w:id="4129"/>
      <w:bookmarkEnd w:id="4130"/>
      <w:r>
        <w:rPr>
          <w:rFonts w:ascii="Arial" w:eastAsia="Arial" w:hAnsi="Arial" w:cs="Arial"/>
          <w:color w:val="000000"/>
          <w:sz w:val="20"/>
        </w:rPr>
        <w:t xml:space="preserve">Even though defendants now ask "this Court [to] disregard Enriquez's declaration altogether, because it is not the product of 'reliable principles and methods,'" Appellees' Br. at 41 (quoting Fed. R. Evid. 702(c)), defendants did not challenge the reliability of plaintiff's expert by filing a motion to strike such evidence pursuant [*13]  to Rule 702(c) or </w:t>
      </w:r>
      <w:bookmarkStart w:id="4131" w:name="Bookmark_I666CVGG28T4H90040000400"/>
      <w:bookmarkEnd w:id="4131"/>
      <w:r>
        <w:rPr>
          <w:rFonts w:ascii="Arial" w:eastAsia="Arial" w:hAnsi="Arial" w:cs="Arial"/>
          <w:i/>
          <w:color w:val="000000"/>
          <w:sz w:val="20"/>
        </w:rPr>
        <w:t>Daubert v. Merrell Dow Pharmaceuticals, Inc.</w:t>
      </w:r>
      <w:r>
        <w:rPr>
          <w:rFonts w:ascii="Arial" w:eastAsia="Arial" w:hAnsi="Arial" w:cs="Arial"/>
          <w:color w:val="000000"/>
          <w:sz w:val="20"/>
        </w:rPr>
        <w:t xml:space="preserve">, 509 U.S. 579, 113 S. Ct. 2786, 125 L. Ed. 2d 469 (1993), nor did the district court exclude (or even address) that expert evidence in its summary judgment determination. </w:t>
      </w:r>
      <w:r>
        <w:rPr>
          <w:rFonts w:ascii="Arial" w:eastAsia="Arial" w:hAnsi="Arial" w:cs="Arial"/>
          <w:i/>
          <w:color w:val="000000"/>
          <w:sz w:val="20"/>
        </w:rPr>
        <w:t xml:space="preserve">Cf. </w:t>
      </w:r>
      <w:bookmarkStart w:id="4132" w:name="Bookmark_I666CVGG2SF7K20010000400"/>
      <w:bookmarkEnd w:id="4132"/>
      <w:r>
        <w:rPr>
          <w:rFonts w:ascii="Arial" w:eastAsia="Arial" w:hAnsi="Arial" w:cs="Arial"/>
          <w:i/>
          <w:color w:val="000000"/>
          <w:sz w:val="20"/>
        </w:rPr>
        <w:t>Raskin v. Wyatt Co.</w:t>
      </w:r>
      <w:r>
        <w:rPr>
          <w:rFonts w:ascii="Arial" w:eastAsia="Arial" w:hAnsi="Arial" w:cs="Arial"/>
          <w:color w:val="000000"/>
          <w:sz w:val="20"/>
        </w:rPr>
        <w:t>, 125 F.3d 55, 65-68 (2d Cir. 1997) (affirming district court's exclusion of expert testimony and grant of summary judgment where such testimony was found to be inadmissible). In short, defendants have failed to provide a sufficient basis for this Court to simply disregard Greenbaum's expert report in assessing Greenbaum's evidence on the issue of undue hardship. In any event, Greenbaum offered other evidence to support his reasonable accommodation claims, including an email from defendants' Head of Emergent Technology stating that, with respect to one of the software programs proposed by Greenbaum, the "[s]implest approach would be to buy a copy, install it and give it a try." App'x at 817. Although defendants assert that subsequent considerations militated against testing the proposed software programs on Greenbaum's work computer after Greenbaum successfully tested the programs at home, counsel for defendants conceded at oral argument that there was no evidence in the record of a concern that a system-wide breakdown, or some analogous damage to the computer system, could result by such a test [*14]  on Greenbaum's work computer. In short, Greenbaum's expert evidence, combined with the other evidence such as the successful testing of the proposed accommodation on the computer in Greenbaum's home, is sufficient to raise a genuine issue of material fact as to whether his requested accommodation would impose an undue hardship on defendants. Accordingly, we conclude that the district court erred when it granted summary judgment to defendants on Greenbaum's reasonable accommodation claims under the ADA, the NYSHRL, and the NYCHRL.</w:t>
      </w:r>
    </w:p>
    <w:p w:rsidR="00022B47" w:rsidRDefault="00000000">
      <w:pPr>
        <w:pStyle w:val="Normal22"/>
        <w:widowControl w:val="0"/>
        <w:spacing w:before="240" w:line="260" w:lineRule="atLeast"/>
      </w:pPr>
      <w:r>
        <w:br/>
      </w:r>
      <w:r>
        <w:rPr>
          <w:rFonts w:ascii="Arial" w:eastAsia="Arial" w:hAnsi="Arial" w:cs="Arial"/>
          <w:b/>
          <w:color w:val="000000"/>
          <w:sz w:val="20"/>
        </w:rPr>
        <w:t>III. Interactive Process Claim</w:t>
      </w:r>
    </w:p>
    <w:p w:rsidR="00022B47" w:rsidRDefault="00000000">
      <w:pPr>
        <w:pStyle w:val="Normal22"/>
        <w:widowControl w:val="0"/>
        <w:spacing w:before="200" w:line="260" w:lineRule="atLeast"/>
        <w:jc w:val="both"/>
      </w:pPr>
      <w:bookmarkStart w:id="4133" w:name="Bookmark_para_21_18"/>
      <w:bookmarkEnd w:id="4133"/>
      <w:r>
        <w:rPr>
          <w:rFonts w:ascii="Arial" w:eastAsia="Arial" w:hAnsi="Arial" w:cs="Arial"/>
          <w:color w:val="000000"/>
          <w:sz w:val="20"/>
        </w:rPr>
        <w:t>Greenbaum also asserts separate claims based on defendants' alleged failure to engage in an appropriate interactive process with him, in violation of the ADA, the NYSHRL, and the NYCHRL. We conclude that the district court properly determined that summary judgment was warranted on these claims in defendants' favor.</w:t>
      </w:r>
    </w:p>
    <w:p w:rsidR="00022B47" w:rsidRDefault="00000000">
      <w:pPr>
        <w:pStyle w:val="Normal22"/>
        <w:widowControl w:val="0"/>
        <w:spacing w:before="200" w:line="260" w:lineRule="atLeast"/>
        <w:jc w:val="both"/>
      </w:pPr>
      <w:bookmarkStart w:id="4134" w:name="Bookmark_para_22_17"/>
      <w:bookmarkStart w:id="4135" w:name="Bookmark_I666CVGG2SF7K20040000400"/>
      <w:bookmarkStart w:id="4136" w:name="Bookmark_I666CVGG2HM6XY0030000400"/>
      <w:bookmarkStart w:id="4137" w:name="Bookmark_LNHNREFclscc8_14"/>
      <w:bookmarkEnd w:id="4134"/>
      <w:bookmarkEnd w:id="4135"/>
      <w:bookmarkEnd w:id="4136"/>
      <w:bookmarkEnd w:id="4137"/>
      <w:r>
        <w:rPr>
          <w:rFonts w:ascii="Arial" w:eastAsia="Arial" w:hAnsi="Arial" w:cs="Arial"/>
          <w:color w:val="000000"/>
          <w:sz w:val="20"/>
        </w:rPr>
        <w:t xml:space="preserve">In workplaces where employees are disabled or are regarded as disabled by employers, "the ADA contemplates that employers will engage in 'an "interactive process" [with their employees and in that way] work together to assess whether an employee's disability can be reasonably accommodated.'" </w:t>
      </w:r>
      <w:bookmarkStart w:id="4138" w:name="Bookmark_I666CVGG2SF7K20030000400"/>
      <w:bookmarkEnd w:id="4138"/>
      <w:r>
        <w:rPr>
          <w:rFonts w:ascii="Arial" w:eastAsia="Arial" w:hAnsi="Arial" w:cs="Arial"/>
          <w:i/>
          <w:color w:val="000000"/>
          <w:sz w:val="20"/>
        </w:rPr>
        <w:t>Brady v. Wal-Mart Stores, Inc.</w:t>
      </w:r>
      <w:r>
        <w:rPr>
          <w:rFonts w:ascii="Arial" w:eastAsia="Arial" w:hAnsi="Arial" w:cs="Arial"/>
          <w:color w:val="000000"/>
          <w:sz w:val="20"/>
        </w:rPr>
        <w:t xml:space="preserve">, 531 F.3d 127, 135 (2d Cir. 2008) (quoting </w:t>
      </w:r>
      <w:bookmarkStart w:id="4139" w:name="Bookmark_I666CVGG2SF7K20050000400"/>
      <w:bookmarkEnd w:id="4139"/>
      <w:r>
        <w:rPr>
          <w:rFonts w:ascii="Arial" w:eastAsia="Arial" w:hAnsi="Arial" w:cs="Arial"/>
          <w:i/>
          <w:color w:val="000000"/>
          <w:sz w:val="20"/>
        </w:rPr>
        <w:t>Jackan</w:t>
      </w:r>
      <w:r>
        <w:rPr>
          <w:rFonts w:ascii="Arial" w:eastAsia="Arial" w:hAnsi="Arial" w:cs="Arial"/>
          <w:color w:val="000000"/>
          <w:sz w:val="20"/>
        </w:rPr>
        <w:t xml:space="preserve">, 205 F.3d at 566) (alterations in [*15]  original). </w:t>
      </w:r>
      <w:bookmarkStart w:id="4140" w:name="Bookmark_I666CVGG2HM6XY0050000400"/>
      <w:bookmarkEnd w:id="4140"/>
      <w:r>
        <w:rPr>
          <w:rFonts w:ascii="Arial" w:eastAsia="Arial" w:hAnsi="Arial" w:cs="Arial"/>
          <w:color w:val="000000"/>
          <w:sz w:val="20"/>
        </w:rPr>
        <w:t xml:space="preserve">Similarly, the NYSHRL "makes a dialogue about the reasonableness of the employee's proposed accommodation relevant to the 'reasonable accommodation' analysis." </w:t>
      </w:r>
      <w:bookmarkStart w:id="4141" w:name="Bookmark_I666CVGG2HM6XY0020000400"/>
      <w:bookmarkEnd w:id="4141"/>
      <w:r>
        <w:rPr>
          <w:rFonts w:ascii="Arial" w:eastAsia="Arial" w:hAnsi="Arial" w:cs="Arial"/>
          <w:i/>
          <w:color w:val="000000"/>
          <w:sz w:val="20"/>
        </w:rPr>
        <w:t>Jacobsen</w:t>
      </w:r>
      <w:r>
        <w:rPr>
          <w:rFonts w:ascii="Arial" w:eastAsia="Arial" w:hAnsi="Arial" w:cs="Arial"/>
          <w:color w:val="000000"/>
          <w:sz w:val="20"/>
        </w:rPr>
        <w:t xml:space="preserve">, 22 N.Y.3d at 836. However, there is no independent cause of action under the ADA or the NYSHRL for a failure to properly engage in the interactive process, nor is that issue necessarily dispositive as to a reasonable accommodation claim. </w:t>
      </w:r>
      <w:bookmarkStart w:id="4142" w:name="Bookmark_I666CVGG2HM6XY0050000400_2"/>
      <w:bookmarkEnd w:id="4142"/>
      <w:r>
        <w:rPr>
          <w:rFonts w:ascii="Arial" w:eastAsia="Arial" w:hAnsi="Arial" w:cs="Arial"/>
          <w:i/>
          <w:color w:val="000000"/>
          <w:sz w:val="20"/>
        </w:rPr>
        <w:t xml:space="preserve">See, e.g., </w:t>
      </w:r>
      <w:bookmarkStart w:id="4143" w:name="Bookmark_I666CVGG2HM6XY0040000400"/>
      <w:bookmarkEnd w:id="4143"/>
      <w:r>
        <w:rPr>
          <w:rFonts w:ascii="Arial" w:eastAsia="Arial" w:hAnsi="Arial" w:cs="Arial"/>
          <w:i/>
          <w:color w:val="000000"/>
          <w:sz w:val="20"/>
        </w:rPr>
        <w:t>McElwee v. County of Orange</w:t>
      </w:r>
      <w:r>
        <w:rPr>
          <w:rFonts w:ascii="Arial" w:eastAsia="Arial" w:hAnsi="Arial" w:cs="Arial"/>
          <w:color w:val="000000"/>
          <w:sz w:val="20"/>
        </w:rPr>
        <w:t xml:space="preserve">, 700 F.3d 635, 642 (2d Cir. 2012) ("[A]n employee may not recover based on his employer's failure to engage in an interactive process if he cannot show that a reasonable accommodation existed at the time of his dismissal."); </w:t>
      </w:r>
      <w:bookmarkStart w:id="4144" w:name="Bookmark_I666CVGG2SF7K60010000400"/>
      <w:bookmarkEnd w:id="4144"/>
      <w:r>
        <w:rPr>
          <w:rFonts w:ascii="Arial" w:eastAsia="Arial" w:hAnsi="Arial" w:cs="Arial"/>
          <w:i/>
          <w:color w:val="000000"/>
          <w:sz w:val="20"/>
        </w:rPr>
        <w:t>Jacobsen</w:t>
      </w:r>
      <w:r>
        <w:rPr>
          <w:rFonts w:ascii="Arial" w:eastAsia="Arial" w:hAnsi="Arial" w:cs="Arial"/>
          <w:color w:val="000000"/>
          <w:sz w:val="20"/>
        </w:rPr>
        <w:t>, 22 N.Y.3d at 838 ("[T]he employer's decision to engage in or forgo an interactive process is but one factor to be considered in deciding whether a reasonable accommodation was available for the employee's disability at the time the employee sought accommodation.").</w:t>
      </w:r>
    </w:p>
    <w:p w:rsidR="00022B47" w:rsidRDefault="00000000">
      <w:pPr>
        <w:pStyle w:val="Normal22"/>
        <w:widowControl w:val="0"/>
        <w:spacing w:before="200" w:line="260" w:lineRule="atLeast"/>
        <w:jc w:val="both"/>
      </w:pPr>
      <w:bookmarkStart w:id="4145" w:name="Bookmark_para_23_16"/>
      <w:bookmarkStart w:id="4146" w:name="Bookmark_I666CVGG2SF7K60040000400"/>
      <w:bookmarkStart w:id="4147" w:name="Bookmark_LNHNREFclscc9_14"/>
      <w:bookmarkEnd w:id="4145"/>
      <w:bookmarkEnd w:id="4146"/>
      <w:bookmarkEnd w:id="4147"/>
      <w:r>
        <w:rPr>
          <w:rFonts w:ascii="Arial" w:eastAsia="Arial" w:hAnsi="Arial" w:cs="Arial"/>
          <w:color w:val="000000"/>
          <w:sz w:val="20"/>
        </w:rPr>
        <w:t xml:space="preserve">We do recognize, in contrast to federal and New York State law, that a failure to engage in the interactive process is independently actionable as a separate claim under the NYCHRL, which provides that "[i]t shall be an unlawful discriminatory practice for an employer . . . to refuse or otherwise fail to engage in a cooperative dialogue within a reasonable [*16]  time with a person who has requested an accommodation or who the [employer] has notice may require such an accommodation . . . [r]elated to a disability." N.Y.C. Admin. Code § 8-107(28)(a); </w:t>
      </w:r>
      <w:r>
        <w:rPr>
          <w:rFonts w:ascii="Arial" w:eastAsia="Arial" w:hAnsi="Arial" w:cs="Arial"/>
          <w:i/>
          <w:color w:val="000000"/>
          <w:sz w:val="20"/>
        </w:rPr>
        <w:t xml:space="preserve">see also </w:t>
      </w:r>
      <w:bookmarkStart w:id="4148" w:name="Bookmark_I666CVGG2SF7K60030000400"/>
      <w:bookmarkEnd w:id="4148"/>
      <w:r>
        <w:rPr>
          <w:rFonts w:ascii="Arial" w:eastAsia="Arial" w:hAnsi="Arial" w:cs="Arial"/>
          <w:i/>
          <w:color w:val="000000"/>
          <w:sz w:val="20"/>
        </w:rPr>
        <w:t>Hosking v. Mem'l Sloan-Kettering Cancer Ctr.</w:t>
      </w:r>
      <w:r>
        <w:rPr>
          <w:rFonts w:ascii="Arial" w:eastAsia="Arial" w:hAnsi="Arial" w:cs="Arial"/>
          <w:color w:val="000000"/>
          <w:sz w:val="20"/>
        </w:rPr>
        <w:t xml:space="preserve">, 186 A.D.3d 58, 64-65, 126 N.Y.S.3d 98 (1st Dep't 2020) (explaining that Section 8-107(28)(a) modified </w:t>
      </w:r>
      <w:bookmarkStart w:id="4149" w:name="Bookmark_I666CVGG2SF7K60050000400"/>
      <w:bookmarkEnd w:id="4149"/>
      <w:r>
        <w:rPr>
          <w:rFonts w:ascii="Arial" w:eastAsia="Arial" w:hAnsi="Arial" w:cs="Arial"/>
          <w:i/>
          <w:color w:val="000000"/>
          <w:sz w:val="20"/>
        </w:rPr>
        <w:t>Jacobsen</w:t>
      </w:r>
      <w:r>
        <w:rPr>
          <w:rFonts w:ascii="Arial" w:eastAsia="Arial" w:hAnsi="Arial" w:cs="Arial"/>
          <w:color w:val="000000"/>
          <w:sz w:val="20"/>
        </w:rPr>
        <w:t xml:space="preserve"> under the NYCHRL). Here, however, there is insufficient evidence from which a rational jury could find that defendants failed to engage in an interactive process.</w:t>
      </w:r>
    </w:p>
    <w:p w:rsidR="00022B47" w:rsidRDefault="00000000">
      <w:pPr>
        <w:pStyle w:val="Normal22"/>
        <w:widowControl w:val="0"/>
        <w:spacing w:before="200" w:line="260" w:lineRule="atLeast"/>
        <w:jc w:val="both"/>
      </w:pPr>
      <w:bookmarkStart w:id="4150" w:name="Bookmark_para_24_16"/>
      <w:bookmarkEnd w:id="4150"/>
      <w:r>
        <w:rPr>
          <w:rFonts w:ascii="Arial" w:eastAsia="Arial" w:hAnsi="Arial" w:cs="Arial"/>
          <w:color w:val="000000"/>
          <w:sz w:val="20"/>
        </w:rPr>
        <w:t>Greenbaum engaged in an extensive interactive process with OMB over a period of many months, including three separate meetings between the Office of ADA Compliance, Greenbaum, and his supervisors, as well as email correspondence between those meetings. Greenbaum's assertion that defendants "waited a year" to respond to his request for an accommodation has no support in the record. Appellant's Br. at 48. As the district court explained, the uncontroverted evidence in the record demonstrated the following:</w:t>
      </w:r>
    </w:p>
    <w:p w:rsidR="00022B47" w:rsidRDefault="00000000">
      <w:pPr>
        <w:pStyle w:val="Normal22"/>
        <w:widowControl w:val="0"/>
        <w:spacing w:before="200" w:line="260" w:lineRule="atLeast"/>
        <w:ind w:left="400"/>
        <w:jc w:val="both"/>
      </w:pPr>
      <w:bookmarkStart w:id="4151" w:name="Bookmark_para_25_15"/>
      <w:bookmarkEnd w:id="4151"/>
      <w:r>
        <w:rPr>
          <w:rFonts w:ascii="Arial" w:eastAsia="Arial" w:hAnsi="Arial" w:cs="Arial"/>
          <w:color w:val="000000"/>
          <w:sz w:val="20"/>
        </w:rPr>
        <w:t xml:space="preserve">These discussions began immediately after Greenbaum reported his wrist problems in the summer of 2018. Greenbaum's supervisors initiated the dialogue by offering him the appropriate form, delivered him the requested ergonomic keyboard, considered his doctor's diagnosis, conducted their own medical examination, invited him to propose [*17]  solutions, and met with him. It was only after a meeting in January 2019 that Greenbaum identified two software solutions. In May of 2019, Greenbaum identified a third piece of software and delivered a ten-page defense of his proposal. </w:t>
      </w:r>
      <w:bookmarkStart w:id="4152" w:name="Bookmark_I666CVGH28T4HK0030000400"/>
      <w:bookmarkEnd w:id="4152"/>
      <w:r>
        <w:rPr>
          <w:rFonts w:ascii="Arial" w:eastAsia="Arial" w:hAnsi="Arial" w:cs="Arial"/>
          <w:color w:val="000000"/>
          <w:sz w:val="20"/>
        </w:rPr>
        <w:t>In August of 2019, MaBSTOA issued the Denial Letter. Given the complexity of the proposed accommodation and Greenbaum's own delays in presenting his requests, the Defendants have shown that MaBSTOA actively and diligently engaged with Greenbaum regarding his request for an accommodation.</w:t>
      </w:r>
    </w:p>
    <w:p w:rsidR="00022B47" w:rsidRDefault="00000000">
      <w:pPr>
        <w:pStyle w:val="Normal22"/>
        <w:widowControl w:val="0"/>
        <w:spacing w:before="200" w:line="260" w:lineRule="atLeast"/>
        <w:jc w:val="both"/>
      </w:pPr>
      <w:bookmarkStart w:id="4153" w:name="Bookmark_I666CVGH28T4HK0030000400_2"/>
      <w:bookmarkStart w:id="4154" w:name="Bookmark_I666CVGH28T4HK0020000400"/>
      <w:bookmarkEnd w:id="4153"/>
      <w:bookmarkEnd w:id="4154"/>
      <w:r>
        <w:rPr>
          <w:rFonts w:ascii="Arial" w:eastAsia="Arial" w:hAnsi="Arial" w:cs="Arial"/>
          <w:i/>
          <w:color w:val="000000"/>
          <w:sz w:val="20"/>
        </w:rPr>
        <w:t>Greenbaum</w:t>
      </w:r>
      <w:r>
        <w:rPr>
          <w:rFonts w:ascii="Arial" w:eastAsia="Arial" w:hAnsi="Arial" w:cs="Arial"/>
          <w:color w:val="000000"/>
          <w:sz w:val="20"/>
        </w:rPr>
        <w:t>, 2021 U.S. Dist. LEXIS 119024, 2021 WL 2650509, at *9. As the district court noted, any delays in the interactive process were attributable to Greenbaum's delay in providing necessary documentation or information in order for defendants to properly evaluate his accommodation request.</w:t>
      </w:r>
    </w:p>
    <w:p w:rsidR="00022B47" w:rsidRDefault="00000000">
      <w:pPr>
        <w:pStyle w:val="Normal22"/>
        <w:widowControl w:val="0"/>
        <w:spacing w:before="200" w:line="260" w:lineRule="atLeast"/>
        <w:jc w:val="both"/>
      </w:pPr>
      <w:bookmarkStart w:id="4155" w:name="Bookmark_para_26_14"/>
      <w:bookmarkStart w:id="4156" w:name="Bookmark_I666CVGH28T4HK0050000400"/>
      <w:bookmarkEnd w:id="4155"/>
      <w:bookmarkEnd w:id="4156"/>
      <w:r>
        <w:rPr>
          <w:rFonts w:ascii="Arial" w:eastAsia="Arial" w:hAnsi="Arial" w:cs="Arial"/>
          <w:color w:val="000000"/>
          <w:sz w:val="20"/>
        </w:rPr>
        <w:t xml:space="preserve">In sum, the uncontroverted evidence established that defendants had initiated a good faith interactive process by engaging with plaintiff for nearly a year to ascertain the feasibility of his proposed accommodation. </w:t>
      </w:r>
      <w:r>
        <w:rPr>
          <w:rFonts w:ascii="Arial" w:eastAsia="Arial" w:hAnsi="Arial" w:cs="Arial"/>
          <w:i/>
          <w:color w:val="000000"/>
          <w:sz w:val="20"/>
        </w:rPr>
        <w:t xml:space="preserve">See </w:t>
      </w:r>
      <w:bookmarkStart w:id="4157" w:name="Bookmark_I666CVGH28T4HK0040000400"/>
      <w:bookmarkEnd w:id="4157"/>
      <w:r>
        <w:rPr>
          <w:rFonts w:ascii="Arial" w:eastAsia="Arial" w:hAnsi="Arial" w:cs="Arial"/>
          <w:i/>
          <w:color w:val="000000"/>
          <w:sz w:val="20"/>
        </w:rPr>
        <w:t>Romanello v. Intesa Sanpaolo S.p.A.</w:t>
      </w:r>
      <w:r>
        <w:rPr>
          <w:rFonts w:ascii="Arial" w:eastAsia="Arial" w:hAnsi="Arial" w:cs="Arial"/>
          <w:color w:val="000000"/>
          <w:sz w:val="20"/>
        </w:rPr>
        <w:t xml:space="preserve">, 97 A.D.3d 449, 451, 949 N.Y.S.2d 345 (1st Dep't 2012), </w:t>
      </w:r>
      <w:r>
        <w:rPr>
          <w:rFonts w:ascii="Arial" w:eastAsia="Arial" w:hAnsi="Arial" w:cs="Arial"/>
          <w:i/>
          <w:color w:val="000000"/>
          <w:sz w:val="20"/>
        </w:rPr>
        <w:t>aff'd as modified</w:t>
      </w:r>
      <w:r>
        <w:rPr>
          <w:rFonts w:ascii="Arial" w:eastAsia="Arial" w:hAnsi="Arial" w:cs="Arial"/>
          <w:color w:val="000000"/>
          <w:sz w:val="20"/>
        </w:rPr>
        <w:t xml:space="preserve">, 22 N.Y.3d 881, 998 N.E.2d 1050, 976 N.Y.S.2d 426 (2013) (finding the undisputed documentary evidence demonstrated that the employer attempted to engage in a good faith interactive process); </w:t>
      </w:r>
      <w:r>
        <w:rPr>
          <w:rFonts w:ascii="Arial" w:eastAsia="Arial" w:hAnsi="Arial" w:cs="Arial"/>
          <w:i/>
          <w:color w:val="000000"/>
          <w:sz w:val="20"/>
        </w:rPr>
        <w:t xml:space="preserve">see also </w:t>
      </w:r>
      <w:bookmarkStart w:id="4158" w:name="Bookmark_I666CVGH2HM6Y40010000400"/>
      <w:bookmarkEnd w:id="4158"/>
      <w:r>
        <w:rPr>
          <w:rFonts w:ascii="Arial" w:eastAsia="Arial" w:hAnsi="Arial" w:cs="Arial"/>
          <w:i/>
          <w:color w:val="000000"/>
          <w:sz w:val="20"/>
        </w:rPr>
        <w:t>Vinikoff v. N.Y. State Div. of Hum. Rts.</w:t>
      </w:r>
      <w:r>
        <w:rPr>
          <w:rFonts w:ascii="Arial" w:eastAsia="Arial" w:hAnsi="Arial" w:cs="Arial"/>
          <w:color w:val="000000"/>
          <w:sz w:val="20"/>
        </w:rPr>
        <w:t>, 83 A.D.3d 1159, 1164, 920 N.Y.S.2d 458 (3d Dep't 2011) (finding that an employer had engaged in a good faith interactive [*18]  process where "substantial evidence support[ed] [a] determination that [defendants] made reasonable efforts to both communicate with [plaintiff] and consider accommodations based on the information it possessed"). Accordingly, the district court properly granted summary judgment in defendants' favor on Greenbaum's separate interactive process claims.</w:t>
      </w:r>
    </w:p>
    <w:p w:rsidR="00022B47" w:rsidRDefault="00000000">
      <w:pPr>
        <w:pStyle w:val="Normal22"/>
        <w:widowControl w:val="0"/>
        <w:spacing w:before="200" w:line="260" w:lineRule="atLeast"/>
        <w:jc w:val="both"/>
      </w:pPr>
      <w:bookmarkStart w:id="4159" w:name="Bookmark_para_27_14"/>
      <w:bookmarkEnd w:id="4159"/>
      <w:r>
        <w:rPr>
          <w:rFonts w:ascii="Arial" w:eastAsia="Arial" w:hAnsi="Arial" w:cs="Arial"/>
          <w:color w:val="000000"/>
          <w:sz w:val="20"/>
        </w:rPr>
        <w:t>* * *</w:t>
      </w:r>
    </w:p>
    <w:p w:rsidR="00022B47" w:rsidRDefault="00000000">
      <w:pPr>
        <w:pStyle w:val="Normal22"/>
        <w:widowControl w:val="0"/>
        <w:spacing w:before="200" w:line="260" w:lineRule="atLeast"/>
        <w:jc w:val="both"/>
      </w:pPr>
      <w:bookmarkStart w:id="4160" w:name="Bookmark_para_28_14"/>
      <w:bookmarkEnd w:id="4160"/>
      <w:r>
        <w:rPr>
          <w:rFonts w:ascii="Arial" w:eastAsia="Arial" w:hAnsi="Arial" w:cs="Arial"/>
          <w:color w:val="000000"/>
          <w:sz w:val="20"/>
        </w:rPr>
        <w:t xml:space="preserve">We have reviewed the parties' remaining arguments and conclude that they are without merit. For the foregoing reasons, we </w:t>
      </w:r>
      <w:r>
        <w:rPr>
          <w:rFonts w:ascii="Arial" w:eastAsia="Arial" w:hAnsi="Arial" w:cs="Arial"/>
          <w:b/>
          <w:color w:val="000000"/>
          <w:sz w:val="20"/>
        </w:rPr>
        <w:t>VACATE</w:t>
      </w:r>
      <w:r>
        <w:rPr>
          <w:rFonts w:ascii="Arial" w:eastAsia="Arial" w:hAnsi="Arial" w:cs="Arial"/>
          <w:color w:val="000000"/>
          <w:sz w:val="20"/>
        </w:rPr>
        <w:t xml:space="preserve"> the judgment of the district court in part, </w:t>
      </w:r>
      <w:r>
        <w:rPr>
          <w:rFonts w:ascii="Arial" w:eastAsia="Arial" w:hAnsi="Arial" w:cs="Arial"/>
          <w:b/>
          <w:color w:val="000000"/>
          <w:sz w:val="20"/>
        </w:rPr>
        <w:t>AFFIRM</w:t>
      </w:r>
      <w:r>
        <w:rPr>
          <w:rFonts w:ascii="Arial" w:eastAsia="Arial" w:hAnsi="Arial" w:cs="Arial"/>
          <w:color w:val="000000"/>
          <w:sz w:val="20"/>
        </w:rPr>
        <w:t xml:space="preserve"> in part, and </w:t>
      </w:r>
      <w:r>
        <w:rPr>
          <w:rFonts w:ascii="Arial" w:eastAsia="Arial" w:hAnsi="Arial" w:cs="Arial"/>
          <w:b/>
          <w:color w:val="000000"/>
          <w:sz w:val="20"/>
        </w:rPr>
        <w:t>REMAND</w:t>
      </w:r>
      <w:r>
        <w:rPr>
          <w:rFonts w:ascii="Arial" w:eastAsia="Arial" w:hAnsi="Arial" w:cs="Arial"/>
          <w:color w:val="000000"/>
          <w:sz w:val="20"/>
        </w:rPr>
        <w:t xml:space="preserve"> the action for further proceedings consistent with this order.</w:t>
      </w:r>
    </w:p>
    <w:p w:rsidR="00022B47" w:rsidRDefault="00022B47">
      <w:pPr>
        <w:pStyle w:val="Normal22"/>
      </w:pPr>
    </w:p>
    <w:p w:rsidR="00022B47" w:rsidRDefault="00000000">
      <w:pPr>
        <w:pStyle w:val="Normal22"/>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0534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235195849"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6884F2" id="Line 48"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23"/>
        <w:sectPr w:rsidR="00022B47">
          <w:headerReference w:type="even" r:id="rId145"/>
          <w:headerReference w:type="default" r:id="rId146"/>
          <w:footerReference w:type="even" r:id="rId147"/>
          <w:footerReference w:type="default" r:id="rId148"/>
          <w:headerReference w:type="first" r:id="rId149"/>
          <w:footerReference w:type="first" r:id="rId150"/>
          <w:pgSz w:w="12240" w:h="15840"/>
          <w:pgMar w:top="840" w:right="1000" w:bottom="840" w:left="1000" w:header="400" w:footer="400" w:gutter="0"/>
          <w:cols w:space="720"/>
          <w:titlePg/>
        </w:sectPr>
      </w:pPr>
    </w:p>
    <w:p w:rsidR="00022B47" w:rsidRDefault="00022B47">
      <w:pPr>
        <w:pStyle w:val="Normal23"/>
      </w:pPr>
    </w:p>
    <w:p w:rsidR="00022B47" w:rsidRDefault="00000000">
      <w:pPr>
        <w:pStyle w:val="Heading122"/>
        <w:keepNext w:val="0"/>
        <w:widowControl w:val="0"/>
        <w:spacing w:after="200" w:line="340" w:lineRule="atLeast"/>
        <w:jc w:val="center"/>
      </w:pPr>
      <w:r>
        <w:rPr>
          <w:rFonts w:eastAsia="Arial"/>
          <w:color w:val="000000"/>
          <w:sz w:val="28"/>
        </w:rPr>
        <w:t>Douglas v. Muzzin</w:t>
      </w:r>
    </w:p>
    <w:p w:rsidR="00022B47" w:rsidRDefault="00000000">
      <w:pPr>
        <w:pStyle w:val="Normal23"/>
        <w:widowControl w:val="0"/>
        <w:spacing w:before="120" w:line="260" w:lineRule="atLeast"/>
        <w:jc w:val="center"/>
      </w:pPr>
      <w:r>
        <w:rPr>
          <w:rFonts w:ascii="Arial" w:eastAsia="Arial" w:hAnsi="Arial" w:cs="Arial"/>
          <w:color w:val="000000"/>
          <w:sz w:val="20"/>
        </w:rPr>
        <w:t>United States Court of Appeals for the Sixth Circuit</w:t>
      </w:r>
    </w:p>
    <w:p w:rsidR="00022B47" w:rsidRDefault="00000000">
      <w:pPr>
        <w:pStyle w:val="Normal23"/>
        <w:widowControl w:val="0"/>
        <w:spacing w:before="120" w:line="260" w:lineRule="atLeast"/>
        <w:jc w:val="center"/>
      </w:pPr>
      <w:r>
        <w:rPr>
          <w:rFonts w:ascii="Arial" w:eastAsia="Arial" w:hAnsi="Arial" w:cs="Arial"/>
          <w:color w:val="000000"/>
          <w:sz w:val="20"/>
        </w:rPr>
        <w:t>August 3, 2022, Filed</w:t>
      </w:r>
    </w:p>
    <w:p w:rsidR="00022B47" w:rsidRDefault="00000000">
      <w:pPr>
        <w:pStyle w:val="Normal23"/>
        <w:widowControl w:val="0"/>
        <w:spacing w:before="120" w:line="260" w:lineRule="atLeast"/>
        <w:jc w:val="center"/>
      </w:pPr>
      <w:r>
        <w:rPr>
          <w:rFonts w:ascii="Arial" w:eastAsia="Arial" w:hAnsi="Arial" w:cs="Arial"/>
          <w:color w:val="000000"/>
          <w:sz w:val="20"/>
        </w:rPr>
        <w:t>File Name: 22a0318n.06</w:t>
      </w:r>
    </w:p>
    <w:p w:rsidR="00022B47" w:rsidRDefault="00000000">
      <w:pPr>
        <w:pStyle w:val="Normal23"/>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21-2801</w:t>
      </w:r>
    </w:p>
    <w:p w:rsidR="00022B47" w:rsidRDefault="00022B47">
      <w:pPr>
        <w:pStyle w:val="Normal23"/>
        <w:widowControl w:val="0"/>
        <w:spacing w:line="240" w:lineRule="atLeast"/>
        <w:jc w:val="both"/>
      </w:pPr>
      <w:bookmarkStart w:id="4161" w:name="Bookmark_24"/>
      <w:bookmarkEnd w:id="4161"/>
    </w:p>
    <w:p w:rsidR="00022B47" w:rsidRDefault="00000000">
      <w:pPr>
        <w:pStyle w:val="Normal23"/>
        <w:widowControl w:val="0"/>
        <w:spacing w:before="200" w:line="240" w:lineRule="atLeast"/>
      </w:pPr>
      <w:bookmarkStart w:id="4162" w:name="Reporter_22"/>
      <w:bookmarkEnd w:id="4162"/>
      <w:r>
        <w:rPr>
          <w:rFonts w:ascii="Arial" w:eastAsia="Arial" w:hAnsi="Arial" w:cs="Arial"/>
          <w:b/>
          <w:color w:val="000000"/>
          <w:sz w:val="18"/>
        </w:rPr>
        <w:t>Reporter</w:t>
      </w:r>
    </w:p>
    <w:p w:rsidR="00022B47" w:rsidRDefault="00000000">
      <w:pPr>
        <w:pStyle w:val="Normal23"/>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2022 U.S. App. LEXIS 21529 *; 2022 FED App. 0318N (6th Cir.); 2022 WL 3088240</w:t>
      </w:r>
    </w:p>
    <w:p w:rsidR="00022B47" w:rsidRDefault="00000000">
      <w:pPr>
        <w:pStyle w:val="Normal23"/>
        <w:widowControl w:val="0"/>
        <w:spacing w:before="120" w:line="260" w:lineRule="atLeast"/>
      </w:pPr>
      <w:r>
        <w:rPr>
          <w:rFonts w:ascii="Arial" w:eastAsia="Arial" w:hAnsi="Arial" w:cs="Arial"/>
          <w:color w:val="000000"/>
          <w:sz w:val="20"/>
        </w:rPr>
        <w:t>LEON DOUGLAS, Plaintiff-Appellant, v. KEARA MUZZIN; RODGER MARTIN; KERRY GOBERT, Resident Unit Manager, Defendants-Appellees.</w:t>
      </w:r>
    </w:p>
    <w:p w:rsidR="00022B47" w:rsidRDefault="00000000">
      <w:pPr>
        <w:pStyle w:val="Normal23"/>
        <w:widowControl w:val="0"/>
        <w:spacing w:before="240" w:line="260" w:lineRule="atLeast"/>
        <w:jc w:val="both"/>
      </w:pPr>
      <w:bookmarkStart w:id="4163" w:name="Notice_10"/>
      <w:bookmarkEnd w:id="4163"/>
      <w:r>
        <w:rPr>
          <w:rFonts w:ascii="Arial" w:eastAsia="Arial" w:hAnsi="Arial" w:cs="Arial"/>
          <w:b/>
          <w:color w:val="000000"/>
          <w:sz w:val="20"/>
        </w:rPr>
        <w:t>Notice:</w:t>
      </w:r>
      <w:r>
        <w:rPr>
          <w:rFonts w:ascii="Arial" w:eastAsia="Arial" w:hAnsi="Arial" w:cs="Arial"/>
          <w:color w:val="000000"/>
          <w:sz w:val="20"/>
        </w:rPr>
        <w:t> </w:t>
      </w:r>
      <w:bookmarkStart w:id="4164" w:name="Bookmark_para_1_22"/>
      <w:bookmarkEnd w:id="4164"/>
      <w:r>
        <w:rPr>
          <w:rFonts w:ascii="Arial" w:eastAsia="Arial" w:hAnsi="Arial" w:cs="Arial"/>
          <w:color w:val="000000"/>
          <w:sz w:val="20"/>
        </w:rPr>
        <w:t>CONSULT 6TH CIR. R. 32.1 FOR CITATION OF UNPUBLISHED OPINIONS AND DECISIONS.</w:t>
      </w:r>
    </w:p>
    <w:p w:rsidR="00022B47" w:rsidRDefault="00000000">
      <w:pPr>
        <w:pStyle w:val="Normal23"/>
        <w:widowControl w:val="0"/>
        <w:spacing w:before="240" w:line="260" w:lineRule="atLeast"/>
        <w:jc w:val="both"/>
      </w:pPr>
      <w:bookmarkStart w:id="4165" w:name="Prior_History_22"/>
      <w:bookmarkEnd w:id="4165"/>
      <w:r>
        <w:rPr>
          <w:rFonts w:ascii="Arial" w:eastAsia="Arial" w:hAnsi="Arial" w:cs="Arial"/>
          <w:b/>
          <w:color w:val="000000"/>
          <w:sz w:val="20"/>
        </w:rPr>
        <w:t>Prior History:</w:t>
      </w:r>
      <w:r>
        <w:rPr>
          <w:rFonts w:ascii="Arial" w:eastAsia="Arial" w:hAnsi="Arial" w:cs="Arial"/>
          <w:color w:val="000000"/>
          <w:sz w:val="20"/>
        </w:rPr>
        <w:t> </w:t>
      </w:r>
      <w:bookmarkStart w:id="4166" w:name="Bookmark_para_2_22"/>
      <w:bookmarkEnd w:id="4166"/>
      <w:r>
        <w:rPr>
          <w:rFonts w:ascii="Arial" w:eastAsia="Arial" w:hAnsi="Arial" w:cs="Arial"/>
          <w:color w:val="000000"/>
          <w:sz w:val="20"/>
        </w:rPr>
        <w:t> [*1] ON APPEAL FROM THE UNITED STATES DISTRICT COURT FOR THE WESTERN DISTRICT OF MICHIGAN.</w:t>
      </w:r>
    </w:p>
    <w:p w:rsidR="00022B47" w:rsidRDefault="00000000">
      <w:pPr>
        <w:pStyle w:val="Normal23"/>
        <w:widowControl w:val="0"/>
        <w:spacing w:before="120" w:line="260" w:lineRule="atLeast"/>
      </w:pPr>
      <w:r>
        <w:rPr>
          <w:rFonts w:ascii="Arial" w:eastAsia="Arial" w:hAnsi="Arial" w:cs="Arial"/>
          <w:color w:val="000000"/>
          <w:sz w:val="20"/>
        </w:rPr>
        <w:t>Douglas v. Muzzin, 2021 U.S. Dist. LEXIS 127065, 2021 WL 2845082 (W.D. Mich., July 8, 2021)</w:t>
      </w:r>
    </w:p>
    <w:p w:rsidR="00022B47" w:rsidRDefault="00000000">
      <w:pPr>
        <w:pStyle w:val="Normal23"/>
        <w:widowControl w:val="0"/>
        <w:spacing w:before="240" w:line="260" w:lineRule="atLeast"/>
      </w:pPr>
      <w:bookmarkStart w:id="4167" w:name="Counsel_22"/>
      <w:bookmarkEnd w:id="4167"/>
      <w:r>
        <w:rPr>
          <w:rFonts w:ascii="Arial" w:eastAsia="Arial" w:hAnsi="Arial" w:cs="Arial"/>
          <w:b/>
          <w:color w:val="000000"/>
          <w:sz w:val="20"/>
        </w:rPr>
        <w:t>Counsel:</w:t>
      </w:r>
      <w:r>
        <w:rPr>
          <w:rFonts w:ascii="Arial" w:eastAsia="Arial" w:hAnsi="Arial" w:cs="Arial"/>
          <w:color w:val="000000"/>
          <w:sz w:val="20"/>
        </w:rPr>
        <w:t> For LEON DOUGLAS, Plaintiff - Appellant: Justin A. Allen, Gary J. Mouw, Varnum, Grand Rapids, MI.</w:t>
      </w:r>
    </w:p>
    <w:p w:rsidR="00022B47" w:rsidRDefault="00000000">
      <w:pPr>
        <w:pStyle w:val="Normal23"/>
        <w:widowControl w:val="0"/>
        <w:spacing w:before="120" w:line="260" w:lineRule="atLeast"/>
      </w:pPr>
      <w:r>
        <w:rPr>
          <w:rFonts w:ascii="Arial" w:eastAsia="Arial" w:hAnsi="Arial" w:cs="Arial"/>
          <w:color w:val="000000"/>
          <w:sz w:val="20"/>
        </w:rPr>
        <w:t>For KEARA MUZZIN, RODGER MARTIN, KERRY GOBERT, Resident Unit Manager, Defendants - Appellees: Austin Curtis Raines, Assistant Attorney General, Office of the Attorney General, Lansing, MI.</w:t>
      </w:r>
    </w:p>
    <w:p w:rsidR="00022B47" w:rsidRDefault="00000000">
      <w:pPr>
        <w:pStyle w:val="Normal23"/>
        <w:widowControl w:val="0"/>
        <w:spacing w:before="240" w:line="260" w:lineRule="atLeast"/>
      </w:pPr>
      <w:bookmarkStart w:id="4168" w:name="Judges_22"/>
      <w:bookmarkEnd w:id="4168"/>
      <w:r>
        <w:rPr>
          <w:rFonts w:ascii="Arial" w:eastAsia="Arial" w:hAnsi="Arial" w:cs="Arial"/>
          <w:b/>
          <w:color w:val="000000"/>
          <w:sz w:val="20"/>
        </w:rPr>
        <w:t>Judges:</w:t>
      </w:r>
      <w:r>
        <w:rPr>
          <w:rFonts w:ascii="Arial" w:eastAsia="Arial" w:hAnsi="Arial" w:cs="Arial"/>
          <w:color w:val="000000"/>
          <w:sz w:val="20"/>
        </w:rPr>
        <w:t> Before: MOORE, WHITE, and BUSH, Circuit Judges. MOORE, J., delivered the opinion of the court in which WHITE, J., joined. BUSH, J., delivered a separate dissenting opinion.</w:t>
      </w:r>
    </w:p>
    <w:p w:rsidR="00022B47" w:rsidRDefault="00000000">
      <w:pPr>
        <w:pStyle w:val="Normal23"/>
        <w:widowControl w:val="0"/>
        <w:spacing w:before="240" w:line="260" w:lineRule="atLeast"/>
      </w:pPr>
      <w:bookmarkStart w:id="4169" w:name="Opinion_by_12"/>
      <w:bookmarkEnd w:id="4169"/>
      <w:r>
        <w:rPr>
          <w:rFonts w:ascii="Arial" w:eastAsia="Arial" w:hAnsi="Arial" w:cs="Arial"/>
          <w:b/>
          <w:color w:val="000000"/>
          <w:sz w:val="20"/>
        </w:rPr>
        <w:t>Opinion by:</w:t>
      </w:r>
      <w:r>
        <w:rPr>
          <w:rFonts w:ascii="Arial" w:eastAsia="Arial" w:hAnsi="Arial" w:cs="Arial"/>
          <w:color w:val="000000"/>
          <w:sz w:val="20"/>
        </w:rPr>
        <w:t> KAREN NELSON MOORE</w:t>
      </w:r>
    </w:p>
    <w:p w:rsidR="00022B47" w:rsidRDefault="00000000">
      <w:pPr>
        <w:pStyle w:val="Normal23"/>
        <w:keepNext/>
        <w:widowControl w:val="0"/>
        <w:spacing w:before="240" w:line="340" w:lineRule="atLeast"/>
      </w:pPr>
      <w:bookmarkStart w:id="4170" w:name="Opinion_22"/>
      <w:bookmarkEnd w:id="4170"/>
      <w:r>
        <w:rPr>
          <w:rFonts w:ascii="Arial" w:eastAsia="Arial" w:hAnsi="Arial" w:cs="Arial"/>
          <w:b/>
          <w:color w:val="000000"/>
          <w:sz w:val="28"/>
        </w:rPr>
        <w:t>Opinion</w:t>
      </w:r>
    </w:p>
    <w:p w:rsidR="00022B47" w:rsidRDefault="0025213E">
      <w:pPr>
        <w:pStyle w:val="Normal23"/>
        <w:spacing w:line="60" w:lineRule="exact"/>
      </w:pPr>
      <w:r>
        <w:rPr>
          <w:noProof/>
        </w:rPr>
        <mc:AlternateContent>
          <mc:Choice Requires="wps">
            <w:drawing>
              <wp:anchor distT="0" distB="0" distL="114300" distR="114300" simplePos="0" relativeHeight="25170636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629343000"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AADCA1" id="Line 49"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23"/>
      </w:pPr>
    </w:p>
    <w:p w:rsidR="00022B47" w:rsidRDefault="00000000">
      <w:pPr>
        <w:pStyle w:val="Normal23"/>
        <w:widowControl w:val="0"/>
        <w:spacing w:before="200" w:line="260" w:lineRule="atLeast"/>
        <w:jc w:val="both"/>
      </w:pPr>
      <w:bookmarkStart w:id="4171" w:name="Bookmark_para_3_22"/>
      <w:bookmarkEnd w:id="4171"/>
      <w:r>
        <w:rPr>
          <w:rFonts w:ascii="Arial" w:eastAsia="Arial" w:hAnsi="Arial" w:cs="Arial"/>
          <w:color w:val="000000"/>
          <w:sz w:val="20"/>
        </w:rPr>
        <w:t xml:space="preserve">KAREN NELSON MOORE, Circuit Judge. Plaintiff Leon Douglas, who has been incarcerated since 1972, has had a severe deformation of his left foot for his entire life. </w:t>
      </w:r>
      <w:bookmarkStart w:id="4172" w:name="Bookmark_I663V2N12SF8440010000400"/>
      <w:bookmarkEnd w:id="4172"/>
      <w:r>
        <w:rPr>
          <w:rFonts w:ascii="Arial" w:eastAsia="Arial" w:hAnsi="Arial" w:cs="Arial"/>
          <w:color w:val="000000"/>
          <w:sz w:val="20"/>
        </w:rPr>
        <w:t xml:space="preserve">To manage his pain, he wears special orthopedic shoes, but in 2012 prison officials prohibited him from wearing the shoes when meeting with a visitor, and then confiscated them for forty-five days. Douglas sued, and the district court ultimately granted summary judgment for Defendants on his Americans with Disabilities Act ("ADA") and Rehabilitation Act claims. We </w:t>
      </w:r>
      <w:r>
        <w:rPr>
          <w:rFonts w:ascii="Arial" w:eastAsia="Arial" w:hAnsi="Arial" w:cs="Arial"/>
          <w:b/>
          <w:color w:val="000000"/>
          <w:sz w:val="20"/>
        </w:rPr>
        <w:t>REVERSE</w:t>
      </w:r>
      <w:r>
        <w:rPr>
          <w:rFonts w:ascii="Arial" w:eastAsia="Arial" w:hAnsi="Arial" w:cs="Arial"/>
          <w:color w:val="000000"/>
          <w:sz w:val="20"/>
        </w:rPr>
        <w:t xml:space="preserve"> and </w:t>
      </w:r>
      <w:r>
        <w:rPr>
          <w:rFonts w:ascii="Arial" w:eastAsia="Arial" w:hAnsi="Arial" w:cs="Arial"/>
          <w:b/>
          <w:color w:val="000000"/>
          <w:sz w:val="20"/>
        </w:rPr>
        <w:t>REMAND</w:t>
      </w:r>
      <w:r>
        <w:rPr>
          <w:rFonts w:ascii="Arial" w:eastAsia="Arial" w:hAnsi="Arial" w:cs="Arial"/>
          <w:color w:val="000000"/>
          <w:sz w:val="20"/>
        </w:rPr>
        <w:t xml:space="preserve"> for further proceedings consistent with this opinion.</w:t>
      </w:r>
    </w:p>
    <w:p w:rsidR="00022B47" w:rsidRDefault="00000000">
      <w:pPr>
        <w:pStyle w:val="Normal23"/>
        <w:widowControl w:val="0"/>
        <w:spacing w:before="240" w:line="260" w:lineRule="atLeast"/>
      </w:pPr>
      <w:r>
        <w:br/>
      </w:r>
      <w:r>
        <w:rPr>
          <w:rFonts w:ascii="Arial" w:eastAsia="Arial" w:hAnsi="Arial" w:cs="Arial"/>
          <w:b/>
          <w:color w:val="000000"/>
          <w:sz w:val="20"/>
        </w:rPr>
        <w:t>I. BACKGROUND</w:t>
      </w:r>
    </w:p>
    <w:p w:rsidR="00022B47" w:rsidRDefault="00000000">
      <w:pPr>
        <w:pStyle w:val="Normal23"/>
        <w:widowControl w:val="0"/>
        <w:spacing w:before="240" w:line="260" w:lineRule="atLeast"/>
      </w:pPr>
      <w:r>
        <w:br/>
      </w:r>
      <w:r>
        <w:rPr>
          <w:rFonts w:ascii="Arial" w:eastAsia="Arial" w:hAnsi="Arial" w:cs="Arial"/>
          <w:b/>
          <w:color w:val="000000"/>
          <w:sz w:val="20"/>
        </w:rPr>
        <w:t>A. Factual History</w:t>
      </w:r>
    </w:p>
    <w:p w:rsidR="00022B47" w:rsidRDefault="00000000">
      <w:pPr>
        <w:pStyle w:val="Normal23"/>
        <w:widowControl w:val="0"/>
        <w:spacing w:before="200" w:line="260" w:lineRule="atLeast"/>
        <w:jc w:val="both"/>
      </w:pPr>
      <w:bookmarkStart w:id="4173" w:name="Bookmark_para_4_22"/>
      <w:bookmarkEnd w:id="4173"/>
      <w:r>
        <w:rPr>
          <w:rFonts w:ascii="Arial" w:eastAsia="Arial" w:hAnsi="Arial" w:cs="Arial"/>
          <w:color w:val="000000"/>
          <w:sz w:val="20"/>
        </w:rPr>
        <w:t xml:space="preserve">Douglas, an imprisoned person, has a severe left foot [*2]  deformity. R. 85-1 (Douglas Aff. at ¶ 3) (Page ID #502). While incarcerated, he has repeatedly received permission from the Michigan Department of Corrections ("MDOC") to wear medically necessary orthopedic shoes. R. 85-5 (1991 Medical Detail) (Page ID #518); R. 1 (Attach. to Compl. at 17: 1998 Special Accommodation Notice) (Page ID #17); </w:t>
      </w:r>
      <w:r>
        <w:rPr>
          <w:rFonts w:ascii="Arial" w:eastAsia="Arial" w:hAnsi="Arial" w:cs="Arial"/>
          <w:i/>
          <w:color w:val="000000"/>
          <w:sz w:val="20"/>
        </w:rPr>
        <w:t>id.</w:t>
      </w:r>
      <w:r>
        <w:rPr>
          <w:rFonts w:ascii="Arial" w:eastAsia="Arial" w:hAnsi="Arial" w:cs="Arial"/>
          <w:color w:val="000000"/>
          <w:sz w:val="20"/>
        </w:rPr>
        <w:t xml:space="preserve"> (Attach. to Compl. at 19: 2001 Special Accommodation Notice) (Page ID #19); </w:t>
      </w:r>
      <w:r>
        <w:rPr>
          <w:rFonts w:ascii="Arial" w:eastAsia="Arial" w:hAnsi="Arial" w:cs="Arial"/>
          <w:i/>
          <w:color w:val="000000"/>
          <w:sz w:val="20"/>
        </w:rPr>
        <w:t>id.</w:t>
      </w:r>
      <w:r>
        <w:rPr>
          <w:rFonts w:ascii="Arial" w:eastAsia="Arial" w:hAnsi="Arial" w:cs="Arial"/>
          <w:color w:val="000000"/>
          <w:sz w:val="20"/>
        </w:rPr>
        <w:t xml:space="preserve"> (Attach. to Compl. at 20: 2003 Special Accommodation Notice) (Page ID #20). These notices contained no expiration dates—the 2003 Special Accommodation Notice was listed as "perm[,]" meaning "permanent." R. 1 (Attach. to Compl. at 20: 2003 Special Accommodation Notice) (Page ID #20). As late as 2010, MDOC records listed Douglas as having an "orthotic shoe" as an approved piece of medical equipment, and the record contained no "stop date" for the orthotic-shoe prescription. R. 1 (Attach. to Compl. at 22: 2010 Special Accommodations Orders) (Page ID #22).</w:t>
      </w:r>
    </w:p>
    <w:p w:rsidR="00022B47" w:rsidRDefault="00000000">
      <w:pPr>
        <w:pStyle w:val="Normal23"/>
        <w:widowControl w:val="0"/>
        <w:spacing w:before="200" w:line="260" w:lineRule="atLeast"/>
        <w:jc w:val="both"/>
      </w:pPr>
      <w:bookmarkStart w:id="4174" w:name="Bookmark_para_5_22"/>
      <w:bookmarkEnd w:id="4174"/>
      <w:r>
        <w:rPr>
          <w:rFonts w:ascii="Arial" w:eastAsia="Arial" w:hAnsi="Arial" w:cs="Arial"/>
          <w:color w:val="000000"/>
          <w:sz w:val="20"/>
        </w:rPr>
        <w:t xml:space="preserve">Although Douglas's accommodation was listed as permanent, he was also subject to annual health-care screenings, during which a "[r]eview of the continued need for a . . . Special Accommodation Notice [is] conducted." [*3]  R. 132-2 (MDOC Policy Directive re: Medical Details and Special Accommodations Notices at ¶ F) (Page ID #771). All accommodations, even permanent ones, may be cancelled by MDOC if a medical practitioner approves the cancellation after examining the incarcerated person. </w:t>
      </w:r>
      <w:r>
        <w:rPr>
          <w:rFonts w:ascii="Arial" w:eastAsia="Arial" w:hAnsi="Arial" w:cs="Arial"/>
          <w:i/>
          <w:color w:val="000000"/>
          <w:sz w:val="20"/>
        </w:rPr>
        <w:t>Id.</w:t>
      </w:r>
      <w:r>
        <w:rPr>
          <w:rFonts w:ascii="Arial" w:eastAsia="Arial" w:hAnsi="Arial" w:cs="Arial"/>
          <w:color w:val="000000"/>
          <w:sz w:val="20"/>
        </w:rPr>
        <w:t xml:space="preserve"> When a "Special Accommodation Notice is cancelled prior to its expiration date, health care staff shall distribute to the appropriate prisoner and staff written notification of the cancellation." </w:t>
      </w:r>
      <w:r>
        <w:rPr>
          <w:rFonts w:ascii="Arial" w:eastAsia="Arial" w:hAnsi="Arial" w:cs="Arial"/>
          <w:i/>
          <w:color w:val="000000"/>
          <w:sz w:val="20"/>
        </w:rPr>
        <w:t>Id.</w:t>
      </w:r>
      <w:r>
        <w:rPr>
          <w:rFonts w:ascii="Arial" w:eastAsia="Arial" w:hAnsi="Arial" w:cs="Arial"/>
          <w:color w:val="000000"/>
          <w:sz w:val="20"/>
        </w:rPr>
        <w:t xml:space="preserve"> at ¶ K (Page ID #771).</w:t>
      </w:r>
    </w:p>
    <w:p w:rsidR="00022B47" w:rsidRDefault="00000000">
      <w:pPr>
        <w:pStyle w:val="Normal23"/>
        <w:widowControl w:val="0"/>
        <w:spacing w:before="200" w:line="260" w:lineRule="atLeast"/>
        <w:jc w:val="both"/>
      </w:pPr>
      <w:bookmarkStart w:id="4175" w:name="Bookmark_para_6_22"/>
      <w:bookmarkEnd w:id="4175"/>
      <w:r>
        <w:rPr>
          <w:rFonts w:ascii="Arial" w:eastAsia="Arial" w:hAnsi="Arial" w:cs="Arial"/>
          <w:color w:val="000000"/>
          <w:sz w:val="20"/>
        </w:rPr>
        <w:t>Douglas's September 19, 2012 treatment notes show an accommodation for "Prescription shoe, athletic shoes 10.5 4E[,]" but do not specify "orthotic" shoes. R. 132-4 (Douglas's 2012 Special Accommodations Orders at 4) (Page ID #790). Douglas, however, never received notification of any cancellation of his Special Accommodation Notice for orthopedic shoes, despite MDOC policy suggesting that he should have because the 2003 Special Accommodation Notice was permanent. R. 132-2 (MDOC Policy Directive re: Medical Details and Special Accommodations Notices at ¶ K) (Page ID #771).</w:t>
      </w:r>
    </w:p>
    <w:p w:rsidR="00022B47" w:rsidRDefault="00000000">
      <w:pPr>
        <w:pStyle w:val="Normal23"/>
        <w:widowControl w:val="0"/>
        <w:spacing w:before="200" w:line="260" w:lineRule="atLeast"/>
        <w:jc w:val="both"/>
      </w:pPr>
      <w:bookmarkStart w:id="4176" w:name="Bookmark_para_7_22"/>
      <w:bookmarkEnd w:id="4176"/>
      <w:r>
        <w:rPr>
          <w:rFonts w:ascii="Arial" w:eastAsia="Arial" w:hAnsi="Arial" w:cs="Arial"/>
          <w:color w:val="000000"/>
          <w:sz w:val="20"/>
        </w:rPr>
        <w:t xml:space="preserve">These special accommodations matter because MDOC policy prohibits personal footwear in a variety of situations, including during [*4]  personal visits. R. 146-2 (App. B to 07/07/20 R. &amp; R. at 19-20) (Page ID #946-47). Specifically, Douglas could therefore wear his orthopedic shoes to visits only if he had a valid accommodation: a memo from a prison official shows that MDOC allows imprisoned persons with medically necessary shoes to wear them "while visiting." R. 74-2 (MDOC Step III Grievance Report at 11) (Page ID #378). And so he did. For almost a decade, Douglas wore his orthopedic shoes while receiving visitors without incident, retaining a copy of his 2003 Special Accommodation Notice, presenting it to MDOC staff before visits, and receiving permission to wear his orthopedic shoes during each visit. </w:t>
      </w:r>
      <w:r>
        <w:rPr>
          <w:rFonts w:ascii="Arial" w:eastAsia="Arial" w:hAnsi="Arial" w:cs="Arial"/>
          <w:i/>
          <w:color w:val="000000"/>
          <w:sz w:val="20"/>
        </w:rPr>
        <w:t>See</w:t>
      </w:r>
      <w:r>
        <w:rPr>
          <w:rFonts w:ascii="Arial" w:eastAsia="Arial" w:hAnsi="Arial" w:cs="Arial"/>
          <w:color w:val="000000"/>
          <w:sz w:val="20"/>
        </w:rPr>
        <w:t xml:space="preserve"> R. 85-1 (Douglas Aff. at ¶ 12) (Page ID #504).</w:t>
      </w:r>
    </w:p>
    <w:p w:rsidR="00022B47" w:rsidRDefault="00000000">
      <w:pPr>
        <w:pStyle w:val="Normal23"/>
        <w:widowControl w:val="0"/>
        <w:spacing w:before="200" w:line="260" w:lineRule="atLeast"/>
        <w:jc w:val="both"/>
      </w:pPr>
      <w:bookmarkStart w:id="4177" w:name="Bookmark_para_8_21"/>
      <w:bookmarkEnd w:id="4177"/>
      <w:r>
        <w:rPr>
          <w:rFonts w:ascii="Arial" w:eastAsia="Arial" w:hAnsi="Arial" w:cs="Arial"/>
          <w:color w:val="000000"/>
          <w:sz w:val="20"/>
        </w:rPr>
        <w:t xml:space="preserve">This all changed on September 23, 2012. Douglas had a visitor that day. R. 1 (Compl. at ¶ 1) (Page ID #6). When Douglas approached the visitation area wearing his orthopedic shoes, Lieutenant Keara Muzzin, an MDOC employee, informed him that he could not enter the visiting room because his footwear was not approved for visits. </w:t>
      </w:r>
      <w:r>
        <w:rPr>
          <w:rFonts w:ascii="Arial" w:eastAsia="Arial" w:hAnsi="Arial" w:cs="Arial"/>
          <w:i/>
          <w:color w:val="000000"/>
          <w:sz w:val="20"/>
        </w:rPr>
        <w:t>Id.</w:t>
      </w:r>
      <w:r>
        <w:rPr>
          <w:rFonts w:ascii="Arial" w:eastAsia="Arial" w:hAnsi="Arial" w:cs="Arial"/>
          <w:color w:val="000000"/>
          <w:sz w:val="20"/>
        </w:rPr>
        <w:t xml:space="preserve"> at ¶ 2 (Page ID #6). As he had done before with other guards, Douglas showed Muzzin his 2003 Special Accommodation Notice. R. 85-1 (Douglas [*5]  Aff. at ¶ 12) (Page ID #504). Muzzin still refused to allow Douglas to enter the visitation room while he was wearing his orthopedic shoes. R. 1 (Compl. at ¶ 5) (Page ID #6). Instead, Douglas "was forced to go on his visit wearing the[] used state shoes [] Muzzin had located." </w:t>
      </w:r>
      <w:r>
        <w:rPr>
          <w:rFonts w:ascii="Arial" w:eastAsia="Arial" w:hAnsi="Arial" w:cs="Arial"/>
          <w:i/>
          <w:color w:val="000000"/>
          <w:sz w:val="20"/>
        </w:rPr>
        <w:t>Id.</w:t>
      </w:r>
      <w:r>
        <w:rPr>
          <w:rFonts w:ascii="Arial" w:eastAsia="Arial" w:hAnsi="Arial" w:cs="Arial"/>
          <w:color w:val="000000"/>
          <w:sz w:val="20"/>
        </w:rPr>
        <w:t xml:space="preserve"> at ¶ 8 (Page ID #6). They caused him such severe pain that he terminated the visit early. R. 85-1 (Douglas Aff. at ¶ 14) (Page ID #504-05).</w:t>
      </w:r>
    </w:p>
    <w:p w:rsidR="00022B47" w:rsidRDefault="00000000">
      <w:pPr>
        <w:pStyle w:val="Normal23"/>
        <w:widowControl w:val="0"/>
        <w:spacing w:before="200" w:line="260" w:lineRule="atLeast"/>
        <w:jc w:val="both"/>
      </w:pPr>
      <w:bookmarkStart w:id="4178" w:name="Bookmark_para_9_21"/>
      <w:bookmarkEnd w:id="4178"/>
      <w:r>
        <w:rPr>
          <w:rFonts w:ascii="Arial" w:eastAsia="Arial" w:hAnsi="Arial" w:cs="Arial"/>
          <w:color w:val="000000"/>
          <w:sz w:val="20"/>
        </w:rPr>
        <w:t xml:space="preserve">Things went from bad to worse for Douglas after this. When Douglas returned from his visit, Defendant Lieutenant Rodger Martin confiscated his medically prescribed shoes as contraband. R. 85-1 (Douglas Aff. at ¶ 15) (Page ID #505). Martin ordered Douglas to return to his cell barefoot. </w:t>
      </w:r>
      <w:r>
        <w:rPr>
          <w:rFonts w:ascii="Arial" w:eastAsia="Arial" w:hAnsi="Arial" w:cs="Arial"/>
          <w:i/>
          <w:color w:val="000000"/>
          <w:sz w:val="20"/>
        </w:rPr>
        <w:t>Id.</w:t>
      </w:r>
      <w:r>
        <w:rPr>
          <w:rFonts w:ascii="Arial" w:eastAsia="Arial" w:hAnsi="Arial" w:cs="Arial"/>
          <w:color w:val="000000"/>
          <w:sz w:val="20"/>
        </w:rPr>
        <w:t xml:space="preserve"> Martin filed no affidavit or declaration disputing Douglas's depiction of events. R. 89 (01/31/19 R. &amp; R. at 11 n.3) (Page ID #541).</w:t>
      </w:r>
    </w:p>
    <w:p w:rsidR="00022B47" w:rsidRDefault="00000000">
      <w:pPr>
        <w:pStyle w:val="Normal23"/>
        <w:widowControl w:val="0"/>
        <w:spacing w:before="200" w:line="260" w:lineRule="atLeast"/>
        <w:jc w:val="both"/>
      </w:pPr>
      <w:bookmarkStart w:id="4179" w:name="Bookmark_para_10_21"/>
      <w:bookmarkEnd w:id="4179"/>
      <w:r>
        <w:rPr>
          <w:rFonts w:ascii="Arial" w:eastAsia="Arial" w:hAnsi="Arial" w:cs="Arial"/>
          <w:color w:val="000000"/>
          <w:sz w:val="20"/>
        </w:rPr>
        <w:t xml:space="preserve">Douglas filed a grievance shortly thereafter. R. 1 (Compl. at ¶ 16) (Page ID #7). The prison did not properly process this grievance. The warden confirmed that "A Notice of Intent was not prepared, nor was an Administrative Hearing held regarding the Contraband Removal slip that was written on 9/23/12, therefore prisoner's due process was violated." R. 1 [*6]  (Attach. to Compl. at 31: Step II Grievance Appeal Resp.) (Page ID #31). Douglas places the blame for this with Defendant Resident Unit Manager Kerry Gobert, who reviewed Douglas's initial grievance and, according to Douglas, improperly processed his grievance and failed to return his orthopedic shoes. R. 1 (Compl. at ¶¶ 20-21) (Page ID #7-8); (Attach. to Compl. at 31) (Page ID #31). Douglas repeatedly asked Gobert to hold a hearing on his confiscated shoes, but Gobert never scheduled one. </w:t>
      </w:r>
      <w:r>
        <w:rPr>
          <w:rFonts w:ascii="Arial" w:eastAsia="Arial" w:hAnsi="Arial" w:cs="Arial"/>
          <w:i/>
          <w:color w:val="000000"/>
          <w:sz w:val="20"/>
        </w:rPr>
        <w:t>Id.</w:t>
      </w:r>
      <w:r>
        <w:rPr>
          <w:rFonts w:ascii="Arial" w:eastAsia="Arial" w:hAnsi="Arial" w:cs="Arial"/>
          <w:color w:val="000000"/>
          <w:sz w:val="20"/>
        </w:rPr>
        <w:t xml:space="preserve"> at ¶¶ 20-21 (Page ID #7-8).</w:t>
      </w:r>
    </w:p>
    <w:p w:rsidR="00022B47" w:rsidRDefault="00000000">
      <w:pPr>
        <w:pStyle w:val="Normal23"/>
        <w:widowControl w:val="0"/>
        <w:spacing w:before="200" w:line="260" w:lineRule="atLeast"/>
        <w:jc w:val="both"/>
      </w:pPr>
      <w:bookmarkStart w:id="4180" w:name="Bookmark_para_11_21"/>
      <w:bookmarkEnd w:id="4180"/>
      <w:r>
        <w:rPr>
          <w:rFonts w:ascii="Arial" w:eastAsia="Arial" w:hAnsi="Arial" w:cs="Arial"/>
          <w:color w:val="000000"/>
          <w:sz w:val="20"/>
        </w:rPr>
        <w:t xml:space="preserve">Douglas received his special orthopedic shoes back forty-five days after Martin had confiscated them. R. 85-1 (Douglas Aff. at ¶ 16) (Page ID #505). For those forty-five days, Douglas alleges that he could not participate in prison activities, including dining in the prison chow hall. Appellant Br. at 14-15; R. 142-4 (Pl's Disc. Resps. at 3) (Page ID #895); </w:t>
      </w:r>
      <w:r>
        <w:rPr>
          <w:rFonts w:ascii="Arial" w:eastAsia="Arial" w:hAnsi="Arial" w:cs="Arial"/>
          <w:i/>
          <w:color w:val="000000"/>
          <w:sz w:val="20"/>
        </w:rPr>
        <w:t>see also</w:t>
      </w:r>
      <w:r>
        <w:rPr>
          <w:rFonts w:ascii="Arial" w:eastAsia="Arial" w:hAnsi="Arial" w:cs="Arial"/>
          <w:color w:val="000000"/>
          <w:sz w:val="20"/>
        </w:rPr>
        <w:t xml:space="preserve"> R. 132-6 (Douglas's Call-Out Sheet at 3-9) (Page ID #804-10) (showing that during this forty-five-day period Douglas attended only medical appointments and activities with the National Lifers of America). Douglas's subsequent treatment notes reintroduced the term "orthotic" shoes.</w:t>
      </w:r>
      <w:r>
        <w:rPr>
          <w:rFonts w:ascii="Arial" w:eastAsia="Arial" w:hAnsi="Arial" w:cs="Arial"/>
          <w:vertAlign w:val="superscript"/>
        </w:rPr>
        <w:footnoteReference w:customMarkFollows="1" w:id="92"/>
        <w:t>1</w:t>
      </w:r>
    </w:p>
    <w:p w:rsidR="00022B47" w:rsidRDefault="00000000">
      <w:pPr>
        <w:pStyle w:val="Normal23"/>
        <w:widowControl w:val="0"/>
        <w:spacing w:before="240" w:line="260" w:lineRule="atLeast"/>
      </w:pPr>
      <w:r>
        <w:br/>
      </w:r>
      <w:r>
        <w:rPr>
          <w:rFonts w:ascii="Arial" w:eastAsia="Arial" w:hAnsi="Arial" w:cs="Arial"/>
          <w:b/>
          <w:color w:val="000000"/>
          <w:sz w:val="20"/>
        </w:rPr>
        <w:t>B. Procedural History</w:t>
      </w:r>
    </w:p>
    <w:p w:rsidR="00022B47" w:rsidRDefault="00000000">
      <w:pPr>
        <w:pStyle w:val="Normal23"/>
        <w:widowControl w:val="0"/>
        <w:spacing w:before="200" w:line="260" w:lineRule="atLeast"/>
        <w:jc w:val="both"/>
      </w:pPr>
      <w:bookmarkStart w:id="4182" w:name="Bookmark_para_12_21"/>
      <w:bookmarkEnd w:id="4182"/>
      <w:r>
        <w:rPr>
          <w:rFonts w:ascii="Arial" w:eastAsia="Arial" w:hAnsi="Arial" w:cs="Arial"/>
          <w:color w:val="000000"/>
          <w:sz w:val="20"/>
        </w:rPr>
        <w:t>From [*7]  here, the background becomes complex. Douglas sued the three Defendants in this case—Lieutenant Keara Muzzin, Lieutenant Rodger Martin, and Resident Unit Manager Kerry Gobert—along with the prison's warden, Carmen Palmer,</w:t>
      </w:r>
      <w:r>
        <w:rPr>
          <w:rFonts w:ascii="Arial" w:eastAsia="Arial" w:hAnsi="Arial" w:cs="Arial"/>
          <w:vertAlign w:val="superscript"/>
        </w:rPr>
        <w:footnoteReference w:customMarkFollows="1" w:id="93"/>
        <w:t>2</w:t>
      </w:r>
      <w:r>
        <w:rPr>
          <w:rFonts w:ascii="Arial" w:eastAsia="Arial" w:hAnsi="Arial" w:cs="Arial"/>
          <w:color w:val="000000"/>
          <w:sz w:val="20"/>
        </w:rPr>
        <w:t xml:space="preserve"> on December 24, 2014. Douglas asserted the following claims:</w:t>
      </w:r>
    </w:p>
    <w:p w:rsidR="00022B47" w:rsidRDefault="00000000">
      <w:pPr>
        <w:pStyle w:val="Normal23"/>
        <w:widowControl w:val="0"/>
        <w:spacing w:line="260" w:lineRule="atLeast"/>
        <w:ind w:left="400"/>
        <w:jc w:val="both"/>
      </w:pPr>
      <w:bookmarkStart w:id="4184" w:name="Bookmark_para_13_21"/>
      <w:bookmarkEnd w:id="4184"/>
      <w:r>
        <w:rPr>
          <w:rFonts w:ascii="Arial" w:eastAsia="Arial" w:hAnsi="Arial" w:cs="Arial"/>
          <w:color w:val="000000"/>
          <w:sz w:val="20"/>
        </w:rPr>
        <w:t>(1) that Muzzin and Martin violated his rights under the Eighth Amendment's Cruel and Unusual Punishments Clause by temporarily depriving him of the shoes; (2) that all defendants violated his rights under the Fourteenth Amendment's Due Process Clause because he did not receive a hearing on the removal of the shoes as contraband within the time limits specified by a Michigan Department of Corrections policy directive; (3) that defendant Martin violated his First Amendment rights by directing a corrections officer to issue a Class III misconduct charge against plaintiff for possession of contraband; and (4) that all defendants violated his rights under the Americans with Disabilities Act (ADA) and the Rehabilitation Act (RA).</w:t>
      </w:r>
    </w:p>
    <w:p w:rsidR="00022B47" w:rsidRDefault="00000000">
      <w:pPr>
        <w:pStyle w:val="Normal23"/>
        <w:widowControl w:val="0"/>
        <w:spacing w:line="260" w:lineRule="atLeast"/>
        <w:jc w:val="both"/>
      </w:pPr>
      <w:r>
        <w:rPr>
          <w:rFonts w:ascii="Arial" w:eastAsia="Arial" w:hAnsi="Arial" w:cs="Arial"/>
          <w:color w:val="000000"/>
          <w:sz w:val="20"/>
        </w:rPr>
        <w:t>R. 48 (Mot. to Dismiss Order at 1-2) (Page ID #233-34). Douglas sought declaratory and injunctive relief, compensatory damages, and punitive damages. R. 1 (Compl. at 10) (Page ID #10).</w:t>
      </w:r>
    </w:p>
    <w:p w:rsidR="00022B47" w:rsidRDefault="00000000">
      <w:pPr>
        <w:pStyle w:val="Normal23"/>
        <w:widowControl w:val="0"/>
        <w:spacing w:before="200" w:line="260" w:lineRule="atLeast"/>
        <w:jc w:val="both"/>
      </w:pPr>
      <w:bookmarkStart w:id="4185" w:name="Bookmark_para_14_21"/>
      <w:bookmarkEnd w:id="4185"/>
      <w:r>
        <w:rPr>
          <w:rFonts w:ascii="Arial" w:eastAsia="Arial" w:hAnsi="Arial" w:cs="Arial"/>
          <w:color w:val="000000"/>
          <w:sz w:val="20"/>
        </w:rPr>
        <w:t>In 2015, Defendants Muzzin, Martin, and Gobert moved to dismiss based on qualified immunity. R. 24 (Br. in Supp. of Mot. to Dismiss) (Page ID #97-98). The district court first [*8]  addressed the ADA and Rehabilitation Act claims. Douglas had sued Defendants under the ADA and Rehabilitation Act in both their individual capacities and their official capacities. R. 89 (10/31/2019 R. &amp; R. at 1) (Page ID #531). This led to a few complications.</w:t>
      </w:r>
    </w:p>
    <w:p w:rsidR="00022B47" w:rsidRDefault="00000000">
      <w:pPr>
        <w:pStyle w:val="Normal23"/>
        <w:widowControl w:val="0"/>
        <w:spacing w:before="200" w:line="260" w:lineRule="atLeast"/>
        <w:jc w:val="both"/>
      </w:pPr>
      <w:bookmarkStart w:id="4186" w:name="Bookmark_para_15_21"/>
      <w:bookmarkEnd w:id="4186"/>
      <w:r>
        <w:rPr>
          <w:rFonts w:ascii="Arial" w:eastAsia="Arial" w:hAnsi="Arial" w:cs="Arial"/>
          <w:color w:val="000000"/>
          <w:sz w:val="20"/>
        </w:rPr>
        <w:t xml:space="preserve">First, Defendants had moved for qualified immunity on the official-capacity claims, but as the district court recognized in denying that motion, qualified immunity is available only to government officials in their individual capacities. R. 48 (Mot. to Dismiss Order at 8) (Page ID #240). </w:t>
      </w:r>
      <w:bookmarkStart w:id="4187" w:name="Bookmark_I66426D32N1RFW0020000400"/>
      <w:bookmarkEnd w:id="4187"/>
      <w:r>
        <w:rPr>
          <w:rFonts w:ascii="Arial" w:eastAsia="Arial" w:hAnsi="Arial" w:cs="Arial"/>
          <w:color w:val="000000"/>
          <w:sz w:val="20"/>
        </w:rPr>
        <w:t xml:space="preserve">Second, Douglas had sued Defendants in their individual capacities and sought to collect punitive damages, both of which the ADA and Rehabilitation Act do not authorize. </w:t>
      </w:r>
      <w:r>
        <w:rPr>
          <w:rFonts w:ascii="Arial" w:eastAsia="Arial" w:hAnsi="Arial" w:cs="Arial"/>
          <w:i/>
          <w:color w:val="000000"/>
          <w:sz w:val="20"/>
        </w:rPr>
        <w:t>Id.</w:t>
      </w:r>
      <w:r>
        <w:rPr>
          <w:rFonts w:ascii="Arial" w:eastAsia="Arial" w:hAnsi="Arial" w:cs="Arial"/>
          <w:color w:val="000000"/>
          <w:sz w:val="20"/>
        </w:rPr>
        <w:t xml:space="preserve"> at 10 (Page ID #242). As a result, Douglas's ADA and Rehabilitation Act claims survived the motion to dismiss only as an action seeking compensatory damages from the Defendants in their official capacities.</w:t>
      </w:r>
      <w:r>
        <w:rPr>
          <w:rFonts w:ascii="Arial" w:eastAsia="Arial" w:hAnsi="Arial" w:cs="Arial"/>
          <w:vertAlign w:val="superscript"/>
        </w:rPr>
        <w:footnoteReference w:customMarkFollows="1" w:id="94"/>
        <w:t>3</w:t>
      </w:r>
      <w:r>
        <w:rPr>
          <w:rFonts w:ascii="Arial" w:eastAsia="Arial" w:hAnsi="Arial" w:cs="Arial"/>
          <w:color w:val="000000"/>
          <w:sz w:val="20"/>
        </w:rPr>
        <w:t xml:space="preserve"> </w:t>
      </w:r>
      <w:r>
        <w:rPr>
          <w:rFonts w:ascii="Arial" w:eastAsia="Arial" w:hAnsi="Arial" w:cs="Arial"/>
          <w:i/>
          <w:color w:val="000000"/>
          <w:sz w:val="20"/>
        </w:rPr>
        <w:t>Id.</w:t>
      </w:r>
    </w:p>
    <w:p w:rsidR="00022B47" w:rsidRDefault="00000000">
      <w:pPr>
        <w:pStyle w:val="Normal23"/>
        <w:widowControl w:val="0"/>
        <w:spacing w:before="200" w:line="260" w:lineRule="atLeast"/>
        <w:jc w:val="both"/>
      </w:pPr>
      <w:bookmarkStart w:id="4190" w:name="Bookmark_para_16_21"/>
      <w:bookmarkStart w:id="4191" w:name="Bookmark_I66426D32N1RFW0040000400"/>
      <w:bookmarkEnd w:id="4190"/>
      <w:bookmarkEnd w:id="4191"/>
      <w:r>
        <w:rPr>
          <w:rFonts w:ascii="Arial" w:eastAsia="Arial" w:hAnsi="Arial" w:cs="Arial"/>
          <w:color w:val="000000"/>
          <w:sz w:val="20"/>
        </w:rPr>
        <w:t xml:space="preserve">The district court also denied qualified immunity on Douglas's Eighth Amendment claim for the deprivation of his shoes, because "'intentionally denying or delaying access to medical care or intentionally interfering with the treatment once prescribed' can establish a constitutional [*9]  violation." </w:t>
      </w:r>
      <w:r>
        <w:rPr>
          <w:rFonts w:ascii="Arial" w:eastAsia="Arial" w:hAnsi="Arial" w:cs="Arial"/>
          <w:i/>
          <w:color w:val="000000"/>
          <w:sz w:val="20"/>
        </w:rPr>
        <w:t>Id.</w:t>
      </w:r>
      <w:r>
        <w:rPr>
          <w:rFonts w:ascii="Arial" w:eastAsia="Arial" w:hAnsi="Arial" w:cs="Arial"/>
          <w:color w:val="000000"/>
          <w:sz w:val="20"/>
        </w:rPr>
        <w:t xml:space="preserve"> at 11 (Page ID #243) (quoting </w:t>
      </w:r>
      <w:bookmarkStart w:id="4192" w:name="Bookmark_I66426D32N1RFW0030000400"/>
      <w:bookmarkEnd w:id="4192"/>
      <w:r>
        <w:rPr>
          <w:rFonts w:ascii="Arial" w:eastAsia="Arial" w:hAnsi="Arial" w:cs="Arial"/>
          <w:i/>
          <w:color w:val="000000"/>
          <w:sz w:val="20"/>
        </w:rPr>
        <w:t>Estelle v. Gamble</w:t>
      </w:r>
      <w:r>
        <w:rPr>
          <w:rFonts w:ascii="Arial" w:eastAsia="Arial" w:hAnsi="Arial" w:cs="Arial"/>
          <w:color w:val="000000"/>
          <w:sz w:val="20"/>
        </w:rPr>
        <w:t xml:space="preserve">, 429 U.S. 97, 105, 97 S. Ct. 285, 50 L. Ed. 2d 251 (1976)). The district court granted qualified immunity on Douglas's First and Fourteenth Amendment claims. </w:t>
      </w:r>
      <w:r>
        <w:rPr>
          <w:rFonts w:ascii="Arial" w:eastAsia="Arial" w:hAnsi="Arial" w:cs="Arial"/>
          <w:i/>
          <w:color w:val="000000"/>
          <w:sz w:val="20"/>
        </w:rPr>
        <w:t>Id.</w:t>
      </w:r>
      <w:r>
        <w:rPr>
          <w:rFonts w:ascii="Arial" w:eastAsia="Arial" w:hAnsi="Arial" w:cs="Arial"/>
          <w:color w:val="000000"/>
          <w:sz w:val="20"/>
        </w:rPr>
        <w:t xml:space="preserve"> at 13 (Page ID #245). Additionally, the district court concluded that Douglas's requests for declaratory and injunctive relief had been mooted by Douglas's transfer from the prison at which Defendants worked to a separate prison. R. 48 (Mot. to Dismiss Order at 7-8) (Page ID #238-39).</w:t>
      </w:r>
    </w:p>
    <w:p w:rsidR="00022B47" w:rsidRDefault="00000000">
      <w:pPr>
        <w:pStyle w:val="Normal23"/>
        <w:widowControl w:val="0"/>
        <w:spacing w:before="200" w:line="260" w:lineRule="atLeast"/>
        <w:jc w:val="both"/>
      </w:pPr>
      <w:bookmarkStart w:id="4193" w:name="Bookmark_para_17_20"/>
      <w:bookmarkEnd w:id="4193"/>
      <w:r>
        <w:rPr>
          <w:rFonts w:ascii="Arial" w:eastAsia="Arial" w:hAnsi="Arial" w:cs="Arial"/>
          <w:color w:val="000000"/>
          <w:sz w:val="20"/>
        </w:rPr>
        <w:t>All told, two of Douglas's claims survived the motion-to-dismiss stage: his "official capacity claims for compensatory damages under the ADA and [Rehabilitation Act]" and his "personal capacity claim against Muzzin and Martin for deprivation of a medically prescribed pair of shoes." R. 48 (Mot. to Dismiss Order at 2) (Page ID #234).</w:t>
      </w:r>
    </w:p>
    <w:p w:rsidR="00022B47" w:rsidRDefault="00000000">
      <w:pPr>
        <w:pStyle w:val="Normal23"/>
        <w:widowControl w:val="0"/>
        <w:spacing w:before="200" w:line="260" w:lineRule="atLeast"/>
        <w:jc w:val="both"/>
      </w:pPr>
      <w:bookmarkStart w:id="4194" w:name="Bookmark_para_18_20"/>
      <w:bookmarkEnd w:id="4194"/>
      <w:r>
        <w:rPr>
          <w:rFonts w:ascii="Arial" w:eastAsia="Arial" w:hAnsi="Arial" w:cs="Arial"/>
          <w:color w:val="000000"/>
          <w:sz w:val="20"/>
        </w:rPr>
        <w:t xml:space="preserve">In 2018, the same three Defendants moved for summary judgment on the remaining claims, beginning a years-long, summary-judgment saga. R. 73 (Defs. Mot. for Summ. J. I) (Page ID #345-46). In early 2019, the magistrate judge recommended dismissing the § 1983 claims against Muzzin and Martin on the grounds that Douglas "ha[d] not presented evidence sufficient to support the subjective component of an Eighth Amendment claim for deliberate indifference to serious medical needs." R. 89 (01/31/19 [*10]  R. &amp; R. at 16) (Page ID #546). On the other hand, the magistrate judge recommended against dismissing Douglas's ADA and Rehabilitation Act claims. </w:t>
      </w:r>
      <w:r>
        <w:rPr>
          <w:rFonts w:ascii="Arial" w:eastAsia="Arial" w:hAnsi="Arial" w:cs="Arial"/>
          <w:i/>
          <w:color w:val="000000"/>
          <w:sz w:val="20"/>
        </w:rPr>
        <w:t>Id.</w:t>
      </w:r>
      <w:r>
        <w:rPr>
          <w:rFonts w:ascii="Arial" w:eastAsia="Arial" w:hAnsi="Arial" w:cs="Arial"/>
          <w:color w:val="000000"/>
          <w:sz w:val="20"/>
        </w:rPr>
        <w:t xml:space="preserve"> at 17 (Page ID #547). The district court adopted this report and recommendation in March 2019. R. 102 (Order Approving 01/31/19 R. &amp; R.) (Page ID #595). The district court held that "If Defendants believe they have a meritorious argument on the ADA and [Rehabilitation Act] claims, they may raise it at trial under Fed. R. Civ. P. 50." </w:t>
      </w:r>
      <w:r>
        <w:rPr>
          <w:rFonts w:ascii="Arial" w:eastAsia="Arial" w:hAnsi="Arial" w:cs="Arial"/>
          <w:i/>
          <w:color w:val="000000"/>
          <w:sz w:val="20"/>
        </w:rPr>
        <w:t>Id.</w:t>
      </w:r>
    </w:p>
    <w:p w:rsidR="00022B47" w:rsidRDefault="00000000">
      <w:pPr>
        <w:pStyle w:val="Normal23"/>
        <w:widowControl w:val="0"/>
        <w:spacing w:before="200" w:line="260" w:lineRule="atLeast"/>
        <w:jc w:val="both"/>
      </w:pPr>
      <w:bookmarkStart w:id="4195" w:name="Bookmark_para_19_19"/>
      <w:bookmarkEnd w:id="4195"/>
      <w:r>
        <w:rPr>
          <w:rFonts w:ascii="Arial" w:eastAsia="Arial" w:hAnsi="Arial" w:cs="Arial"/>
          <w:color w:val="000000"/>
          <w:sz w:val="20"/>
        </w:rPr>
        <w:t>Yet Defendants again moved for summary judgment one year later, requesting dismissal of Douglas's ADA and Rehabilitation Act claims. R. 131 (Defs. Mot. for Summ. J. II) (Page ID #734-35). In July 2020, the magistrate judge recommended granting summary judgment as to all three Defendants. R. 146 (07/07/20 R. &amp; R.) (Page ID #909-21). The magistrate judge relied heavily on Douglas's treatment notes, first stating that because the medical records available to Muzzin on September 23, 2012</w:t>
      </w:r>
      <w:r>
        <w:rPr>
          <w:rFonts w:ascii="Arial" w:eastAsia="Arial" w:hAnsi="Arial" w:cs="Arial"/>
          <w:vertAlign w:val="superscript"/>
        </w:rPr>
        <w:footnoteReference w:customMarkFollows="1" w:id="95"/>
        <w:t>4</w:t>
      </w:r>
      <w:r>
        <w:rPr>
          <w:rFonts w:ascii="Arial" w:eastAsia="Arial" w:hAnsi="Arial" w:cs="Arial"/>
          <w:color w:val="000000"/>
          <w:sz w:val="20"/>
        </w:rPr>
        <w:t xml:space="preserve"> did not indicate that Douglas had a medical accommodation to wear orthopedic shoes, Muzzin could not have known that Douglas was entitled to wear his orthopedic shoes even if the medical records contained some mistake. </w:t>
      </w:r>
      <w:r>
        <w:rPr>
          <w:rFonts w:ascii="Arial" w:eastAsia="Arial" w:hAnsi="Arial" w:cs="Arial"/>
          <w:i/>
          <w:color w:val="000000"/>
          <w:sz w:val="20"/>
        </w:rPr>
        <w:t>Id.</w:t>
      </w:r>
      <w:r>
        <w:rPr>
          <w:rFonts w:ascii="Arial" w:eastAsia="Arial" w:hAnsi="Arial" w:cs="Arial"/>
          <w:color w:val="000000"/>
          <w:sz w:val="20"/>
        </w:rPr>
        <w:t xml:space="preserve"> at 11 (Page ID #919). The magistrate [*11]  judge similarly cited these medical records in recommending a grant of summary judgment for Martin. </w:t>
      </w:r>
      <w:r>
        <w:rPr>
          <w:rFonts w:ascii="Arial" w:eastAsia="Arial" w:hAnsi="Arial" w:cs="Arial"/>
          <w:i/>
          <w:color w:val="000000"/>
          <w:sz w:val="20"/>
        </w:rPr>
        <w:t>Id.</w:t>
      </w:r>
      <w:r>
        <w:rPr>
          <w:rFonts w:ascii="Arial" w:eastAsia="Arial" w:hAnsi="Arial" w:cs="Arial"/>
          <w:color w:val="000000"/>
          <w:sz w:val="20"/>
        </w:rPr>
        <w:t xml:space="preserve"> at 12 (Page ID #920). And the magistrate judge recommended granting summary judgment to Gobert because Douglas presented no evidence showing that Gobert failed to follow MDOC policy "because of" Douglas's disability, as the ADA and Rehabilitation Act require. </w:t>
      </w:r>
      <w:r>
        <w:rPr>
          <w:rFonts w:ascii="Arial" w:eastAsia="Arial" w:hAnsi="Arial" w:cs="Arial"/>
          <w:i/>
          <w:color w:val="000000"/>
          <w:sz w:val="20"/>
        </w:rPr>
        <w:t>Id.</w:t>
      </w:r>
      <w:r>
        <w:rPr>
          <w:rFonts w:ascii="Arial" w:eastAsia="Arial" w:hAnsi="Arial" w:cs="Arial"/>
          <w:color w:val="000000"/>
          <w:sz w:val="20"/>
        </w:rPr>
        <w:t xml:space="preserve"> at 12-13 (emphasis omitted) (Page ID #920-21).</w:t>
      </w:r>
    </w:p>
    <w:p w:rsidR="00022B47" w:rsidRDefault="00000000">
      <w:pPr>
        <w:pStyle w:val="Normal23"/>
        <w:widowControl w:val="0"/>
        <w:spacing w:before="200" w:line="260" w:lineRule="atLeast"/>
        <w:jc w:val="both"/>
      </w:pPr>
      <w:bookmarkStart w:id="4197" w:name="Bookmark_para_20_19"/>
      <w:bookmarkEnd w:id="4197"/>
      <w:r>
        <w:rPr>
          <w:rFonts w:ascii="Arial" w:eastAsia="Arial" w:hAnsi="Arial" w:cs="Arial"/>
          <w:color w:val="000000"/>
          <w:sz w:val="20"/>
        </w:rPr>
        <w:t xml:space="preserve">The district court dismissed this report and recommendation in December 2020. R. 151 (Dismissal of 07/07/20 R. &amp; R. at 1) (Page ID #981). In doing so, the district judge wrote that "the complete summary judgment record paints a close call on judgment as a matter of law" as to Douglas's purported lack of medical authorization to wear his orthopedic shoes. </w:t>
      </w:r>
      <w:r>
        <w:rPr>
          <w:rFonts w:ascii="Arial" w:eastAsia="Arial" w:hAnsi="Arial" w:cs="Arial"/>
          <w:i/>
          <w:color w:val="000000"/>
          <w:sz w:val="20"/>
        </w:rPr>
        <w:t>Id.</w:t>
      </w:r>
      <w:r>
        <w:rPr>
          <w:rFonts w:ascii="Arial" w:eastAsia="Arial" w:hAnsi="Arial" w:cs="Arial"/>
          <w:color w:val="000000"/>
          <w:sz w:val="20"/>
        </w:rPr>
        <w:t xml:space="preserve"> at 2 (Page ID #982). The district judge acknowledged that the treatment notes issued immediately before and after the visit in question "are certainly part of the picture that supports the defense view." </w:t>
      </w:r>
      <w:r>
        <w:rPr>
          <w:rFonts w:ascii="Arial" w:eastAsia="Arial" w:hAnsi="Arial" w:cs="Arial"/>
          <w:i/>
          <w:color w:val="000000"/>
          <w:sz w:val="20"/>
        </w:rPr>
        <w:t>Id.</w:t>
      </w:r>
      <w:r>
        <w:rPr>
          <w:rFonts w:ascii="Arial" w:eastAsia="Arial" w:hAnsi="Arial" w:cs="Arial"/>
          <w:color w:val="000000"/>
          <w:sz w:val="20"/>
        </w:rPr>
        <w:t xml:space="preserve"> But, the district judge recognized, "the record also contains other evidence that, at least on first blush, might suggest a reasonable factfinder could still infer that Plaintiff actually had a special accommodation at [*12]  the time of the visit, regardless of whether particular treatment notes reflected it, and that Defendants were wrong to conclude otherwise." </w:t>
      </w:r>
      <w:r>
        <w:rPr>
          <w:rFonts w:ascii="Arial" w:eastAsia="Arial" w:hAnsi="Arial" w:cs="Arial"/>
          <w:i/>
          <w:color w:val="000000"/>
          <w:sz w:val="20"/>
        </w:rPr>
        <w:t>Id.</w:t>
      </w:r>
      <w:r>
        <w:rPr>
          <w:rFonts w:ascii="Arial" w:eastAsia="Arial" w:hAnsi="Arial" w:cs="Arial"/>
          <w:color w:val="000000"/>
          <w:sz w:val="20"/>
        </w:rPr>
        <w:t xml:space="preserve"> at 2-3 (Page ID #982-83). Citing Douglas's long history of having an "obvious and permanent foot deformity" and "wearing special shoes[,]" the district judge held that "a reasonable jury might conclude" that a correctional officer in these circumstances "would at least perform a follow up inquiry on the matter before looking at treatment notes alone." </w:t>
      </w:r>
      <w:r>
        <w:rPr>
          <w:rFonts w:ascii="Arial" w:eastAsia="Arial" w:hAnsi="Arial" w:cs="Arial"/>
          <w:i/>
          <w:color w:val="000000"/>
          <w:sz w:val="20"/>
        </w:rPr>
        <w:t>Id.</w:t>
      </w:r>
      <w:r>
        <w:rPr>
          <w:rFonts w:ascii="Arial" w:eastAsia="Arial" w:hAnsi="Arial" w:cs="Arial"/>
          <w:color w:val="000000"/>
          <w:sz w:val="20"/>
        </w:rPr>
        <w:t xml:space="preserve"> at 3 (Page ID #983).</w:t>
      </w:r>
    </w:p>
    <w:p w:rsidR="00022B47" w:rsidRDefault="00000000">
      <w:pPr>
        <w:pStyle w:val="Normal23"/>
        <w:widowControl w:val="0"/>
        <w:spacing w:before="200" w:line="260" w:lineRule="atLeast"/>
        <w:jc w:val="both"/>
      </w:pPr>
      <w:bookmarkStart w:id="4198" w:name="Bookmark_para_21_19"/>
      <w:bookmarkEnd w:id="4198"/>
      <w:r>
        <w:rPr>
          <w:rFonts w:ascii="Arial" w:eastAsia="Arial" w:hAnsi="Arial" w:cs="Arial"/>
          <w:color w:val="000000"/>
          <w:sz w:val="20"/>
        </w:rPr>
        <w:t xml:space="preserve">Nevertheless, in March 2021 the magistrate judge again recommended granting Defendants' motion for summary judgment. R. 152 (03/29/21 R. &amp; R. at 21) (Page ID #1004). The magistrate judge stated that Douglas presented no direct evidence that he had permission to wear his orthopedic shoes on the day of the visit and no indirect evidence from which a jury could infer that Defendants knew that Douglas had permission to wear his orthopedic shoes or that he had a foot deformity constituting a disability. </w:t>
      </w:r>
      <w:r>
        <w:rPr>
          <w:rFonts w:ascii="Arial" w:eastAsia="Arial" w:hAnsi="Arial" w:cs="Arial"/>
          <w:i/>
          <w:color w:val="000000"/>
          <w:sz w:val="20"/>
        </w:rPr>
        <w:t>Id.</w:t>
      </w:r>
      <w:r>
        <w:rPr>
          <w:rFonts w:ascii="Arial" w:eastAsia="Arial" w:hAnsi="Arial" w:cs="Arial"/>
          <w:color w:val="000000"/>
          <w:sz w:val="20"/>
        </w:rPr>
        <w:t xml:space="preserve"> at 13-15 (Page ID #996-98). The magistrate judge then concluded that none of the three Defendants had acted "because of" or "solely by reason of" Douglas's disability. </w:t>
      </w:r>
      <w:r>
        <w:rPr>
          <w:rFonts w:ascii="Arial" w:eastAsia="Arial" w:hAnsi="Arial" w:cs="Arial"/>
          <w:i/>
          <w:color w:val="000000"/>
          <w:sz w:val="20"/>
        </w:rPr>
        <w:t> [*13] Id.</w:t>
      </w:r>
      <w:r>
        <w:rPr>
          <w:rFonts w:ascii="Arial" w:eastAsia="Arial" w:hAnsi="Arial" w:cs="Arial"/>
          <w:color w:val="000000"/>
          <w:sz w:val="20"/>
        </w:rPr>
        <w:t xml:space="preserve"> at 17-19 (Page ID #1000-02). The magistrate judge added that Douglas had not shown that any of Defendants acted with deliberate indifference towards him as relates to his disability and his need for an accommodation. </w:t>
      </w:r>
      <w:r>
        <w:rPr>
          <w:rFonts w:ascii="Arial" w:eastAsia="Arial" w:hAnsi="Arial" w:cs="Arial"/>
          <w:i/>
          <w:color w:val="000000"/>
          <w:sz w:val="20"/>
        </w:rPr>
        <w:t>Id.</w:t>
      </w:r>
      <w:r>
        <w:rPr>
          <w:rFonts w:ascii="Arial" w:eastAsia="Arial" w:hAnsi="Arial" w:cs="Arial"/>
          <w:color w:val="000000"/>
          <w:sz w:val="20"/>
        </w:rPr>
        <w:t xml:space="preserve"> at 20-21 (Page ID #1003-04).</w:t>
      </w:r>
    </w:p>
    <w:p w:rsidR="00022B47" w:rsidRDefault="00000000">
      <w:pPr>
        <w:pStyle w:val="Normal23"/>
        <w:widowControl w:val="0"/>
        <w:spacing w:before="200" w:line="260" w:lineRule="atLeast"/>
        <w:jc w:val="both"/>
      </w:pPr>
      <w:bookmarkStart w:id="4199" w:name="Bookmark_para_22_18"/>
      <w:bookmarkEnd w:id="4199"/>
      <w:r>
        <w:rPr>
          <w:rFonts w:ascii="Arial" w:eastAsia="Arial" w:hAnsi="Arial" w:cs="Arial"/>
          <w:color w:val="000000"/>
          <w:sz w:val="20"/>
        </w:rPr>
        <w:t>This time, the magistrate judge's view won out. The district judge approved and adopted this recommendation, despite its striking similarities to the report that the district judge had dismissed only months earlier. The district court granted summary judgment and dismissed the case. R. 156 (07/08/2021 Order Adopting 03/29/21 R. &amp; R. at 5) (Page ID #1038). Douglas timely appealed. R. 158 (Notice of Appeal) (Page ID #1040).</w:t>
      </w:r>
    </w:p>
    <w:p w:rsidR="00022B47" w:rsidRDefault="00000000">
      <w:pPr>
        <w:pStyle w:val="Normal23"/>
        <w:widowControl w:val="0"/>
        <w:spacing w:before="200" w:line="260" w:lineRule="atLeast"/>
        <w:jc w:val="both"/>
      </w:pPr>
      <w:bookmarkStart w:id="4200" w:name="Bookmark_para_23_17"/>
      <w:bookmarkEnd w:id="4200"/>
      <w:r>
        <w:rPr>
          <w:rFonts w:ascii="Arial" w:eastAsia="Arial" w:hAnsi="Arial" w:cs="Arial"/>
          <w:color w:val="000000"/>
          <w:sz w:val="20"/>
        </w:rPr>
        <w:t>Because Douglas raises an official-capacity claim under the ADA and the Rehabilitation Act, both federal statutes, the district court properly assumed jurisdiction under 28 U.S.C. § 1331. We have jurisdiction pursuant to 28 U.S.C. § 1291 over Douglas's appeal of the final judgment dismissing his case. Douglas appeals only his official-capacity ADA and Rehabilitation Act claims against Defendants Muzzin, Martin, and Gobert.</w:t>
      </w:r>
    </w:p>
    <w:p w:rsidR="00022B47" w:rsidRDefault="00000000">
      <w:pPr>
        <w:pStyle w:val="Normal23"/>
        <w:widowControl w:val="0"/>
        <w:spacing w:before="240" w:line="260" w:lineRule="atLeast"/>
      </w:pPr>
      <w:r>
        <w:br/>
      </w:r>
      <w:r>
        <w:rPr>
          <w:rFonts w:ascii="Arial" w:eastAsia="Arial" w:hAnsi="Arial" w:cs="Arial"/>
          <w:b/>
          <w:color w:val="000000"/>
          <w:sz w:val="20"/>
        </w:rPr>
        <w:t>II. DISCUSSION</w:t>
      </w:r>
    </w:p>
    <w:p w:rsidR="00022B47" w:rsidRDefault="00000000">
      <w:pPr>
        <w:pStyle w:val="Normal23"/>
        <w:widowControl w:val="0"/>
        <w:spacing w:before="240" w:line="260" w:lineRule="atLeast"/>
      </w:pPr>
      <w:r>
        <w:br/>
      </w:r>
      <w:r>
        <w:rPr>
          <w:rFonts w:ascii="Arial" w:eastAsia="Arial" w:hAnsi="Arial" w:cs="Arial"/>
          <w:b/>
          <w:color w:val="000000"/>
          <w:sz w:val="20"/>
        </w:rPr>
        <w:t>A. Standard of Review</w:t>
      </w:r>
    </w:p>
    <w:p w:rsidR="00022B47" w:rsidRDefault="00000000">
      <w:pPr>
        <w:pStyle w:val="Normal23"/>
        <w:widowControl w:val="0"/>
        <w:spacing w:before="200" w:line="260" w:lineRule="atLeast"/>
        <w:jc w:val="both"/>
      </w:pPr>
      <w:bookmarkStart w:id="4201" w:name="Bookmark_para_24_17"/>
      <w:bookmarkStart w:id="4202" w:name="Bookmark_I66426D32HM5XJ0010000400"/>
      <w:bookmarkStart w:id="4203" w:name="Bookmark_I66426D32HM5XJ0030000400"/>
      <w:bookmarkStart w:id="4204" w:name="Bookmark_LNHNREFclscc1_20"/>
      <w:bookmarkEnd w:id="4201"/>
      <w:bookmarkEnd w:id="4202"/>
      <w:bookmarkEnd w:id="4203"/>
      <w:bookmarkEnd w:id="4204"/>
      <w:r>
        <w:rPr>
          <w:rFonts w:ascii="Arial" w:eastAsia="Arial" w:hAnsi="Arial" w:cs="Arial"/>
          <w:color w:val="000000"/>
          <w:sz w:val="20"/>
        </w:rPr>
        <w:t xml:space="preserve">We review de novo a district court's grant of summary judgment. </w:t>
      </w:r>
      <w:bookmarkStart w:id="4205" w:name="Bookmark_I66426D32N1RFW0050000400"/>
      <w:bookmarkEnd w:id="4205"/>
      <w:r>
        <w:rPr>
          <w:rFonts w:ascii="Arial" w:eastAsia="Arial" w:hAnsi="Arial" w:cs="Arial"/>
          <w:i/>
          <w:color w:val="000000"/>
          <w:sz w:val="20"/>
        </w:rPr>
        <w:t>Schreiber v. Moe</w:t>
      </w:r>
      <w:r>
        <w:rPr>
          <w:rFonts w:ascii="Arial" w:eastAsia="Arial" w:hAnsi="Arial" w:cs="Arial"/>
          <w:color w:val="000000"/>
          <w:sz w:val="20"/>
        </w:rPr>
        <w:t xml:space="preserve">, 596 F.3d 323, 329 (6th Cir. 2010). "Summary judgment is proper [*14]  if, when drawing all inferences in the light most favorable to the non-moving party, the moving party 'shows that there is no genuine dispute as to any material fact and the movant is entitled to judgment as a matter of law.'" </w:t>
      </w:r>
      <w:bookmarkStart w:id="4206" w:name="Bookmark_I66426D32HM5XJ0020000400"/>
      <w:bookmarkEnd w:id="4206"/>
      <w:r>
        <w:rPr>
          <w:rFonts w:ascii="Arial" w:eastAsia="Arial" w:hAnsi="Arial" w:cs="Arial"/>
          <w:i/>
          <w:color w:val="000000"/>
          <w:sz w:val="20"/>
        </w:rPr>
        <w:t>Does 8-10 v. Snyder</w:t>
      </w:r>
      <w:r>
        <w:rPr>
          <w:rFonts w:ascii="Arial" w:eastAsia="Arial" w:hAnsi="Arial" w:cs="Arial"/>
          <w:color w:val="000000"/>
          <w:sz w:val="20"/>
        </w:rPr>
        <w:t>, 945 F.3d 951, 961 (6th Cir. 2019) (quoting Fed. R. Civ. P. 56(a)).</w:t>
      </w:r>
    </w:p>
    <w:p w:rsidR="00022B47" w:rsidRDefault="00000000">
      <w:pPr>
        <w:pStyle w:val="Normal23"/>
        <w:widowControl w:val="0"/>
        <w:spacing w:before="240" w:line="260" w:lineRule="atLeast"/>
      </w:pPr>
      <w:r>
        <w:br/>
      </w:r>
      <w:r>
        <w:rPr>
          <w:rFonts w:ascii="Arial" w:eastAsia="Arial" w:hAnsi="Arial" w:cs="Arial"/>
          <w:b/>
          <w:color w:val="000000"/>
          <w:sz w:val="20"/>
        </w:rPr>
        <w:t>B. Analysis</w:t>
      </w:r>
    </w:p>
    <w:p w:rsidR="00022B47" w:rsidRDefault="00000000">
      <w:pPr>
        <w:pStyle w:val="Normal23"/>
        <w:widowControl w:val="0"/>
        <w:spacing w:before="200" w:line="260" w:lineRule="atLeast"/>
        <w:jc w:val="both"/>
      </w:pPr>
      <w:bookmarkStart w:id="4207" w:name="Bookmark_para_25_16"/>
      <w:bookmarkStart w:id="4208" w:name="Bookmark_I66426D32HM5XJ0050000400"/>
      <w:bookmarkStart w:id="4209" w:name="Bookmark_LNHNREFclscc2_20"/>
      <w:bookmarkEnd w:id="4207"/>
      <w:bookmarkEnd w:id="4208"/>
      <w:bookmarkEnd w:id="4209"/>
      <w:r>
        <w:rPr>
          <w:rFonts w:ascii="Arial" w:eastAsia="Arial" w:hAnsi="Arial" w:cs="Arial"/>
          <w:color w:val="000000"/>
          <w:sz w:val="20"/>
        </w:rPr>
        <w:t xml:space="preserve">"Title II of the ADA provides that 'no qualified individual with a disability shall, by reason of such disability, be excluded from participation in or be denied the benefits of the services, programs, or activities of a public entity, or be subjected to discrimination by any such entity.'" </w:t>
      </w:r>
      <w:bookmarkStart w:id="4210" w:name="Bookmark_I66426D32HM5XJ0040000400"/>
      <w:bookmarkEnd w:id="4210"/>
      <w:r>
        <w:rPr>
          <w:rFonts w:ascii="Arial" w:eastAsia="Arial" w:hAnsi="Arial" w:cs="Arial"/>
          <w:i/>
          <w:color w:val="000000"/>
          <w:sz w:val="20"/>
        </w:rPr>
        <w:t>S.S. v. E. Ky. Univ.</w:t>
      </w:r>
      <w:r>
        <w:rPr>
          <w:rFonts w:ascii="Arial" w:eastAsia="Arial" w:hAnsi="Arial" w:cs="Arial"/>
          <w:color w:val="000000"/>
          <w:sz w:val="20"/>
        </w:rPr>
        <w:t>, 532 F.3d 445, 452 (6th Cir. 2008) (quoting 42 U.S.C. § 12132). Section 504 of the Rehabilitation Act establishes that "[n]o otherwise qualified individual with a disability in the United States . . . shall, solely by reason of her or his disability, be excluded from the participation in, be denied the benefits of, or be subjected to discrimination under any program or activity receiving Federal financial assistance." 29 U.S.C. § 794(a).</w:t>
      </w:r>
    </w:p>
    <w:p w:rsidR="00022B47" w:rsidRDefault="00000000">
      <w:pPr>
        <w:pStyle w:val="Normal23"/>
        <w:widowControl w:val="0"/>
        <w:spacing w:before="200" w:line="260" w:lineRule="atLeast"/>
        <w:jc w:val="both"/>
      </w:pPr>
      <w:bookmarkStart w:id="4211" w:name="Bookmark_para_26_15"/>
      <w:bookmarkStart w:id="4212" w:name="Bookmark_I66426D42D6NBN0020000400"/>
      <w:bookmarkStart w:id="4213" w:name="Bookmark_I66426D42D6NBN0040000400"/>
      <w:bookmarkStart w:id="4214" w:name="Bookmark_I66426D52D6NBV0010000400"/>
      <w:bookmarkStart w:id="4215" w:name="Bookmark_LNHNREFclscc3_20"/>
      <w:bookmarkEnd w:id="4211"/>
      <w:bookmarkEnd w:id="4212"/>
      <w:bookmarkEnd w:id="4213"/>
      <w:bookmarkEnd w:id="4214"/>
      <w:bookmarkEnd w:id="4215"/>
      <w:r>
        <w:rPr>
          <w:rFonts w:ascii="Arial" w:eastAsia="Arial" w:hAnsi="Arial" w:cs="Arial"/>
          <w:color w:val="000000"/>
          <w:sz w:val="20"/>
        </w:rPr>
        <w:t xml:space="preserve">We evaluate ADA and Rehabilitation Act claims similarly, </w:t>
      </w:r>
      <w:r>
        <w:rPr>
          <w:rFonts w:ascii="Arial" w:eastAsia="Arial" w:hAnsi="Arial" w:cs="Arial"/>
          <w:i/>
          <w:color w:val="000000"/>
          <w:sz w:val="20"/>
        </w:rPr>
        <w:t xml:space="preserve">see </w:t>
      </w:r>
      <w:bookmarkStart w:id="4216" w:name="Bookmark_I66426D42D6NBN0010000400"/>
      <w:bookmarkEnd w:id="4216"/>
      <w:r>
        <w:rPr>
          <w:rFonts w:ascii="Arial" w:eastAsia="Arial" w:hAnsi="Arial" w:cs="Arial"/>
          <w:i/>
          <w:color w:val="000000"/>
          <w:sz w:val="20"/>
        </w:rPr>
        <w:t>Doe v. Woodford Cnty. Bd. of Educ.</w:t>
      </w:r>
      <w:r>
        <w:rPr>
          <w:rFonts w:ascii="Arial" w:eastAsia="Arial" w:hAnsi="Arial" w:cs="Arial"/>
          <w:color w:val="000000"/>
          <w:sz w:val="20"/>
        </w:rPr>
        <w:t xml:space="preserve">, 213 F.3d 921, 925 (6th Cir. 2000), with one caveat. To establish a prima facie ADA Title II case, "a plaintiff must show that: (1) she has a disability; (2) she is otherwise qualified; and (3) she was being excluded from participation in, denied the benefits of, or subjected to discrimination [*15]  under the program because of her disability." </w:t>
      </w:r>
      <w:bookmarkStart w:id="4217" w:name="Bookmark_I66426D42D6NBN0030000400"/>
      <w:bookmarkEnd w:id="4217"/>
      <w:r>
        <w:rPr>
          <w:rFonts w:ascii="Arial" w:eastAsia="Arial" w:hAnsi="Arial" w:cs="Arial"/>
          <w:i/>
          <w:color w:val="000000"/>
          <w:sz w:val="20"/>
        </w:rPr>
        <w:t>Anderson v. City of Blue Ash</w:t>
      </w:r>
      <w:r>
        <w:rPr>
          <w:rFonts w:ascii="Arial" w:eastAsia="Arial" w:hAnsi="Arial" w:cs="Arial"/>
          <w:color w:val="000000"/>
          <w:sz w:val="20"/>
        </w:rPr>
        <w:t xml:space="preserve">, 798 F.3d 338, 357 (6th Cir. 2015). </w:t>
      </w:r>
      <w:bookmarkStart w:id="4218" w:name="Bookmark_I66426D52D6NBV0030000400"/>
      <w:bookmarkEnd w:id="4218"/>
      <w:r>
        <w:rPr>
          <w:rFonts w:ascii="Arial" w:eastAsia="Arial" w:hAnsi="Arial" w:cs="Arial"/>
          <w:color w:val="000000"/>
          <w:sz w:val="20"/>
        </w:rPr>
        <w:t xml:space="preserve">The Rehabilitation Act requires for a prima facie case that a plaintiff show "(1) that he is disabled; (2) that he was otherwise qualified . . . ; (3) that he was excluded solely by reason of his disability; (4) and that the relevant program is receiving federal financial assistance." </w:t>
      </w:r>
      <w:bookmarkStart w:id="4219" w:name="Bookmark_I66426D42D6NBN0050000400"/>
      <w:bookmarkEnd w:id="4219"/>
      <w:r>
        <w:rPr>
          <w:rFonts w:ascii="Arial" w:eastAsia="Arial" w:hAnsi="Arial" w:cs="Arial"/>
          <w:i/>
          <w:color w:val="000000"/>
          <w:sz w:val="20"/>
        </w:rPr>
        <w:t>Doe v. Salvation Army in U.S.</w:t>
      </w:r>
      <w:r>
        <w:rPr>
          <w:rFonts w:ascii="Arial" w:eastAsia="Arial" w:hAnsi="Arial" w:cs="Arial"/>
          <w:color w:val="000000"/>
          <w:sz w:val="20"/>
        </w:rPr>
        <w:t xml:space="preserve">, 531 F.3d 355, 358 (6th Cir. 2008). </w:t>
      </w:r>
      <w:bookmarkStart w:id="4220" w:name="Bookmark_I66426D52D6NBV0030000400_2"/>
      <w:bookmarkEnd w:id="4220"/>
      <w:r>
        <w:rPr>
          <w:rFonts w:ascii="Arial" w:eastAsia="Arial" w:hAnsi="Arial" w:cs="Arial"/>
          <w:color w:val="000000"/>
          <w:sz w:val="20"/>
        </w:rPr>
        <w:t xml:space="preserve">The Rehabilitation Act's causation standard differs from the ADA's: the ADA requires that discrimination occur "because of" a plaintiff's disability, and the Rehabilitation Act requires that it occur "solely by reason of" a plaintiff's disability. </w:t>
      </w:r>
      <w:bookmarkStart w:id="4221" w:name="Bookmark_I66426D52D6NBV0050000400"/>
      <w:bookmarkEnd w:id="4221"/>
      <w:r>
        <w:rPr>
          <w:rFonts w:ascii="Arial" w:eastAsia="Arial" w:hAnsi="Arial" w:cs="Arial"/>
          <w:i/>
          <w:color w:val="000000"/>
          <w:sz w:val="20"/>
        </w:rPr>
        <w:t xml:space="preserve">See </w:t>
      </w:r>
      <w:bookmarkStart w:id="4222" w:name="Bookmark_I66426D52D6NBV0020000400"/>
      <w:bookmarkEnd w:id="4222"/>
      <w:r>
        <w:rPr>
          <w:rFonts w:ascii="Arial" w:eastAsia="Arial" w:hAnsi="Arial" w:cs="Arial"/>
          <w:i/>
          <w:color w:val="000000"/>
          <w:sz w:val="20"/>
        </w:rPr>
        <w:t>Lewis v. Humboldt Acquisition Corp.</w:t>
      </w:r>
      <w:r>
        <w:rPr>
          <w:rFonts w:ascii="Arial" w:eastAsia="Arial" w:hAnsi="Arial" w:cs="Arial"/>
          <w:color w:val="000000"/>
          <w:sz w:val="20"/>
        </w:rPr>
        <w:t xml:space="preserve">, 681 F.3d 312, 315 (6th Cir. 2012) (en banc). </w:t>
      </w:r>
      <w:bookmarkStart w:id="4223" w:name="Bookmark_I66426D52D6NBV0050000400_2"/>
      <w:bookmarkEnd w:id="4223"/>
      <w:r>
        <w:rPr>
          <w:rFonts w:ascii="Arial" w:eastAsia="Arial" w:hAnsi="Arial" w:cs="Arial"/>
          <w:color w:val="000000"/>
          <w:sz w:val="20"/>
        </w:rPr>
        <w:t xml:space="preserve">Still, courts frequently analyze together claims brought under the two statutes. </w:t>
      </w:r>
      <w:bookmarkStart w:id="4224" w:name="Bookmark_I66426D62SF8BF0040000400"/>
      <w:bookmarkEnd w:id="4224"/>
      <w:r>
        <w:rPr>
          <w:rFonts w:ascii="Arial" w:eastAsia="Arial" w:hAnsi="Arial" w:cs="Arial"/>
          <w:i/>
          <w:color w:val="000000"/>
          <w:sz w:val="20"/>
        </w:rPr>
        <w:t xml:space="preserve">See </w:t>
      </w:r>
      <w:bookmarkStart w:id="4225" w:name="Bookmark_I66426D52D6NBV0040000400"/>
      <w:bookmarkEnd w:id="4225"/>
      <w:r>
        <w:rPr>
          <w:rFonts w:ascii="Arial" w:eastAsia="Arial" w:hAnsi="Arial" w:cs="Arial"/>
          <w:i/>
          <w:color w:val="000000"/>
          <w:sz w:val="20"/>
        </w:rPr>
        <w:t>A.C. ex rel. J.C. v. Shelby Cnty. Bd. of Educ.</w:t>
      </w:r>
      <w:r>
        <w:rPr>
          <w:rFonts w:ascii="Arial" w:eastAsia="Arial" w:hAnsi="Arial" w:cs="Arial"/>
          <w:color w:val="000000"/>
          <w:sz w:val="20"/>
        </w:rPr>
        <w:t xml:space="preserve">, 711 F.3d 687, 697 (6th Cir. 2013); </w:t>
      </w:r>
      <w:bookmarkStart w:id="4226" w:name="Bookmark_I66426D62SF8BF0010000400"/>
      <w:bookmarkEnd w:id="4226"/>
      <w:r>
        <w:rPr>
          <w:rFonts w:ascii="Arial" w:eastAsia="Arial" w:hAnsi="Arial" w:cs="Arial"/>
          <w:i/>
          <w:color w:val="000000"/>
          <w:sz w:val="20"/>
        </w:rPr>
        <w:t>R.K. ex rel. J.K. v. Bd. of Educ. of Scott Cnty.</w:t>
      </w:r>
      <w:r>
        <w:rPr>
          <w:rFonts w:ascii="Arial" w:eastAsia="Arial" w:hAnsi="Arial" w:cs="Arial"/>
          <w:color w:val="000000"/>
          <w:sz w:val="20"/>
        </w:rPr>
        <w:t xml:space="preserve">, 637 F. App'x 922, 924 (6th Cir. 2016) ("[T]he ADA and Rehabilitation Act cover largely the same ground."). </w:t>
      </w:r>
      <w:bookmarkStart w:id="4227" w:name="Bookmark_I66426D62SF8BF0040000400_2"/>
      <w:bookmarkStart w:id="4228" w:name="Bookmark_I66426D62SF8BM0010000400"/>
      <w:bookmarkEnd w:id="4227"/>
      <w:bookmarkEnd w:id="4228"/>
      <w:r>
        <w:rPr>
          <w:rFonts w:ascii="Arial" w:eastAsia="Arial" w:hAnsi="Arial" w:cs="Arial"/>
          <w:color w:val="000000"/>
          <w:sz w:val="20"/>
        </w:rPr>
        <w:t xml:space="preserve">When the statutes' different causation standards are unimportant to resolve the issues presented, as is the case here, we need not address this difference. </w:t>
      </w:r>
      <w:bookmarkStart w:id="4229" w:name="Bookmark_I66426D62SF8BF0030000400"/>
      <w:bookmarkEnd w:id="4229"/>
      <w:r>
        <w:rPr>
          <w:rFonts w:ascii="Arial" w:eastAsia="Arial" w:hAnsi="Arial" w:cs="Arial"/>
          <w:i/>
          <w:color w:val="000000"/>
          <w:sz w:val="20"/>
        </w:rPr>
        <w:t>McPherson v. Mich. High Sch. Athletic Ass'n</w:t>
      </w:r>
      <w:r>
        <w:rPr>
          <w:rFonts w:ascii="Arial" w:eastAsia="Arial" w:hAnsi="Arial" w:cs="Arial"/>
          <w:color w:val="000000"/>
          <w:sz w:val="20"/>
        </w:rPr>
        <w:t xml:space="preserve">, 119 F.3d 453, 459-60 (6th Cir. 1997) (en banc). </w:t>
      </w:r>
      <w:bookmarkStart w:id="4230" w:name="Bookmark_I66426D62SF8BM0010000400_2"/>
      <w:bookmarkEnd w:id="4230"/>
      <w:r>
        <w:rPr>
          <w:rFonts w:ascii="Arial" w:eastAsia="Arial" w:hAnsi="Arial" w:cs="Arial"/>
          <w:color w:val="000000"/>
          <w:sz w:val="20"/>
        </w:rPr>
        <w:t xml:space="preserve">Thus, the following discussion of the ADA applies to Douglas's Rehabilitation Act claim as well. </w:t>
      </w:r>
      <w:r>
        <w:rPr>
          <w:rFonts w:ascii="Arial" w:eastAsia="Arial" w:hAnsi="Arial" w:cs="Arial"/>
          <w:i/>
          <w:color w:val="000000"/>
          <w:sz w:val="20"/>
        </w:rPr>
        <w:t xml:space="preserve">See </w:t>
      </w:r>
      <w:bookmarkStart w:id="4231" w:name="Bookmark_I66426D62SF8BF0050000400"/>
      <w:bookmarkEnd w:id="4231"/>
      <w:r>
        <w:rPr>
          <w:rFonts w:ascii="Arial" w:eastAsia="Arial" w:hAnsi="Arial" w:cs="Arial"/>
          <w:i/>
          <w:color w:val="000000"/>
          <w:sz w:val="20"/>
        </w:rPr>
        <w:t>Jakubowski v. Christ Hosp., Inc.</w:t>
      </w:r>
      <w:r>
        <w:rPr>
          <w:rFonts w:ascii="Arial" w:eastAsia="Arial" w:hAnsi="Arial" w:cs="Arial"/>
          <w:color w:val="000000"/>
          <w:sz w:val="20"/>
        </w:rPr>
        <w:t>, 627 F.3d 195, 201 (6th Cir. 2010).</w:t>
      </w:r>
    </w:p>
    <w:p w:rsidR="00022B47" w:rsidRDefault="00000000">
      <w:pPr>
        <w:pStyle w:val="Normal23"/>
        <w:widowControl w:val="0"/>
        <w:spacing w:before="200" w:line="260" w:lineRule="atLeast"/>
        <w:jc w:val="both"/>
      </w:pPr>
      <w:bookmarkStart w:id="4232" w:name="Bookmark_para_27_15"/>
      <w:bookmarkStart w:id="4233" w:name="Bookmark_I66426D62SF8BM0030000400"/>
      <w:bookmarkStart w:id="4234" w:name="Bookmark_I66426D62SF8BM0050000400"/>
      <w:bookmarkStart w:id="4235" w:name="Bookmark_LNHNREFclscc4_20"/>
      <w:bookmarkEnd w:id="4232"/>
      <w:bookmarkEnd w:id="4233"/>
      <w:bookmarkEnd w:id="4234"/>
      <w:bookmarkEnd w:id="4235"/>
      <w:r>
        <w:rPr>
          <w:rFonts w:ascii="Arial" w:eastAsia="Arial" w:hAnsi="Arial" w:cs="Arial"/>
          <w:color w:val="000000"/>
          <w:sz w:val="20"/>
        </w:rPr>
        <w:t xml:space="preserve">"Two types of claims are cognizable under [ADA] Title II: claims for intentional discrimination and claims for a reasonable accommodation." </w:t>
      </w:r>
      <w:bookmarkStart w:id="4236" w:name="Bookmark_I66426D62SF8BM0020000400"/>
      <w:bookmarkEnd w:id="4236"/>
      <w:r>
        <w:rPr>
          <w:rFonts w:ascii="Arial" w:eastAsia="Arial" w:hAnsi="Arial" w:cs="Arial"/>
          <w:i/>
          <w:color w:val="000000"/>
          <w:sz w:val="20"/>
        </w:rPr>
        <w:t>Roell v. Hamilton County</w:t>
      </w:r>
      <w:r>
        <w:rPr>
          <w:rFonts w:ascii="Arial" w:eastAsia="Arial" w:hAnsi="Arial" w:cs="Arial"/>
          <w:color w:val="000000"/>
          <w:sz w:val="20"/>
        </w:rPr>
        <w:t xml:space="preserve">, 870 F.3d 471, 488 (6th Cir. 2017). A plaintiff alleging intentional discrimination—that is, alleging that their "disabilities [*16]  were actually considered by the [defendant] in formulating or implementing" the challenged discriminatory conduct, </w:t>
      </w:r>
      <w:bookmarkStart w:id="4237" w:name="Bookmark_I66426D62SF8BM0040000400"/>
      <w:bookmarkEnd w:id="4237"/>
      <w:r>
        <w:rPr>
          <w:rFonts w:ascii="Arial" w:eastAsia="Arial" w:hAnsi="Arial" w:cs="Arial"/>
          <w:i/>
          <w:color w:val="000000"/>
          <w:sz w:val="20"/>
        </w:rPr>
        <w:t>McPherson</w:t>
      </w:r>
      <w:r>
        <w:rPr>
          <w:rFonts w:ascii="Arial" w:eastAsia="Arial" w:hAnsi="Arial" w:cs="Arial"/>
          <w:color w:val="000000"/>
          <w:sz w:val="20"/>
        </w:rPr>
        <w:t xml:space="preserve">, 119 F.3d at 460—must "present evidence that animus against the protected group was a significant factor in" the discriminatory conduct, </w:t>
      </w:r>
      <w:bookmarkStart w:id="4238" w:name="Bookmark_I66426D72HM5YH0010000400"/>
      <w:bookmarkEnd w:id="4238"/>
      <w:r>
        <w:rPr>
          <w:rFonts w:ascii="Arial" w:eastAsia="Arial" w:hAnsi="Arial" w:cs="Arial"/>
          <w:i/>
          <w:color w:val="000000"/>
          <w:sz w:val="20"/>
        </w:rPr>
        <w:t>Anderson</w:t>
      </w:r>
      <w:r>
        <w:rPr>
          <w:rFonts w:ascii="Arial" w:eastAsia="Arial" w:hAnsi="Arial" w:cs="Arial"/>
          <w:color w:val="000000"/>
          <w:sz w:val="20"/>
        </w:rPr>
        <w:t xml:space="preserve">, 798 F.3d at 357 (quoting </w:t>
      </w:r>
      <w:bookmarkStart w:id="4239" w:name="Bookmark_I66426D72HM5YH0030000400"/>
      <w:bookmarkEnd w:id="4239"/>
      <w:r>
        <w:rPr>
          <w:rFonts w:ascii="Arial" w:eastAsia="Arial" w:hAnsi="Arial" w:cs="Arial"/>
          <w:i/>
          <w:color w:val="000000"/>
          <w:sz w:val="20"/>
        </w:rPr>
        <w:t>Turner v. City of Englewood</w:t>
      </w:r>
      <w:r>
        <w:rPr>
          <w:rFonts w:ascii="Arial" w:eastAsia="Arial" w:hAnsi="Arial" w:cs="Arial"/>
          <w:color w:val="000000"/>
          <w:sz w:val="20"/>
        </w:rPr>
        <w:t>, 195 F. App'x 346, 353 (6th Cir. 2006)).</w:t>
      </w:r>
    </w:p>
    <w:p w:rsidR="00022B47" w:rsidRDefault="00000000">
      <w:pPr>
        <w:pStyle w:val="Normal23"/>
        <w:widowControl w:val="0"/>
        <w:spacing w:before="200" w:line="260" w:lineRule="atLeast"/>
        <w:jc w:val="both"/>
      </w:pPr>
      <w:bookmarkStart w:id="4240" w:name="Bookmark_para_28_15"/>
      <w:bookmarkStart w:id="4241" w:name="Bookmark_I66426D728T4TT0010000400"/>
      <w:bookmarkStart w:id="4242" w:name="Bookmark_LNHNREFclscc5_20"/>
      <w:bookmarkEnd w:id="4240"/>
      <w:bookmarkEnd w:id="4241"/>
      <w:bookmarkEnd w:id="4242"/>
      <w:r>
        <w:rPr>
          <w:rFonts w:ascii="Arial" w:eastAsia="Arial" w:hAnsi="Arial" w:cs="Arial"/>
          <w:color w:val="000000"/>
          <w:sz w:val="20"/>
        </w:rPr>
        <w:t xml:space="preserve">If an ADA Title II plaintiff brings a claim for failure to provide a reasonable accommodation, then the court undertakes a different analysis. </w:t>
      </w:r>
      <w:bookmarkStart w:id="4243" w:name="Bookmark_I66426D728T4TT0050000400"/>
      <w:bookmarkEnd w:id="4243"/>
      <w:r>
        <w:rPr>
          <w:rFonts w:ascii="Arial" w:eastAsia="Arial" w:hAnsi="Arial" w:cs="Arial"/>
          <w:color w:val="000000"/>
          <w:sz w:val="20"/>
        </w:rPr>
        <w:t xml:space="preserve">A plaintiff alleging a failure-to-accommodate claim does not need to make the animus showing required to support a claim of intentional discrimination via disparate treatment. </w:t>
      </w:r>
      <w:bookmarkStart w:id="4244" w:name="Bookmark_I66426D82N1RH90010000400"/>
      <w:bookmarkStart w:id="4245" w:name="Bookmark_I66426D72HM5YH0050000400"/>
      <w:bookmarkEnd w:id="4244"/>
      <w:bookmarkEnd w:id="4245"/>
      <w:r>
        <w:rPr>
          <w:rFonts w:ascii="Arial" w:eastAsia="Arial" w:hAnsi="Arial" w:cs="Arial"/>
          <w:i/>
          <w:color w:val="000000"/>
          <w:sz w:val="20"/>
        </w:rPr>
        <w:t>Ability Ctr. of Greater Toledo v. City of Sandusky</w:t>
      </w:r>
      <w:r>
        <w:rPr>
          <w:rFonts w:ascii="Arial" w:eastAsia="Arial" w:hAnsi="Arial" w:cs="Arial"/>
          <w:color w:val="000000"/>
          <w:sz w:val="20"/>
        </w:rPr>
        <w:t xml:space="preserve">, 385 F.3d 901, 909-10 (6th Cir. 2004); </w:t>
      </w:r>
      <w:bookmarkStart w:id="4246" w:name="Bookmark_I66426D728T4TT0020000400"/>
      <w:bookmarkEnd w:id="4246"/>
      <w:r>
        <w:rPr>
          <w:rFonts w:ascii="Arial" w:eastAsia="Arial" w:hAnsi="Arial" w:cs="Arial"/>
          <w:i/>
          <w:color w:val="000000"/>
          <w:sz w:val="20"/>
        </w:rPr>
        <w:t>Roell</w:t>
      </w:r>
      <w:r>
        <w:rPr>
          <w:rFonts w:ascii="Arial" w:eastAsia="Arial" w:hAnsi="Arial" w:cs="Arial"/>
          <w:color w:val="000000"/>
          <w:sz w:val="20"/>
        </w:rPr>
        <w:t xml:space="preserve">, 870 F.3d at 488. </w:t>
      </w:r>
      <w:bookmarkStart w:id="4247" w:name="Bookmark_I66426D82N1RH90010000400_2"/>
      <w:bookmarkStart w:id="4248" w:name="Bookmark_I66426D728T4TT0050000400_2"/>
      <w:bookmarkEnd w:id="4247"/>
      <w:bookmarkEnd w:id="4248"/>
      <w:r>
        <w:rPr>
          <w:rFonts w:ascii="Arial" w:eastAsia="Arial" w:hAnsi="Arial" w:cs="Arial"/>
          <w:color w:val="000000"/>
          <w:sz w:val="20"/>
        </w:rPr>
        <w:t xml:space="preserve">Instead, "refusal to provide a reasonable accommodation can serve as direct evidence of disability discrimination." </w:t>
      </w:r>
      <w:bookmarkStart w:id="4249" w:name="Bookmark_I66426D728T4TT0040000400"/>
      <w:bookmarkEnd w:id="4249"/>
      <w:r>
        <w:rPr>
          <w:rFonts w:ascii="Arial" w:eastAsia="Arial" w:hAnsi="Arial" w:cs="Arial"/>
          <w:i/>
          <w:color w:val="000000"/>
          <w:sz w:val="20"/>
        </w:rPr>
        <w:t>Keller v. Chippewa Cnty., Mich. Bd. of Comm'rs</w:t>
      </w:r>
      <w:r>
        <w:rPr>
          <w:rFonts w:ascii="Arial" w:eastAsia="Arial" w:hAnsi="Arial" w:cs="Arial"/>
          <w:color w:val="000000"/>
          <w:sz w:val="20"/>
        </w:rPr>
        <w:t xml:space="preserve">, 860 F. App'x 381, 385 (6th Cir. 2021) (citing </w:t>
      </w:r>
      <w:bookmarkStart w:id="4250" w:name="Bookmark_I66426D82D6NCP0010000400"/>
      <w:bookmarkEnd w:id="4250"/>
      <w:r>
        <w:rPr>
          <w:rFonts w:ascii="Arial" w:eastAsia="Arial" w:hAnsi="Arial" w:cs="Arial"/>
          <w:i/>
          <w:color w:val="000000"/>
          <w:sz w:val="20"/>
        </w:rPr>
        <w:t>Roell</w:t>
      </w:r>
      <w:r>
        <w:rPr>
          <w:rFonts w:ascii="Arial" w:eastAsia="Arial" w:hAnsi="Arial" w:cs="Arial"/>
          <w:color w:val="000000"/>
          <w:sz w:val="20"/>
        </w:rPr>
        <w:t xml:space="preserve">, 870 F.3d at 488; </w:t>
      </w:r>
      <w:bookmarkStart w:id="4251" w:name="Bookmark_I66426D82D6NCP0030000400"/>
      <w:bookmarkEnd w:id="4251"/>
      <w:r>
        <w:rPr>
          <w:rFonts w:ascii="Arial" w:eastAsia="Arial" w:hAnsi="Arial" w:cs="Arial"/>
          <w:i/>
          <w:color w:val="000000"/>
          <w:sz w:val="20"/>
        </w:rPr>
        <w:t>Ability Ctr.</w:t>
      </w:r>
      <w:r>
        <w:rPr>
          <w:rFonts w:ascii="Arial" w:eastAsia="Arial" w:hAnsi="Arial" w:cs="Arial"/>
          <w:color w:val="000000"/>
          <w:sz w:val="20"/>
        </w:rPr>
        <w:t xml:space="preserve">, 385 F.3d at 907-08). </w:t>
      </w:r>
      <w:bookmarkStart w:id="4252" w:name="Bookmark_I66426D92N1RHJ0020000400"/>
      <w:bookmarkEnd w:id="4252"/>
      <w:r>
        <w:rPr>
          <w:rFonts w:ascii="Arial" w:eastAsia="Arial" w:hAnsi="Arial" w:cs="Arial"/>
          <w:color w:val="000000"/>
          <w:sz w:val="20"/>
        </w:rPr>
        <w:t xml:space="preserve">This is because "'[a] regulation implementing Title II requires a public entity to make "reasonable modifications" to its "policies, practices, or procedures" when necessary to avoid . . . discrimination' based on disability." </w:t>
      </w:r>
      <w:bookmarkStart w:id="4253" w:name="Bookmark_I66426D82D6NCP0050000400"/>
      <w:bookmarkEnd w:id="4253"/>
      <w:r>
        <w:rPr>
          <w:rFonts w:ascii="Arial" w:eastAsia="Arial" w:hAnsi="Arial" w:cs="Arial"/>
          <w:i/>
          <w:color w:val="000000"/>
          <w:sz w:val="20"/>
        </w:rPr>
        <w:t>Wilson v. Gregory</w:t>
      </w:r>
      <w:r>
        <w:rPr>
          <w:rFonts w:ascii="Arial" w:eastAsia="Arial" w:hAnsi="Arial" w:cs="Arial"/>
          <w:color w:val="000000"/>
          <w:sz w:val="20"/>
        </w:rPr>
        <w:t xml:space="preserve">, 3 F.4th 844, 859 (6th Cir. 2021) (quoting </w:t>
      </w:r>
      <w:bookmarkStart w:id="4254" w:name="Bookmark_I66426D82N1RH90020000400"/>
      <w:bookmarkEnd w:id="4254"/>
      <w:r>
        <w:rPr>
          <w:rFonts w:ascii="Arial" w:eastAsia="Arial" w:hAnsi="Arial" w:cs="Arial"/>
          <w:i/>
          <w:color w:val="000000"/>
          <w:sz w:val="20"/>
        </w:rPr>
        <w:t>Fry v. Napoleon Cmty. Schs.</w:t>
      </w:r>
      <w:r>
        <w:rPr>
          <w:rFonts w:ascii="Arial" w:eastAsia="Arial" w:hAnsi="Arial" w:cs="Arial"/>
          <w:color w:val="000000"/>
          <w:sz w:val="20"/>
        </w:rPr>
        <w:t xml:space="preserve">, 580 U.S. 154, 137 S. Ct. 743, 749, 197 L. Ed. 2d 46 (2017)); </w:t>
      </w:r>
      <w:r>
        <w:rPr>
          <w:rFonts w:ascii="Arial" w:eastAsia="Arial" w:hAnsi="Arial" w:cs="Arial"/>
          <w:i/>
          <w:color w:val="000000"/>
          <w:sz w:val="20"/>
        </w:rPr>
        <w:t>see</w:t>
      </w:r>
      <w:r>
        <w:rPr>
          <w:rFonts w:ascii="Arial" w:eastAsia="Arial" w:hAnsi="Arial" w:cs="Arial"/>
          <w:color w:val="000000"/>
          <w:sz w:val="20"/>
        </w:rPr>
        <w:t xml:space="preserve"> 28 C.F.R. § 35.130(b)(7)(i); </w:t>
      </w:r>
      <w:r>
        <w:rPr>
          <w:rFonts w:ascii="Arial" w:eastAsia="Arial" w:hAnsi="Arial" w:cs="Arial"/>
          <w:i/>
          <w:color w:val="000000"/>
          <w:sz w:val="20"/>
        </w:rPr>
        <w:t xml:space="preserve">see also </w:t>
      </w:r>
      <w:bookmarkStart w:id="4255" w:name="Bookmark_I66426D82N1RH90040000400"/>
      <w:bookmarkEnd w:id="4255"/>
      <w:r>
        <w:rPr>
          <w:rFonts w:ascii="Arial" w:eastAsia="Arial" w:hAnsi="Arial" w:cs="Arial"/>
          <w:i/>
          <w:color w:val="000000"/>
          <w:sz w:val="20"/>
        </w:rPr>
        <w:t>Alexander v. Choate</w:t>
      </w:r>
      <w:r>
        <w:rPr>
          <w:rFonts w:ascii="Arial" w:eastAsia="Arial" w:hAnsi="Arial" w:cs="Arial"/>
          <w:color w:val="000000"/>
          <w:sz w:val="20"/>
        </w:rPr>
        <w:t xml:space="preserve">, 469 U.S. 287, 301-02, 105 S. Ct. 712, 83 L. Ed. 2d 661 (1985) ("[T]o assure meaningful access, reasonable accommodations in the grantee's program or benefit may have to be made [pursuant to § 504]."). </w:t>
      </w:r>
      <w:bookmarkStart w:id="4256" w:name="Bookmark_I66426D92N1RHJ0020000400_2"/>
      <w:bookmarkStart w:id="4257" w:name="Bookmark_I66426D92N1RHJ0040000400"/>
      <w:bookmarkEnd w:id="4256"/>
      <w:bookmarkEnd w:id="4257"/>
      <w:r>
        <w:rPr>
          <w:rFonts w:ascii="Arial" w:eastAsia="Arial" w:hAnsi="Arial" w:cs="Arial"/>
          <w:color w:val="000000"/>
          <w:sz w:val="20"/>
        </w:rPr>
        <w:t xml:space="preserve">When a plaintiff shows that the proposed modification is needed to avoid the denial of services or benefits, [*17]  the causation requirement is satisfied. </w:t>
      </w:r>
      <w:bookmarkStart w:id="4258" w:name="Bookmark_I66426D92N1RHJ0010000400"/>
      <w:bookmarkEnd w:id="4258"/>
      <w:r>
        <w:rPr>
          <w:rFonts w:ascii="Arial" w:eastAsia="Arial" w:hAnsi="Arial" w:cs="Arial"/>
          <w:i/>
          <w:color w:val="000000"/>
          <w:sz w:val="20"/>
        </w:rPr>
        <w:t>Madej v. Maiden</w:t>
      </w:r>
      <w:r>
        <w:rPr>
          <w:rFonts w:ascii="Arial" w:eastAsia="Arial" w:hAnsi="Arial" w:cs="Arial"/>
          <w:color w:val="000000"/>
          <w:sz w:val="20"/>
        </w:rPr>
        <w:t xml:space="preserve">, 951 F.3d 364, 373 (6th Cir. 2020). </w:t>
      </w:r>
      <w:bookmarkStart w:id="4259" w:name="Bookmark_I66426D92N1RHJ0040000400_2"/>
      <w:bookmarkEnd w:id="4259"/>
      <w:r>
        <w:rPr>
          <w:rFonts w:ascii="Arial" w:eastAsia="Arial" w:hAnsi="Arial" w:cs="Arial"/>
          <w:color w:val="000000"/>
          <w:sz w:val="20"/>
        </w:rPr>
        <w:t xml:space="preserve">As a result, "the denial of meaningful access to medical care, bathroom facilities, or meals" through a refusal to make a needed modification "could support the required prima facie showing." </w:t>
      </w:r>
      <w:bookmarkStart w:id="4260" w:name="Bookmark_I66426D92N1RHJ0030000400"/>
      <w:bookmarkEnd w:id="4260"/>
      <w:r>
        <w:rPr>
          <w:rFonts w:ascii="Arial" w:eastAsia="Arial" w:hAnsi="Arial" w:cs="Arial"/>
          <w:i/>
          <w:color w:val="000000"/>
          <w:sz w:val="20"/>
        </w:rPr>
        <w:t>Keller</w:t>
      </w:r>
      <w:r>
        <w:rPr>
          <w:rFonts w:ascii="Arial" w:eastAsia="Arial" w:hAnsi="Arial" w:cs="Arial"/>
          <w:color w:val="000000"/>
          <w:sz w:val="20"/>
        </w:rPr>
        <w:t>, 860 F. App'x at 386.</w:t>
      </w:r>
    </w:p>
    <w:p w:rsidR="00022B47" w:rsidRDefault="00000000">
      <w:pPr>
        <w:pStyle w:val="Normal23"/>
        <w:widowControl w:val="0"/>
        <w:spacing w:before="200" w:line="260" w:lineRule="atLeast"/>
        <w:jc w:val="both"/>
      </w:pPr>
      <w:bookmarkStart w:id="4261" w:name="Bookmark_para_29_14"/>
      <w:bookmarkEnd w:id="4261"/>
      <w:r>
        <w:rPr>
          <w:rFonts w:ascii="Arial" w:eastAsia="Arial" w:hAnsi="Arial" w:cs="Arial"/>
          <w:color w:val="000000"/>
          <w:sz w:val="20"/>
        </w:rPr>
        <w:t xml:space="preserve">The lower court seems to have viewed Douglas as advancing a claim of intentional discrimination at times, </w:t>
      </w:r>
      <w:r>
        <w:rPr>
          <w:rFonts w:ascii="Arial" w:eastAsia="Arial" w:hAnsi="Arial" w:cs="Arial"/>
          <w:i/>
          <w:color w:val="000000"/>
          <w:sz w:val="20"/>
        </w:rPr>
        <w:t>see, e.g.</w:t>
      </w:r>
      <w:r>
        <w:rPr>
          <w:rFonts w:ascii="Arial" w:eastAsia="Arial" w:hAnsi="Arial" w:cs="Arial"/>
          <w:color w:val="000000"/>
          <w:sz w:val="20"/>
        </w:rPr>
        <w:t>, R. 152 (03/29/21 R. &amp; R. at 11-12) (Page ID #994-95) (citing cases concerning intentional discrimination), and a failure-to-accommodate claim at others, R. 156 (07/08/21 Order Adopting 03/29/21 R. &amp; R. at 2-4) (Page ID #1035-37) (discussing whether Defendants were justified in not honoring Douglas's requested accommodation). Douglas's pleadings, however, convince us that he presents a claim of failure to accommodate his disability.</w:t>
      </w:r>
    </w:p>
    <w:p w:rsidR="00022B47" w:rsidRDefault="00000000">
      <w:pPr>
        <w:pStyle w:val="Normal23"/>
        <w:widowControl w:val="0"/>
        <w:spacing w:before="200" w:line="260" w:lineRule="atLeast"/>
        <w:jc w:val="both"/>
      </w:pPr>
      <w:bookmarkStart w:id="4262" w:name="Bookmark_para_30_13"/>
      <w:bookmarkEnd w:id="4262"/>
      <w:r>
        <w:rPr>
          <w:rFonts w:ascii="Arial" w:eastAsia="Arial" w:hAnsi="Arial" w:cs="Arial"/>
          <w:color w:val="000000"/>
          <w:sz w:val="20"/>
        </w:rPr>
        <w:t xml:space="preserve">To start, his Verified Complaint stated that Defendants "confiscate[ed], retain[ed] and prevent[ed Douglas] from wearing his medically prescribed shoes on a visit where they had knowledge [Douglas] suffered from polio, diabetes and neuropathy." R. 1 (Compl. at ¶ 38) (Page ID #10). In other words, Douglas alleged that Defendants knew of his disability and failed to make a reasonable modification to their footwear [*18]  policy. Douglas then made arguments suggesting a failure-to-accommodate claim on several other occasions before the district court. </w:t>
      </w:r>
      <w:r>
        <w:rPr>
          <w:rFonts w:ascii="Arial" w:eastAsia="Arial" w:hAnsi="Arial" w:cs="Arial"/>
          <w:i/>
          <w:color w:val="000000"/>
          <w:sz w:val="20"/>
        </w:rPr>
        <w:t>See</w:t>
      </w:r>
      <w:r>
        <w:rPr>
          <w:rFonts w:ascii="Arial" w:eastAsia="Arial" w:hAnsi="Arial" w:cs="Arial"/>
          <w:color w:val="000000"/>
          <w:sz w:val="20"/>
        </w:rPr>
        <w:t xml:space="preserve"> R. 53 (Decl. in Opp'n to Defs. Mot. for Summ. J. at 3) (Page ID #278); R. 85-1 (Douglas Aff. at ¶¶ 11-12) (Page ID #504); R. 142 (Resp. to Mot. for Summ. J. II at 18) (Page ID #850). On appeal, Douglas explains that a failure to accommodate establishes an ADA Title II violation, citing the Supreme Court and several circuit courts that have held as much. Appellant Br. at 18. We thus understand Douglas to be alleging that Defendants failed to accommodate his disability, and we analyze his ADA and Rehabilitation Act claims under that framework.</w:t>
      </w:r>
    </w:p>
    <w:p w:rsidR="00022B47" w:rsidRDefault="00000000">
      <w:pPr>
        <w:pStyle w:val="Normal23"/>
        <w:widowControl w:val="0"/>
        <w:spacing w:before="240" w:line="260" w:lineRule="atLeast"/>
      </w:pPr>
      <w:r>
        <w:br/>
      </w:r>
      <w:r>
        <w:rPr>
          <w:rFonts w:ascii="Arial" w:eastAsia="Arial" w:hAnsi="Arial" w:cs="Arial"/>
          <w:b/>
          <w:color w:val="000000"/>
          <w:sz w:val="20"/>
        </w:rPr>
        <w:t>1. Failure to Provide a Reasonable Accommodation</w:t>
      </w:r>
    </w:p>
    <w:p w:rsidR="00022B47" w:rsidRDefault="00000000">
      <w:pPr>
        <w:pStyle w:val="Normal23"/>
        <w:widowControl w:val="0"/>
        <w:spacing w:before="200" w:line="260" w:lineRule="atLeast"/>
        <w:jc w:val="both"/>
      </w:pPr>
      <w:bookmarkStart w:id="4263" w:name="Bookmark_para_31_13"/>
      <w:bookmarkStart w:id="4264" w:name="Bookmark_I66426D928T4V70010000400"/>
      <w:bookmarkEnd w:id="4263"/>
      <w:bookmarkEnd w:id="4264"/>
      <w:r>
        <w:rPr>
          <w:rFonts w:ascii="Arial" w:eastAsia="Arial" w:hAnsi="Arial" w:cs="Arial"/>
          <w:color w:val="000000"/>
          <w:sz w:val="20"/>
        </w:rPr>
        <w:t xml:space="preserve">As discussed above, to prevail on his failure-to-accommodate claim, Douglas must show that he is disabled, was otherwise qualified to receive prison services, and was denied access to prison services because of his disability. </w:t>
      </w:r>
      <w:bookmarkStart w:id="4265" w:name="Bookmark_LNHNREFclscc6_17"/>
      <w:bookmarkEnd w:id="4265"/>
      <w:r>
        <w:rPr>
          <w:rFonts w:ascii="Arial" w:eastAsia="Arial" w:hAnsi="Arial" w:cs="Arial"/>
          <w:color w:val="000000"/>
          <w:sz w:val="20"/>
        </w:rPr>
        <w:t xml:space="preserve">Douglas can survive summary judgment if he presents evidence that could allow a reasonable jury, resolving all inferences in his favor, to conclude that the Defendants failed to make a reasonable accommodation to provide him access to prison [*19]  services. </w:t>
      </w:r>
      <w:bookmarkStart w:id="4266" w:name="Bookmark_I66426D92N1RHJ0050000400"/>
      <w:bookmarkEnd w:id="4266"/>
      <w:r>
        <w:rPr>
          <w:rFonts w:ascii="Arial" w:eastAsia="Arial" w:hAnsi="Arial" w:cs="Arial"/>
          <w:i/>
          <w:color w:val="000000"/>
          <w:sz w:val="20"/>
        </w:rPr>
        <w:t>Keller</w:t>
      </w:r>
      <w:r>
        <w:rPr>
          <w:rFonts w:ascii="Arial" w:eastAsia="Arial" w:hAnsi="Arial" w:cs="Arial"/>
          <w:color w:val="000000"/>
          <w:sz w:val="20"/>
        </w:rPr>
        <w:t xml:space="preserve">, 860 F. App'x at 385 (citing </w:t>
      </w:r>
      <w:bookmarkStart w:id="4267" w:name="Bookmark_I66426D928T4V70020000400"/>
      <w:bookmarkEnd w:id="4267"/>
      <w:r>
        <w:rPr>
          <w:rFonts w:ascii="Arial" w:eastAsia="Arial" w:hAnsi="Arial" w:cs="Arial"/>
          <w:i/>
          <w:color w:val="000000"/>
          <w:sz w:val="20"/>
        </w:rPr>
        <w:t>Roell</w:t>
      </w:r>
      <w:r>
        <w:rPr>
          <w:rFonts w:ascii="Arial" w:eastAsia="Arial" w:hAnsi="Arial" w:cs="Arial"/>
          <w:color w:val="000000"/>
          <w:sz w:val="20"/>
        </w:rPr>
        <w:t xml:space="preserve">, 870 F.3d at 488; </w:t>
      </w:r>
      <w:bookmarkStart w:id="4268" w:name="Bookmark_I66426D928T4V70040000400"/>
      <w:bookmarkEnd w:id="4268"/>
      <w:r>
        <w:rPr>
          <w:rFonts w:ascii="Arial" w:eastAsia="Arial" w:hAnsi="Arial" w:cs="Arial"/>
          <w:i/>
          <w:color w:val="000000"/>
          <w:sz w:val="20"/>
        </w:rPr>
        <w:t>Ability Ctr.</w:t>
      </w:r>
      <w:r>
        <w:rPr>
          <w:rFonts w:ascii="Arial" w:eastAsia="Arial" w:hAnsi="Arial" w:cs="Arial"/>
          <w:color w:val="000000"/>
          <w:sz w:val="20"/>
        </w:rPr>
        <w:t>, 385 F.3d at 907-08).</w:t>
      </w:r>
    </w:p>
    <w:p w:rsidR="00022B47" w:rsidRDefault="00000000">
      <w:pPr>
        <w:pStyle w:val="Normal23"/>
        <w:widowControl w:val="0"/>
        <w:spacing w:before="200" w:line="260" w:lineRule="atLeast"/>
        <w:jc w:val="both"/>
      </w:pPr>
      <w:bookmarkStart w:id="4269" w:name="Bookmark_para_32_13"/>
      <w:bookmarkEnd w:id="4269"/>
      <w:r>
        <w:rPr>
          <w:rFonts w:ascii="Arial" w:eastAsia="Arial" w:hAnsi="Arial" w:cs="Arial"/>
          <w:color w:val="000000"/>
          <w:sz w:val="20"/>
        </w:rPr>
        <w:t xml:space="preserve">The parties do not dispute on this appeal that Douglas is disabled and otherwise qualified for the prison's services. </w:t>
      </w:r>
      <w:r>
        <w:rPr>
          <w:rFonts w:ascii="Arial" w:eastAsia="Arial" w:hAnsi="Arial" w:cs="Arial"/>
          <w:i/>
          <w:color w:val="000000"/>
          <w:sz w:val="20"/>
        </w:rPr>
        <w:t>See</w:t>
      </w:r>
      <w:r>
        <w:rPr>
          <w:rFonts w:ascii="Arial" w:eastAsia="Arial" w:hAnsi="Arial" w:cs="Arial"/>
          <w:color w:val="000000"/>
          <w:sz w:val="20"/>
        </w:rPr>
        <w:t xml:space="preserve"> Appellant Br. at 18; Appellees Br. at 3-4. That leaves a dispute over whether MDOC staff excluded Douglas from prison facilities "because of" his disability.</w:t>
      </w:r>
    </w:p>
    <w:p w:rsidR="00022B47" w:rsidRDefault="00000000">
      <w:pPr>
        <w:pStyle w:val="Normal23"/>
        <w:widowControl w:val="0"/>
        <w:spacing w:before="200" w:line="260" w:lineRule="atLeast"/>
        <w:jc w:val="both"/>
      </w:pPr>
      <w:bookmarkStart w:id="4270" w:name="Bookmark_para_33_12"/>
      <w:bookmarkStart w:id="4271" w:name="Bookmark_I66426D92N1RHM0020000400"/>
      <w:bookmarkStart w:id="4272" w:name="Bookmark_LNHNREFclscc7_16"/>
      <w:bookmarkEnd w:id="4270"/>
      <w:bookmarkEnd w:id="4271"/>
      <w:bookmarkEnd w:id="4272"/>
      <w:r>
        <w:rPr>
          <w:rFonts w:ascii="Arial" w:eastAsia="Arial" w:hAnsi="Arial" w:cs="Arial"/>
          <w:color w:val="000000"/>
          <w:sz w:val="20"/>
        </w:rPr>
        <w:t xml:space="preserve">A public entity denies a plaintiff access to government services "because of" their disability when it fails to provide a reasonable accommodation for their disability. </w:t>
      </w:r>
      <w:bookmarkStart w:id="4273" w:name="Bookmark_I66426D92N1RHM0010000400"/>
      <w:bookmarkEnd w:id="4273"/>
      <w:r>
        <w:rPr>
          <w:rFonts w:ascii="Arial" w:eastAsia="Arial" w:hAnsi="Arial" w:cs="Arial"/>
          <w:i/>
          <w:color w:val="000000"/>
          <w:sz w:val="20"/>
        </w:rPr>
        <w:t>Wilson</w:t>
      </w:r>
      <w:r>
        <w:rPr>
          <w:rFonts w:ascii="Arial" w:eastAsia="Arial" w:hAnsi="Arial" w:cs="Arial"/>
          <w:color w:val="000000"/>
          <w:sz w:val="20"/>
        </w:rPr>
        <w:t xml:space="preserve">, 3 F.4th at 859; </w:t>
      </w:r>
      <w:bookmarkStart w:id="4274" w:name="Bookmark_I66426D92N1RHM0030000400"/>
      <w:bookmarkEnd w:id="4274"/>
      <w:r>
        <w:rPr>
          <w:rFonts w:ascii="Arial" w:eastAsia="Arial" w:hAnsi="Arial" w:cs="Arial"/>
          <w:i/>
          <w:color w:val="000000"/>
          <w:sz w:val="20"/>
        </w:rPr>
        <w:t>Madej</w:t>
      </w:r>
      <w:r>
        <w:rPr>
          <w:rFonts w:ascii="Arial" w:eastAsia="Arial" w:hAnsi="Arial" w:cs="Arial"/>
          <w:color w:val="000000"/>
          <w:sz w:val="20"/>
        </w:rPr>
        <w:t xml:space="preserve">, 951 F.3d at 373. Douglas provides evidence showing that his requested accommodation was reasonable. He repeatedly received accommodations from prison medical staff to wear orthopedic shoes because of his foot deformity—and, indeed, had a permanent, valid Special Accommodation Notice for orthopedic shoes with him on the day of the visit in question. </w:t>
      </w:r>
      <w:r>
        <w:rPr>
          <w:rFonts w:ascii="Arial" w:eastAsia="Arial" w:hAnsi="Arial" w:cs="Arial"/>
          <w:i/>
          <w:color w:val="000000"/>
          <w:sz w:val="20"/>
        </w:rPr>
        <w:t>See, e.g.</w:t>
      </w:r>
      <w:r>
        <w:rPr>
          <w:rFonts w:ascii="Arial" w:eastAsia="Arial" w:hAnsi="Arial" w:cs="Arial"/>
          <w:color w:val="000000"/>
          <w:sz w:val="20"/>
        </w:rPr>
        <w:t xml:space="preserve">, R. 1 (Attach. to Compl. at 19: 2001 Special Accommodation Notice) (Page ID #19); </w:t>
      </w:r>
      <w:r>
        <w:rPr>
          <w:rFonts w:ascii="Arial" w:eastAsia="Arial" w:hAnsi="Arial" w:cs="Arial"/>
          <w:i/>
          <w:color w:val="000000"/>
          <w:sz w:val="20"/>
        </w:rPr>
        <w:t>id.</w:t>
      </w:r>
      <w:r>
        <w:rPr>
          <w:rFonts w:ascii="Arial" w:eastAsia="Arial" w:hAnsi="Arial" w:cs="Arial"/>
          <w:color w:val="000000"/>
          <w:sz w:val="20"/>
        </w:rPr>
        <w:t xml:space="preserve"> (Attach. to Compl. at 20: 2003 Special Accommodation Notice) (Page ID #20). Douglas has displayed this Special Accommodation Notice "without fail, for over a decade" and never been disallowed from wearing his orthopedic shoes before. R. 85-1 (Douglas Aff. at ¶ 12) (Page ID #504).</w:t>
      </w:r>
    </w:p>
    <w:p w:rsidR="00022B47" w:rsidRDefault="00000000">
      <w:pPr>
        <w:pStyle w:val="Normal23"/>
        <w:widowControl w:val="0"/>
        <w:spacing w:before="200" w:line="260" w:lineRule="atLeast"/>
        <w:jc w:val="both"/>
      </w:pPr>
      <w:bookmarkStart w:id="4275" w:name="Bookmark_para_34_12"/>
      <w:bookmarkEnd w:id="4275"/>
      <w:r>
        <w:rPr>
          <w:rFonts w:ascii="Arial" w:eastAsia="Arial" w:hAnsi="Arial" w:cs="Arial"/>
          <w:color w:val="000000"/>
          <w:sz w:val="20"/>
        </w:rPr>
        <w:t xml:space="preserve">As to the failure [*20]  to provide said reasonable accommodation, Douglas's Verified Complaint alleges that he was denied access to prison services because his visit was shortened when he could not tolerate the pain that came from wearing the prison's provided shoes instead of his orthopedic shoes. R. 1 (Compl. at ¶ 9) (Page ID #6). After his shoes were confiscated, Douglas could not dine in the prison's chow hall and could not participate in religious services or recreational activities. </w:t>
      </w:r>
      <w:bookmarkStart w:id="4276" w:name="Bookmark_I66426D92SF8CC0010000400"/>
      <w:bookmarkEnd w:id="4276"/>
      <w:r>
        <w:rPr>
          <w:rFonts w:ascii="Arial" w:eastAsia="Arial" w:hAnsi="Arial" w:cs="Arial"/>
          <w:color w:val="000000"/>
          <w:sz w:val="20"/>
        </w:rPr>
        <w:t xml:space="preserve">R. 142-4 (Pl's Disc. Resps. at 3) (Page ID #895). "But for" Douglas's disability, he could have worn non-orthopedic shoes, like the state issued ones, and had visits, dined in the chow hall, or engaged in any other prison service over the forty-five days he went without his orthopedic shoes. </w:t>
      </w:r>
      <w:r>
        <w:rPr>
          <w:rFonts w:ascii="Arial" w:eastAsia="Arial" w:hAnsi="Arial" w:cs="Arial"/>
          <w:i/>
          <w:color w:val="000000"/>
          <w:sz w:val="20"/>
        </w:rPr>
        <w:t xml:space="preserve">See </w:t>
      </w:r>
      <w:bookmarkStart w:id="4277" w:name="Bookmark_I66426D92N1RHM0050000400"/>
      <w:bookmarkEnd w:id="4277"/>
      <w:r>
        <w:rPr>
          <w:rFonts w:ascii="Arial" w:eastAsia="Arial" w:hAnsi="Arial" w:cs="Arial"/>
          <w:i/>
          <w:color w:val="000000"/>
          <w:sz w:val="20"/>
        </w:rPr>
        <w:t>Madej</w:t>
      </w:r>
      <w:r>
        <w:rPr>
          <w:rFonts w:ascii="Arial" w:eastAsia="Arial" w:hAnsi="Arial" w:cs="Arial"/>
          <w:color w:val="000000"/>
          <w:sz w:val="20"/>
        </w:rPr>
        <w:t>, 951 F.3d at 373. Because Douglas can show that he was denied access to prison services when his reasonable accommodation was denied, he has established facts demonstrating that he was denied prison services "because of" his disability.</w:t>
      </w:r>
    </w:p>
    <w:p w:rsidR="00022B47" w:rsidRDefault="00000000">
      <w:pPr>
        <w:pStyle w:val="Normal23"/>
        <w:widowControl w:val="0"/>
        <w:spacing w:before="200" w:line="260" w:lineRule="atLeast"/>
        <w:jc w:val="both"/>
      </w:pPr>
      <w:bookmarkStart w:id="4278" w:name="Bookmark_para_35_12"/>
      <w:bookmarkEnd w:id="4278"/>
      <w:r>
        <w:rPr>
          <w:rFonts w:ascii="Arial" w:eastAsia="Arial" w:hAnsi="Arial" w:cs="Arial"/>
          <w:color w:val="000000"/>
          <w:sz w:val="20"/>
        </w:rPr>
        <w:t xml:space="preserve">All three Defendants participated in failing to provide Douglas a reasonable accommodation. Defendant Muzzin refused to let Douglas wear his orthopedic shoes to his visit. R. 1 (Compl. at ¶ 8) (Page ID #6). Defendant [*21]  Martin refused to return Douglas's shoes and ordered Douglas to return to his cell barefoot. </w:t>
      </w:r>
      <w:r>
        <w:rPr>
          <w:rFonts w:ascii="Arial" w:eastAsia="Arial" w:hAnsi="Arial" w:cs="Arial"/>
          <w:i/>
          <w:color w:val="000000"/>
          <w:sz w:val="20"/>
        </w:rPr>
        <w:t>Id.</w:t>
      </w:r>
      <w:r>
        <w:rPr>
          <w:rFonts w:ascii="Arial" w:eastAsia="Arial" w:hAnsi="Arial" w:cs="Arial"/>
          <w:color w:val="000000"/>
          <w:sz w:val="20"/>
        </w:rPr>
        <w:t xml:space="preserve"> at ¶¶ 14-15 (Page ID #7). And Defendant Gobert refused to conduct a grievance hearing on the confiscated shoes or to return them. </w:t>
      </w:r>
      <w:r>
        <w:rPr>
          <w:rFonts w:ascii="Arial" w:eastAsia="Arial" w:hAnsi="Arial" w:cs="Arial"/>
          <w:i/>
          <w:color w:val="000000"/>
          <w:sz w:val="20"/>
        </w:rPr>
        <w:t>Id.</w:t>
      </w:r>
      <w:r>
        <w:rPr>
          <w:rFonts w:ascii="Arial" w:eastAsia="Arial" w:hAnsi="Arial" w:cs="Arial"/>
          <w:color w:val="000000"/>
          <w:sz w:val="20"/>
        </w:rPr>
        <w:t xml:space="preserve"> at ¶¶ 20-21 (Page ID #7-8).</w:t>
      </w:r>
    </w:p>
    <w:p w:rsidR="00022B47" w:rsidRDefault="00000000">
      <w:pPr>
        <w:pStyle w:val="Normal23"/>
        <w:widowControl w:val="0"/>
        <w:spacing w:before="200" w:line="260" w:lineRule="atLeast"/>
        <w:jc w:val="both"/>
      </w:pPr>
      <w:bookmarkStart w:id="4279" w:name="Bookmark_para_36_12"/>
      <w:bookmarkEnd w:id="4279"/>
      <w:r>
        <w:rPr>
          <w:rFonts w:ascii="Arial" w:eastAsia="Arial" w:hAnsi="Arial" w:cs="Arial"/>
          <w:color w:val="000000"/>
          <w:sz w:val="20"/>
        </w:rPr>
        <w:t>Defendants argue that Douglas had no special accommodation in effect at the time of the 2012 visit, Appellees Br. at 18-19, which in a way asserts that Douglas did not request a reasonable accommodation. Because Douglas's 2003 Special Accommodation Notice was never cancelled, the record does not support this contention. As discussed above, when an MDOC facility cancels an incarcerated person's Special Accommodation Notice, the person must receive notice of the cancellation. R. 132-2 (MDOC Policy Directive re: Medical Details and Special Accommodation Notices at ¶ K) (Page ID #771). The record contains no evidence that Douglas received such notice, resulting in a reasonable inference that his accommodation was never cancelled.</w:t>
      </w:r>
    </w:p>
    <w:p w:rsidR="00022B47" w:rsidRDefault="00000000">
      <w:pPr>
        <w:pStyle w:val="Normal23"/>
        <w:widowControl w:val="0"/>
        <w:spacing w:before="200" w:line="260" w:lineRule="atLeast"/>
        <w:jc w:val="both"/>
      </w:pPr>
      <w:bookmarkStart w:id="4280" w:name="Bookmark_para_37_10"/>
      <w:bookmarkStart w:id="4281" w:name="Bookmark_I66426D92SF8CC0030000400"/>
      <w:bookmarkStart w:id="4282" w:name="Bookmark_I66426D92SF8CC0050000400"/>
      <w:bookmarkEnd w:id="4280"/>
      <w:bookmarkEnd w:id="4281"/>
      <w:bookmarkEnd w:id="4282"/>
      <w:r>
        <w:rPr>
          <w:rFonts w:ascii="Arial" w:eastAsia="Arial" w:hAnsi="Arial" w:cs="Arial"/>
          <w:color w:val="000000"/>
          <w:sz w:val="20"/>
        </w:rPr>
        <w:t xml:space="preserve">Below, Defendants also argued that "single instances of a failure to accommodate do[] not state a claim under the ADA." R. 132 (Mot. for Summ. J. at 10 n.3) (Page ID #748) (citing </w:t>
      </w:r>
      <w:bookmarkStart w:id="4283" w:name="Bookmark_I66426D92SF8CC0020000400"/>
      <w:bookmarkEnd w:id="4283"/>
      <w:r>
        <w:rPr>
          <w:rFonts w:ascii="Arial" w:eastAsia="Arial" w:hAnsi="Arial" w:cs="Arial"/>
          <w:i/>
          <w:color w:val="000000"/>
          <w:sz w:val="20"/>
        </w:rPr>
        <w:t>Moore v. Curtis</w:t>
      </w:r>
      <w:r>
        <w:rPr>
          <w:rFonts w:ascii="Arial" w:eastAsia="Arial" w:hAnsi="Arial" w:cs="Arial"/>
          <w:color w:val="000000"/>
          <w:sz w:val="20"/>
        </w:rPr>
        <w:t xml:space="preserve">, 68 F. App'x 561, 563 (6th Cir. 2003) (Order)). </w:t>
      </w:r>
      <w:bookmarkStart w:id="4284" w:name="Bookmark_I2G74P3BV0B00003P900000D"/>
      <w:bookmarkStart w:id="4285" w:name="Bookmark_I66426D92HM6050020000400"/>
      <w:bookmarkStart w:id="4286" w:name="Bookmark_I66426D92SF8CC0040000400"/>
      <w:bookmarkEnd w:id="4284"/>
      <w:bookmarkEnd w:id="4285"/>
      <w:bookmarkEnd w:id="4286"/>
      <w:r>
        <w:rPr>
          <w:rFonts w:ascii="Arial" w:eastAsia="Arial" w:hAnsi="Arial" w:cs="Arial"/>
          <w:i/>
          <w:color w:val="000000"/>
          <w:sz w:val="20"/>
        </w:rPr>
        <w:t>Moore v. Curtis</w:t>
      </w:r>
      <w:r>
        <w:rPr>
          <w:rFonts w:ascii="Arial" w:eastAsia="Arial" w:hAnsi="Arial" w:cs="Arial"/>
          <w:color w:val="000000"/>
          <w:sz w:val="20"/>
        </w:rPr>
        <w:t xml:space="preserve"> does not stand [*22]  for this proposition. </w:t>
      </w:r>
      <w:bookmarkStart w:id="4287" w:name="Bookmark_I66426D92HM6050020000400_2"/>
      <w:bookmarkEnd w:id="4287"/>
      <w:r>
        <w:rPr>
          <w:rFonts w:ascii="Arial" w:eastAsia="Arial" w:hAnsi="Arial" w:cs="Arial"/>
          <w:color w:val="000000"/>
          <w:sz w:val="20"/>
        </w:rPr>
        <w:t xml:space="preserve">In </w:t>
      </w:r>
      <w:bookmarkStart w:id="4288" w:name="Bookmark_I66426D92HM6050020000400_3"/>
      <w:bookmarkStart w:id="4289" w:name="Bookmark_I66426D92HM6050010000400"/>
      <w:bookmarkEnd w:id="4288"/>
      <w:bookmarkEnd w:id="4289"/>
      <w:r>
        <w:rPr>
          <w:rFonts w:ascii="Arial" w:eastAsia="Arial" w:hAnsi="Arial" w:cs="Arial"/>
          <w:i/>
          <w:color w:val="000000"/>
          <w:sz w:val="20"/>
        </w:rPr>
        <w:t>Moore</w:t>
      </w:r>
      <w:r>
        <w:rPr>
          <w:rFonts w:ascii="Arial" w:eastAsia="Arial" w:hAnsi="Arial" w:cs="Arial"/>
          <w:color w:val="000000"/>
          <w:sz w:val="20"/>
        </w:rPr>
        <w:t xml:space="preserve">, the plaintiff "did not allege or show that the defendants deprived him of any service, program, or activities because of his disability," but instead showed "only isolated instances where he missed meals or privileges." </w:t>
      </w:r>
      <w:bookmarkStart w:id="4290" w:name="Bookmark_I66426D92HM6050030000400"/>
      <w:bookmarkEnd w:id="4290"/>
      <w:r>
        <w:rPr>
          <w:rFonts w:ascii="Arial" w:eastAsia="Arial" w:hAnsi="Arial" w:cs="Arial"/>
          <w:i/>
          <w:color w:val="000000"/>
          <w:sz w:val="20"/>
        </w:rPr>
        <w:t>Moore</w:t>
      </w:r>
      <w:r>
        <w:rPr>
          <w:rFonts w:ascii="Arial" w:eastAsia="Arial" w:hAnsi="Arial" w:cs="Arial"/>
          <w:color w:val="000000"/>
          <w:sz w:val="20"/>
        </w:rPr>
        <w:t xml:space="preserve">, 68 F. App'x at 563. Here, by contrast, Douglas has provided evidence sufficient to allow a jury resolving all inferences in his favor to conclude both that he was denied the ability to complete his initial visit and that the subsequent confiscation of his orthopedic shoes deprived him of meals in the chow hall and other prison services over the following forty-five days. R. 142-4 (Pl's Disc. Resps. at 3) (Page ID #895); </w:t>
      </w:r>
      <w:r>
        <w:rPr>
          <w:rFonts w:ascii="Arial" w:eastAsia="Arial" w:hAnsi="Arial" w:cs="Arial"/>
          <w:i/>
          <w:color w:val="000000"/>
          <w:sz w:val="20"/>
        </w:rPr>
        <w:t>see also</w:t>
      </w:r>
      <w:r>
        <w:rPr>
          <w:rFonts w:ascii="Arial" w:eastAsia="Arial" w:hAnsi="Arial" w:cs="Arial"/>
          <w:color w:val="000000"/>
          <w:sz w:val="20"/>
        </w:rPr>
        <w:t xml:space="preserve"> R. 132-6 (Douglas's Call-Out Sheet at 3-9) (Page ID #804-10) (showing that during this forty-five-day period Douglas attended only medical appointments and activities with the National Lifers of America). Douglas alleges more than a single, isolated instance.</w:t>
      </w:r>
    </w:p>
    <w:p w:rsidR="00022B47" w:rsidRDefault="00000000">
      <w:pPr>
        <w:pStyle w:val="Normal23"/>
        <w:widowControl w:val="0"/>
        <w:spacing w:before="200" w:line="260" w:lineRule="atLeast"/>
        <w:jc w:val="both"/>
      </w:pPr>
      <w:bookmarkStart w:id="4291" w:name="Bookmark_para_38_10"/>
      <w:bookmarkEnd w:id="4291"/>
      <w:r>
        <w:rPr>
          <w:rFonts w:ascii="Arial" w:eastAsia="Arial" w:hAnsi="Arial" w:cs="Arial"/>
          <w:color w:val="000000"/>
          <w:sz w:val="20"/>
        </w:rPr>
        <w:t>Consequently, drawing all reasonable inferences in Douglas's favor, we conclude that a reasonable jury could find that the three Defendants failed to accommodate Douglas's disability, violating Title II of the ADA and § 504 of the Rehabilitation Act. We now must determine whether Douglas can collect compensatory damages [*23]  from them.</w:t>
      </w:r>
    </w:p>
    <w:p w:rsidR="00022B47" w:rsidRDefault="00000000">
      <w:pPr>
        <w:pStyle w:val="Normal23"/>
        <w:widowControl w:val="0"/>
        <w:spacing w:before="240" w:line="260" w:lineRule="atLeast"/>
      </w:pPr>
      <w:r>
        <w:br/>
      </w:r>
      <w:r>
        <w:rPr>
          <w:rFonts w:ascii="Arial" w:eastAsia="Arial" w:hAnsi="Arial" w:cs="Arial"/>
          <w:b/>
          <w:color w:val="000000"/>
          <w:sz w:val="20"/>
        </w:rPr>
        <w:t>2. Compensatory Damages</w:t>
      </w:r>
    </w:p>
    <w:p w:rsidR="00022B47" w:rsidRDefault="00000000">
      <w:pPr>
        <w:pStyle w:val="Normal23"/>
        <w:widowControl w:val="0"/>
        <w:spacing w:before="200" w:line="260" w:lineRule="atLeast"/>
        <w:jc w:val="both"/>
      </w:pPr>
      <w:bookmarkStart w:id="4292" w:name="Bookmark_para_39_8"/>
      <w:bookmarkStart w:id="4293" w:name="Bookmark_I66426D928T4VB0010000400"/>
      <w:bookmarkStart w:id="4294" w:name="Bookmark_I66426D928T4VB0050000400"/>
      <w:bookmarkEnd w:id="4292"/>
      <w:bookmarkEnd w:id="4293"/>
      <w:bookmarkEnd w:id="4294"/>
      <w:r>
        <w:rPr>
          <w:rFonts w:ascii="Arial" w:eastAsia="Arial" w:hAnsi="Arial" w:cs="Arial"/>
          <w:color w:val="000000"/>
          <w:sz w:val="20"/>
        </w:rPr>
        <w:t xml:space="preserve">In many other circuits, a plaintiff bringing an ADA Title II or Rehabilitation Act claim must show discriminatory intent to secure compensatory damages. </w:t>
      </w:r>
      <w:r>
        <w:rPr>
          <w:rFonts w:ascii="Arial" w:eastAsia="Arial" w:hAnsi="Arial" w:cs="Arial"/>
          <w:i/>
          <w:color w:val="000000"/>
          <w:sz w:val="20"/>
        </w:rPr>
        <w:t xml:space="preserve">See, e.g., </w:t>
      </w:r>
      <w:bookmarkStart w:id="4295" w:name="Bookmark_I66426D92HM6050050000400"/>
      <w:bookmarkEnd w:id="4295"/>
      <w:r>
        <w:rPr>
          <w:rFonts w:ascii="Arial" w:eastAsia="Arial" w:hAnsi="Arial" w:cs="Arial"/>
          <w:i/>
          <w:color w:val="000000"/>
          <w:sz w:val="20"/>
        </w:rPr>
        <w:t>Duvall v. County of Kitsap</w:t>
      </w:r>
      <w:r>
        <w:rPr>
          <w:rFonts w:ascii="Arial" w:eastAsia="Arial" w:hAnsi="Arial" w:cs="Arial"/>
          <w:color w:val="000000"/>
          <w:sz w:val="20"/>
        </w:rPr>
        <w:t xml:space="preserve">, 260 F.3d 1124, 1138 (9th Cir. 2001); </w:t>
      </w:r>
      <w:bookmarkStart w:id="4296" w:name="Bookmark_I66426D928T4VB0020000400"/>
      <w:bookmarkEnd w:id="4296"/>
      <w:r>
        <w:rPr>
          <w:rFonts w:ascii="Arial" w:eastAsia="Arial" w:hAnsi="Arial" w:cs="Arial"/>
          <w:i/>
          <w:color w:val="000000"/>
          <w:sz w:val="20"/>
        </w:rPr>
        <w:t>Meagley v. City of Little Rock</w:t>
      </w:r>
      <w:r>
        <w:rPr>
          <w:rFonts w:ascii="Arial" w:eastAsia="Arial" w:hAnsi="Arial" w:cs="Arial"/>
          <w:color w:val="000000"/>
          <w:sz w:val="20"/>
        </w:rPr>
        <w:t xml:space="preserve">, 639 F.3d 384, 389 (8th Cir. 2011) (collecting cases). </w:t>
      </w:r>
      <w:bookmarkStart w:id="4297" w:name="Bookmark_I66426DB2HM60D0020000400"/>
      <w:bookmarkStart w:id="4298" w:name="Bookmark_LNHNREFclscc8_15"/>
      <w:bookmarkEnd w:id="4297"/>
      <w:bookmarkEnd w:id="4298"/>
      <w:r>
        <w:rPr>
          <w:rFonts w:ascii="Arial" w:eastAsia="Arial" w:hAnsi="Arial" w:cs="Arial"/>
          <w:color w:val="000000"/>
          <w:sz w:val="20"/>
        </w:rPr>
        <w:t xml:space="preserve">This is because the Supreme Court has held that "the remedies for violations of [ADA Title II and the Rehabilitation Act] are coextensive with the remedies available in a private cause of action brought under Title VI of the Civil Rights Act of 1964." </w:t>
      </w:r>
      <w:bookmarkStart w:id="4299" w:name="Bookmark_I66426D928T4VB0040000400"/>
      <w:bookmarkEnd w:id="4299"/>
      <w:r>
        <w:rPr>
          <w:rFonts w:ascii="Arial" w:eastAsia="Arial" w:hAnsi="Arial" w:cs="Arial"/>
          <w:i/>
          <w:color w:val="000000"/>
          <w:sz w:val="20"/>
        </w:rPr>
        <w:t>Barnes v. Gorman</w:t>
      </w:r>
      <w:r>
        <w:rPr>
          <w:rFonts w:ascii="Arial" w:eastAsia="Arial" w:hAnsi="Arial" w:cs="Arial"/>
          <w:color w:val="000000"/>
          <w:sz w:val="20"/>
        </w:rPr>
        <w:t xml:space="preserve">, 536 U.S. 181, 185, 122 S. Ct. 2097, 153 L. Ed. 2d 230 (2002). </w:t>
      </w:r>
      <w:bookmarkStart w:id="4300" w:name="Bookmark_I66426DB2HM60D0020000400_2"/>
      <w:bookmarkEnd w:id="4300"/>
      <w:r>
        <w:rPr>
          <w:rFonts w:ascii="Arial" w:eastAsia="Arial" w:hAnsi="Arial" w:cs="Arial"/>
          <w:color w:val="000000"/>
          <w:sz w:val="20"/>
        </w:rPr>
        <w:t xml:space="preserve">Title VI, in turn, requires a showing of intentional discrimination to collect compensatory damages. </w:t>
      </w:r>
      <w:bookmarkStart w:id="4301" w:name="Bookmark_I66426DB2HM60D0010000400"/>
      <w:bookmarkEnd w:id="4301"/>
      <w:r>
        <w:rPr>
          <w:rFonts w:ascii="Arial" w:eastAsia="Arial" w:hAnsi="Arial" w:cs="Arial"/>
          <w:i/>
          <w:color w:val="000000"/>
          <w:sz w:val="20"/>
        </w:rPr>
        <w:t>Alexander v. Sandoval</w:t>
      </w:r>
      <w:r>
        <w:rPr>
          <w:rFonts w:ascii="Arial" w:eastAsia="Arial" w:hAnsi="Arial" w:cs="Arial"/>
          <w:color w:val="000000"/>
          <w:sz w:val="20"/>
        </w:rPr>
        <w:t>, 532 U.S. 275, 282-83, 121 S. Ct. 1511, 149 L. Ed. 2d 517 (2001).</w:t>
      </w:r>
    </w:p>
    <w:p w:rsidR="00022B47" w:rsidRDefault="00000000">
      <w:pPr>
        <w:pStyle w:val="Normal23"/>
        <w:widowControl w:val="0"/>
        <w:spacing w:before="200" w:line="260" w:lineRule="atLeast"/>
        <w:jc w:val="both"/>
      </w:pPr>
      <w:bookmarkStart w:id="4302" w:name="Bookmark_para_40_8"/>
      <w:bookmarkStart w:id="4303" w:name="Bookmark_I66426DB2HM60D0040000400"/>
      <w:bookmarkEnd w:id="4302"/>
      <w:bookmarkEnd w:id="4303"/>
      <w:r>
        <w:rPr>
          <w:rFonts w:ascii="Arial" w:eastAsia="Arial" w:hAnsi="Arial" w:cs="Arial"/>
          <w:color w:val="000000"/>
          <w:sz w:val="20"/>
        </w:rPr>
        <w:t xml:space="preserve">Our circuit has not adopted this requirement, instead assuming without deciding that a showing of intent is required to recover compensatory damages. </w:t>
      </w:r>
      <w:bookmarkStart w:id="4304" w:name="Bookmark_I66426DB2SF8CT0030000400"/>
      <w:bookmarkEnd w:id="4304"/>
      <w:r>
        <w:rPr>
          <w:rFonts w:ascii="Arial" w:eastAsia="Arial" w:hAnsi="Arial" w:cs="Arial"/>
          <w:i/>
          <w:color w:val="000000"/>
          <w:sz w:val="20"/>
        </w:rPr>
        <w:t xml:space="preserve">See, e.g., </w:t>
      </w:r>
      <w:bookmarkStart w:id="4305" w:name="Bookmark_I66426DB2HM60D0030000400"/>
      <w:bookmarkEnd w:id="4305"/>
      <w:r>
        <w:rPr>
          <w:rFonts w:ascii="Arial" w:eastAsia="Arial" w:hAnsi="Arial" w:cs="Arial"/>
          <w:i/>
          <w:color w:val="000000"/>
          <w:sz w:val="20"/>
        </w:rPr>
        <w:t>R.K.</w:t>
      </w:r>
      <w:r>
        <w:rPr>
          <w:rFonts w:ascii="Arial" w:eastAsia="Arial" w:hAnsi="Arial" w:cs="Arial"/>
          <w:color w:val="000000"/>
          <w:sz w:val="20"/>
        </w:rPr>
        <w:t xml:space="preserve">, 637 F. App'x at 925; </w:t>
      </w:r>
      <w:bookmarkStart w:id="4306" w:name="Bookmark_I66426DB2HM60D0050000400"/>
      <w:bookmarkEnd w:id="4306"/>
      <w:r>
        <w:rPr>
          <w:rFonts w:ascii="Arial" w:eastAsia="Arial" w:hAnsi="Arial" w:cs="Arial"/>
          <w:i/>
          <w:color w:val="000000"/>
          <w:sz w:val="20"/>
        </w:rPr>
        <w:t>Hill v. Bradley Cnty. Bd. of Educ.</w:t>
      </w:r>
      <w:r>
        <w:rPr>
          <w:rFonts w:ascii="Arial" w:eastAsia="Arial" w:hAnsi="Arial" w:cs="Arial"/>
          <w:color w:val="000000"/>
          <w:sz w:val="20"/>
        </w:rPr>
        <w:t xml:space="preserve">, 295 F. App'x 740, 742 &amp; n.2 (6th Cir. 2008). These cases have also assumed that a showing of deliberate indifference suffices to prove that intent. </w:t>
      </w:r>
      <w:bookmarkStart w:id="4307" w:name="Bookmark_I66426DB2SF8CT0030000400_2"/>
      <w:bookmarkStart w:id="4308" w:name="Bookmark_I66426DB2SF8CT0020000400"/>
      <w:bookmarkEnd w:id="4307"/>
      <w:bookmarkEnd w:id="4308"/>
      <w:r>
        <w:rPr>
          <w:rFonts w:ascii="Arial" w:eastAsia="Arial" w:hAnsi="Arial" w:cs="Arial"/>
          <w:i/>
          <w:color w:val="000000"/>
          <w:sz w:val="20"/>
        </w:rPr>
        <w:t>R.K.</w:t>
      </w:r>
      <w:r>
        <w:rPr>
          <w:rFonts w:ascii="Arial" w:eastAsia="Arial" w:hAnsi="Arial" w:cs="Arial"/>
          <w:color w:val="000000"/>
          <w:sz w:val="20"/>
        </w:rPr>
        <w:t xml:space="preserve">, 637 F. App'x at 925; </w:t>
      </w:r>
      <w:bookmarkStart w:id="4309" w:name="Bookmark_I66426DB2SF8CT0040000400"/>
      <w:bookmarkEnd w:id="4309"/>
      <w:r>
        <w:rPr>
          <w:rFonts w:ascii="Arial" w:eastAsia="Arial" w:hAnsi="Arial" w:cs="Arial"/>
          <w:i/>
          <w:color w:val="000000"/>
          <w:sz w:val="20"/>
        </w:rPr>
        <w:t>Hill</w:t>
      </w:r>
      <w:r>
        <w:rPr>
          <w:rFonts w:ascii="Arial" w:eastAsia="Arial" w:hAnsi="Arial" w:cs="Arial"/>
          <w:color w:val="000000"/>
          <w:sz w:val="20"/>
        </w:rPr>
        <w:t>, 295 F. App'x at 742 &amp; n.2.</w:t>
      </w:r>
      <w:r>
        <w:rPr>
          <w:rFonts w:ascii="Arial" w:eastAsia="Arial" w:hAnsi="Arial" w:cs="Arial"/>
          <w:vertAlign w:val="superscript"/>
        </w:rPr>
        <w:footnoteReference w:customMarkFollows="1" w:id="96"/>
        <w:t>5</w:t>
      </w:r>
    </w:p>
    <w:p w:rsidR="00022B47" w:rsidRDefault="00000000">
      <w:pPr>
        <w:pStyle w:val="Normal23"/>
        <w:widowControl w:val="0"/>
        <w:spacing w:before="200" w:line="260" w:lineRule="atLeast"/>
        <w:jc w:val="both"/>
      </w:pPr>
      <w:bookmarkStart w:id="4322" w:name="Bookmark_para_41_8"/>
      <w:bookmarkStart w:id="4323" w:name="Bookmark_I66426DC2D6NDJ0050000400"/>
      <w:bookmarkStart w:id="4324" w:name="Bookmark_I2G74P39SKV00003P9000006"/>
      <w:bookmarkStart w:id="4325" w:name="Bookmark_I2G74P3BHHG00003P9000008"/>
      <w:bookmarkStart w:id="4326" w:name="Bookmark_I66426DC2SF8D20020000400"/>
      <w:bookmarkEnd w:id="4322"/>
      <w:bookmarkEnd w:id="4323"/>
      <w:bookmarkEnd w:id="4324"/>
      <w:bookmarkEnd w:id="4325"/>
      <w:bookmarkEnd w:id="4326"/>
      <w:r>
        <w:rPr>
          <w:rFonts w:ascii="Arial" w:eastAsia="Arial" w:hAnsi="Arial" w:cs="Arial"/>
          <w:color w:val="000000"/>
          <w:sz w:val="20"/>
        </w:rPr>
        <w:t xml:space="preserve">On appeal, both sides argue that a showing of discriminatory intent is required, and that proof of deliberate indifference provides the requisite intent. Appellees Br. at 17 (quoting </w:t>
      </w:r>
      <w:bookmarkStart w:id="4327" w:name="Bookmark_I66426DC2D6NDJ0040000400"/>
      <w:bookmarkEnd w:id="4327"/>
      <w:r>
        <w:rPr>
          <w:rFonts w:ascii="Arial" w:eastAsia="Arial" w:hAnsi="Arial" w:cs="Arial"/>
          <w:i/>
          <w:color w:val="000000"/>
          <w:sz w:val="20"/>
        </w:rPr>
        <w:t>Tanney v. Boles</w:t>
      </w:r>
      <w:r>
        <w:rPr>
          <w:rFonts w:ascii="Arial" w:eastAsia="Arial" w:hAnsi="Arial" w:cs="Arial"/>
          <w:color w:val="000000"/>
          <w:sz w:val="20"/>
        </w:rPr>
        <w:t xml:space="preserve">, 400 F. Supp. 2d 1027, 1047 (E.D. Mich. 2005)); Appellant Br. at 19. We follow our decisions in </w:t>
      </w:r>
      <w:bookmarkStart w:id="4328" w:name="Bookmark_I66426DC2SF8D20020000400_2"/>
      <w:bookmarkStart w:id="4329" w:name="Bookmark_I66426DC2D6NDJ0050000400_2"/>
      <w:bookmarkStart w:id="4330" w:name="Bookmark_I66426DC2SF8D20010000400"/>
      <w:bookmarkEnd w:id="4328"/>
      <w:bookmarkEnd w:id="4329"/>
      <w:bookmarkEnd w:id="4330"/>
      <w:r>
        <w:rPr>
          <w:rFonts w:ascii="Arial" w:eastAsia="Arial" w:hAnsi="Arial" w:cs="Arial"/>
          <w:i/>
          <w:color w:val="000000"/>
          <w:sz w:val="20"/>
        </w:rPr>
        <w:t>Hill</w:t>
      </w:r>
      <w:r>
        <w:rPr>
          <w:rFonts w:ascii="Arial" w:eastAsia="Arial" w:hAnsi="Arial" w:cs="Arial"/>
          <w:color w:val="000000"/>
          <w:sz w:val="20"/>
        </w:rPr>
        <w:t xml:space="preserve"> and </w:t>
      </w:r>
      <w:bookmarkStart w:id="4331" w:name="Bookmark_I66426DC2SF8D20030000400"/>
      <w:bookmarkEnd w:id="4331"/>
      <w:r>
        <w:rPr>
          <w:rFonts w:ascii="Arial" w:eastAsia="Arial" w:hAnsi="Arial" w:cs="Arial"/>
          <w:i/>
          <w:color w:val="000000"/>
          <w:sz w:val="20"/>
        </w:rPr>
        <w:t>R.K.</w:t>
      </w:r>
      <w:r>
        <w:rPr>
          <w:rFonts w:ascii="Arial" w:eastAsia="Arial" w:hAnsi="Arial" w:cs="Arial"/>
          <w:color w:val="000000"/>
          <w:sz w:val="20"/>
        </w:rPr>
        <w:t xml:space="preserve">, accepting the parties' framing that </w:t>
      </w:r>
      <w:bookmarkStart w:id="4332" w:name="Bookmark_LNHNREFclscc9_15"/>
      <w:bookmarkEnd w:id="4332"/>
      <w:r>
        <w:rPr>
          <w:rFonts w:ascii="Arial" w:eastAsia="Arial" w:hAnsi="Arial" w:cs="Arial"/>
          <w:color w:val="000000"/>
          <w:sz w:val="20"/>
        </w:rPr>
        <w:t xml:space="preserve">intentional discrimination for the purpose of establishing a right to compensatory damages [*24]  "can be inferred from a defendant's deliberate indifference." Appellees Br. at 17 (quoting </w:t>
      </w:r>
      <w:bookmarkStart w:id="4333" w:name="Bookmark_I66426DC2SF8D20050000400"/>
      <w:bookmarkEnd w:id="4333"/>
      <w:r>
        <w:rPr>
          <w:rFonts w:ascii="Arial" w:eastAsia="Arial" w:hAnsi="Arial" w:cs="Arial"/>
          <w:i/>
          <w:color w:val="000000"/>
          <w:sz w:val="20"/>
        </w:rPr>
        <w:t>Tanney</w:t>
      </w:r>
      <w:r>
        <w:rPr>
          <w:rFonts w:ascii="Arial" w:eastAsia="Arial" w:hAnsi="Arial" w:cs="Arial"/>
          <w:color w:val="000000"/>
          <w:sz w:val="20"/>
        </w:rPr>
        <w:t>, 400 F. Supp. 2d at 1047). Under this standard, Douglas must show deliberate indifference by Defendants in order to recover compensatory damages.</w:t>
      </w:r>
    </w:p>
    <w:p w:rsidR="00022B47" w:rsidRDefault="00000000">
      <w:pPr>
        <w:pStyle w:val="Normal23"/>
        <w:widowControl w:val="0"/>
        <w:spacing w:before="200" w:line="260" w:lineRule="atLeast"/>
        <w:jc w:val="both"/>
      </w:pPr>
      <w:bookmarkStart w:id="4334" w:name="Bookmark_para_42_7"/>
      <w:bookmarkStart w:id="4335" w:name="Bookmark_I66426DC2D6NDR0030000400"/>
      <w:bookmarkStart w:id="4336" w:name="Bookmark_I66426DC2D6NF00020000400"/>
      <w:bookmarkStart w:id="4337" w:name="Bookmark_I66426DC2SF8DD0030000400"/>
      <w:bookmarkStart w:id="4338" w:name="Bookmark_LNHNREFclscc10_14"/>
      <w:bookmarkEnd w:id="4334"/>
      <w:bookmarkEnd w:id="4335"/>
      <w:bookmarkEnd w:id="4336"/>
      <w:bookmarkEnd w:id="4337"/>
      <w:bookmarkEnd w:id="4338"/>
      <w:r>
        <w:rPr>
          <w:rFonts w:ascii="Arial" w:eastAsia="Arial" w:hAnsi="Arial" w:cs="Arial"/>
          <w:color w:val="000000"/>
          <w:sz w:val="20"/>
        </w:rPr>
        <w:t xml:space="preserve">"The deliberate-indifference standard 'require[es] both (1) knowledge that a harm to a federally protected right is substantially likely, and (2) a failure to act upon that likelihood.'" </w:t>
      </w:r>
      <w:bookmarkStart w:id="4339" w:name="Bookmark_I66426DC2D6NDR0020000400"/>
      <w:bookmarkEnd w:id="4339"/>
      <w:r>
        <w:rPr>
          <w:rFonts w:ascii="Arial" w:eastAsia="Arial" w:hAnsi="Arial" w:cs="Arial"/>
          <w:i/>
          <w:color w:val="000000"/>
          <w:sz w:val="20"/>
        </w:rPr>
        <w:t>R.K.</w:t>
      </w:r>
      <w:r>
        <w:rPr>
          <w:rFonts w:ascii="Arial" w:eastAsia="Arial" w:hAnsi="Arial" w:cs="Arial"/>
          <w:color w:val="000000"/>
          <w:sz w:val="20"/>
        </w:rPr>
        <w:t xml:space="preserve">, 637 F. App'x at 926 (Moore, J., concurring in part and dissenting in part) (quoting </w:t>
      </w:r>
      <w:bookmarkStart w:id="4340" w:name="Bookmark_I66426DC2D6NDR0040000400"/>
      <w:bookmarkEnd w:id="4340"/>
      <w:r>
        <w:rPr>
          <w:rFonts w:ascii="Arial" w:eastAsia="Arial" w:hAnsi="Arial" w:cs="Arial"/>
          <w:i/>
          <w:color w:val="000000"/>
          <w:sz w:val="20"/>
        </w:rPr>
        <w:t>S.H. ex rel. Durrell v. Lower Merion Sch. Dist.</w:t>
      </w:r>
      <w:r>
        <w:rPr>
          <w:rFonts w:ascii="Arial" w:eastAsia="Arial" w:hAnsi="Arial" w:cs="Arial"/>
          <w:color w:val="000000"/>
          <w:sz w:val="20"/>
        </w:rPr>
        <w:t xml:space="preserve">, 729 F.3d 248, 263 (3d Cir. 2013)). As other circuits have recognized, "[t]he requisite knowledge is shown '[w]hen the plaintiff has alerted the public entity to his need for accommodation.'" </w:t>
      </w:r>
      <w:r>
        <w:rPr>
          <w:rFonts w:ascii="Arial" w:eastAsia="Arial" w:hAnsi="Arial" w:cs="Arial"/>
          <w:i/>
          <w:color w:val="000000"/>
          <w:sz w:val="20"/>
        </w:rPr>
        <w:t>Id.</w:t>
      </w:r>
      <w:r>
        <w:rPr>
          <w:rFonts w:ascii="Arial" w:eastAsia="Arial" w:hAnsi="Arial" w:cs="Arial"/>
          <w:color w:val="000000"/>
          <w:sz w:val="20"/>
        </w:rPr>
        <w:t xml:space="preserve"> (quoting </w:t>
      </w:r>
      <w:bookmarkStart w:id="4341" w:name="Bookmark_I66426DC2D6NF00010000400"/>
      <w:bookmarkEnd w:id="4341"/>
      <w:r>
        <w:rPr>
          <w:rFonts w:ascii="Arial" w:eastAsia="Arial" w:hAnsi="Arial" w:cs="Arial"/>
          <w:i/>
          <w:color w:val="000000"/>
          <w:sz w:val="20"/>
        </w:rPr>
        <w:t>Duvall</w:t>
      </w:r>
      <w:r>
        <w:rPr>
          <w:rFonts w:ascii="Arial" w:eastAsia="Arial" w:hAnsi="Arial" w:cs="Arial"/>
          <w:color w:val="000000"/>
          <w:sz w:val="20"/>
        </w:rPr>
        <w:t xml:space="preserve">, 260 F.3d at 1139); </w:t>
      </w:r>
      <w:bookmarkStart w:id="4342" w:name="Bookmark_I66426DC2D6NF00030000400"/>
      <w:bookmarkEnd w:id="4342"/>
      <w:r>
        <w:rPr>
          <w:rFonts w:ascii="Arial" w:eastAsia="Arial" w:hAnsi="Arial" w:cs="Arial"/>
          <w:i/>
          <w:color w:val="000000"/>
          <w:sz w:val="20"/>
        </w:rPr>
        <w:t>Biondo v. Kaleida Health</w:t>
      </w:r>
      <w:r>
        <w:rPr>
          <w:rFonts w:ascii="Arial" w:eastAsia="Arial" w:hAnsi="Arial" w:cs="Arial"/>
          <w:color w:val="000000"/>
          <w:sz w:val="20"/>
        </w:rPr>
        <w:t xml:space="preserve">, 935 F.3d 68, 74-75 (2d Cir. 2019) (requiring "actual knowledge of discrimination against the [plaintiff]," and finding that requirement satisfied because the plaintiff and her family requested an interpreter from hospital staff but did not receive one (quoting </w:t>
      </w:r>
      <w:bookmarkStart w:id="4343" w:name="Bookmark_I66426DC2D6NF00050000400"/>
      <w:bookmarkEnd w:id="4343"/>
      <w:r>
        <w:rPr>
          <w:rFonts w:ascii="Arial" w:eastAsia="Arial" w:hAnsi="Arial" w:cs="Arial"/>
          <w:i/>
          <w:color w:val="000000"/>
          <w:sz w:val="20"/>
        </w:rPr>
        <w:t>Loeffler v. Staten Island Univ. Hosp.</w:t>
      </w:r>
      <w:r>
        <w:rPr>
          <w:rFonts w:ascii="Arial" w:eastAsia="Arial" w:hAnsi="Arial" w:cs="Arial"/>
          <w:color w:val="000000"/>
          <w:sz w:val="20"/>
        </w:rPr>
        <w:t xml:space="preserve">, 582 F.3d 268, 276 (2d Cir. 2009))). Consequently, although a showing of "heightened negligence" does not suffice to prove deliberate indifference, </w:t>
      </w:r>
      <w:bookmarkStart w:id="4344" w:name="Bookmark_I66426DC2SF8DD0020000400"/>
      <w:bookmarkEnd w:id="4344"/>
      <w:r>
        <w:rPr>
          <w:rFonts w:ascii="Arial" w:eastAsia="Arial" w:hAnsi="Arial" w:cs="Arial"/>
          <w:i/>
          <w:color w:val="000000"/>
          <w:sz w:val="20"/>
        </w:rPr>
        <w:t>Bd. of Cnty. Comm'rs of Bryan Cnty. v. Brown</w:t>
      </w:r>
      <w:r>
        <w:rPr>
          <w:rFonts w:ascii="Arial" w:eastAsia="Arial" w:hAnsi="Arial" w:cs="Arial"/>
          <w:color w:val="000000"/>
          <w:sz w:val="20"/>
        </w:rPr>
        <w:t xml:space="preserve">, 520 U.S. 397, 407, 117 S. Ct. 1382, 137 L. Ed. 2d 626 (1997), "it is enough that a plaintiff has given the public entity the information necessary to understand the need for and reasonableness of the requested accommodation," </w:t>
      </w:r>
      <w:bookmarkStart w:id="4345" w:name="Bookmark_I66426DC2SF8DD0040000400"/>
      <w:bookmarkEnd w:id="4345"/>
      <w:r>
        <w:rPr>
          <w:rFonts w:ascii="Arial" w:eastAsia="Arial" w:hAnsi="Arial" w:cs="Arial"/>
          <w:i/>
          <w:color w:val="000000"/>
          <w:sz w:val="20"/>
        </w:rPr>
        <w:t>R.K.</w:t>
      </w:r>
      <w:r>
        <w:rPr>
          <w:rFonts w:ascii="Arial" w:eastAsia="Arial" w:hAnsi="Arial" w:cs="Arial"/>
          <w:color w:val="000000"/>
          <w:sz w:val="20"/>
        </w:rPr>
        <w:t>, 637 F. App'x at 926 (Moore, J., concurring in part and dissenting in part). [*25] </w:t>
      </w:r>
    </w:p>
    <w:p w:rsidR="00022B47" w:rsidRDefault="00000000">
      <w:pPr>
        <w:pStyle w:val="Normal23"/>
        <w:widowControl w:val="0"/>
        <w:spacing w:before="200" w:line="260" w:lineRule="atLeast"/>
        <w:jc w:val="both"/>
      </w:pPr>
      <w:bookmarkStart w:id="4346" w:name="Bookmark_para_43_7"/>
      <w:bookmarkEnd w:id="4346"/>
      <w:r>
        <w:rPr>
          <w:rFonts w:ascii="Arial" w:eastAsia="Arial" w:hAnsi="Arial" w:cs="Arial"/>
          <w:color w:val="000000"/>
          <w:sz w:val="20"/>
        </w:rPr>
        <w:t>Having established facts demonstrating that Defendants failed to accommodate his disability, Douglas must also show that Defendants did so with deliberate indifference to be able to recover compensatory damages. We evaluate each Defendant in turn.</w:t>
      </w:r>
    </w:p>
    <w:p w:rsidR="00022B47" w:rsidRDefault="00000000">
      <w:pPr>
        <w:pStyle w:val="Normal23"/>
        <w:widowControl w:val="0"/>
        <w:spacing w:before="240" w:line="260" w:lineRule="atLeast"/>
      </w:pPr>
      <w:r>
        <w:br/>
      </w:r>
      <w:r>
        <w:rPr>
          <w:rFonts w:ascii="Arial" w:eastAsia="Arial" w:hAnsi="Arial" w:cs="Arial"/>
          <w:b/>
          <w:color w:val="000000"/>
          <w:sz w:val="20"/>
        </w:rPr>
        <w:t>a. Defendant Keara Muzzin</w:t>
      </w:r>
    </w:p>
    <w:p w:rsidR="00022B47" w:rsidRDefault="00000000">
      <w:pPr>
        <w:pStyle w:val="Normal23"/>
        <w:widowControl w:val="0"/>
        <w:spacing w:before="200" w:line="260" w:lineRule="atLeast"/>
        <w:jc w:val="both"/>
      </w:pPr>
      <w:bookmarkStart w:id="4347" w:name="Bookmark_para_44_7"/>
      <w:bookmarkEnd w:id="4347"/>
      <w:r>
        <w:rPr>
          <w:rFonts w:ascii="Arial" w:eastAsia="Arial" w:hAnsi="Arial" w:cs="Arial"/>
          <w:color w:val="000000"/>
          <w:sz w:val="20"/>
        </w:rPr>
        <w:t>Douglas argues that Keara Muzzin violated his rights under the ADA and the Rehabilitation Act by failing to honor his 2003 Special Accommodation Notice and by failing to contact the prison Bureau of Health Care Services to verify his accommodation status. Appellant Br. at 20-23. Douglas maintains that this failure to verify his accommodation violated MDOC policy, which reads: "[i]f a prisoner claims to have a currently valid Medical Detail or Special Accommodation Notice for which the housing unit does not have a copy . . . housing unit staff shall contact appropriate [Bureau of Health Care Services] staff for verification." R. 85-2 (Policy Directive at 3) (Page ID #509).</w:t>
      </w:r>
      <w:r>
        <w:rPr>
          <w:rFonts w:ascii="Arial" w:eastAsia="Arial" w:hAnsi="Arial" w:cs="Arial"/>
          <w:vertAlign w:val="superscript"/>
        </w:rPr>
        <w:footnoteReference w:customMarkFollows="1" w:id="97"/>
        <w:t>6</w:t>
      </w:r>
    </w:p>
    <w:p w:rsidR="00022B47" w:rsidRDefault="00000000">
      <w:pPr>
        <w:pStyle w:val="Normal23"/>
        <w:widowControl w:val="0"/>
        <w:spacing w:before="200" w:line="260" w:lineRule="atLeast"/>
        <w:jc w:val="both"/>
      </w:pPr>
      <w:bookmarkStart w:id="4349" w:name="Bookmark_para_45_7"/>
      <w:bookmarkEnd w:id="4349"/>
      <w:r>
        <w:rPr>
          <w:rFonts w:ascii="Arial" w:eastAsia="Arial" w:hAnsi="Arial" w:cs="Arial"/>
          <w:color w:val="000000"/>
          <w:sz w:val="20"/>
        </w:rPr>
        <w:t xml:space="preserve">The facts surrounding Douglas's interaction with Muzzin are murky. Douglas alleges in his Verified Complaint that when he approached the visit room, he informed Muzzin that he was disabled and showed her his 2003 Special Accommodation Notice. R. 1 (Compl. [*26]  at ¶¶ 3-4) (Page ID #6). Muzzin has asserted that Douglas attempted to wear personal, not orthopedic, shoes. R. 132-1 (Muzzin Disc. Resps. at 4, 6) (Page ID #762, 764). And Muzzin stated in response to a request for admission that she "d[id] not know whether [Douglas's] ability to walk was limited without orthopedic shoes." </w:t>
      </w:r>
      <w:r>
        <w:rPr>
          <w:rFonts w:ascii="Arial" w:eastAsia="Arial" w:hAnsi="Arial" w:cs="Arial"/>
          <w:i/>
          <w:color w:val="000000"/>
          <w:sz w:val="20"/>
        </w:rPr>
        <w:t>Id.</w:t>
      </w:r>
      <w:r>
        <w:rPr>
          <w:rFonts w:ascii="Arial" w:eastAsia="Arial" w:hAnsi="Arial" w:cs="Arial"/>
          <w:color w:val="000000"/>
          <w:sz w:val="20"/>
        </w:rPr>
        <w:t xml:space="preserve"> at 6 (Page ID #764).</w:t>
      </w:r>
    </w:p>
    <w:p w:rsidR="00022B47" w:rsidRDefault="00000000">
      <w:pPr>
        <w:pStyle w:val="Normal23"/>
        <w:widowControl w:val="0"/>
        <w:spacing w:before="200" w:line="260" w:lineRule="atLeast"/>
        <w:jc w:val="both"/>
      </w:pPr>
      <w:bookmarkStart w:id="4350" w:name="Bookmark_para_46_7"/>
      <w:bookmarkStart w:id="4351" w:name="Bookmark_I66426DD2N1RJX0020000400"/>
      <w:bookmarkEnd w:id="4350"/>
      <w:bookmarkEnd w:id="4351"/>
      <w:r>
        <w:rPr>
          <w:rFonts w:ascii="Arial" w:eastAsia="Arial" w:hAnsi="Arial" w:cs="Arial"/>
          <w:color w:val="000000"/>
          <w:sz w:val="20"/>
        </w:rPr>
        <w:t xml:space="preserve">These facts support the conclusion that Muzzin was deliberately indifferent towards Douglas's disability. Douglas presented a Special Accommodation Notice, and therefore "'alerted [Muzzin] to his need for accommodation.'" </w:t>
      </w:r>
      <w:bookmarkStart w:id="4352" w:name="Bookmark_I66426DD2N1RJX0010000400"/>
      <w:bookmarkEnd w:id="4352"/>
      <w:r>
        <w:rPr>
          <w:rFonts w:ascii="Arial" w:eastAsia="Arial" w:hAnsi="Arial" w:cs="Arial"/>
          <w:i/>
          <w:color w:val="000000"/>
          <w:sz w:val="20"/>
        </w:rPr>
        <w:t>R.K.</w:t>
      </w:r>
      <w:r>
        <w:rPr>
          <w:rFonts w:ascii="Arial" w:eastAsia="Arial" w:hAnsi="Arial" w:cs="Arial"/>
          <w:color w:val="000000"/>
          <w:sz w:val="20"/>
        </w:rPr>
        <w:t xml:space="preserve">, 637 F. App'x at 926 (Moore, J., concurring in part and dissenting in part) (quoting </w:t>
      </w:r>
      <w:bookmarkStart w:id="4353" w:name="Bookmark_I66426DD2N1RJX0030000400"/>
      <w:bookmarkEnd w:id="4353"/>
      <w:r>
        <w:rPr>
          <w:rFonts w:ascii="Arial" w:eastAsia="Arial" w:hAnsi="Arial" w:cs="Arial"/>
          <w:i/>
          <w:color w:val="000000"/>
          <w:sz w:val="20"/>
        </w:rPr>
        <w:t>Duvall</w:t>
      </w:r>
      <w:r>
        <w:rPr>
          <w:rFonts w:ascii="Arial" w:eastAsia="Arial" w:hAnsi="Arial" w:cs="Arial"/>
          <w:color w:val="000000"/>
          <w:sz w:val="20"/>
        </w:rPr>
        <w:t xml:space="preserve">, 260 F.3d at 1139). Muzzin then refused to honor the requested accommodation, apparently based on her lay belief that Douglas was not wearing orthopedic shoes. </w:t>
      </w:r>
      <w:bookmarkStart w:id="4354" w:name="Bookmark_I66426DD2N1RJY0010000400"/>
      <w:bookmarkEnd w:id="4354"/>
      <w:r>
        <w:rPr>
          <w:rFonts w:ascii="Arial" w:eastAsia="Arial" w:hAnsi="Arial" w:cs="Arial"/>
          <w:color w:val="000000"/>
          <w:sz w:val="20"/>
        </w:rPr>
        <w:t xml:space="preserve">Because Douglas presented Muzzin with a medical record showing that he qualified for an orthopedic-shoes accommodation, said that he was wearing such shoes, and alerted her to his need for this accommodation because of his disability, she had "knowledge that a harm to a federally protected right [was] substantially likely, and . . . [failed] to act upon that likelihood" by not honoring the requested accommodation, which [*27]  satisfies the deliberate-indifference standard. </w:t>
      </w:r>
      <w:r>
        <w:rPr>
          <w:rFonts w:ascii="Arial" w:eastAsia="Arial" w:hAnsi="Arial" w:cs="Arial"/>
          <w:i/>
          <w:color w:val="000000"/>
          <w:sz w:val="20"/>
        </w:rPr>
        <w:t>Id.</w:t>
      </w:r>
      <w:r>
        <w:rPr>
          <w:rFonts w:ascii="Arial" w:eastAsia="Arial" w:hAnsi="Arial" w:cs="Arial"/>
          <w:color w:val="000000"/>
          <w:sz w:val="20"/>
        </w:rPr>
        <w:t xml:space="preserve"> (quoting </w:t>
      </w:r>
      <w:bookmarkStart w:id="4355" w:name="Bookmark_I66426DD2N1RJX0050000400"/>
      <w:bookmarkEnd w:id="4355"/>
      <w:r>
        <w:rPr>
          <w:rFonts w:ascii="Arial" w:eastAsia="Arial" w:hAnsi="Arial" w:cs="Arial"/>
          <w:i/>
          <w:color w:val="000000"/>
          <w:sz w:val="20"/>
        </w:rPr>
        <w:t>S.H.</w:t>
      </w:r>
      <w:r>
        <w:rPr>
          <w:rFonts w:ascii="Arial" w:eastAsia="Arial" w:hAnsi="Arial" w:cs="Arial"/>
          <w:color w:val="000000"/>
          <w:sz w:val="20"/>
        </w:rPr>
        <w:t>, 729 F.3d at 263). To conclude otherwise would be to credit Muzzin's lay opinion about the type of shoes Douglas was wearing at the time over the medical record Douglas displayed to her and his assertion that they were, in fact, orthopedic shoes, which is not the standard we apply at summary judgment. The district court somewhat recognized this, noting that a reasonable jury could infer that Douglas "actually had a special accommodation at the time of the visit . . . and that defendants were wrong to conclude otherwise" based, in part, on the fact that he had presented his 2003 Special Accommodation Notice several times in the past and had never before been prevented from wearing his orthopedic shoes. R. 151 (Dismissal of 07/07/20 R. &amp; R. at 2-3) (Page ID #982-83).</w:t>
      </w:r>
      <w:r>
        <w:rPr>
          <w:rFonts w:ascii="Arial" w:eastAsia="Arial" w:hAnsi="Arial" w:cs="Arial"/>
          <w:vertAlign w:val="superscript"/>
        </w:rPr>
        <w:footnoteReference w:customMarkFollows="1" w:id="98"/>
        <w:t>7</w:t>
      </w:r>
    </w:p>
    <w:p w:rsidR="00022B47" w:rsidRDefault="00000000">
      <w:pPr>
        <w:pStyle w:val="Normal23"/>
        <w:widowControl w:val="0"/>
        <w:spacing w:before="200" w:line="260" w:lineRule="atLeast"/>
        <w:jc w:val="both"/>
      </w:pPr>
      <w:bookmarkStart w:id="4357" w:name="Bookmark_para_47_7"/>
      <w:bookmarkEnd w:id="4357"/>
      <w:r>
        <w:rPr>
          <w:rFonts w:ascii="Arial" w:eastAsia="Arial" w:hAnsi="Arial" w:cs="Arial"/>
          <w:color w:val="000000"/>
          <w:sz w:val="20"/>
        </w:rPr>
        <w:t>Muzzin argues that the above facts do not paint the full picture, because Douglas's treatment notes from September 19, 2012 did not list an accommodation for orthopedic shoes. Appellees Br. at 20-21, 22, 23-24. The district court ultimately placed substantial weight on this point, concluding that because the treatment notes showed that Douglas had no accommodation on September [*28]  23, 2012, "the Court [could not] tag liability on [Muzzin]." R. 156 (07/08/21 Order Adopting 03/29/21 R. &amp; R. at 4) (Page ID #1037). These claims rest on the assumption that Muzzin had access to Douglas's September 19, 2012 treatment notes. Muzzin, the argument goes, was not deliberately indifferent to Douglas's disability and his need for an accommodation because Muzzin "had Douglas'[s] most recent accommodation notice that . . . did not provide an orthopedic shoe accommodation." Appellees Br. at 22.</w:t>
      </w:r>
    </w:p>
    <w:p w:rsidR="00022B47" w:rsidRDefault="00000000">
      <w:pPr>
        <w:pStyle w:val="Normal23"/>
        <w:widowControl w:val="0"/>
        <w:spacing w:before="200" w:line="260" w:lineRule="atLeast"/>
        <w:jc w:val="both"/>
      </w:pPr>
      <w:bookmarkStart w:id="4358" w:name="Bookmark_para_48_7"/>
      <w:bookmarkEnd w:id="4358"/>
      <w:r>
        <w:rPr>
          <w:rFonts w:ascii="Arial" w:eastAsia="Arial" w:hAnsi="Arial" w:cs="Arial"/>
          <w:color w:val="000000"/>
          <w:sz w:val="20"/>
        </w:rPr>
        <w:t xml:space="preserve">Given the case's procedural posture, this assumption is faulty. It is not at all clear that Muzzin could access the September 19, 2012 treatment notes. First, the parties assert that the treatment notes appeared on an electronic system. Appellees Br. at 21 ("when Muzzin was not able to verify [Douglas's] accommodation through his electronic medical records . . ."); Appellant Br. at 12 ("Defendant Muzzin also claims that she did not have notice that Mr. Douglas had a Special Accommodation because the accommodation was not included within the MDOC electronic records."). But it does not appear that Muzzin had access to any sort of electronic records system; when asked about MDOC's "medical [*29]  database"—the closest thing in the record to the electronic system that the parties describe—Muzzin replied, "I have no personal knowledge about or access to the medical database used at my facility." R. 132-1 (Muzzin Disc. Resps. at 8) (Page ID #766). Answering a separate question concerning medical databases, Muzzin explained that when a prisoner appears for a visit, she "follow[s] the MDOC Policy Directive PD 05.03.140." </w:t>
      </w:r>
      <w:r>
        <w:rPr>
          <w:rFonts w:ascii="Arial" w:eastAsia="Arial" w:hAnsi="Arial" w:cs="Arial"/>
          <w:i/>
          <w:color w:val="000000"/>
          <w:sz w:val="20"/>
        </w:rPr>
        <w:t>Id.</w:t>
      </w:r>
      <w:r>
        <w:rPr>
          <w:rFonts w:ascii="Arial" w:eastAsia="Arial" w:hAnsi="Arial" w:cs="Arial"/>
          <w:color w:val="000000"/>
          <w:sz w:val="20"/>
        </w:rPr>
        <w:t xml:space="preserve"> This policy is not in the record, so we cannot review it.</w:t>
      </w:r>
    </w:p>
    <w:p w:rsidR="00022B47" w:rsidRDefault="00000000">
      <w:pPr>
        <w:pStyle w:val="Normal23"/>
        <w:widowControl w:val="0"/>
        <w:spacing w:before="200" w:line="260" w:lineRule="atLeast"/>
        <w:jc w:val="both"/>
      </w:pPr>
      <w:bookmarkStart w:id="4359" w:name="Bookmark_para_49_7"/>
      <w:bookmarkEnd w:id="4359"/>
      <w:r>
        <w:rPr>
          <w:rFonts w:ascii="Arial" w:eastAsia="Arial" w:hAnsi="Arial" w:cs="Arial"/>
          <w:color w:val="000000"/>
          <w:sz w:val="20"/>
        </w:rPr>
        <w:t>Another possible source of information about the September treatment notes is the "OMNI accommodations tab," which also is not in the record. Muzzin's testimony suggests that this tab listed Douglas as having an accommodation only after September 23, the day of the failed visit: in Muzzin's affidavit, she averred that "A review of the OMNI accommodations tab indicated that Plaintiff had a start date of September 26, 2012 for his medically prescribed shoes." R. 74-11 (Muzzin 4/23/2018 Aff. at ¶ 7) (Page ID #436). Although this statement supports the conclusion that Muzzin consulted the tab at some point, it prompts the inference that she did not review it until after September 26.</w:t>
      </w:r>
      <w:r>
        <w:rPr>
          <w:rFonts w:ascii="Arial" w:eastAsia="Arial" w:hAnsi="Arial" w:cs="Arial"/>
          <w:vertAlign w:val="superscript"/>
        </w:rPr>
        <w:footnoteReference w:customMarkFollows="1" w:id="99"/>
        <w:t>8</w:t>
      </w:r>
      <w:r>
        <w:rPr>
          <w:rFonts w:ascii="Arial" w:eastAsia="Arial" w:hAnsi="Arial" w:cs="Arial"/>
          <w:color w:val="000000"/>
          <w:sz w:val="20"/>
        </w:rPr>
        <w:t xml:space="preserve"> As a result, a jury taking [*30]  all inferences in Douglas's favor could conclude that Muzzin did not consult the OMNI accommodations tab on September 23 at the time of Douglas's visit, but instead reviewed it days later.</w:t>
      </w:r>
    </w:p>
    <w:p w:rsidR="00022B47" w:rsidRDefault="00000000">
      <w:pPr>
        <w:pStyle w:val="Normal23"/>
        <w:widowControl w:val="0"/>
        <w:spacing w:before="200" w:line="260" w:lineRule="atLeast"/>
        <w:jc w:val="both"/>
      </w:pPr>
      <w:bookmarkStart w:id="4361" w:name="Bookmark_para_50_7"/>
      <w:bookmarkEnd w:id="4361"/>
      <w:r>
        <w:rPr>
          <w:rFonts w:ascii="Arial" w:eastAsia="Arial" w:hAnsi="Arial" w:cs="Arial"/>
          <w:color w:val="000000"/>
          <w:sz w:val="20"/>
        </w:rPr>
        <w:t>In sum, the record on appeal leaves it unclear whether Muzzin ever consulted Douglas's medical records. Because Douglas could make out a deliberate-indifference claim against Muzzin if he could prove that Muzzin denied his accommodation after consulting only the 2003 Special Accommodation Notice and disregarding it based on her lay opinion as to the type of shoes that Douglas was wearing, the district court improperly granted summary judgment on Douglas's claims against Muzzin. Finally, even assuming that she had consulted the September 19 treatment notes, they state "[p]rescription shoe, athletic shoes," which indicates that Douglas had a need for some type of shoe accommodation. R. 132-4 (Douglas's 2012 Special Accommodation Orders at 4) (Page ID #790).</w:t>
      </w:r>
    </w:p>
    <w:p w:rsidR="00022B47" w:rsidRDefault="00000000">
      <w:pPr>
        <w:pStyle w:val="Normal23"/>
        <w:widowControl w:val="0"/>
        <w:spacing w:before="240" w:line="260" w:lineRule="atLeast"/>
      </w:pPr>
      <w:r>
        <w:br/>
      </w:r>
      <w:r>
        <w:rPr>
          <w:rFonts w:ascii="Arial" w:eastAsia="Arial" w:hAnsi="Arial" w:cs="Arial"/>
          <w:b/>
          <w:color w:val="000000"/>
          <w:sz w:val="20"/>
        </w:rPr>
        <w:t>b. Defendant Rodger Martin</w:t>
      </w:r>
    </w:p>
    <w:p w:rsidR="00022B47" w:rsidRDefault="00000000">
      <w:pPr>
        <w:pStyle w:val="Normal23"/>
        <w:widowControl w:val="0"/>
        <w:spacing w:before="200" w:line="260" w:lineRule="atLeast"/>
        <w:jc w:val="both"/>
      </w:pPr>
      <w:bookmarkStart w:id="4362" w:name="Bookmark_para_51_7"/>
      <w:bookmarkEnd w:id="4362"/>
      <w:r>
        <w:rPr>
          <w:rFonts w:ascii="Arial" w:eastAsia="Arial" w:hAnsi="Arial" w:cs="Arial"/>
          <w:color w:val="000000"/>
          <w:sz w:val="20"/>
        </w:rPr>
        <w:t xml:space="preserve">We have little information before us concerning Rodger Martin's decision to seize Douglas's shoes. Responding to five pages of requests for information about the incident, Martin remembered nothing except his current [*31]  address. R. 142-1 (Martin Resp. to Pls. Second Set of Disc. Reqs. to Defs. at 4-8) (Page ID #857-61). He did not "remember this prisoner or this incident," was "not aware of" the procedure for reviewing the accommodation database when a prisoner is checked prior to a visit, and was "not sure of the policy on orthopedic items." </w:t>
      </w:r>
      <w:r>
        <w:rPr>
          <w:rFonts w:ascii="Arial" w:eastAsia="Arial" w:hAnsi="Arial" w:cs="Arial"/>
          <w:i/>
          <w:color w:val="000000"/>
          <w:sz w:val="20"/>
        </w:rPr>
        <w:t>Id.</w:t>
      </w:r>
      <w:r>
        <w:rPr>
          <w:rFonts w:ascii="Arial" w:eastAsia="Arial" w:hAnsi="Arial" w:cs="Arial"/>
          <w:color w:val="000000"/>
          <w:sz w:val="20"/>
        </w:rPr>
        <w:t xml:space="preserve"> at 4, 6, 7 (Page ID #857, 859, 860). In short, all Martin left us with was Douglas's version of events.</w:t>
      </w:r>
    </w:p>
    <w:p w:rsidR="00022B47" w:rsidRDefault="00000000">
      <w:pPr>
        <w:pStyle w:val="Normal23"/>
        <w:widowControl w:val="0"/>
        <w:spacing w:before="200" w:line="260" w:lineRule="atLeast"/>
        <w:jc w:val="both"/>
      </w:pPr>
      <w:bookmarkStart w:id="4363" w:name="Bookmark_para_52_7"/>
      <w:bookmarkEnd w:id="4363"/>
      <w:r>
        <w:rPr>
          <w:rFonts w:ascii="Arial" w:eastAsia="Arial" w:hAnsi="Arial" w:cs="Arial"/>
          <w:color w:val="000000"/>
          <w:sz w:val="20"/>
        </w:rPr>
        <w:t>Douglas, by contrast, presents evidence of what happened on the day of his visit: he states in his Verified Complaint that he attempted to show Martin his "bloodied feet" after the visit, which were allegedly bleeding from Douglas's attempt to wear the state-issued shoes. R. 1 (Compl. at ¶ 14) (Page ID #7). Douglas also alleged that after Martin confiscated his orthopedic shoes, he advised Martin that he could not walk in the state-issued shoes. And, Douglas testified that after walking out of the visiting room barefoot he told Martin about his disability and tried to show him his 2003 Special Accommodation Notice. R. 85-1 (Douglas Aff. at ¶ 15) (Page ID #505); R. 119-3 (Douglas Dep. at 12-13) (Page ID #676-77). This evidence supports the inference that [*32]  Martin knew of Douglas's need for the requested accommodation—his orthopedic shoes—and the reasonableness of this request, given Douglas's bleeding feet and the Special Accommodation Notice. Further, the record supports that Martin knew that Douglas's right to wear his orthopedic shoes was substantially likely to be harmed given that Martin's decision forced Douglas to walk back to the housing unit without the shoes.</w:t>
      </w:r>
    </w:p>
    <w:p w:rsidR="00022B47" w:rsidRDefault="00000000">
      <w:pPr>
        <w:pStyle w:val="Normal23"/>
        <w:widowControl w:val="0"/>
        <w:spacing w:before="200" w:line="260" w:lineRule="atLeast"/>
        <w:jc w:val="both"/>
      </w:pPr>
      <w:bookmarkStart w:id="4364" w:name="Bookmark_para_53_6"/>
      <w:bookmarkEnd w:id="4364"/>
      <w:r>
        <w:rPr>
          <w:rFonts w:ascii="Arial" w:eastAsia="Arial" w:hAnsi="Arial" w:cs="Arial"/>
          <w:color w:val="000000"/>
          <w:sz w:val="20"/>
        </w:rPr>
        <w:t>The district court cited the September 19, 2012 treatment notes as evidence that a jury could not find that Martin deprived Douglas of his shoes with deliberate indifference towards his disability. R. 156 (07/08/21 Order Adopting 03/29/21 R. &amp; R. at 4) (Page ID #1037). But Martin presented no evidence that he reviewed those notes, and, in any event, the notes mention "[p]rescription shoe, athletic shoes." R. 132-4 (Douglas's 2012 Special Accommodation Orders at 4) (Page ID #790). Of course, a jury could ultimately conclude that Martin had consulted Douglas's September 19, 2012 treatment notes, and that Martin reasonably disregarded Douglas's bleeding feet in light of those same notes. But at summary judgment, on this record and viewing the evidence in the light most favorable [*33]  to Douglas, we cannot do the same.</w:t>
      </w:r>
    </w:p>
    <w:p w:rsidR="00022B47" w:rsidRDefault="00000000">
      <w:pPr>
        <w:pStyle w:val="Normal23"/>
        <w:widowControl w:val="0"/>
        <w:spacing w:before="240" w:line="260" w:lineRule="atLeast"/>
      </w:pPr>
      <w:r>
        <w:br/>
      </w:r>
      <w:r>
        <w:rPr>
          <w:rFonts w:ascii="Arial" w:eastAsia="Arial" w:hAnsi="Arial" w:cs="Arial"/>
          <w:b/>
          <w:color w:val="000000"/>
          <w:sz w:val="20"/>
        </w:rPr>
        <w:t>c. Defendant Kerry Gobert</w:t>
      </w:r>
    </w:p>
    <w:p w:rsidR="00022B47" w:rsidRDefault="00000000">
      <w:pPr>
        <w:pStyle w:val="Normal23"/>
        <w:widowControl w:val="0"/>
        <w:spacing w:before="200" w:line="260" w:lineRule="atLeast"/>
        <w:jc w:val="both"/>
      </w:pPr>
      <w:bookmarkStart w:id="4365" w:name="Bookmark_para_54_5"/>
      <w:bookmarkEnd w:id="4365"/>
      <w:r>
        <w:rPr>
          <w:rFonts w:ascii="Arial" w:eastAsia="Arial" w:hAnsi="Arial" w:cs="Arial"/>
          <w:color w:val="000000"/>
          <w:sz w:val="20"/>
        </w:rPr>
        <w:t>Kerry Gobert failed to schedule a hearing regarding Douglas's confiscated shoes, which the warden later acknowledged as a violation of Douglas's due-process rights. R. 1 (Attachment to Compl. at 31: Step II Grievance Appeal Resp.) (Page ID #31). We believe that a jury could conclude that Gobert acted with deliberate indifference towards Douglas's disability in refusing to schedule a hearing or otherwise act to determine whether Douglas was entitled to his shoes after several requests by Douglas to do so.</w:t>
      </w:r>
    </w:p>
    <w:p w:rsidR="00022B47" w:rsidRDefault="00000000">
      <w:pPr>
        <w:pStyle w:val="Normal23"/>
        <w:widowControl w:val="0"/>
        <w:spacing w:before="200" w:line="260" w:lineRule="atLeast"/>
        <w:jc w:val="both"/>
      </w:pPr>
      <w:bookmarkStart w:id="4366" w:name="Bookmark_para_55_5"/>
      <w:bookmarkEnd w:id="4366"/>
      <w:r>
        <w:rPr>
          <w:rFonts w:ascii="Arial" w:eastAsia="Arial" w:hAnsi="Arial" w:cs="Arial"/>
          <w:color w:val="000000"/>
          <w:sz w:val="20"/>
        </w:rPr>
        <w:t>Douglas alleges in his Verified Complaint that he "repeatedly spoke to . . . Gobert and requested that a hearing be held on his prescription shoes or that [Gobert] return them to [Douglas]." R. 1 (Compl. at ¶ 20) (Page ID #7). Douglas testified that because no hearing was ever held, he mostly stayed in his cell because he could not do much walking, beyond visiting the infirmary daily. R. 119-3 (Douglas Dep. at 39, 41) (Page ID #703, 705). Gobert's discovery responses do not appear in the record. And neither Defendants nor the magistrate judge nor the district court suggested that Gobert knew of the September 19 treatment notes. [*34]  Douglas's evidence therefore stands unrebutted on this point.</w:t>
      </w:r>
    </w:p>
    <w:p w:rsidR="00022B47" w:rsidRDefault="00000000">
      <w:pPr>
        <w:pStyle w:val="Normal23"/>
        <w:widowControl w:val="0"/>
        <w:spacing w:before="200" w:line="260" w:lineRule="atLeast"/>
        <w:jc w:val="both"/>
      </w:pPr>
      <w:bookmarkStart w:id="4367" w:name="Bookmark_para_56_5"/>
      <w:bookmarkStart w:id="4368" w:name="Bookmark_I66426DD2N1RJY0030000400"/>
      <w:bookmarkEnd w:id="4367"/>
      <w:bookmarkEnd w:id="4368"/>
      <w:r>
        <w:rPr>
          <w:rFonts w:ascii="Arial" w:eastAsia="Arial" w:hAnsi="Arial" w:cs="Arial"/>
          <w:color w:val="000000"/>
          <w:sz w:val="20"/>
        </w:rPr>
        <w:t xml:space="preserve">Viewing these facts in the light most favorable to Douglas, a jury could conclude that Douglas had "given [Gobert] the information necessary to understand the need for and reasonableness of" a prompt administrative hearing concerning the shoes that accommodated his disability. </w:t>
      </w:r>
      <w:bookmarkStart w:id="4369" w:name="Bookmark_I2G74P39GVV00003P9000003"/>
      <w:bookmarkStart w:id="4370" w:name="Bookmark_I66426DD2N1RJY0050000400"/>
      <w:bookmarkStart w:id="4371" w:name="Bookmark_I66426DD2N1RJY0020000400"/>
      <w:bookmarkEnd w:id="4369"/>
      <w:bookmarkEnd w:id="4370"/>
      <w:bookmarkEnd w:id="4371"/>
      <w:r>
        <w:rPr>
          <w:rFonts w:ascii="Arial" w:eastAsia="Arial" w:hAnsi="Arial" w:cs="Arial"/>
          <w:i/>
          <w:color w:val="000000"/>
          <w:sz w:val="20"/>
        </w:rPr>
        <w:t>R.K.</w:t>
      </w:r>
      <w:r>
        <w:rPr>
          <w:rFonts w:ascii="Arial" w:eastAsia="Arial" w:hAnsi="Arial" w:cs="Arial"/>
          <w:color w:val="000000"/>
          <w:sz w:val="20"/>
        </w:rPr>
        <w:t xml:space="preserve">, 637 F. App'x at 926 (Moore, J., concurring in part and dissenting in part). This echoes what other courts have concluded in similar circumstances. </w:t>
      </w:r>
      <w:bookmarkStart w:id="4372" w:name="Bookmark_I66426DD2N1RJY0050000400_2"/>
      <w:bookmarkEnd w:id="4372"/>
      <w:r>
        <w:rPr>
          <w:rFonts w:ascii="Arial" w:eastAsia="Arial" w:hAnsi="Arial" w:cs="Arial"/>
          <w:color w:val="000000"/>
          <w:sz w:val="20"/>
        </w:rPr>
        <w:t xml:space="preserve">In </w:t>
      </w:r>
      <w:bookmarkStart w:id="4373" w:name="Bookmark_I66426DD2N1RJY0050000400_3"/>
      <w:bookmarkStart w:id="4374" w:name="Bookmark_I66426DD2N1RJY0040000400"/>
      <w:bookmarkEnd w:id="4373"/>
      <w:bookmarkEnd w:id="4374"/>
      <w:r>
        <w:rPr>
          <w:rFonts w:ascii="Arial" w:eastAsia="Arial" w:hAnsi="Arial" w:cs="Arial"/>
          <w:i/>
          <w:color w:val="000000"/>
          <w:sz w:val="20"/>
        </w:rPr>
        <w:t>Biondo</w:t>
      </w:r>
      <w:r>
        <w:rPr>
          <w:rFonts w:ascii="Arial" w:eastAsia="Arial" w:hAnsi="Arial" w:cs="Arial"/>
          <w:color w:val="000000"/>
          <w:sz w:val="20"/>
        </w:rPr>
        <w:t xml:space="preserve">, the Second Circuit reasoned that repeated requests for an interpreter supported inferring knowledge of a disability, precluding a grant of summary judgment in a Rehabilitation Act case. </w:t>
      </w:r>
      <w:bookmarkStart w:id="4375" w:name="Bookmark_I66426DD2HM61D0010000400"/>
      <w:bookmarkEnd w:id="4375"/>
      <w:r>
        <w:rPr>
          <w:rFonts w:ascii="Arial" w:eastAsia="Arial" w:hAnsi="Arial" w:cs="Arial"/>
          <w:color w:val="000000"/>
          <w:sz w:val="20"/>
        </w:rPr>
        <w:t xml:space="preserve">935 F.3d at 75-76. </w:t>
      </w:r>
      <w:bookmarkStart w:id="4376" w:name="Bookmark_I66426DD2HM61D0040000400"/>
      <w:bookmarkEnd w:id="4376"/>
      <w:r>
        <w:rPr>
          <w:rFonts w:ascii="Arial" w:eastAsia="Arial" w:hAnsi="Arial" w:cs="Arial"/>
          <w:color w:val="000000"/>
          <w:sz w:val="20"/>
        </w:rPr>
        <w:t xml:space="preserve">Similar reasoning applies here. Douglas's repeated requests for a hearing concerning his confiscated shoes or their return could support the inference that Gobert knew of the disability that the shoes were designed to accommodate. And because of that inference, a jury could conclude that Gobert "disregarded a known or obvious consequence of his action"; namely, that Douglas would remain indefinitely without his necessary orthopedic shoes. </w:t>
      </w:r>
      <w:bookmarkStart w:id="4377" w:name="Bookmark_I66426DD2HM61D0030000400"/>
      <w:bookmarkEnd w:id="4377"/>
      <w:r>
        <w:rPr>
          <w:rFonts w:ascii="Arial" w:eastAsia="Arial" w:hAnsi="Arial" w:cs="Arial"/>
          <w:i/>
          <w:color w:val="000000"/>
          <w:sz w:val="20"/>
        </w:rPr>
        <w:t>Brown</w:t>
      </w:r>
      <w:r>
        <w:rPr>
          <w:rFonts w:ascii="Arial" w:eastAsia="Arial" w:hAnsi="Arial" w:cs="Arial"/>
          <w:color w:val="000000"/>
          <w:sz w:val="20"/>
        </w:rPr>
        <w:t>, 520 U.S. at 410.</w:t>
      </w:r>
      <w:r>
        <w:rPr>
          <w:rFonts w:ascii="Arial" w:eastAsia="Arial" w:hAnsi="Arial" w:cs="Arial"/>
          <w:vertAlign w:val="superscript"/>
        </w:rPr>
        <w:footnoteReference w:customMarkFollows="1" w:id="100"/>
        <w:t>9</w:t>
      </w:r>
    </w:p>
    <w:p w:rsidR="00022B47" w:rsidRDefault="00000000">
      <w:pPr>
        <w:pStyle w:val="Normal23"/>
        <w:widowControl w:val="0"/>
        <w:spacing w:before="200" w:line="260" w:lineRule="atLeast"/>
        <w:jc w:val="both"/>
      </w:pPr>
      <w:bookmarkStart w:id="4381" w:name="Bookmark_para_57_5"/>
      <w:bookmarkEnd w:id="4381"/>
      <w:r>
        <w:rPr>
          <w:rFonts w:ascii="Arial" w:eastAsia="Arial" w:hAnsi="Arial" w:cs="Arial"/>
          <w:color w:val="000000"/>
          <w:sz w:val="20"/>
        </w:rPr>
        <w:t>On this record, we believe that a reasonable factfinder could conclude that Gobert acted with deliberate indifference [*35]  regarding Douglas's disability.</w:t>
      </w:r>
    </w:p>
    <w:p w:rsidR="00022B47" w:rsidRDefault="00000000">
      <w:pPr>
        <w:pStyle w:val="Normal23"/>
        <w:widowControl w:val="0"/>
        <w:spacing w:before="240" w:line="260" w:lineRule="atLeast"/>
      </w:pPr>
      <w:r>
        <w:br/>
      </w:r>
      <w:r>
        <w:rPr>
          <w:rFonts w:ascii="Arial" w:eastAsia="Arial" w:hAnsi="Arial" w:cs="Arial"/>
          <w:b/>
          <w:color w:val="000000"/>
          <w:sz w:val="20"/>
        </w:rPr>
        <w:t>III. CONCLUSION</w:t>
      </w:r>
    </w:p>
    <w:p w:rsidR="00022B47" w:rsidRDefault="00000000">
      <w:pPr>
        <w:pStyle w:val="Normal23"/>
        <w:widowControl w:val="0"/>
        <w:spacing w:before="200" w:line="260" w:lineRule="atLeast"/>
        <w:jc w:val="both"/>
      </w:pPr>
      <w:bookmarkStart w:id="4382" w:name="Bookmark_para_58_5"/>
      <w:bookmarkEnd w:id="4382"/>
      <w:r>
        <w:rPr>
          <w:rFonts w:ascii="Arial" w:eastAsia="Arial" w:hAnsi="Arial" w:cs="Arial"/>
          <w:color w:val="000000"/>
          <w:sz w:val="20"/>
        </w:rPr>
        <w:t xml:space="preserve">We </w:t>
      </w:r>
      <w:r>
        <w:rPr>
          <w:rFonts w:ascii="Arial" w:eastAsia="Arial" w:hAnsi="Arial" w:cs="Arial"/>
          <w:b/>
          <w:color w:val="000000"/>
          <w:sz w:val="20"/>
        </w:rPr>
        <w:t>REVERSE</w:t>
      </w:r>
      <w:r>
        <w:rPr>
          <w:rFonts w:ascii="Arial" w:eastAsia="Arial" w:hAnsi="Arial" w:cs="Arial"/>
          <w:color w:val="000000"/>
          <w:sz w:val="20"/>
        </w:rPr>
        <w:t xml:space="preserve"> the district court's grant of summary judgment and </w:t>
      </w:r>
      <w:r>
        <w:rPr>
          <w:rFonts w:ascii="Arial" w:eastAsia="Arial" w:hAnsi="Arial" w:cs="Arial"/>
          <w:b/>
          <w:color w:val="000000"/>
          <w:sz w:val="20"/>
        </w:rPr>
        <w:t>REMAND</w:t>
      </w:r>
      <w:r>
        <w:rPr>
          <w:rFonts w:ascii="Arial" w:eastAsia="Arial" w:hAnsi="Arial" w:cs="Arial"/>
          <w:color w:val="000000"/>
          <w:sz w:val="20"/>
        </w:rPr>
        <w:t xml:space="preserve"> to the district court for further proceedings in accordance with this opinion.</w:t>
      </w:r>
    </w:p>
    <w:p w:rsidR="00022B47" w:rsidRDefault="00000000">
      <w:pPr>
        <w:pStyle w:val="Normal23"/>
        <w:widowControl w:val="0"/>
        <w:spacing w:before="240" w:line="260" w:lineRule="atLeast"/>
      </w:pPr>
      <w:bookmarkStart w:id="4383" w:name="Dissent_by"/>
      <w:bookmarkEnd w:id="4383"/>
      <w:r>
        <w:rPr>
          <w:rFonts w:ascii="Arial" w:eastAsia="Arial" w:hAnsi="Arial" w:cs="Arial"/>
          <w:b/>
          <w:color w:val="000000"/>
          <w:sz w:val="20"/>
        </w:rPr>
        <w:t>Dissent by:</w:t>
      </w:r>
      <w:r>
        <w:rPr>
          <w:rFonts w:ascii="Arial" w:eastAsia="Arial" w:hAnsi="Arial" w:cs="Arial"/>
          <w:color w:val="000000"/>
          <w:sz w:val="20"/>
        </w:rPr>
        <w:t> JOHN K. BUSH</w:t>
      </w:r>
    </w:p>
    <w:p w:rsidR="00022B47" w:rsidRDefault="00000000">
      <w:pPr>
        <w:pStyle w:val="Normal23"/>
        <w:keepNext/>
        <w:widowControl w:val="0"/>
        <w:spacing w:before="240" w:line="340" w:lineRule="atLeast"/>
      </w:pPr>
      <w:bookmarkStart w:id="4384" w:name="Dissent"/>
      <w:bookmarkEnd w:id="4384"/>
      <w:r>
        <w:rPr>
          <w:rFonts w:ascii="Arial" w:eastAsia="Arial" w:hAnsi="Arial" w:cs="Arial"/>
          <w:b/>
          <w:color w:val="000000"/>
          <w:sz w:val="28"/>
        </w:rPr>
        <w:t>Dissent</w:t>
      </w:r>
    </w:p>
    <w:p w:rsidR="00022B47" w:rsidRDefault="0025213E">
      <w:pPr>
        <w:pStyle w:val="Normal23"/>
        <w:spacing w:line="60" w:lineRule="exact"/>
      </w:pPr>
      <w:r>
        <w:rPr>
          <w:noProof/>
        </w:rPr>
        <mc:AlternateContent>
          <mc:Choice Requires="wps">
            <w:drawing>
              <wp:anchor distT="0" distB="0" distL="114300" distR="114300" simplePos="0" relativeHeight="251707392"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338875111"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C7FCC" id="Line 50"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23"/>
      </w:pPr>
    </w:p>
    <w:p w:rsidR="00022B47" w:rsidRDefault="00000000">
      <w:pPr>
        <w:pStyle w:val="Normal23"/>
        <w:widowControl w:val="0"/>
        <w:spacing w:before="200" w:line="260" w:lineRule="atLeast"/>
        <w:jc w:val="both"/>
      </w:pPr>
      <w:bookmarkStart w:id="4385" w:name="Bookmark_para_59_4"/>
      <w:bookmarkEnd w:id="4385"/>
      <w:r>
        <w:rPr>
          <w:rFonts w:ascii="Arial" w:eastAsia="Arial" w:hAnsi="Arial" w:cs="Arial"/>
          <w:color w:val="000000"/>
          <w:sz w:val="20"/>
        </w:rPr>
        <w:t xml:space="preserve">JOHN K. BUSH, Circuit Judge, dissenting. Leon Douglas has evidence that Michigan Department of Corrections (MDOC) officials made mistakes when they required him, as an inmate, to change his shoes to meet with a visitor and when they retained his shoes for 45 days before returning them to him. But the issue in this appeal is not whether the officials made correct decisions. Rather, it is whether Douglas has enough evidence for a jury to find that the officials intentionally discriminated against him because of his disability. I would hold, as did the district court, that Douglas lacks such proof and therefore would affirm the grant of summary judgment to the officials under the Americans with Disabilities Act, (ADA), 42 U.S.C. § 12101, </w:t>
      </w:r>
      <w:r>
        <w:rPr>
          <w:rFonts w:ascii="Arial" w:eastAsia="Arial" w:hAnsi="Arial" w:cs="Arial"/>
          <w:i/>
          <w:color w:val="000000"/>
          <w:sz w:val="20"/>
        </w:rPr>
        <w:t>et seq.</w:t>
      </w:r>
      <w:r>
        <w:rPr>
          <w:rFonts w:ascii="Arial" w:eastAsia="Arial" w:hAnsi="Arial" w:cs="Arial"/>
          <w:color w:val="000000"/>
          <w:sz w:val="20"/>
        </w:rPr>
        <w:t xml:space="preserve">, and Rehabilitation Act (RA), 29 U.S.C. § 794, </w:t>
      </w:r>
      <w:r>
        <w:rPr>
          <w:rFonts w:ascii="Arial" w:eastAsia="Arial" w:hAnsi="Arial" w:cs="Arial"/>
          <w:i/>
          <w:color w:val="000000"/>
          <w:sz w:val="20"/>
        </w:rPr>
        <w:t>et seq.</w:t>
      </w:r>
      <w:r>
        <w:rPr>
          <w:rFonts w:ascii="Arial" w:eastAsia="Arial" w:hAnsi="Arial" w:cs="Arial"/>
          <w:color w:val="000000"/>
          <w:sz w:val="20"/>
        </w:rPr>
        <w:t xml:space="preserve"> I therefore respectfully dissent.</w:t>
      </w:r>
    </w:p>
    <w:p w:rsidR="00022B47" w:rsidRDefault="00000000">
      <w:pPr>
        <w:pStyle w:val="Normal23"/>
        <w:widowControl w:val="0"/>
        <w:spacing w:before="120" w:line="260" w:lineRule="atLeast"/>
      </w:pPr>
      <w:r>
        <w:rPr>
          <w:rFonts w:ascii="Arial" w:eastAsia="Arial" w:hAnsi="Arial" w:cs="Arial"/>
          <w:color w:val="000000"/>
          <w:sz w:val="20"/>
        </w:rPr>
        <w:t>I.</w:t>
      </w:r>
    </w:p>
    <w:p w:rsidR="00022B47" w:rsidRDefault="00000000">
      <w:pPr>
        <w:pStyle w:val="Normal23"/>
        <w:widowControl w:val="0"/>
        <w:spacing w:before="200" w:line="260" w:lineRule="atLeast"/>
        <w:jc w:val="both"/>
      </w:pPr>
      <w:bookmarkStart w:id="4386" w:name="Bookmark_para_60_4"/>
      <w:bookmarkEnd w:id="4386"/>
      <w:r>
        <w:rPr>
          <w:rFonts w:ascii="Arial" w:eastAsia="Arial" w:hAnsi="Arial" w:cs="Arial"/>
          <w:color w:val="000000"/>
          <w:sz w:val="20"/>
        </w:rPr>
        <w:t>When Leon Douglas showed up to meet a visitor on September 23, 2012, then-Sergeant Keara Muzzin noticed he was wearing shoes that she did not think were authorized by the prison. That was a problem, because the prison had a policy as to the type of shoes inmates must [*36]  wear for safety and security reasons. Policy Directive 04.07.122, R. 146-2, PageID 929-53. Douglas tried to explain to Muzzin that his shoes were allowed by virtue of a handwritten medical accommodation form, dated April 3, 2003 (2003 Special Accommodation), that was labeled "permanent." Douglas said that he had been using this form for nearly a decade without any issues. But Muzzin was dubious of the validity of the handwritten form. There is no evidence that Muzzin had ever seen that type of form before, and, at the time of the visit, accommodation forms were computer-generated, not handwritten. So Muzzin refused to let Douglas enter the visiting room unless he changed his shoes.</w:t>
      </w:r>
    </w:p>
    <w:p w:rsidR="00022B47" w:rsidRDefault="00000000">
      <w:pPr>
        <w:pStyle w:val="Normal23"/>
        <w:widowControl w:val="0"/>
        <w:spacing w:before="200" w:line="260" w:lineRule="atLeast"/>
        <w:jc w:val="both"/>
      </w:pPr>
      <w:bookmarkStart w:id="4387" w:name="Bookmark_para_61_4"/>
      <w:bookmarkEnd w:id="4387"/>
      <w:r>
        <w:rPr>
          <w:rFonts w:ascii="Arial" w:eastAsia="Arial" w:hAnsi="Arial" w:cs="Arial"/>
          <w:color w:val="000000"/>
          <w:sz w:val="20"/>
        </w:rPr>
        <w:t>Douglas claims that Muzzin then gave him a choice—wear some state-issued black Oxford shoes she had located or miss his visit. According to Douglas, he explained to Muzzin that the shoes he was wearing were medically prescribed and that the Oxford shoes would cause him pain. But Douglas's electronic records of his special accommodation orders on September 19 and 26, 2012, shortly before and after the visit, show that he no longer had a medical accommodation for shoes at the time of the visit. Douglas apparently [*37]  had received an accommodation to wear "athletic shoes," but this accommodation had ended in early September. Pl.'s Br. in Supp. of Summ. J. Mot., R. 132-4, PageID 790, 791 (showing a "stop date" of September 2, 2009, for "[p]rescription show, athletic shoes 10.5 4E"). Douglas maintains that Muzzin never checked the electronic records or called to verify his accommodation, but there is no evidence that he asked her to do so. Also, it is undisputed that, despite his complaint about the Oxford shoes, Douglas put them on anyway and proceeded with his visit.</w:t>
      </w:r>
    </w:p>
    <w:p w:rsidR="00022B47" w:rsidRDefault="00000000">
      <w:pPr>
        <w:pStyle w:val="Normal23"/>
        <w:widowControl w:val="0"/>
        <w:spacing w:before="200" w:line="260" w:lineRule="atLeast"/>
        <w:jc w:val="both"/>
      </w:pPr>
      <w:bookmarkStart w:id="4388" w:name="Bookmark_para_62_3"/>
      <w:bookmarkEnd w:id="4388"/>
      <w:r>
        <w:rPr>
          <w:rFonts w:ascii="Arial" w:eastAsia="Arial" w:hAnsi="Arial" w:cs="Arial"/>
          <w:color w:val="000000"/>
          <w:sz w:val="20"/>
        </w:rPr>
        <w:t>Douglas contends that he had to terminate the visit early because of pain from wearing the Oxford shoes. He also claims that, after he left the visiting room, Lieutenant Rodger Martin would not give back the shoes Douglas had originally been wearing. According to Douglas, he showed Martin his 2003 Special Accommodation and "attempted to show" him that his feet were bloody from wearing the Oxford shoes. Martin then took back those shoes and told him to return barefoot to his housing unit. Douglas complied.</w:t>
      </w:r>
    </w:p>
    <w:p w:rsidR="00022B47" w:rsidRDefault="00000000">
      <w:pPr>
        <w:pStyle w:val="Normal23"/>
        <w:widowControl w:val="0"/>
        <w:spacing w:before="200" w:line="260" w:lineRule="atLeast"/>
        <w:jc w:val="both"/>
      </w:pPr>
      <w:bookmarkStart w:id="4389" w:name="Bookmark_para_63_3"/>
      <w:bookmarkEnd w:id="4389"/>
      <w:r>
        <w:rPr>
          <w:rFonts w:ascii="Arial" w:eastAsia="Arial" w:hAnsi="Arial" w:cs="Arial"/>
          <w:color w:val="000000"/>
          <w:sz w:val="20"/>
        </w:rPr>
        <w:t>There is no dispute that, absent an accommodation, Douglas's original shoes did not comply with prison policy. Also, there is no evidence [*38]  that either Muzzin or Martin knew of any of Douglas's medical conditions that necessitated his wearing the shoes that were confiscated. In fact, there is no evidence that either official had even met Douglas before the encounters in question. Nevertheless, Douglas filed a grievance against both Muzzin and Martin, labeled Grievance No. RMI-1209-1627-28C, "for improperly confiscating his prescription shoes and failing to follow [ ] procedure by calling to verify that his orthopedic shoes were in fact medically prescribed." Appellant's Br. at 10. The officials disputed those charges and claimed that it was Douglas, not them, who was in the wrong. He was charged with a misconduct violation for possessing contraband—the confiscated shoes.</w:t>
      </w:r>
    </w:p>
    <w:p w:rsidR="00022B47" w:rsidRDefault="00000000">
      <w:pPr>
        <w:pStyle w:val="Normal23"/>
        <w:widowControl w:val="0"/>
        <w:spacing w:before="200" w:line="260" w:lineRule="atLeast"/>
        <w:jc w:val="both"/>
      </w:pPr>
      <w:bookmarkStart w:id="4390" w:name="Bookmark_para_64_3"/>
      <w:bookmarkEnd w:id="4390"/>
      <w:r>
        <w:rPr>
          <w:rFonts w:ascii="Arial" w:eastAsia="Arial" w:hAnsi="Arial" w:cs="Arial"/>
          <w:color w:val="000000"/>
          <w:sz w:val="20"/>
        </w:rPr>
        <w:t xml:space="preserve">According to Douglas, he spoke to Resident Unit Manager Kerry Gobert repeatedly about scheduling a hearing on the alleged misconduct and returning his shoes to him. But Gobert did neither. So Douglas filed another grievance in November 2012, this time against Gobert, labeled Grievance No. RMI-1211-1900-07B, for "violating his due process rights for not conducting an administrative hear[ing] in a timely manner." Compl., R. 1, PageID 8. In response to the [*39]  grievance, Warden Carmen Palmer agreed that "[a] Notice of Intent was not prepared, nor was an Administrative Hearing held regarding the Contraband Removal slip that was written on 9/23/12, therefore prisoner's due process was violated in accordance with P[olicy ]D[irective]-04-07-112." </w:t>
      </w:r>
      <w:r>
        <w:rPr>
          <w:rFonts w:ascii="Arial" w:eastAsia="Arial" w:hAnsi="Arial" w:cs="Arial"/>
          <w:i/>
          <w:color w:val="000000"/>
          <w:sz w:val="20"/>
        </w:rPr>
        <w:t>Id.</w:t>
      </w:r>
      <w:r>
        <w:rPr>
          <w:rFonts w:ascii="Arial" w:eastAsia="Arial" w:hAnsi="Arial" w:cs="Arial"/>
          <w:color w:val="000000"/>
          <w:sz w:val="20"/>
        </w:rPr>
        <w:t>at 8, 31.</w:t>
      </w:r>
    </w:p>
    <w:p w:rsidR="00022B47" w:rsidRDefault="00000000">
      <w:pPr>
        <w:pStyle w:val="Normal23"/>
        <w:widowControl w:val="0"/>
        <w:spacing w:before="200" w:line="260" w:lineRule="atLeast"/>
        <w:jc w:val="both"/>
      </w:pPr>
      <w:bookmarkStart w:id="4391" w:name="Bookmark_para_65_3"/>
      <w:bookmarkEnd w:id="4391"/>
      <w:r>
        <w:rPr>
          <w:rFonts w:ascii="Arial" w:eastAsia="Arial" w:hAnsi="Arial" w:cs="Arial"/>
          <w:color w:val="000000"/>
          <w:sz w:val="20"/>
        </w:rPr>
        <w:t>Douglas's confiscated shoes were returned to him 45 days after the visit at issue. During the time without those shoes, Douglas states, he wore open-toed shower shoes. Because MDOC policy does not allow open-toed shoes during certain events and activities, Douglas contends, he was unable to attend religious services, recreational weight training, and mealtime in the chow hall.</w:t>
      </w:r>
    </w:p>
    <w:p w:rsidR="00022B47" w:rsidRDefault="00000000">
      <w:pPr>
        <w:pStyle w:val="Normal23"/>
        <w:widowControl w:val="0"/>
        <w:spacing w:before="200" w:line="260" w:lineRule="atLeast"/>
        <w:jc w:val="both"/>
      </w:pPr>
      <w:bookmarkStart w:id="4392" w:name="Bookmark_para_66_3"/>
      <w:bookmarkEnd w:id="4392"/>
      <w:r>
        <w:rPr>
          <w:rFonts w:ascii="Arial" w:eastAsia="Arial" w:hAnsi="Arial" w:cs="Arial"/>
          <w:color w:val="000000"/>
          <w:sz w:val="20"/>
        </w:rPr>
        <w:t>In his complaint, Douglas claimed that (1) Muzzin and Martin violated his Eighth Amendment rights by confiscating and retaining his "medically[-]prescribed orthopedic shoes"; (2) Muzzin, Martin, Gobert, and Palmer violated his Fourteenth Amendment rights by continuously retaining his shoes without providing him with a timely administrative hearing; and (3) Muzzin, Martin, Gobert, and Palmer violated his "rights to equal protection" under the ADA and RA "by confiscating, retaining[,] and preventing [Douglas] from wearing his medically[-]prescribed shoes [*40]  on a visit where they had knowledge [Douglas] suffered from polio, diabetes[,] and neuropathy." Compl., R. 1, PageID 9-10.</w:t>
      </w:r>
    </w:p>
    <w:p w:rsidR="00022B47" w:rsidRDefault="00000000">
      <w:pPr>
        <w:pStyle w:val="Normal23"/>
        <w:widowControl w:val="0"/>
        <w:spacing w:before="200" w:line="260" w:lineRule="atLeast"/>
        <w:jc w:val="both"/>
      </w:pPr>
      <w:bookmarkStart w:id="4393" w:name="Bookmark_para_67_2"/>
      <w:bookmarkEnd w:id="4393"/>
      <w:r>
        <w:rPr>
          <w:rFonts w:ascii="Arial" w:eastAsia="Arial" w:hAnsi="Arial" w:cs="Arial"/>
          <w:color w:val="000000"/>
          <w:sz w:val="20"/>
        </w:rPr>
        <w:t>Over the course of several years, the district court dismissed or granted summary judgment to defendants on all of Douglas's claims. In defendants' last motion for summary judgment, the only claims left were Douglas's ADA and RA claims against Muzzin, Martin, and Gobert. Addressing those claims as to Muzzin, the magistrate judge stated that Douglas did not present evidence that Muzzin had confiscated Douglas's shoes because of his disability. The magistrate judge also found that Douglas did not present evidence that Muzzin's rationale—that she confiscated the shoes because they were in violation of MDOC policy and because Douglas did not have a medical accommodation—was pretextual. The magistrate judge determined that Douglas's ADA and RA claims against Martin failed for similar reasons. And, as to Gobert, the magistrate judge similarly pointed to the lack of evidence showing that Gobert's failure to conduct an administrative hearing was "'because of' or 'solely by reason of'" Douglas's disability. The magistrate judge concluded that, in order to obtain monetary [*41]  damages, Douglas had to show that defendants acted with "deliberate indifference," which he failed to do, because there was no evidence that defendants "possessed actual knowledge" or evidence from which it could be "reasonably [ ] inferred" that defendants should have known Douglas "suffered a foot impairment constituting a disability or requiring an accommodation."</w:t>
      </w:r>
    </w:p>
    <w:p w:rsidR="00022B47" w:rsidRDefault="00000000">
      <w:pPr>
        <w:pStyle w:val="Normal23"/>
        <w:widowControl w:val="0"/>
        <w:spacing w:before="200" w:line="260" w:lineRule="atLeast"/>
        <w:jc w:val="both"/>
      </w:pPr>
      <w:bookmarkStart w:id="4394" w:name="Bookmark_para_68_2"/>
      <w:bookmarkEnd w:id="4394"/>
      <w:r>
        <w:rPr>
          <w:rFonts w:ascii="Arial" w:eastAsia="Arial" w:hAnsi="Arial" w:cs="Arial"/>
          <w:color w:val="000000"/>
          <w:sz w:val="20"/>
        </w:rPr>
        <w:t>The district court approved and adopted the report, granting defendants' motion for summary judgment on Douglas's remaining claims. Douglas timely appealed.</w:t>
      </w:r>
    </w:p>
    <w:p w:rsidR="00022B47" w:rsidRDefault="00000000">
      <w:pPr>
        <w:pStyle w:val="Normal23"/>
        <w:widowControl w:val="0"/>
        <w:spacing w:before="120" w:line="260" w:lineRule="atLeast"/>
      </w:pPr>
      <w:r>
        <w:rPr>
          <w:rFonts w:ascii="Arial" w:eastAsia="Arial" w:hAnsi="Arial" w:cs="Arial"/>
          <w:color w:val="000000"/>
          <w:sz w:val="20"/>
        </w:rPr>
        <w:t>II.</w:t>
      </w:r>
    </w:p>
    <w:p w:rsidR="00022B47" w:rsidRDefault="00000000">
      <w:pPr>
        <w:pStyle w:val="Normal23"/>
        <w:widowControl w:val="0"/>
        <w:spacing w:before="200" w:line="260" w:lineRule="atLeast"/>
        <w:jc w:val="both"/>
      </w:pPr>
      <w:bookmarkStart w:id="4395" w:name="Bookmark_para_69_2"/>
      <w:bookmarkEnd w:id="4395"/>
      <w:r>
        <w:rPr>
          <w:rFonts w:ascii="Arial" w:eastAsia="Arial" w:hAnsi="Arial" w:cs="Arial"/>
          <w:color w:val="000000"/>
          <w:sz w:val="20"/>
        </w:rPr>
        <w:t xml:space="preserve">The majority ignores the parties' presentation and Douglas's own statement of his ADA and RA claims, which is that "the sole issue is whether there is [a] genuine issue of material fact that Defendants </w:t>
      </w:r>
      <w:r>
        <w:rPr>
          <w:rFonts w:ascii="Arial" w:eastAsia="Arial" w:hAnsi="Arial" w:cs="Arial"/>
          <w:i/>
          <w:color w:val="000000"/>
          <w:sz w:val="20"/>
        </w:rPr>
        <w:t>intentionally discriminated</w:t>
      </w:r>
      <w:r>
        <w:rPr>
          <w:rFonts w:ascii="Arial" w:eastAsia="Arial" w:hAnsi="Arial" w:cs="Arial"/>
          <w:color w:val="000000"/>
          <w:sz w:val="20"/>
        </w:rPr>
        <w:t xml:space="preserve"> against Mr. Douglas on account of his disability." Appellant's Br. at 27-28 (emphasis added). </w:t>
      </w:r>
      <w:bookmarkStart w:id="4396" w:name="Bookmark_I2G74P3C7PV00003P900000K"/>
      <w:bookmarkStart w:id="4397" w:name="Bookmark_I2G74P3CB2R00003P900000M"/>
      <w:bookmarkStart w:id="4398" w:name="Bookmark_I66426DD2D6NFC0030000400"/>
      <w:bookmarkEnd w:id="4396"/>
      <w:bookmarkEnd w:id="4397"/>
      <w:bookmarkEnd w:id="4398"/>
      <w:r>
        <w:rPr>
          <w:rFonts w:ascii="Arial" w:eastAsia="Arial" w:hAnsi="Arial" w:cs="Arial"/>
          <w:color w:val="000000"/>
          <w:sz w:val="20"/>
        </w:rPr>
        <w:t xml:space="preserve">He said the same thing to the district court. </w:t>
      </w:r>
      <w:r>
        <w:rPr>
          <w:rFonts w:ascii="Arial" w:eastAsia="Arial" w:hAnsi="Arial" w:cs="Arial"/>
          <w:i/>
          <w:color w:val="000000"/>
          <w:sz w:val="20"/>
        </w:rPr>
        <w:t>See</w:t>
      </w:r>
      <w:r>
        <w:rPr>
          <w:rFonts w:ascii="Arial" w:eastAsia="Arial" w:hAnsi="Arial" w:cs="Arial"/>
          <w:color w:val="000000"/>
          <w:sz w:val="20"/>
        </w:rPr>
        <w:t xml:space="preserve"> Pl.'s Resp. to Defs.' 2020 Mot. for Summ. J., R. 142, PageID 842-43. But rather than limit analysis to the issue that Douglas actually raised, the majority reframes the appeal as involving a claim for failure to accommodate under the ADA.</w:t>
      </w:r>
      <w:r>
        <w:rPr>
          <w:rFonts w:ascii="Arial" w:eastAsia="Arial" w:hAnsi="Arial" w:cs="Arial"/>
          <w:vertAlign w:val="superscript"/>
        </w:rPr>
        <w:footnoteReference w:customMarkFollows="1" w:id="101"/>
        <w:t>1</w:t>
      </w:r>
      <w:r>
        <w:rPr>
          <w:rFonts w:ascii="Arial" w:eastAsia="Arial" w:hAnsi="Arial" w:cs="Arial"/>
          <w:color w:val="000000"/>
          <w:sz w:val="20"/>
        </w:rPr>
        <w:t xml:space="preserve"> Maj. Op. at 13; </w:t>
      </w:r>
      <w:r>
        <w:rPr>
          <w:rFonts w:ascii="Arial" w:eastAsia="Arial" w:hAnsi="Arial" w:cs="Arial"/>
          <w:i/>
          <w:color w:val="000000"/>
          <w:sz w:val="20"/>
        </w:rPr>
        <w:t xml:space="preserve">but see </w:t>
      </w:r>
      <w:bookmarkStart w:id="4419" w:name="Bookmark_I66426DD2D6NFC0020000400"/>
      <w:bookmarkEnd w:id="4419"/>
      <w:r>
        <w:rPr>
          <w:rFonts w:ascii="Arial" w:eastAsia="Arial" w:hAnsi="Arial" w:cs="Arial"/>
          <w:i/>
          <w:color w:val="000000"/>
          <w:sz w:val="20"/>
        </w:rPr>
        <w:t>United States v. Sineneng-Smith</w:t>
      </w:r>
      <w:r>
        <w:rPr>
          <w:rFonts w:ascii="Arial" w:eastAsia="Arial" w:hAnsi="Arial" w:cs="Arial"/>
          <w:color w:val="000000"/>
          <w:sz w:val="20"/>
        </w:rPr>
        <w:t xml:space="preserve">, 140 S. Ct. 1575, 1579, 206 L. Ed. 2d 866 (2020) ("[O]ur system 'is designed around [*42]  the premise that [parties represented by component counsel] know what is best for them, and are responsible for advancing the facts and argument entitling them to relief.'" (quoting </w:t>
      </w:r>
      <w:bookmarkStart w:id="4420" w:name="Bookmark_I66426DD2D6NFC0040000400"/>
      <w:bookmarkEnd w:id="4420"/>
      <w:r>
        <w:rPr>
          <w:rFonts w:ascii="Arial" w:eastAsia="Arial" w:hAnsi="Arial" w:cs="Arial"/>
          <w:i/>
          <w:color w:val="000000"/>
          <w:sz w:val="20"/>
        </w:rPr>
        <w:t>Castro v. United States</w:t>
      </w:r>
      <w:r>
        <w:rPr>
          <w:rFonts w:ascii="Arial" w:eastAsia="Arial" w:hAnsi="Arial" w:cs="Arial"/>
          <w:color w:val="000000"/>
          <w:sz w:val="20"/>
        </w:rPr>
        <w:t>, 540 U.S. 375, 386, 124 S. Ct. 786, 157 L. Ed. 2d 778 (2003) (Scalia, J., concurring in part and concurring in the judgment)). Without clear support from Douglas's arguments themselves, the majority refashions his complaint as alleging "that Defendants knew of [Douglas's] disability and failed to make a reasonable modification to their footwear policy." Maj. Op. at 13.</w:t>
      </w:r>
    </w:p>
    <w:p w:rsidR="00022B47" w:rsidRDefault="00000000">
      <w:pPr>
        <w:pStyle w:val="Normal23"/>
        <w:widowControl w:val="0"/>
        <w:spacing w:before="200" w:line="260" w:lineRule="atLeast"/>
        <w:jc w:val="both"/>
      </w:pPr>
      <w:bookmarkStart w:id="4421" w:name="Bookmark_para_70_2"/>
      <w:bookmarkEnd w:id="4421"/>
      <w:r>
        <w:rPr>
          <w:rFonts w:ascii="Arial" w:eastAsia="Arial" w:hAnsi="Arial" w:cs="Arial"/>
          <w:color w:val="000000"/>
          <w:sz w:val="20"/>
        </w:rPr>
        <w:t>In support of its reframing of the issue presented, the majority first points to Douglas's "Declaration in Opposition to the Defendants' Motion for Summary Judgment." Maj. Op. at 13. But there, Douglas does not make a failure-to-accommodate claim. Instead, he merely cites Second Circuit authority and concludes that "[t]hese precedents preclude entry of summary judgment against plaintiff on the ground of qualified immunity. Indeed, this case presents government misconduct so egregious that any reasonable official would have known that it violates the Constitution, regardless of preexisting case law." Pl.'s Nov. 2017 Decl., R. 53, PageID 277-78. The majority also points [*43]  to Douglas's response to defendants' 2020 motion for summary judgment, presumably to where he asserts:</w:t>
      </w:r>
    </w:p>
    <w:p w:rsidR="00022B47" w:rsidRDefault="00000000">
      <w:pPr>
        <w:pStyle w:val="Normal23"/>
        <w:widowControl w:val="0"/>
        <w:spacing w:line="260" w:lineRule="atLeast"/>
        <w:ind w:left="400"/>
        <w:jc w:val="both"/>
      </w:pPr>
      <w:bookmarkStart w:id="4422" w:name="Bookmark_para_71_2"/>
      <w:bookmarkEnd w:id="4422"/>
      <w:r>
        <w:rPr>
          <w:rFonts w:ascii="Arial" w:eastAsia="Arial" w:hAnsi="Arial" w:cs="Arial"/>
          <w:color w:val="000000"/>
          <w:sz w:val="20"/>
        </w:rPr>
        <w:t>He does not allege that he is entitled to "heightened scrutiny" review because of his "disability." Rather, his ADA claim is based on the fact that there was no rational basis for Defendant Muzzin's refusal to honor his medical accommodation and concomitant failure to follow MDOC policy to verify that he was entitled to a medical accommodation; nor was there a rational basis for Defendant Martin's decision to confiscate Mr. Douglas' prescription orthopedic shoes needed to accommodate his disability where shoes are not contraband under MDOC policy and there was no legal basis for the confiscation of Mr. Douglas' property.</w:t>
      </w:r>
    </w:p>
    <w:p w:rsidR="00022B47" w:rsidRDefault="00000000">
      <w:pPr>
        <w:pStyle w:val="Normal23"/>
        <w:widowControl w:val="0"/>
        <w:spacing w:before="200" w:line="260" w:lineRule="atLeast"/>
        <w:jc w:val="both"/>
      </w:pPr>
      <w:r>
        <w:rPr>
          <w:rFonts w:ascii="Arial" w:eastAsia="Arial" w:hAnsi="Arial" w:cs="Arial"/>
          <w:color w:val="000000"/>
          <w:sz w:val="20"/>
        </w:rPr>
        <w:t xml:space="preserve">Pl.' Resp. to Defs.' 2020 Mot. for Summ. J., R. 142, PageID 850-51. Along with these statements, Douglas argues that "Title II cases brought by inmates against prison official for </w:t>
      </w:r>
      <w:r>
        <w:rPr>
          <w:rFonts w:ascii="Arial" w:eastAsia="Arial" w:hAnsi="Arial" w:cs="Arial"/>
          <w:i/>
          <w:color w:val="000000"/>
          <w:sz w:val="20"/>
        </w:rPr>
        <w:t>irrational disability discrimination</w:t>
      </w:r>
      <w:r>
        <w:rPr>
          <w:rFonts w:ascii="Arial" w:eastAsia="Arial" w:hAnsi="Arial" w:cs="Arial"/>
          <w:color w:val="000000"/>
          <w:sz w:val="20"/>
        </w:rPr>
        <w:t xml:space="preserve"> is a valid exercise of Congress' authority under § 5 of the Fourteenth Amendment," and that "the Eleventh Amendment is not a bar to Mr. Douglas' ADA claim." </w:t>
      </w:r>
      <w:r>
        <w:rPr>
          <w:rFonts w:ascii="Arial" w:eastAsia="Arial" w:hAnsi="Arial" w:cs="Arial"/>
          <w:i/>
          <w:color w:val="000000"/>
          <w:sz w:val="20"/>
        </w:rPr>
        <w:t>Id.</w:t>
      </w:r>
      <w:r>
        <w:rPr>
          <w:rFonts w:ascii="Arial" w:eastAsia="Arial" w:hAnsi="Arial" w:cs="Arial"/>
          <w:color w:val="000000"/>
          <w:sz w:val="20"/>
        </w:rPr>
        <w:t xml:space="preserve"> at 851 (emphasis added). Again, Douglas's arguments do not raise a failure-to-accommodate claim. </w:t>
      </w:r>
      <w:bookmarkStart w:id="4423" w:name="Bookmark_I2G74P3GB1300003P9000020"/>
      <w:bookmarkStart w:id="4424" w:name="Bookmark_I66426DG28T4XM0030000400"/>
      <w:bookmarkEnd w:id="4423"/>
      <w:bookmarkEnd w:id="4424"/>
      <w:r>
        <w:rPr>
          <w:rFonts w:ascii="Arial" w:eastAsia="Arial" w:hAnsi="Arial" w:cs="Arial"/>
          <w:color w:val="000000"/>
          <w:sz w:val="20"/>
        </w:rPr>
        <w:t xml:space="preserve">And, finally, the majority points to page 18 [*44]  of his opening brief on appeal. Maj. Op. at 13. But there, after stating that he "must show that he (1) has a disability; (2) is otherwise qualified; and (3) is being excluded from participation in, being denied the benefits of, or being subjected to discrimination </w:t>
      </w:r>
      <w:r>
        <w:rPr>
          <w:rFonts w:ascii="Arial" w:eastAsia="Arial" w:hAnsi="Arial" w:cs="Arial"/>
          <w:i/>
          <w:color w:val="000000"/>
          <w:sz w:val="20"/>
        </w:rPr>
        <w:t>because of his disability</w:t>
      </w:r>
      <w:r>
        <w:rPr>
          <w:rFonts w:ascii="Arial" w:eastAsia="Arial" w:hAnsi="Arial" w:cs="Arial"/>
          <w:color w:val="000000"/>
          <w:sz w:val="20"/>
        </w:rPr>
        <w:t xml:space="preserve">," Appellant's Br. at 17 (citing </w:t>
      </w:r>
      <w:bookmarkStart w:id="4425" w:name="Bookmark_I66426DG28T4XM0020000400"/>
      <w:bookmarkEnd w:id="4425"/>
      <w:r>
        <w:rPr>
          <w:rFonts w:ascii="Arial" w:eastAsia="Arial" w:hAnsi="Arial" w:cs="Arial"/>
          <w:i/>
          <w:color w:val="000000"/>
          <w:sz w:val="20"/>
        </w:rPr>
        <w:t>Anderson</w:t>
      </w:r>
      <w:r>
        <w:rPr>
          <w:rFonts w:ascii="Arial" w:eastAsia="Arial" w:hAnsi="Arial" w:cs="Arial"/>
          <w:color w:val="000000"/>
          <w:sz w:val="20"/>
        </w:rPr>
        <w:t>, 798 F.3d at 357) (emphasis added), Douglas merely string cites cases without providing any argument.</w:t>
      </w:r>
    </w:p>
    <w:p w:rsidR="00022B47" w:rsidRDefault="00000000">
      <w:pPr>
        <w:pStyle w:val="Normal23"/>
        <w:widowControl w:val="0"/>
        <w:spacing w:before="200" w:line="260" w:lineRule="atLeast"/>
        <w:jc w:val="both"/>
      </w:pPr>
      <w:bookmarkStart w:id="4426" w:name="Bookmark_para_72_2"/>
      <w:bookmarkStart w:id="4427" w:name="Bookmark_I2G74P3G7P800003P900001Y"/>
      <w:bookmarkStart w:id="4428" w:name="Bookmark_I66426DG28T4XM0050000400"/>
      <w:bookmarkEnd w:id="4426"/>
      <w:bookmarkEnd w:id="4427"/>
      <w:bookmarkEnd w:id="4428"/>
      <w:r>
        <w:rPr>
          <w:rFonts w:ascii="Arial" w:eastAsia="Arial" w:hAnsi="Arial" w:cs="Arial"/>
          <w:color w:val="000000"/>
          <w:sz w:val="20"/>
        </w:rPr>
        <w:t xml:space="preserve">We have repeatedly held "that a party forfeits any allegations that lack developed argument." </w:t>
      </w:r>
      <w:r>
        <w:rPr>
          <w:rFonts w:ascii="Arial" w:eastAsia="Arial" w:hAnsi="Arial" w:cs="Arial"/>
          <w:i/>
          <w:color w:val="000000"/>
          <w:sz w:val="20"/>
        </w:rPr>
        <w:t xml:space="preserve">See </w:t>
      </w:r>
      <w:bookmarkStart w:id="4429" w:name="Bookmark_I66426DG28T4XM0040000400"/>
      <w:bookmarkEnd w:id="4429"/>
      <w:r>
        <w:rPr>
          <w:rFonts w:ascii="Arial" w:eastAsia="Arial" w:hAnsi="Arial" w:cs="Arial"/>
          <w:i/>
          <w:color w:val="000000"/>
          <w:sz w:val="20"/>
        </w:rPr>
        <w:t>Jones Bros., Inc. v. Sec'y of Lab.</w:t>
      </w:r>
      <w:r>
        <w:rPr>
          <w:rFonts w:ascii="Arial" w:eastAsia="Arial" w:hAnsi="Arial" w:cs="Arial"/>
          <w:color w:val="000000"/>
          <w:sz w:val="20"/>
        </w:rPr>
        <w:t xml:space="preserve">, 898 F.3d 669, 677 (6th Cir. 2018). That is what happened when Douglas failed to develop an argument regarding any ADA failure-to-accommodate claim. </w:t>
      </w:r>
      <w:bookmarkStart w:id="4430" w:name="Bookmark_I2G74P3G4NG00003P900001W"/>
      <w:bookmarkStart w:id="4431" w:name="Bookmark_I66426DH2D6NGJ0020000400"/>
      <w:bookmarkEnd w:id="4430"/>
      <w:bookmarkEnd w:id="4431"/>
      <w:r>
        <w:rPr>
          <w:rFonts w:ascii="Arial" w:eastAsia="Arial" w:hAnsi="Arial" w:cs="Arial"/>
          <w:color w:val="000000"/>
          <w:sz w:val="20"/>
        </w:rPr>
        <w:t xml:space="preserve">And this failure was not for lack of notice. </w:t>
      </w:r>
      <w:bookmarkStart w:id="4432" w:name="Bookmark_I66426DH2D6NGJ0020000400_2"/>
      <w:bookmarkEnd w:id="4432"/>
      <w:r>
        <w:rPr>
          <w:rFonts w:ascii="Arial" w:eastAsia="Arial" w:hAnsi="Arial" w:cs="Arial"/>
          <w:color w:val="000000"/>
          <w:sz w:val="20"/>
        </w:rPr>
        <w:t xml:space="preserve">Indeed, defendants even called Douglas's attention to this potential argument, earlier in the litigation, </w:t>
      </w:r>
      <w:r>
        <w:rPr>
          <w:rFonts w:ascii="Arial" w:eastAsia="Arial" w:hAnsi="Arial" w:cs="Arial"/>
          <w:i/>
          <w:color w:val="000000"/>
          <w:sz w:val="20"/>
        </w:rPr>
        <w:t>see</w:t>
      </w:r>
      <w:r>
        <w:rPr>
          <w:rFonts w:ascii="Arial" w:eastAsia="Arial" w:hAnsi="Arial" w:cs="Arial"/>
          <w:color w:val="000000"/>
          <w:sz w:val="20"/>
        </w:rPr>
        <w:t xml:space="preserve"> Defs.' 2020 Mot. for Summ. J., R. 132, PageID 748 n.3 (citation omitted), but he rejected it. Pl.' Resp. to Defs.' 2020 Mot. for Summ. J., R. 142, PageID 842-43 (responding that "the sole issue is whether there is genuine issue of material fact that Defendants </w:t>
      </w:r>
      <w:r>
        <w:rPr>
          <w:rFonts w:ascii="Arial" w:eastAsia="Arial" w:hAnsi="Arial" w:cs="Arial"/>
          <w:i/>
          <w:color w:val="000000"/>
          <w:sz w:val="20"/>
        </w:rPr>
        <w:t>intentionally discriminated</w:t>
      </w:r>
      <w:r>
        <w:rPr>
          <w:rFonts w:ascii="Arial" w:eastAsia="Arial" w:hAnsi="Arial" w:cs="Arial"/>
          <w:color w:val="000000"/>
          <w:sz w:val="20"/>
        </w:rPr>
        <w:t xml:space="preserve"> against Mr. Douglas on account of his disability" (emphasis added)). Our "jurisprudence on abandonment of claims is clear: a plaintiff [*45]  is deemed to have abandoned a claim when a plaintiff fails to address it in response to a motion to summary judgment." </w:t>
      </w:r>
      <w:bookmarkStart w:id="4433" w:name="Bookmark_I66426DH2D6NGJ0010000400"/>
      <w:bookmarkEnd w:id="4433"/>
      <w:r>
        <w:rPr>
          <w:rFonts w:ascii="Arial" w:eastAsia="Arial" w:hAnsi="Arial" w:cs="Arial"/>
          <w:i/>
          <w:color w:val="000000"/>
          <w:sz w:val="20"/>
        </w:rPr>
        <w:t>Brown v. VHS of Mich.</w:t>
      </w:r>
      <w:r>
        <w:rPr>
          <w:rFonts w:ascii="Arial" w:eastAsia="Arial" w:hAnsi="Arial" w:cs="Arial"/>
          <w:color w:val="000000"/>
          <w:sz w:val="20"/>
        </w:rPr>
        <w:t>, 545 F. App'x 368, 372 (6th Cir. 2013). And Douglas made his abandonment of a failure-to-accommodate claim even clearer: he affirmatively disclaimed any reliance on it in response to defendants' motion.</w:t>
      </w:r>
    </w:p>
    <w:p w:rsidR="00022B47" w:rsidRDefault="00000000">
      <w:pPr>
        <w:pStyle w:val="Normal23"/>
        <w:widowControl w:val="0"/>
        <w:spacing w:before="200" w:line="260" w:lineRule="atLeast"/>
        <w:jc w:val="both"/>
      </w:pPr>
      <w:bookmarkStart w:id="4434" w:name="Bookmark_para_73_1"/>
      <w:bookmarkEnd w:id="4434"/>
      <w:r>
        <w:rPr>
          <w:rFonts w:ascii="Arial" w:eastAsia="Arial" w:hAnsi="Arial" w:cs="Arial"/>
          <w:color w:val="000000"/>
          <w:sz w:val="20"/>
        </w:rPr>
        <w:t xml:space="preserve">The claims that Douglas raises, as he states, are that Muzzin, Martin, and Gobert "subjected [him] to discrimination on account of his disability." Appellant's Br. at 13, 15, 17, 18-20, 23; </w:t>
      </w:r>
      <w:r>
        <w:rPr>
          <w:rFonts w:ascii="Arial" w:eastAsia="Arial" w:hAnsi="Arial" w:cs="Arial"/>
          <w:i/>
          <w:color w:val="000000"/>
          <w:sz w:val="20"/>
        </w:rPr>
        <w:t>see also</w:t>
      </w:r>
      <w:r>
        <w:rPr>
          <w:rFonts w:ascii="Arial" w:eastAsia="Arial" w:hAnsi="Arial" w:cs="Arial"/>
          <w:color w:val="000000"/>
          <w:sz w:val="20"/>
        </w:rPr>
        <w:t xml:space="preserve"> Appellant's Br. at viii (Statement of the Issues). That theory of intentional discrimination underlies the factual questions raised by his complaint. How did defendants intentionally discriminate against Douglas? By allegedly "confiscating, retaining, and preventing [Douglas] from wearing his medically prescribed shoes." Compl., R. 1, PageID 10; Maj. Op. at 14 (cleaned up). Why did they do this? Because, allegedly, "they had knowledge [Douglas] suffered from polio, diabetes[,] and neuropathy." Compl., R. 1, PageID 10. How does Douglas know they were intentionally discriminating against him? Because they refused to follow MDOC policy. </w:t>
      </w:r>
      <w:r>
        <w:rPr>
          <w:rFonts w:ascii="Arial" w:eastAsia="Arial" w:hAnsi="Arial" w:cs="Arial"/>
          <w:i/>
          <w:color w:val="000000"/>
          <w:sz w:val="20"/>
        </w:rPr>
        <w:t>See id.</w:t>
      </w:r>
      <w:r>
        <w:rPr>
          <w:rFonts w:ascii="Arial" w:eastAsia="Arial" w:hAnsi="Arial" w:cs="Arial"/>
          <w:color w:val="000000"/>
          <w:sz w:val="20"/>
        </w:rPr>
        <w:t xml:space="preserve"> at 6-8 (describing Muzzin's failure to call and verify Douglas's medical [*46]  accommodation, Martin's similar rejection of his accommodation form as valid, and Gobert's refusal to schedule a hearing—all in alleged violation of MDOC policies). These facts of alleged intentional discrimination—not failure to accommodate—are what Douglas argues entitle him to relief.</w:t>
      </w:r>
    </w:p>
    <w:p w:rsidR="00022B47" w:rsidRDefault="00000000">
      <w:pPr>
        <w:pStyle w:val="Normal23"/>
        <w:widowControl w:val="0"/>
        <w:spacing w:before="120" w:line="260" w:lineRule="atLeast"/>
      </w:pPr>
      <w:r>
        <w:rPr>
          <w:rFonts w:ascii="Arial" w:eastAsia="Arial" w:hAnsi="Arial" w:cs="Arial"/>
          <w:color w:val="000000"/>
          <w:sz w:val="20"/>
        </w:rPr>
        <w:t>III.</w:t>
      </w:r>
    </w:p>
    <w:p w:rsidR="00022B47" w:rsidRDefault="00000000">
      <w:pPr>
        <w:pStyle w:val="Normal23"/>
        <w:widowControl w:val="0"/>
        <w:spacing w:before="200" w:line="260" w:lineRule="atLeast"/>
        <w:jc w:val="both"/>
      </w:pPr>
      <w:bookmarkStart w:id="4435" w:name="Bookmark_para_74_0"/>
      <w:bookmarkEnd w:id="4435"/>
      <w:r>
        <w:rPr>
          <w:rFonts w:ascii="Arial" w:eastAsia="Arial" w:hAnsi="Arial" w:cs="Arial"/>
          <w:color w:val="000000"/>
          <w:sz w:val="20"/>
        </w:rPr>
        <w:t>I now turn to the only issue properly before us—whether "there is a genuine issue of material fact that Defendants intentionally discriminated against Mr. Douglas on account of his disability" under the ADA and RA.</w:t>
      </w:r>
      <w:r>
        <w:rPr>
          <w:rFonts w:ascii="Arial" w:eastAsia="Arial" w:hAnsi="Arial" w:cs="Arial"/>
          <w:vertAlign w:val="superscript"/>
        </w:rPr>
        <w:footnoteReference w:customMarkFollows="1" w:id="102"/>
        <w:t>2</w:t>
      </w:r>
      <w:r>
        <w:rPr>
          <w:rFonts w:ascii="Arial" w:eastAsia="Arial" w:hAnsi="Arial" w:cs="Arial"/>
          <w:color w:val="000000"/>
          <w:sz w:val="20"/>
        </w:rPr>
        <w:t xml:space="preserve"> I agree with the district court that there is no genuine issue on this point. In other words, there is no evidence that would allow a reasonable jury to find that defendants engaged in intentional disability discrimination under those statutes.</w:t>
      </w:r>
    </w:p>
    <w:p w:rsidR="00022B47" w:rsidRDefault="00000000">
      <w:pPr>
        <w:pStyle w:val="Normal23"/>
        <w:widowControl w:val="0"/>
        <w:spacing w:before="200" w:line="260" w:lineRule="atLeast"/>
        <w:jc w:val="both"/>
      </w:pPr>
      <w:bookmarkStart w:id="4437" w:name="Bookmark_para_75_0"/>
      <w:bookmarkStart w:id="4438" w:name="Bookmark_I2G74P3G07F00003P900001T"/>
      <w:bookmarkStart w:id="4439" w:name="Bookmark_I66426DH2D6NGJ0040000400"/>
      <w:bookmarkStart w:id="4440" w:name="Bookmark_I2G74P3FCYY00003P900001H"/>
      <w:bookmarkStart w:id="4441" w:name="Bookmark_I2G74P3FJYB00003P900001K"/>
      <w:bookmarkStart w:id="4442" w:name="Bookmark_I2G74P3FPS200003P900001N"/>
      <w:bookmarkStart w:id="4443" w:name="Bookmark_I2G74P3FV4400003P900001R"/>
      <w:bookmarkStart w:id="4444" w:name="Bookmark_I66426DH28T4XV0010000400"/>
      <w:bookmarkEnd w:id="4437"/>
      <w:bookmarkEnd w:id="4438"/>
      <w:bookmarkEnd w:id="4439"/>
      <w:bookmarkEnd w:id="4440"/>
      <w:bookmarkEnd w:id="4441"/>
      <w:bookmarkEnd w:id="4442"/>
      <w:bookmarkEnd w:id="4443"/>
      <w:bookmarkEnd w:id="4444"/>
      <w:r>
        <w:rPr>
          <w:rFonts w:ascii="Arial" w:eastAsia="Arial" w:hAnsi="Arial" w:cs="Arial"/>
          <w:color w:val="000000"/>
          <w:sz w:val="20"/>
        </w:rPr>
        <w:t>When a plaintiff presents indirect evidence of alleged discrimination under the ADA and RA,</w:t>
      </w:r>
      <w:r>
        <w:rPr>
          <w:rFonts w:ascii="Arial" w:eastAsia="Arial" w:hAnsi="Arial" w:cs="Arial"/>
          <w:vertAlign w:val="superscript"/>
        </w:rPr>
        <w:footnoteReference w:customMarkFollows="1" w:id="103"/>
        <w:t>3</w:t>
      </w:r>
      <w:r>
        <w:rPr>
          <w:rFonts w:ascii="Arial" w:eastAsia="Arial" w:hAnsi="Arial" w:cs="Arial"/>
          <w:color w:val="000000"/>
          <w:sz w:val="20"/>
        </w:rPr>
        <w:t xml:space="preserve"> like here, we apply the </w:t>
      </w:r>
      <w:bookmarkStart w:id="4454" w:name="Bookmark_I66426DH2D6NGJ0030000400"/>
      <w:bookmarkEnd w:id="4454"/>
      <w:r>
        <w:rPr>
          <w:rFonts w:ascii="Arial" w:eastAsia="Arial" w:hAnsi="Arial" w:cs="Arial"/>
          <w:i/>
          <w:color w:val="000000"/>
          <w:sz w:val="20"/>
        </w:rPr>
        <w:t>McDonnell Douglas</w:t>
      </w:r>
      <w:r>
        <w:rPr>
          <w:rFonts w:ascii="Arial" w:eastAsia="Arial" w:hAnsi="Arial" w:cs="Arial"/>
          <w:color w:val="000000"/>
          <w:sz w:val="20"/>
        </w:rPr>
        <w:t xml:space="preserve"> burden-shifting analysis. </w:t>
      </w:r>
      <w:bookmarkStart w:id="4455" w:name="Bookmark_I2G74P3F1WH00003P9000019"/>
      <w:bookmarkStart w:id="4456" w:name="Bookmark_I2G74P3F5YB00003P900001D"/>
      <w:bookmarkStart w:id="4457" w:name="Bookmark_I66426DJ2HM62T0040000400"/>
      <w:bookmarkEnd w:id="4455"/>
      <w:bookmarkEnd w:id="4456"/>
      <w:bookmarkEnd w:id="4457"/>
      <w:r>
        <w:rPr>
          <w:rFonts w:ascii="Arial" w:eastAsia="Arial" w:hAnsi="Arial" w:cs="Arial"/>
          <w:i/>
          <w:color w:val="000000"/>
          <w:sz w:val="20"/>
        </w:rPr>
        <w:t xml:space="preserve">See </w:t>
      </w:r>
      <w:bookmarkStart w:id="4458" w:name="Bookmark_I66426DH2D6NGJ0050000400"/>
      <w:bookmarkEnd w:id="4458"/>
      <w:r>
        <w:rPr>
          <w:rFonts w:ascii="Arial" w:eastAsia="Arial" w:hAnsi="Arial" w:cs="Arial"/>
          <w:i/>
          <w:color w:val="000000"/>
          <w:sz w:val="20"/>
        </w:rPr>
        <w:t>Anderson v. City of Blue Ash</w:t>
      </w:r>
      <w:r>
        <w:rPr>
          <w:rFonts w:ascii="Arial" w:eastAsia="Arial" w:hAnsi="Arial" w:cs="Arial"/>
          <w:color w:val="000000"/>
          <w:sz w:val="20"/>
        </w:rPr>
        <w:t xml:space="preserve">, 798 F.3d 338, 356 (6th Cir. 2015) (citing </w:t>
      </w:r>
      <w:bookmarkStart w:id="4459" w:name="Bookmark_I66426DH28T4XV0020000400"/>
      <w:bookmarkEnd w:id="4459"/>
      <w:r>
        <w:rPr>
          <w:rFonts w:ascii="Arial" w:eastAsia="Arial" w:hAnsi="Arial" w:cs="Arial"/>
          <w:i/>
          <w:color w:val="000000"/>
          <w:sz w:val="20"/>
        </w:rPr>
        <w:t>McDonnell Douglas Corp. v. Green</w:t>
      </w:r>
      <w:r>
        <w:rPr>
          <w:rFonts w:ascii="Arial" w:eastAsia="Arial" w:hAnsi="Arial" w:cs="Arial"/>
          <w:color w:val="000000"/>
          <w:sz w:val="20"/>
        </w:rPr>
        <w:t xml:space="preserve">, 411 U.S. 792, 93 S. Ct. 1817, 36 L. Ed. 2d 668 (1973)); </w:t>
      </w:r>
      <w:r>
        <w:rPr>
          <w:rFonts w:ascii="Arial" w:eastAsia="Arial" w:hAnsi="Arial" w:cs="Arial"/>
          <w:i/>
          <w:color w:val="000000"/>
          <w:sz w:val="20"/>
        </w:rPr>
        <w:t xml:space="preserve">see also </w:t>
      </w:r>
      <w:bookmarkStart w:id="4460" w:name="Bookmark_I66426DH28T4XV0040000400"/>
      <w:bookmarkEnd w:id="4460"/>
      <w:r>
        <w:rPr>
          <w:rFonts w:ascii="Arial" w:eastAsia="Arial" w:hAnsi="Arial" w:cs="Arial"/>
          <w:i/>
          <w:color w:val="000000"/>
          <w:sz w:val="20"/>
        </w:rPr>
        <w:t>M.J.</w:t>
      </w:r>
      <w:r>
        <w:rPr>
          <w:rFonts w:ascii="Arial" w:eastAsia="Arial" w:hAnsi="Arial" w:cs="Arial"/>
          <w:color w:val="000000"/>
          <w:sz w:val="20"/>
        </w:rPr>
        <w:t xml:space="preserve">, 1 F.4th at 452 ("[W]e apply [the </w:t>
      </w:r>
      <w:bookmarkStart w:id="4461" w:name="Bookmark_I66426DJ2HM62T0040000400_2"/>
      <w:bookmarkStart w:id="4462" w:name="Bookmark_I66426DH28T4XV0010000400_2"/>
      <w:bookmarkStart w:id="4463" w:name="Bookmark_I66426DH2D6NGJ0040000400_2"/>
      <w:bookmarkStart w:id="4464" w:name="Bookmark_I66426DJ2HM62T0010000400"/>
      <w:bookmarkEnd w:id="4461"/>
      <w:bookmarkEnd w:id="4462"/>
      <w:bookmarkEnd w:id="4463"/>
      <w:bookmarkEnd w:id="4464"/>
      <w:r>
        <w:rPr>
          <w:rFonts w:ascii="Arial" w:eastAsia="Arial" w:hAnsi="Arial" w:cs="Arial"/>
          <w:i/>
          <w:color w:val="000000"/>
          <w:sz w:val="20"/>
        </w:rPr>
        <w:t>McDonnell Douglas</w:t>
      </w:r>
      <w:r>
        <w:rPr>
          <w:rFonts w:ascii="Arial" w:eastAsia="Arial" w:hAnsi="Arial" w:cs="Arial"/>
          <w:color w:val="000000"/>
          <w:sz w:val="20"/>
        </w:rPr>
        <w:t xml:space="preserve"> test] to both statutes."). Under the </w:t>
      </w:r>
      <w:bookmarkStart w:id="4465" w:name="Bookmark_I66426DJ2HM62T0040000400_3"/>
      <w:bookmarkStart w:id="4466" w:name="Bookmark_I66426DJ2HM62T0030000400"/>
      <w:bookmarkEnd w:id="4465"/>
      <w:bookmarkEnd w:id="4466"/>
      <w:r>
        <w:rPr>
          <w:rFonts w:ascii="Arial" w:eastAsia="Arial" w:hAnsi="Arial" w:cs="Arial"/>
          <w:i/>
          <w:color w:val="000000"/>
          <w:sz w:val="20"/>
        </w:rPr>
        <w:t>McDonnell Douglas</w:t>
      </w:r>
      <w:r>
        <w:rPr>
          <w:rFonts w:ascii="Arial" w:eastAsia="Arial" w:hAnsi="Arial" w:cs="Arial"/>
          <w:color w:val="000000"/>
          <w:sz w:val="20"/>
        </w:rPr>
        <w:t xml:space="preserve"> test, "a plaintiff must first establish a prima facie case of discrimination." </w:t>
      </w:r>
      <w:bookmarkStart w:id="4467" w:name="Bookmark_I66426DJ2HM62T0050000400"/>
      <w:bookmarkEnd w:id="4467"/>
      <w:r>
        <w:rPr>
          <w:rFonts w:ascii="Arial" w:eastAsia="Arial" w:hAnsi="Arial" w:cs="Arial"/>
          <w:i/>
          <w:color w:val="000000"/>
          <w:sz w:val="20"/>
        </w:rPr>
        <w:t>Anderson</w:t>
      </w:r>
      <w:r>
        <w:rPr>
          <w:rFonts w:ascii="Arial" w:eastAsia="Arial" w:hAnsi="Arial" w:cs="Arial"/>
          <w:color w:val="000000"/>
          <w:sz w:val="20"/>
        </w:rPr>
        <w:t>, 798 F.3d at 357 (cleaned up). The prima facie case requires that the plaintiff must show:</w:t>
      </w:r>
    </w:p>
    <w:p w:rsidR="00022B47" w:rsidRDefault="00000000">
      <w:pPr>
        <w:pStyle w:val="Normal23"/>
        <w:widowControl w:val="0"/>
        <w:spacing w:before="200" w:line="260" w:lineRule="atLeast"/>
        <w:ind w:left="400"/>
        <w:jc w:val="both"/>
      </w:pPr>
      <w:bookmarkStart w:id="4468" w:name="Bookmark_para_76_0"/>
      <w:bookmarkStart w:id="4469" w:name="Bookmark_I2G74P3DXNX00003P9000017"/>
      <w:bookmarkStart w:id="4470" w:name="Bookmark_I66426DJ28T4XY0030000400"/>
      <w:bookmarkEnd w:id="4468"/>
      <w:bookmarkEnd w:id="4469"/>
      <w:bookmarkEnd w:id="4470"/>
      <w:r>
        <w:rPr>
          <w:rFonts w:ascii="Arial" w:eastAsia="Arial" w:hAnsi="Arial" w:cs="Arial"/>
          <w:color w:val="000000"/>
          <w:sz w:val="20"/>
        </w:rPr>
        <w:t>(1) []he has a disability; (2) []he is otherwise qualified; and (3) [*47]  []he was being excluded from participation in, denied the benefits of, or subjected to discrimination under the program because of h[is] disability.</w:t>
      </w:r>
    </w:p>
    <w:p w:rsidR="00022B47" w:rsidRDefault="00000000">
      <w:pPr>
        <w:pStyle w:val="Normal23"/>
        <w:widowControl w:val="0"/>
        <w:spacing w:before="200" w:line="260" w:lineRule="atLeast"/>
        <w:jc w:val="both"/>
      </w:pPr>
      <w:bookmarkStart w:id="4471" w:name="Bookmark_I66426DJ28T4XY0030000400_2"/>
      <w:bookmarkEnd w:id="4471"/>
      <w:r>
        <w:rPr>
          <w:rFonts w:ascii="Arial" w:eastAsia="Arial" w:hAnsi="Arial" w:cs="Arial"/>
          <w:i/>
          <w:color w:val="000000"/>
          <w:sz w:val="20"/>
        </w:rPr>
        <w:t>Id.</w:t>
      </w:r>
      <w:r>
        <w:rPr>
          <w:rFonts w:ascii="Arial" w:eastAsia="Arial" w:hAnsi="Arial" w:cs="Arial"/>
          <w:color w:val="000000"/>
          <w:sz w:val="20"/>
        </w:rPr>
        <w:t xml:space="preserve"> (citation omitted); </w:t>
      </w:r>
      <w:r>
        <w:rPr>
          <w:rFonts w:ascii="Arial" w:eastAsia="Arial" w:hAnsi="Arial" w:cs="Arial"/>
          <w:i/>
          <w:color w:val="000000"/>
          <w:sz w:val="20"/>
        </w:rPr>
        <w:t>see also</w:t>
      </w:r>
      <w:r>
        <w:rPr>
          <w:rFonts w:ascii="Arial" w:eastAsia="Arial" w:hAnsi="Arial" w:cs="Arial"/>
          <w:color w:val="000000"/>
          <w:sz w:val="20"/>
        </w:rPr>
        <w:t xml:space="preserve"> Appellant's Br. at 17. In other words, the "[p]laintiff must present evidence that animus against the protected group was a significant factor in the position taken." </w:t>
      </w:r>
      <w:bookmarkStart w:id="4472" w:name="Bookmark_I66426DJ28T4XY0020000400"/>
      <w:bookmarkEnd w:id="4472"/>
      <w:r>
        <w:rPr>
          <w:rFonts w:ascii="Arial" w:eastAsia="Arial" w:hAnsi="Arial" w:cs="Arial"/>
          <w:i/>
          <w:color w:val="000000"/>
          <w:sz w:val="20"/>
        </w:rPr>
        <w:t>Anderson</w:t>
      </w:r>
      <w:r>
        <w:rPr>
          <w:rFonts w:ascii="Arial" w:eastAsia="Arial" w:hAnsi="Arial" w:cs="Arial"/>
          <w:color w:val="000000"/>
          <w:sz w:val="20"/>
        </w:rPr>
        <w:t xml:space="preserve">, 798 F.3d at 357 (quotation omitted). Once the plaintiff establishes a prima facie case, the burden shifts to the defendant to "offer a legitimate, nondiscriminatory reason for his challenged action." </w:t>
      </w:r>
      <w:r>
        <w:rPr>
          <w:rFonts w:ascii="Arial" w:eastAsia="Arial" w:hAnsi="Arial" w:cs="Arial"/>
          <w:i/>
          <w:color w:val="000000"/>
          <w:sz w:val="20"/>
        </w:rPr>
        <w:t>Id.</w:t>
      </w:r>
      <w:r>
        <w:rPr>
          <w:rFonts w:ascii="Arial" w:eastAsia="Arial" w:hAnsi="Arial" w:cs="Arial"/>
          <w:color w:val="000000"/>
          <w:sz w:val="20"/>
        </w:rPr>
        <w:t xml:space="preserve"> (cleaned up). If the defendant does so, the burden then shifts back to the plaintiff to "present evidence allowing a jury to find that the defendant's explanation is a pretext for unlawful discrimination." </w:t>
      </w:r>
      <w:r>
        <w:rPr>
          <w:rFonts w:ascii="Arial" w:eastAsia="Arial" w:hAnsi="Arial" w:cs="Arial"/>
          <w:i/>
          <w:color w:val="000000"/>
          <w:sz w:val="20"/>
        </w:rPr>
        <w:t>Id.</w:t>
      </w:r>
      <w:r>
        <w:rPr>
          <w:rFonts w:ascii="Arial" w:eastAsia="Arial" w:hAnsi="Arial" w:cs="Arial"/>
          <w:color w:val="000000"/>
          <w:sz w:val="20"/>
        </w:rPr>
        <w:t xml:space="preserve"> (cleaned up).</w:t>
      </w:r>
    </w:p>
    <w:p w:rsidR="00022B47" w:rsidRDefault="00000000">
      <w:pPr>
        <w:pStyle w:val="Normal23"/>
        <w:widowControl w:val="0"/>
        <w:spacing w:before="200" w:line="260" w:lineRule="atLeast"/>
        <w:jc w:val="both"/>
      </w:pPr>
      <w:bookmarkStart w:id="4473" w:name="Bookmark_para_77_0"/>
      <w:bookmarkStart w:id="4474" w:name="Bookmark_I2G74P3DH5500003P9000012"/>
      <w:bookmarkStart w:id="4475" w:name="Bookmark_I66426DJ2D6NGV0030000400"/>
      <w:bookmarkEnd w:id="4473"/>
      <w:bookmarkEnd w:id="4474"/>
      <w:bookmarkEnd w:id="4475"/>
      <w:r>
        <w:rPr>
          <w:rFonts w:ascii="Arial" w:eastAsia="Arial" w:hAnsi="Arial" w:cs="Arial"/>
          <w:color w:val="000000"/>
          <w:sz w:val="20"/>
        </w:rPr>
        <w:t>For his claim against Muzzin, Douglas argues that she intentionally discriminated against him on account of his disability by confiscating his shoes, despite being shown the 2003 Special Accommodation, and by failing to contact medical staff, as directed by MDOC policy directives. But Douglas has not presented evidence to create a triable issue that Muzzin knew or should have known that he had a disability covered by the ADA and [*48]  RA.</w:t>
      </w:r>
      <w:r>
        <w:rPr>
          <w:rFonts w:ascii="Arial" w:eastAsia="Arial" w:hAnsi="Arial" w:cs="Arial"/>
          <w:vertAlign w:val="superscript"/>
        </w:rPr>
        <w:footnoteReference w:customMarkFollows="1" w:id="104"/>
        <w:t>4</w:t>
      </w:r>
      <w:r>
        <w:rPr>
          <w:rFonts w:ascii="Arial" w:eastAsia="Arial" w:hAnsi="Arial" w:cs="Arial"/>
          <w:color w:val="000000"/>
          <w:sz w:val="20"/>
        </w:rPr>
        <w:t xml:space="preserve"> Muzzin swore in her affidavit that she "d[id] not know whether [Douglas]'s ability to walk was limited without orthopedic shoes, and Douglas does not contend that he attempted to show her his feet. Defs.' Disc. Resp., R. 132, PageID 764. Muzzin stated that she confiscated Douglas's shoes because they were "personal shoes" and he did not have a valid accommodation for them. </w:t>
      </w:r>
      <w:r>
        <w:rPr>
          <w:rFonts w:ascii="Arial" w:eastAsia="Arial" w:hAnsi="Arial" w:cs="Arial"/>
          <w:i/>
          <w:color w:val="000000"/>
          <w:sz w:val="20"/>
        </w:rPr>
        <w:t>Id.</w:t>
      </w:r>
      <w:r>
        <w:rPr>
          <w:rFonts w:ascii="Arial" w:eastAsia="Arial" w:hAnsi="Arial" w:cs="Arial"/>
          <w:color w:val="000000"/>
          <w:sz w:val="20"/>
        </w:rPr>
        <w:t xml:space="preserve"> at 762. </w:t>
      </w:r>
      <w:bookmarkStart w:id="4478" w:name="Bookmark_I2G74P3DK3X00003P9000013"/>
      <w:bookmarkStart w:id="4479" w:name="Bookmark_I66426DJ2D6NGV0010000400"/>
      <w:bookmarkEnd w:id="4478"/>
      <w:bookmarkEnd w:id="4479"/>
      <w:r>
        <w:rPr>
          <w:rFonts w:ascii="Arial" w:eastAsia="Arial" w:hAnsi="Arial" w:cs="Arial"/>
          <w:color w:val="000000"/>
          <w:sz w:val="20"/>
        </w:rPr>
        <w:t xml:space="preserve">And Douglas has offered no evidence that Muzzin's explanations for her actions were pretextual. At the time, Douglas's medical accommodations did not list orthopedic shoes. </w:t>
      </w:r>
      <w:r>
        <w:rPr>
          <w:rFonts w:ascii="Arial" w:eastAsia="Arial" w:hAnsi="Arial" w:cs="Arial"/>
          <w:i/>
          <w:color w:val="000000"/>
          <w:sz w:val="20"/>
        </w:rPr>
        <w:t xml:space="preserve">See </w:t>
      </w:r>
      <w:bookmarkStart w:id="4480" w:name="Bookmark_I66426DJ2HM62W0050000400"/>
      <w:bookmarkEnd w:id="4480"/>
      <w:r>
        <w:rPr>
          <w:rFonts w:ascii="Arial" w:eastAsia="Arial" w:hAnsi="Arial" w:cs="Arial"/>
          <w:i/>
          <w:color w:val="000000"/>
          <w:sz w:val="20"/>
        </w:rPr>
        <w:t>Anderson</w:t>
      </w:r>
      <w:r>
        <w:rPr>
          <w:rFonts w:ascii="Arial" w:eastAsia="Arial" w:hAnsi="Arial" w:cs="Arial"/>
          <w:color w:val="000000"/>
          <w:sz w:val="20"/>
        </w:rPr>
        <w:t xml:space="preserve">, 798 F.3d at 357, 359 ("Questioning the necessity and reasonability of a requested disability accommodation does not, by itself, create the inference of intentional discrimination."); </w:t>
      </w:r>
      <w:r>
        <w:rPr>
          <w:rFonts w:ascii="Arial" w:eastAsia="Arial" w:hAnsi="Arial" w:cs="Arial"/>
          <w:i/>
          <w:color w:val="000000"/>
          <w:sz w:val="20"/>
        </w:rPr>
        <w:t>see also</w:t>
      </w:r>
      <w:r>
        <w:rPr>
          <w:rFonts w:ascii="Arial" w:eastAsia="Arial" w:hAnsi="Arial" w:cs="Arial"/>
          <w:color w:val="000000"/>
          <w:sz w:val="20"/>
        </w:rPr>
        <w:t xml:space="preserve"> Order &amp; Op. Adopting Mar. 2021 Report &amp; Recommendation, R. 156, PageID 1037 (noting that "[p]erhaps the notes were a mistake, but that does not permit the Court to tag liability on [Muzzin]"). And the 2003 Special Accommodation (assuming it was still valid at the time) was not in the electronic system MDOC uses.</w:t>
      </w:r>
      <w:r>
        <w:rPr>
          <w:rFonts w:ascii="Arial" w:eastAsia="Arial" w:hAnsi="Arial" w:cs="Arial"/>
          <w:vertAlign w:val="superscript"/>
        </w:rPr>
        <w:footnoteReference w:customMarkFollows="1" w:id="105"/>
        <w:t>5</w:t>
      </w:r>
      <w:r>
        <w:rPr>
          <w:rFonts w:ascii="Arial" w:eastAsia="Arial" w:hAnsi="Arial" w:cs="Arial"/>
          <w:color w:val="000000"/>
          <w:sz w:val="20"/>
        </w:rPr>
        <w:t xml:space="preserve"> Furthermore, Douglas does not dispute that, absent a valid medical accommodation, his shoes were unauthorized under prison policy. In short, there [*49]  is no evidence that Muzzin acted with the requisite discriminatory intent under the ADA and RA when she followed MDOC Policy Directive 04.07.112, which stated that "personal footwear shall not be worn on visits" and allowed for confiscation of property that is not authorized.</w:t>
      </w:r>
    </w:p>
    <w:p w:rsidR="00022B47" w:rsidRDefault="00000000">
      <w:pPr>
        <w:pStyle w:val="Normal23"/>
        <w:widowControl w:val="0"/>
        <w:spacing w:before="200" w:line="260" w:lineRule="atLeast"/>
        <w:jc w:val="both"/>
      </w:pPr>
      <w:bookmarkStart w:id="4482" w:name="Bookmark_para_78_0"/>
      <w:bookmarkEnd w:id="4482"/>
      <w:r>
        <w:rPr>
          <w:rFonts w:ascii="Arial" w:eastAsia="Arial" w:hAnsi="Arial" w:cs="Arial"/>
          <w:color w:val="000000"/>
          <w:sz w:val="20"/>
        </w:rPr>
        <w:t>Likewise, the evidence is insufficient to support a jury finding that Martin acted unlawfully either. Douglas claims that Martin intentionally discriminated against him by refusing to return his shoes, despite being shown the 2003 Special Accommodation, and by failing to contact medical staff, as directed by MDOC policy directives. Douglas's claim against Martin fails for the same reasons as his claim against Muzzin. There is no proof that Martin acted in a discriminatory fashion when he relied on Muzzin's determination that Douglas was not permitted to wear the confiscated shoes, finding no valid medical accommodation. Although Douglas claims he tried to show Martin his feet, Douglas points us to no evidence that Martin actually knew or should have known that Douglas had a disability under the ADA and RA and that he retained the confiscated shoes to discriminate based on that disability.</w:t>
      </w:r>
    </w:p>
    <w:p w:rsidR="00022B47" w:rsidRDefault="00000000">
      <w:pPr>
        <w:pStyle w:val="Normal23"/>
        <w:widowControl w:val="0"/>
        <w:spacing w:before="200" w:line="260" w:lineRule="atLeast"/>
        <w:jc w:val="both"/>
      </w:pPr>
      <w:bookmarkStart w:id="4483" w:name="Bookmark_para_79_0"/>
      <w:bookmarkEnd w:id="4483"/>
      <w:r>
        <w:rPr>
          <w:rFonts w:ascii="Arial" w:eastAsia="Arial" w:hAnsi="Arial" w:cs="Arial"/>
          <w:color w:val="000000"/>
          <w:sz w:val="20"/>
        </w:rPr>
        <w:t>In sum, as the district [*50]  court and magistrate judge both held, Douglas has presented no evidence that would allow a reasonable jury to "infer that Defendants Muzzin and Martin deprived [Douglas] of shoes or anything else because of his disability since the contemporaneous treatment records show that on the days they acted, [Douglas] did not have an accommodation of record." Order &amp; Op. Approving Mar. 2016 Report &amp; Recommendation, R. 156, PageID 1037.</w:t>
      </w:r>
    </w:p>
    <w:p w:rsidR="00022B47" w:rsidRDefault="00000000">
      <w:pPr>
        <w:pStyle w:val="Normal23"/>
        <w:widowControl w:val="0"/>
        <w:spacing w:before="200" w:line="260" w:lineRule="atLeast"/>
        <w:jc w:val="both"/>
      </w:pPr>
      <w:bookmarkStart w:id="4484" w:name="Bookmark_para_80_0"/>
      <w:bookmarkEnd w:id="4484"/>
      <w:r>
        <w:rPr>
          <w:rFonts w:ascii="Arial" w:eastAsia="Arial" w:hAnsi="Arial" w:cs="Arial"/>
          <w:color w:val="000000"/>
          <w:sz w:val="20"/>
        </w:rPr>
        <w:t>Additionally, the evidence against Gobert is insufficient to go to trial. Douglas alleges that Gobert failed to schedule a hearing regarding his confiscated shoes, despite MDOC policy to the contrary. But that is where Douglas's allegations end. Douglas does state that he asked Gobert multiple times. And Palmer did find that the lack of hearing violated MDOC policy. But Douglas presents no evidence that Gobert knew of his disability and that the disability was why Gobert did not schedule a hearing. Douglas does not point us to any evidence that Gobert exhibited discrimination towards other prisoners with disabilities, information regarding the timing and frequency of hearings, or other evidence supporting his discrimination allegation. Douglas cannot make a prima [*51]  facie case against Gobert under the ADA or RA.</w:t>
      </w:r>
    </w:p>
    <w:p w:rsidR="00022B47" w:rsidRDefault="00000000">
      <w:pPr>
        <w:pStyle w:val="Normal23"/>
        <w:widowControl w:val="0"/>
        <w:spacing w:before="120" w:line="260" w:lineRule="atLeast"/>
      </w:pPr>
      <w:r>
        <w:rPr>
          <w:rFonts w:ascii="Arial" w:eastAsia="Arial" w:hAnsi="Arial" w:cs="Arial"/>
          <w:color w:val="000000"/>
          <w:sz w:val="20"/>
        </w:rPr>
        <w:t>IV.</w:t>
      </w:r>
    </w:p>
    <w:p w:rsidR="00022B47" w:rsidRDefault="00000000">
      <w:pPr>
        <w:pStyle w:val="Normal23"/>
        <w:widowControl w:val="0"/>
        <w:spacing w:before="200" w:line="260" w:lineRule="atLeast"/>
        <w:jc w:val="both"/>
      </w:pPr>
      <w:bookmarkStart w:id="4485" w:name="Bookmark_para_81"/>
      <w:bookmarkEnd w:id="4485"/>
      <w:r>
        <w:rPr>
          <w:rFonts w:ascii="Arial" w:eastAsia="Arial" w:hAnsi="Arial" w:cs="Arial"/>
          <w:color w:val="000000"/>
          <w:sz w:val="20"/>
        </w:rPr>
        <w:t>Because Douglas lacks sufficient evidence to go to trial on defendants' liability, I would affirm the district court's grant of summary judgment to defendants without addressing the requisite intent to be awarded compensatory damages under the ADA and RA. But because the majority rules on that intent issue, I will address it also. Respectfully, I submit that the majority's damages analysis is in error because of its application of a deliberate-indifference standard.</w:t>
      </w:r>
    </w:p>
    <w:p w:rsidR="00022B47" w:rsidRDefault="00000000">
      <w:pPr>
        <w:pStyle w:val="Normal23"/>
        <w:widowControl w:val="0"/>
        <w:spacing w:before="200" w:line="260" w:lineRule="atLeast"/>
        <w:jc w:val="both"/>
      </w:pPr>
      <w:bookmarkStart w:id="4486" w:name="Bookmark_para_82"/>
      <w:bookmarkStart w:id="4487" w:name="Bookmark_I2G74P3D62400003P900000X"/>
      <w:bookmarkStart w:id="4488" w:name="Bookmark_I2G74P3D8NW00003P900000Y"/>
      <w:bookmarkStart w:id="4489" w:name="Bookmark_I2G74P3DBNF00003P9000010"/>
      <w:bookmarkStart w:id="4490" w:name="Bookmark_I2G74P3DF2000003P9000011"/>
      <w:bookmarkStart w:id="4491" w:name="Bookmark_I66426DJ2D6NGV0050000400"/>
      <w:bookmarkStart w:id="4492" w:name="Bookmark_I2G74P3D1DT00003P900000V"/>
      <w:bookmarkStart w:id="4493" w:name="Bookmark_I2G74P3D41P00003P900000W"/>
      <w:bookmarkStart w:id="4494" w:name="Bookmark_I66426DJ2D6NGY0030000400"/>
      <w:bookmarkEnd w:id="4486"/>
      <w:bookmarkEnd w:id="4487"/>
      <w:bookmarkEnd w:id="4488"/>
      <w:bookmarkEnd w:id="4489"/>
      <w:bookmarkEnd w:id="4490"/>
      <w:bookmarkEnd w:id="4491"/>
      <w:bookmarkEnd w:id="4492"/>
      <w:bookmarkEnd w:id="4493"/>
      <w:bookmarkEnd w:id="4494"/>
      <w:r>
        <w:rPr>
          <w:rFonts w:ascii="Arial" w:eastAsia="Arial" w:hAnsi="Arial" w:cs="Arial"/>
          <w:color w:val="000000"/>
          <w:sz w:val="20"/>
        </w:rPr>
        <w:t xml:space="preserve">We are bound by our prior precedent, which requires discriminatory animus, not deliberate indifference, as the requisite intent for compensatory damages under the ADA and RA. </w:t>
      </w:r>
      <w:r>
        <w:rPr>
          <w:rFonts w:ascii="Arial" w:eastAsia="Arial" w:hAnsi="Arial" w:cs="Arial"/>
          <w:i/>
          <w:color w:val="000000"/>
          <w:sz w:val="20"/>
        </w:rPr>
        <w:t xml:space="preserve">See </w:t>
      </w:r>
      <w:bookmarkStart w:id="4495" w:name="Bookmark_I66426DJ2D6NGV0040000400"/>
      <w:bookmarkEnd w:id="4495"/>
      <w:r>
        <w:rPr>
          <w:rFonts w:ascii="Arial" w:eastAsia="Arial" w:hAnsi="Arial" w:cs="Arial"/>
          <w:i/>
          <w:color w:val="000000"/>
          <w:sz w:val="20"/>
        </w:rPr>
        <w:t>Gohl v. Livonia Pub. Sch. Dist.</w:t>
      </w:r>
      <w:r>
        <w:rPr>
          <w:rFonts w:ascii="Arial" w:eastAsia="Arial" w:hAnsi="Arial" w:cs="Arial"/>
          <w:color w:val="000000"/>
          <w:sz w:val="20"/>
        </w:rPr>
        <w:t xml:space="preserve">, 836 F.3d 672, 693 (6th Cir. 2016) ("A jury could look at the evidence and decide that because of [defendant's] animus toward disabled students, she intentionally treated [plaintiff] differently from other students at Webster Elementary School, or even within the school district."); </w:t>
      </w:r>
      <w:bookmarkStart w:id="4496" w:name="Bookmark_I66426DJ2HM6300010000400"/>
      <w:bookmarkEnd w:id="4496"/>
      <w:r>
        <w:rPr>
          <w:rFonts w:ascii="Arial" w:eastAsia="Arial" w:hAnsi="Arial" w:cs="Arial"/>
          <w:i/>
          <w:color w:val="000000"/>
          <w:sz w:val="20"/>
        </w:rPr>
        <w:t>Anderson</w:t>
      </w:r>
      <w:r>
        <w:rPr>
          <w:rFonts w:ascii="Arial" w:eastAsia="Arial" w:hAnsi="Arial" w:cs="Arial"/>
          <w:color w:val="000000"/>
          <w:sz w:val="20"/>
        </w:rPr>
        <w:t xml:space="preserve">, 798 F.3d at 357-59 ("[P]laintiff must prevent evidence that animus against the protected group was a significant factor in the position taken[.]" (citations omitted)); </w:t>
      </w:r>
      <w:bookmarkStart w:id="4497" w:name="Bookmark_I66426DJ2HM6300030000400"/>
      <w:bookmarkEnd w:id="4497"/>
      <w:r>
        <w:rPr>
          <w:rFonts w:ascii="Arial" w:eastAsia="Arial" w:hAnsi="Arial" w:cs="Arial"/>
          <w:i/>
          <w:color w:val="000000"/>
          <w:sz w:val="20"/>
        </w:rPr>
        <w:t>Keller</w:t>
      </w:r>
      <w:r>
        <w:rPr>
          <w:rFonts w:ascii="Arial" w:eastAsia="Arial" w:hAnsi="Arial" w:cs="Arial"/>
          <w:color w:val="000000"/>
          <w:sz w:val="20"/>
        </w:rPr>
        <w:t xml:space="preserve">, 860 F. App'x at 388-89; </w:t>
      </w:r>
      <w:bookmarkStart w:id="4498" w:name="Bookmark_I66426DJ2HM6300050000400"/>
      <w:bookmarkEnd w:id="4498"/>
      <w:r>
        <w:rPr>
          <w:rFonts w:ascii="Arial" w:eastAsia="Arial" w:hAnsi="Arial" w:cs="Arial"/>
          <w:i/>
          <w:color w:val="000000"/>
          <w:sz w:val="20"/>
        </w:rPr>
        <w:t>Tri-Cities Holdings</w:t>
      </w:r>
      <w:r>
        <w:rPr>
          <w:rFonts w:ascii="Arial" w:eastAsia="Arial" w:hAnsi="Arial" w:cs="Arial"/>
          <w:color w:val="000000"/>
          <w:sz w:val="20"/>
        </w:rPr>
        <w:t xml:space="preserve">, 726 F. App'x at 309-10. There are a handful of cases in which we have used a deliberate-indifferent test, but in those instances [*52]  we did so to affirm the district court's holding for the alleged discriminatory party that had moved for summary judgment. </w:t>
      </w:r>
      <w:r>
        <w:rPr>
          <w:rFonts w:ascii="Arial" w:eastAsia="Arial" w:hAnsi="Arial" w:cs="Arial"/>
          <w:i/>
          <w:color w:val="000000"/>
          <w:sz w:val="20"/>
        </w:rPr>
        <w:t xml:space="preserve">See </w:t>
      </w:r>
      <w:bookmarkStart w:id="4499" w:name="Bookmark_I66426DJ2D6NGY0020000400"/>
      <w:bookmarkEnd w:id="4499"/>
      <w:r>
        <w:rPr>
          <w:rFonts w:ascii="Arial" w:eastAsia="Arial" w:hAnsi="Arial" w:cs="Arial"/>
          <w:i/>
          <w:color w:val="000000"/>
          <w:sz w:val="20"/>
        </w:rPr>
        <w:t>R.K. v. Bd. of Educ. of Scott Cnty.</w:t>
      </w:r>
      <w:r>
        <w:rPr>
          <w:rFonts w:ascii="Arial" w:eastAsia="Arial" w:hAnsi="Arial" w:cs="Arial"/>
          <w:color w:val="000000"/>
          <w:sz w:val="20"/>
        </w:rPr>
        <w:t xml:space="preserve">, 637 F. App'x 922, 925 (6th Cir. 2016) (stating first that the parties agree that "deliberate indifference" is needed to obtain monetary damages under the ADA and RA and "[w]e assume without deciding that the parties are correct on this point," before holding that the plaintiff lacked the requisite evidence); </w:t>
      </w:r>
      <w:bookmarkStart w:id="4500" w:name="Bookmark_I66426DJ2D6NGY0040000400"/>
      <w:bookmarkEnd w:id="4500"/>
      <w:r>
        <w:rPr>
          <w:rFonts w:ascii="Arial" w:eastAsia="Arial" w:hAnsi="Arial" w:cs="Arial"/>
          <w:i/>
          <w:color w:val="000000"/>
          <w:sz w:val="20"/>
        </w:rPr>
        <w:t>Hill v. Bradley Cnty. Bd. of Educ.</w:t>
      </w:r>
      <w:r>
        <w:rPr>
          <w:rFonts w:ascii="Arial" w:eastAsia="Arial" w:hAnsi="Arial" w:cs="Arial"/>
          <w:color w:val="000000"/>
          <w:sz w:val="20"/>
        </w:rPr>
        <w:t>, 295 F. App'x 740, 742 n.2, 743 (6th Cir. 2008) (stating that "[b]ecause the parties agree on the law, we accept this interpretation without deciding the level of requisite intent," before holding that the deliberate-indifference allegations "were either unsupported or did not independently or collectively amount to deliberate indifference"). That approach of applying the deliberate-indifference standard is permitted where the reviewing court is ruling in favor of the party that had moved for summary judgment, because if the nonmoving party cannot succeed in demonstrating a genuine material factual dispute that would allow it to prevail under a lower standard of intent—one more friendly to the nonmoving party—it would not be able to succeed under a higher standard.</w:t>
      </w:r>
      <w:r>
        <w:rPr>
          <w:rFonts w:ascii="Arial" w:eastAsia="Arial" w:hAnsi="Arial" w:cs="Arial"/>
          <w:vertAlign w:val="superscript"/>
        </w:rPr>
        <w:footnoteReference w:customMarkFollows="1" w:id="106"/>
        <w:t>6</w:t>
      </w:r>
      <w:r>
        <w:rPr>
          <w:rFonts w:ascii="Arial" w:eastAsia="Arial" w:hAnsi="Arial" w:cs="Arial"/>
          <w:color w:val="000000"/>
          <w:sz w:val="20"/>
        </w:rPr>
        <w:t xml:space="preserve"> In those circumstances, it does not matter to the outcome if the reviewing [*53]  court applies the lesser intent standard, deliberate indifference, even though the law requires a higher level of discriminatory intent for compensatory damages. But where, as here, the effect of the majority's reversal of the district court is to deprive the alleged discriminatory parties of summary judgment, the higher standard of discriminatory animus should be applied to assess the plaintiff's proof, as required by precedent.</w:t>
      </w:r>
    </w:p>
    <w:p w:rsidR="00022B47" w:rsidRDefault="00000000">
      <w:pPr>
        <w:pStyle w:val="Normal23"/>
        <w:widowControl w:val="0"/>
        <w:spacing w:before="200" w:line="260" w:lineRule="atLeast"/>
        <w:jc w:val="both"/>
      </w:pPr>
      <w:bookmarkStart w:id="4502" w:name="Bookmark_para_83"/>
      <w:bookmarkStart w:id="4503" w:name="Bookmark_I2G74P3CMP300003P900000S"/>
      <w:bookmarkStart w:id="4504" w:name="Bookmark_I2G74P3CPF000003P900000T"/>
      <w:bookmarkStart w:id="4505" w:name="Bookmark_I66426DK28T4Y80020000400"/>
      <w:bookmarkEnd w:id="4502"/>
      <w:bookmarkEnd w:id="4503"/>
      <w:bookmarkEnd w:id="4504"/>
      <w:bookmarkEnd w:id="4505"/>
      <w:r>
        <w:rPr>
          <w:rFonts w:ascii="Arial" w:eastAsia="Arial" w:hAnsi="Arial" w:cs="Arial"/>
          <w:color w:val="000000"/>
          <w:sz w:val="20"/>
        </w:rPr>
        <w:t xml:space="preserve">In any event, even under a deliberate-indifference test, I would affirm the district court's grant of summary judgment to defendants. Deliberate indifference in an ADA or RA disability discrimination case is met if the plaintiff can show that an official "disregards a 'known or obvious consequence' of [hi]s actions, namely that [hi]s actions will violate the plaintiff's federally-protected rights." </w:t>
      </w:r>
      <w:bookmarkStart w:id="4506" w:name="Bookmark_I66426DK28T4Y80010000400"/>
      <w:bookmarkEnd w:id="4506"/>
      <w:r>
        <w:rPr>
          <w:rFonts w:ascii="Arial" w:eastAsia="Arial" w:hAnsi="Arial" w:cs="Arial"/>
          <w:i/>
          <w:color w:val="000000"/>
          <w:sz w:val="20"/>
        </w:rPr>
        <w:t>R.K.</w:t>
      </w:r>
      <w:r>
        <w:rPr>
          <w:rFonts w:ascii="Arial" w:eastAsia="Arial" w:hAnsi="Arial" w:cs="Arial"/>
          <w:color w:val="000000"/>
          <w:sz w:val="20"/>
        </w:rPr>
        <w:t xml:space="preserve">, 637 F. App'x at 925 (citing </w:t>
      </w:r>
      <w:bookmarkStart w:id="4507" w:name="Bookmark_I66426DK28T4Y80030000400"/>
      <w:bookmarkEnd w:id="4507"/>
      <w:r>
        <w:rPr>
          <w:rFonts w:ascii="Arial" w:eastAsia="Arial" w:hAnsi="Arial" w:cs="Arial"/>
          <w:i/>
          <w:color w:val="000000"/>
          <w:sz w:val="20"/>
        </w:rPr>
        <w:t>Bd. of Cnty. Comm'rs of Bryan Cnty. v. Brown</w:t>
      </w:r>
      <w:r>
        <w:rPr>
          <w:rFonts w:ascii="Arial" w:eastAsia="Arial" w:hAnsi="Arial" w:cs="Arial"/>
          <w:color w:val="000000"/>
          <w:sz w:val="20"/>
        </w:rPr>
        <w:t>, 520 U.S. 397, 410-11, 117 S. Ct. 1382, 137 L. Ed. 2d 626 (1997)). Such evidence is lacking as to all defendants.</w:t>
      </w:r>
    </w:p>
    <w:p w:rsidR="00022B47" w:rsidRDefault="00000000">
      <w:pPr>
        <w:pStyle w:val="Normal23"/>
        <w:widowControl w:val="0"/>
        <w:spacing w:before="200" w:line="260" w:lineRule="atLeast"/>
        <w:jc w:val="both"/>
      </w:pPr>
      <w:bookmarkStart w:id="4508" w:name="Bookmark_para_84"/>
      <w:bookmarkEnd w:id="4508"/>
      <w:r>
        <w:rPr>
          <w:rFonts w:ascii="Arial" w:eastAsia="Arial" w:hAnsi="Arial" w:cs="Arial"/>
          <w:color w:val="000000"/>
          <w:sz w:val="20"/>
        </w:rPr>
        <w:t xml:space="preserve">Start with the case against Muzzin. The majority finds evidence of deliberate indifference because "Douglas presented a Special Accommodation Notice" and "Muzzin then refused to honor the requested accommodation." Maj. Op. at 19. The majority notes that "it [is] unclear whether Muzzin ever consulted Douglas's [*54]  medical records." </w:t>
      </w:r>
      <w:r>
        <w:rPr>
          <w:rFonts w:ascii="Arial" w:eastAsia="Arial" w:hAnsi="Arial" w:cs="Arial"/>
          <w:i/>
          <w:color w:val="000000"/>
          <w:sz w:val="20"/>
        </w:rPr>
        <w:t>Id.</w:t>
      </w:r>
      <w:r>
        <w:rPr>
          <w:rFonts w:ascii="Arial" w:eastAsia="Arial" w:hAnsi="Arial" w:cs="Arial"/>
          <w:color w:val="000000"/>
          <w:sz w:val="20"/>
        </w:rPr>
        <w:t xml:space="preserve"> at 22. But that analysis falters upon closer review. Muzzin had reason to question the validity of the 2003 Special Accommodation, a handwritten form that was almost ten years old. And Douglas does not contest that his shoes would be unauthorized absent a valid accommodation. Thus, it was reasonable for Muzzin to prohibit Douglas from wearing his shoes without a valid medical accommodation. The majority points to "Douglas's repeated past presentations of his 2003 Special Accommodation Notice," but Douglas has presented no evidence that he had encountered Muzzin before or any other evidence to show that Muzzin would have been aware of these past presentations. </w:t>
      </w:r>
      <w:r>
        <w:rPr>
          <w:rFonts w:ascii="Arial" w:eastAsia="Arial" w:hAnsi="Arial" w:cs="Arial"/>
          <w:i/>
          <w:color w:val="000000"/>
          <w:sz w:val="20"/>
        </w:rPr>
        <w:t>Id.</w:t>
      </w:r>
      <w:r>
        <w:rPr>
          <w:rFonts w:ascii="Arial" w:eastAsia="Arial" w:hAnsi="Arial" w:cs="Arial"/>
          <w:color w:val="000000"/>
          <w:sz w:val="20"/>
        </w:rPr>
        <w:t xml:space="preserve"> at 20 n.7. Furthermore, the electronic records showed no valid accommodation at the time (whether this was a mistake in the system or not). So, regardless of whether Muzzin checked the medical records, it is undisputed that they would not have supported Douglas's claim for a medical accommodation. Given this record, Douglas lacks proof that would allow a reasonable jury to find that an ADA or RA violation resulted from Muzzin's refusal to allow Douglas to wear what she perceived to be unauthorized shoes. [*55] </w:t>
      </w:r>
      <w:r>
        <w:rPr>
          <w:rFonts w:ascii="Arial" w:eastAsia="Arial" w:hAnsi="Arial" w:cs="Arial"/>
          <w:vertAlign w:val="superscript"/>
        </w:rPr>
        <w:footnoteReference w:customMarkFollows="1" w:id="107"/>
        <w:t>7</w:t>
      </w:r>
      <w:r>
        <w:rPr>
          <w:rFonts w:ascii="Arial" w:eastAsia="Arial" w:hAnsi="Arial" w:cs="Arial"/>
          <w:color w:val="000000"/>
          <w:sz w:val="20"/>
        </w:rPr>
        <w:t xml:space="preserve"> The evidence shows that Muzzin acted pursuant to MDOC policy by refusing to allow Douglas to wear his shoes without a valid medical accommodation, and there is no evidence that Muzzin knew or should otherwise have known that Douglas has a disability. Douglas's proffered evidence does not rise to the level that shows Muzzin disregarded a known or obvious consequence.</w:t>
      </w:r>
    </w:p>
    <w:p w:rsidR="00022B47" w:rsidRDefault="00000000">
      <w:pPr>
        <w:pStyle w:val="Normal23"/>
        <w:widowControl w:val="0"/>
        <w:spacing w:before="200" w:line="260" w:lineRule="atLeast"/>
        <w:jc w:val="both"/>
      </w:pPr>
      <w:bookmarkStart w:id="4510" w:name="Bookmark_para_85"/>
      <w:bookmarkStart w:id="4511" w:name="Bookmark_I2G74P3GYNH00003P900002B"/>
      <w:bookmarkStart w:id="4512" w:name="Bookmark_I66426DK2N1RMM0010000400"/>
      <w:bookmarkEnd w:id="4510"/>
      <w:bookmarkEnd w:id="4511"/>
      <w:bookmarkEnd w:id="4512"/>
      <w:r>
        <w:rPr>
          <w:rFonts w:ascii="Arial" w:eastAsia="Arial" w:hAnsi="Arial" w:cs="Arial"/>
          <w:color w:val="000000"/>
          <w:sz w:val="20"/>
        </w:rPr>
        <w:t xml:space="preserve">As to Martin, the majority points to Douglas's attempt to show him his feet as not only supporting the inference that Martin actually </w:t>
      </w:r>
      <w:r>
        <w:rPr>
          <w:rFonts w:ascii="Arial" w:eastAsia="Arial" w:hAnsi="Arial" w:cs="Arial"/>
          <w:i/>
          <w:color w:val="000000"/>
          <w:sz w:val="20"/>
        </w:rPr>
        <w:t>looked</w:t>
      </w:r>
      <w:r>
        <w:rPr>
          <w:rFonts w:ascii="Arial" w:eastAsia="Arial" w:hAnsi="Arial" w:cs="Arial"/>
          <w:color w:val="000000"/>
          <w:sz w:val="20"/>
        </w:rPr>
        <w:t xml:space="preserve"> at his feet (something Douglas does not even allege), but that Martin should have then known "of Douglas's need for the requested accommodation . . . and the reasonableness of this request." Maj. Op. at 23. While we do make all </w:t>
      </w:r>
      <w:r>
        <w:rPr>
          <w:rFonts w:ascii="Arial" w:eastAsia="Arial" w:hAnsi="Arial" w:cs="Arial"/>
          <w:i/>
          <w:color w:val="000000"/>
          <w:sz w:val="20"/>
        </w:rPr>
        <w:t>reasonable</w:t>
      </w:r>
      <w:r>
        <w:rPr>
          <w:rFonts w:ascii="Arial" w:eastAsia="Arial" w:hAnsi="Arial" w:cs="Arial"/>
          <w:color w:val="000000"/>
          <w:sz w:val="20"/>
        </w:rPr>
        <w:t xml:space="preserve"> inferences in favor of the nonmoving party, </w:t>
      </w:r>
      <w:r>
        <w:rPr>
          <w:rFonts w:ascii="Arial" w:eastAsia="Arial" w:hAnsi="Arial" w:cs="Arial"/>
          <w:i/>
          <w:color w:val="000000"/>
          <w:sz w:val="20"/>
        </w:rPr>
        <w:t xml:space="preserve">see </w:t>
      </w:r>
      <w:bookmarkStart w:id="4513" w:name="Bookmark_I66426DK28T4Y80050000400"/>
      <w:bookmarkEnd w:id="4513"/>
      <w:r>
        <w:rPr>
          <w:rFonts w:ascii="Arial" w:eastAsia="Arial" w:hAnsi="Arial" w:cs="Arial"/>
          <w:i/>
          <w:color w:val="000000"/>
          <w:sz w:val="20"/>
        </w:rPr>
        <w:t>Jackson</w:t>
      </w:r>
      <w:r>
        <w:rPr>
          <w:rFonts w:ascii="Arial" w:eastAsia="Arial" w:hAnsi="Arial" w:cs="Arial"/>
          <w:color w:val="000000"/>
          <w:sz w:val="20"/>
        </w:rPr>
        <w:t xml:space="preserve">, 925 F.3d at 806, we do not make </w:t>
      </w:r>
      <w:r>
        <w:rPr>
          <w:rFonts w:ascii="Arial" w:eastAsia="Arial" w:hAnsi="Arial" w:cs="Arial"/>
          <w:i/>
          <w:color w:val="000000"/>
          <w:sz w:val="20"/>
        </w:rPr>
        <w:t>all</w:t>
      </w:r>
      <w:r>
        <w:rPr>
          <w:rFonts w:ascii="Arial" w:eastAsia="Arial" w:hAnsi="Arial" w:cs="Arial"/>
          <w:color w:val="000000"/>
          <w:sz w:val="20"/>
        </w:rPr>
        <w:t xml:space="preserve"> inferences in Douglas's favor, </w:t>
      </w:r>
      <w:r>
        <w:rPr>
          <w:rFonts w:ascii="Arial" w:eastAsia="Arial" w:hAnsi="Arial" w:cs="Arial"/>
          <w:i/>
          <w:color w:val="000000"/>
          <w:sz w:val="20"/>
        </w:rPr>
        <w:t>see</w:t>
      </w:r>
      <w:r>
        <w:rPr>
          <w:rFonts w:ascii="Arial" w:eastAsia="Arial" w:hAnsi="Arial" w:cs="Arial"/>
          <w:color w:val="000000"/>
          <w:sz w:val="20"/>
        </w:rPr>
        <w:t xml:space="preserve"> Maj. Op. at 23-24. And the majority's inferences stretch too far in trying to place blame. Douglas needed to show that Martin disregarded a known or obvious consequence by confiscating the shoes. But Douglas has not shown that it was either known or obvious that a consequence of Martin's confiscating the shoes would be a violation of his rights under [*56]  the ADA and RA. Martin confiscated Douglas's footwear at a time when he did not have a valid medical accommodation for them in the electronic records and after another prison official had found that the shoes were unauthorized, in violation of MDOC policy. Douglas has not shown that Martin was deliberately indifferent.</w:t>
      </w:r>
    </w:p>
    <w:p w:rsidR="00022B47" w:rsidRDefault="00000000">
      <w:pPr>
        <w:pStyle w:val="Normal23"/>
        <w:widowControl w:val="0"/>
        <w:spacing w:before="200" w:line="260" w:lineRule="atLeast"/>
        <w:jc w:val="both"/>
      </w:pPr>
      <w:bookmarkStart w:id="4514" w:name="Bookmark_para_86"/>
      <w:bookmarkStart w:id="4515" w:name="Bookmark_I2G74P3CJKG00003P900000R"/>
      <w:bookmarkStart w:id="4516" w:name="Bookmark_I66426DK2N1RMM0030000400"/>
      <w:bookmarkEnd w:id="4514"/>
      <w:bookmarkEnd w:id="4515"/>
      <w:bookmarkEnd w:id="4516"/>
      <w:r>
        <w:rPr>
          <w:rFonts w:ascii="Arial" w:eastAsia="Arial" w:hAnsi="Arial" w:cs="Arial"/>
          <w:color w:val="000000"/>
          <w:sz w:val="20"/>
        </w:rPr>
        <w:t xml:space="preserve">Finally, the majority turns to Gobert, finding deliberate indifference because "Douglas's repeated requests for a hearing concerning his confiscated shoes or their return could support the inference that Gobert knew of the disability that the shoes were designed to accommodate," and by failing to schedule a hearing, Gobert should have known that "Douglas would remain indefinitely without his necessary orthopedic shoes." Maj. Op. at 25. The majority cites to a Second Circuit case, where our sister circuit "reasoned that repeated requests for an interpreter supported inferring knowledge of a disability," and, thus, that "[s]imilar reasoning applies here." </w:t>
      </w:r>
      <w:r>
        <w:rPr>
          <w:rFonts w:ascii="Arial" w:eastAsia="Arial" w:hAnsi="Arial" w:cs="Arial"/>
          <w:i/>
          <w:color w:val="000000"/>
          <w:sz w:val="20"/>
        </w:rPr>
        <w:t>Id.</w:t>
      </w:r>
      <w:r>
        <w:rPr>
          <w:rFonts w:ascii="Arial" w:eastAsia="Arial" w:hAnsi="Arial" w:cs="Arial"/>
          <w:color w:val="000000"/>
          <w:sz w:val="20"/>
        </w:rPr>
        <w:t xml:space="preserve"> at 24-25 (citing </w:t>
      </w:r>
      <w:bookmarkStart w:id="4517" w:name="Bookmark_I66426DK2N1RMM0020000400"/>
      <w:bookmarkEnd w:id="4517"/>
      <w:r>
        <w:rPr>
          <w:rFonts w:ascii="Arial" w:eastAsia="Arial" w:hAnsi="Arial" w:cs="Arial"/>
          <w:i/>
          <w:color w:val="000000"/>
          <w:sz w:val="20"/>
        </w:rPr>
        <w:t>Biondo v. Kaleida Health</w:t>
      </w:r>
      <w:r>
        <w:rPr>
          <w:rFonts w:ascii="Arial" w:eastAsia="Arial" w:hAnsi="Arial" w:cs="Arial"/>
          <w:color w:val="000000"/>
          <w:sz w:val="20"/>
        </w:rPr>
        <w:t xml:space="preserve">, 935 F.3d 68, 75 (2d Cir. 2019)). But a rule for a language interpreter does not necessarily translate into one governing shoe style. Unlike the interpreter in that case, whose work was needed for the plaintiff to communicate in [*57]  order to receive proper medical care, shoe designs can serve multiple purposes having nothing to do with a disability. </w:t>
      </w:r>
      <w:bookmarkStart w:id="4518" w:name="Bookmark_I2G74P3H1G300003P900002C"/>
      <w:bookmarkStart w:id="4519" w:name="Bookmark_I66426DK2N1RMM0050000400"/>
      <w:bookmarkEnd w:id="4518"/>
      <w:bookmarkEnd w:id="4519"/>
      <w:r>
        <w:rPr>
          <w:rFonts w:ascii="Arial" w:eastAsia="Arial" w:hAnsi="Arial" w:cs="Arial"/>
          <w:color w:val="000000"/>
          <w:sz w:val="20"/>
        </w:rPr>
        <w:t xml:space="preserve">Those purposes could be for a medical accommodation, to be sure, but shoe style, of course, can serve a non-medical-related function—such as a fashion choice or comfortability preference. And, again, while we do make all </w:t>
      </w:r>
      <w:r>
        <w:rPr>
          <w:rFonts w:ascii="Arial" w:eastAsia="Arial" w:hAnsi="Arial" w:cs="Arial"/>
          <w:i/>
          <w:color w:val="000000"/>
          <w:sz w:val="20"/>
        </w:rPr>
        <w:t>reasonable</w:t>
      </w:r>
      <w:r>
        <w:rPr>
          <w:rFonts w:ascii="Arial" w:eastAsia="Arial" w:hAnsi="Arial" w:cs="Arial"/>
          <w:color w:val="000000"/>
          <w:sz w:val="20"/>
        </w:rPr>
        <w:t xml:space="preserve"> inferences in favor of Douglas, we do not make all inferences. </w:t>
      </w:r>
      <w:bookmarkStart w:id="4520" w:name="Bookmark_I2G74P3CD5P00003P900000N"/>
      <w:bookmarkStart w:id="4521" w:name="Bookmark_I66426DK2HM6360020000400"/>
      <w:bookmarkEnd w:id="4520"/>
      <w:bookmarkEnd w:id="4521"/>
      <w:r>
        <w:rPr>
          <w:rFonts w:ascii="Arial" w:eastAsia="Arial" w:hAnsi="Arial" w:cs="Arial"/>
          <w:i/>
          <w:color w:val="000000"/>
          <w:sz w:val="20"/>
        </w:rPr>
        <w:t xml:space="preserve">See </w:t>
      </w:r>
      <w:bookmarkStart w:id="4522" w:name="Bookmark_I66426DK2N1RMM0040000400"/>
      <w:bookmarkEnd w:id="4522"/>
      <w:r>
        <w:rPr>
          <w:rFonts w:ascii="Arial" w:eastAsia="Arial" w:hAnsi="Arial" w:cs="Arial"/>
          <w:i/>
          <w:color w:val="000000"/>
          <w:sz w:val="20"/>
        </w:rPr>
        <w:t>Jackson</w:t>
      </w:r>
      <w:r>
        <w:rPr>
          <w:rFonts w:ascii="Arial" w:eastAsia="Arial" w:hAnsi="Arial" w:cs="Arial"/>
          <w:color w:val="000000"/>
          <w:sz w:val="20"/>
        </w:rPr>
        <w:t xml:space="preserve">, 925 F.3d at 806. </w:t>
      </w:r>
      <w:bookmarkStart w:id="4523" w:name="Bookmark_I66426DK2HM6360020000400_2"/>
      <w:bookmarkEnd w:id="4523"/>
      <w:r>
        <w:rPr>
          <w:rFonts w:ascii="Arial" w:eastAsia="Arial" w:hAnsi="Arial" w:cs="Arial"/>
          <w:color w:val="000000"/>
          <w:sz w:val="20"/>
        </w:rPr>
        <w:t xml:space="preserve">Douglas would have to have shown that Gobert disregarded a </w:t>
      </w:r>
      <w:r>
        <w:rPr>
          <w:rFonts w:ascii="Arial" w:eastAsia="Arial" w:hAnsi="Arial" w:cs="Arial"/>
          <w:i/>
          <w:color w:val="000000"/>
          <w:sz w:val="20"/>
        </w:rPr>
        <w:t>known</w:t>
      </w:r>
      <w:r>
        <w:rPr>
          <w:rFonts w:ascii="Arial" w:eastAsia="Arial" w:hAnsi="Arial" w:cs="Arial"/>
          <w:color w:val="000000"/>
          <w:sz w:val="20"/>
        </w:rPr>
        <w:t xml:space="preserve"> or </w:t>
      </w:r>
      <w:r>
        <w:rPr>
          <w:rFonts w:ascii="Arial" w:eastAsia="Arial" w:hAnsi="Arial" w:cs="Arial"/>
          <w:i/>
          <w:color w:val="000000"/>
          <w:sz w:val="20"/>
        </w:rPr>
        <w:t>obvious</w:t>
      </w:r>
      <w:r>
        <w:rPr>
          <w:rFonts w:ascii="Arial" w:eastAsia="Arial" w:hAnsi="Arial" w:cs="Arial"/>
          <w:color w:val="000000"/>
          <w:sz w:val="20"/>
        </w:rPr>
        <w:t xml:space="preserve"> consequence. </w:t>
      </w:r>
      <w:bookmarkStart w:id="4524" w:name="Bookmark_I66426DK2HM6360010000400"/>
      <w:bookmarkEnd w:id="4524"/>
      <w:r>
        <w:rPr>
          <w:rFonts w:ascii="Arial" w:eastAsia="Arial" w:hAnsi="Arial" w:cs="Arial"/>
          <w:i/>
          <w:color w:val="000000"/>
          <w:sz w:val="20"/>
        </w:rPr>
        <w:t>R.K.</w:t>
      </w:r>
      <w:r>
        <w:rPr>
          <w:rFonts w:ascii="Arial" w:eastAsia="Arial" w:hAnsi="Arial" w:cs="Arial"/>
          <w:color w:val="000000"/>
          <w:sz w:val="20"/>
        </w:rPr>
        <w:t>, 637 F. App'x at 925 (citation omitted). But Douglas, in his opening brief, even argues that he was entitled to own three pairs of shoes—without a medical accommodation. And Douglas did not suggest that Gobert observed his disability in any way. Douglas has not shown that Gobert was deliberately indifferent.</w:t>
      </w:r>
    </w:p>
    <w:p w:rsidR="00022B47" w:rsidRDefault="00000000">
      <w:pPr>
        <w:pStyle w:val="Normal23"/>
        <w:widowControl w:val="0"/>
        <w:spacing w:before="200" w:line="260" w:lineRule="atLeast"/>
        <w:jc w:val="both"/>
      </w:pPr>
      <w:bookmarkStart w:id="4525" w:name="Bookmark_para_87"/>
      <w:bookmarkEnd w:id="4525"/>
      <w:r>
        <w:rPr>
          <w:rFonts w:ascii="Arial" w:eastAsia="Arial" w:hAnsi="Arial" w:cs="Arial"/>
          <w:color w:val="000000"/>
          <w:sz w:val="20"/>
        </w:rPr>
        <w:t>Thus, I disagree with the majority that Douglas has sufficient proof for a reasonable jury to find that each of the defendants was deliberately indifferent to his disability. As Douglas cannot meet this lower burden, Douglas cannot meet his requisite burden of showing discriminatory animus.</w:t>
      </w:r>
    </w:p>
    <w:p w:rsidR="00022B47" w:rsidRDefault="00000000">
      <w:pPr>
        <w:pStyle w:val="Normal23"/>
        <w:widowControl w:val="0"/>
        <w:spacing w:before="120" w:line="260" w:lineRule="atLeast"/>
      </w:pPr>
      <w:r>
        <w:rPr>
          <w:rFonts w:ascii="Arial" w:eastAsia="Arial" w:hAnsi="Arial" w:cs="Arial"/>
          <w:color w:val="000000"/>
          <w:sz w:val="20"/>
        </w:rPr>
        <w:t>V.</w:t>
      </w:r>
    </w:p>
    <w:p w:rsidR="00022B47" w:rsidRDefault="00000000">
      <w:pPr>
        <w:pStyle w:val="Normal23"/>
        <w:widowControl w:val="0"/>
        <w:spacing w:before="200" w:line="260" w:lineRule="atLeast"/>
        <w:jc w:val="both"/>
      </w:pPr>
      <w:bookmarkStart w:id="4526" w:name="Bookmark_para_88"/>
      <w:bookmarkEnd w:id="4526"/>
      <w:r>
        <w:rPr>
          <w:rFonts w:ascii="Arial" w:eastAsia="Arial" w:hAnsi="Arial" w:cs="Arial"/>
          <w:color w:val="000000"/>
          <w:sz w:val="20"/>
        </w:rPr>
        <w:t>The majority has ignored the actual claims raised by Douglas to analyze a non-argued claim to reach an incorrect [*58]  result. The district court's grant of summary judgment to defendants should be affirmed, so I respectfully dissent.</w:t>
      </w:r>
    </w:p>
    <w:p w:rsidR="00022B47" w:rsidRDefault="00022B47">
      <w:pPr>
        <w:pStyle w:val="Normal23"/>
      </w:pPr>
    </w:p>
    <w:p w:rsidR="00022B47" w:rsidRDefault="00000000">
      <w:pPr>
        <w:pStyle w:val="Normal23"/>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08416"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38134718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52B2F9" id="Line 51"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24"/>
        <w:sectPr w:rsidR="00022B47">
          <w:headerReference w:type="even" r:id="rId151"/>
          <w:headerReference w:type="default" r:id="rId152"/>
          <w:footerReference w:type="even" r:id="rId153"/>
          <w:footerReference w:type="default" r:id="rId154"/>
          <w:headerReference w:type="first" r:id="rId155"/>
          <w:footerReference w:type="first" r:id="rId156"/>
          <w:pgSz w:w="12240" w:h="15840"/>
          <w:pgMar w:top="840" w:right="1000" w:bottom="840" w:left="1000" w:header="400" w:footer="400" w:gutter="0"/>
          <w:cols w:space="720"/>
          <w:titlePg/>
        </w:sectPr>
      </w:pPr>
    </w:p>
    <w:p w:rsidR="00022B47" w:rsidRDefault="00022B47">
      <w:pPr>
        <w:pStyle w:val="Normal24"/>
      </w:pPr>
    </w:p>
    <w:p w:rsidR="00022B47" w:rsidRDefault="00000000">
      <w:pPr>
        <w:pStyle w:val="Heading123"/>
        <w:keepNext w:val="0"/>
        <w:widowControl w:val="0"/>
        <w:spacing w:after="200" w:line="340" w:lineRule="atLeast"/>
        <w:jc w:val="center"/>
      </w:pPr>
      <w:r>
        <w:rPr>
          <w:rFonts w:eastAsia="Arial"/>
          <w:color w:val="000000"/>
          <w:sz w:val="28"/>
        </w:rPr>
        <w:t>Dansie v. Union Pac. R.R. Co.</w:t>
      </w:r>
    </w:p>
    <w:p w:rsidR="00022B47" w:rsidRDefault="00000000">
      <w:pPr>
        <w:pStyle w:val="Normal24"/>
        <w:widowControl w:val="0"/>
        <w:spacing w:before="120" w:line="260" w:lineRule="atLeast"/>
        <w:jc w:val="center"/>
      </w:pPr>
      <w:r>
        <w:rPr>
          <w:rFonts w:ascii="Arial" w:eastAsia="Arial" w:hAnsi="Arial" w:cs="Arial"/>
          <w:color w:val="000000"/>
          <w:sz w:val="20"/>
        </w:rPr>
        <w:t>United States Court of Appeals for the Tenth Circuit</w:t>
      </w:r>
    </w:p>
    <w:p w:rsidR="00022B47" w:rsidRDefault="00000000">
      <w:pPr>
        <w:pStyle w:val="Normal24"/>
        <w:widowControl w:val="0"/>
        <w:spacing w:before="120" w:line="260" w:lineRule="atLeast"/>
        <w:jc w:val="center"/>
      </w:pPr>
      <w:r>
        <w:rPr>
          <w:rFonts w:ascii="Arial" w:eastAsia="Arial" w:hAnsi="Arial" w:cs="Arial"/>
          <w:color w:val="000000"/>
          <w:sz w:val="20"/>
        </w:rPr>
        <w:t>August 2, 2022, Filed</w:t>
      </w:r>
    </w:p>
    <w:p w:rsidR="00022B47" w:rsidRDefault="00000000">
      <w:pPr>
        <w:pStyle w:val="Normal24"/>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20-4054</w:t>
      </w:r>
    </w:p>
    <w:p w:rsidR="00022B47" w:rsidRDefault="00022B47">
      <w:pPr>
        <w:pStyle w:val="Normal24"/>
        <w:widowControl w:val="0"/>
        <w:spacing w:line="240" w:lineRule="atLeast"/>
        <w:jc w:val="both"/>
      </w:pPr>
      <w:bookmarkStart w:id="4527" w:name="Bookmark_25"/>
      <w:bookmarkEnd w:id="4527"/>
    </w:p>
    <w:p w:rsidR="00022B47" w:rsidRDefault="00000000">
      <w:pPr>
        <w:pStyle w:val="Normal24"/>
        <w:widowControl w:val="0"/>
        <w:spacing w:before="200" w:line="240" w:lineRule="atLeast"/>
      </w:pPr>
      <w:bookmarkStart w:id="4528" w:name="Reporter_23"/>
      <w:bookmarkEnd w:id="4528"/>
      <w:r>
        <w:rPr>
          <w:rFonts w:ascii="Arial" w:eastAsia="Arial" w:hAnsi="Arial" w:cs="Arial"/>
          <w:b/>
          <w:color w:val="000000"/>
          <w:sz w:val="18"/>
        </w:rPr>
        <w:t>Reporter</w:t>
      </w:r>
    </w:p>
    <w:p w:rsidR="00022B47" w:rsidRDefault="00000000">
      <w:pPr>
        <w:pStyle w:val="Normal24"/>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42 F.4th 1184 *; 2022 U.S. App. LEXIS 21261 **</w:t>
      </w:r>
    </w:p>
    <w:p w:rsidR="00022B47" w:rsidRDefault="00000000">
      <w:pPr>
        <w:pStyle w:val="Normal24"/>
        <w:widowControl w:val="0"/>
        <w:spacing w:before="120" w:line="260" w:lineRule="atLeast"/>
      </w:pPr>
      <w:r>
        <w:rPr>
          <w:rFonts w:ascii="Arial" w:eastAsia="Arial" w:hAnsi="Arial" w:cs="Arial"/>
          <w:color w:val="000000"/>
          <w:sz w:val="20"/>
        </w:rPr>
        <w:t>KELLY DANSIE, an individual, Plaintiff - Appellant, v. UNION PACIFIC RAILROAD CO., a Delaware corporation, Defendant - Appellee.</w:t>
      </w:r>
    </w:p>
    <w:p w:rsidR="00022B47" w:rsidRDefault="00000000">
      <w:pPr>
        <w:pStyle w:val="Normal24"/>
        <w:widowControl w:val="0"/>
        <w:spacing w:before="240" w:line="260" w:lineRule="atLeast"/>
        <w:jc w:val="both"/>
      </w:pPr>
      <w:bookmarkStart w:id="4529" w:name="Prior_History_23"/>
      <w:bookmarkEnd w:id="4529"/>
      <w:r>
        <w:rPr>
          <w:rFonts w:ascii="Arial" w:eastAsia="Arial" w:hAnsi="Arial" w:cs="Arial"/>
          <w:b/>
          <w:color w:val="000000"/>
          <w:sz w:val="20"/>
        </w:rPr>
        <w:t>Prior History:</w:t>
      </w:r>
      <w:r>
        <w:rPr>
          <w:rFonts w:ascii="Arial" w:eastAsia="Arial" w:hAnsi="Arial" w:cs="Arial"/>
          <w:color w:val="000000"/>
          <w:sz w:val="20"/>
        </w:rPr>
        <w:t> </w:t>
      </w:r>
      <w:bookmarkStart w:id="4530" w:name="Bookmark_para_1_23"/>
      <w:bookmarkEnd w:id="4530"/>
      <w:r>
        <w:rPr>
          <w:rFonts w:ascii="Arial" w:eastAsia="Arial" w:hAnsi="Arial" w:cs="Arial"/>
          <w:color w:val="000000"/>
          <w:sz w:val="20"/>
        </w:rPr>
        <w:t> [**1] Appeal from the United States District Court for the District of Utah. (D.C. No. 2:17-CV-01058-RJS).</w:t>
      </w:r>
    </w:p>
    <w:p w:rsidR="00022B47" w:rsidRDefault="00000000">
      <w:pPr>
        <w:pStyle w:val="Normal24"/>
        <w:widowControl w:val="0"/>
        <w:spacing w:before="120" w:line="260" w:lineRule="atLeast"/>
      </w:pPr>
      <w:r>
        <w:rPr>
          <w:rFonts w:ascii="Arial" w:eastAsia="Arial" w:hAnsi="Arial" w:cs="Arial"/>
          <w:color w:val="000000"/>
          <w:sz w:val="20"/>
        </w:rPr>
        <w:t>Dansie v. Union Pac. R.R. Co., 2019 U.S. Dist. LEXIS 224561, 2019 WL 7498677 (D. Utah, Oct. 25, 2019)</w:t>
      </w:r>
    </w:p>
    <w:p w:rsidR="00022B47" w:rsidRDefault="00000000">
      <w:pPr>
        <w:pStyle w:val="Normal24"/>
        <w:widowControl w:val="0"/>
        <w:spacing w:before="240" w:line="260" w:lineRule="atLeast"/>
      </w:pPr>
      <w:bookmarkStart w:id="4531" w:name="Counsel_23"/>
      <w:bookmarkEnd w:id="4531"/>
      <w:r>
        <w:rPr>
          <w:rFonts w:ascii="Arial" w:eastAsia="Arial" w:hAnsi="Arial" w:cs="Arial"/>
          <w:b/>
          <w:color w:val="000000"/>
          <w:sz w:val="20"/>
        </w:rPr>
        <w:t>Counsel:</w:t>
      </w:r>
      <w:r>
        <w:rPr>
          <w:rFonts w:ascii="Arial" w:eastAsia="Arial" w:hAnsi="Arial" w:cs="Arial"/>
          <w:color w:val="000000"/>
          <w:sz w:val="20"/>
        </w:rPr>
        <w:t> Adam W. Hansen, Apollo Law LLC (Nicholas D. Thompson, The Moody Law Firm, Portsmouth, Virginia, Justin L. James, James, Dodge, Russell, &amp; Stephens, P.C., Salt Lake City, Utah, and Michael E. Bourne, Minneapolis, Minnesota, with him on the brief), Minneapolis, Minnesota, for Plaintiff-Appellant Kelly Dansie.</w:t>
      </w:r>
    </w:p>
    <w:p w:rsidR="00022B47" w:rsidRDefault="00000000">
      <w:pPr>
        <w:pStyle w:val="Normal24"/>
        <w:widowControl w:val="0"/>
        <w:spacing w:before="120" w:line="260" w:lineRule="atLeast"/>
      </w:pPr>
      <w:r>
        <w:rPr>
          <w:rFonts w:ascii="Arial" w:eastAsia="Arial" w:hAnsi="Arial" w:cs="Arial"/>
          <w:color w:val="000000"/>
          <w:sz w:val="20"/>
        </w:rPr>
        <w:t>Christopher Hedican, Baird Holm LLP (Michael J. Roccaforte, with him on the brief), Omaha, Nebraska, for Defendant-Appellee Union Pacific Railroad Company.</w:t>
      </w:r>
    </w:p>
    <w:p w:rsidR="00022B47" w:rsidRDefault="00000000">
      <w:pPr>
        <w:pStyle w:val="Normal24"/>
        <w:widowControl w:val="0"/>
        <w:spacing w:before="240" w:line="260" w:lineRule="atLeast"/>
      </w:pPr>
      <w:bookmarkStart w:id="4532" w:name="Judges_23"/>
      <w:bookmarkEnd w:id="4532"/>
      <w:r>
        <w:rPr>
          <w:rFonts w:ascii="Arial" w:eastAsia="Arial" w:hAnsi="Arial" w:cs="Arial"/>
          <w:b/>
          <w:color w:val="000000"/>
          <w:sz w:val="20"/>
        </w:rPr>
        <w:t>Judges:</w:t>
      </w:r>
      <w:r>
        <w:rPr>
          <w:rFonts w:ascii="Arial" w:eastAsia="Arial" w:hAnsi="Arial" w:cs="Arial"/>
          <w:color w:val="000000"/>
          <w:sz w:val="20"/>
        </w:rPr>
        <w:t> Before HARTZ, BRISCOE, and CARSON, Circuit Judges. BRISCOE, Senior Circuit Judge, concurring in part and dissenting in part.</w:t>
      </w:r>
    </w:p>
    <w:p w:rsidR="00022B47" w:rsidRDefault="00000000">
      <w:pPr>
        <w:pStyle w:val="Normal24"/>
        <w:widowControl w:val="0"/>
        <w:spacing w:before="240" w:line="260" w:lineRule="atLeast"/>
      </w:pPr>
      <w:bookmarkStart w:id="4533" w:name="Opinion_by_13"/>
      <w:bookmarkEnd w:id="4533"/>
      <w:r>
        <w:rPr>
          <w:rFonts w:ascii="Arial" w:eastAsia="Arial" w:hAnsi="Arial" w:cs="Arial"/>
          <w:b/>
          <w:color w:val="000000"/>
          <w:sz w:val="20"/>
        </w:rPr>
        <w:t>Opinion by:</w:t>
      </w:r>
      <w:r>
        <w:rPr>
          <w:rFonts w:ascii="Arial" w:eastAsia="Arial" w:hAnsi="Arial" w:cs="Arial"/>
          <w:color w:val="000000"/>
          <w:sz w:val="20"/>
        </w:rPr>
        <w:t> CARSON</w:t>
      </w:r>
    </w:p>
    <w:p w:rsidR="00022B47" w:rsidRDefault="00000000">
      <w:pPr>
        <w:pStyle w:val="Normal24"/>
        <w:keepNext/>
        <w:widowControl w:val="0"/>
        <w:spacing w:before="240" w:line="340" w:lineRule="atLeast"/>
      </w:pPr>
      <w:bookmarkStart w:id="4534" w:name="Opinion_23"/>
      <w:bookmarkEnd w:id="4534"/>
      <w:r>
        <w:rPr>
          <w:rFonts w:ascii="Arial" w:eastAsia="Arial" w:hAnsi="Arial" w:cs="Arial"/>
          <w:b/>
          <w:color w:val="000000"/>
          <w:sz w:val="28"/>
        </w:rPr>
        <w:t>Opinion</w:t>
      </w:r>
    </w:p>
    <w:p w:rsidR="00022B47" w:rsidRDefault="0025213E">
      <w:pPr>
        <w:pStyle w:val="Normal24"/>
        <w:spacing w:line="60" w:lineRule="exact"/>
      </w:pPr>
      <w:r>
        <w:rPr>
          <w:noProof/>
        </w:rPr>
        <mc:AlternateContent>
          <mc:Choice Requires="wps">
            <w:drawing>
              <wp:anchor distT="0" distB="0" distL="114300" distR="114300" simplePos="0" relativeHeight="25170944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931666057"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8E65F8" id="Line 52"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24"/>
      </w:pPr>
    </w:p>
    <w:p w:rsidR="00022B47" w:rsidRDefault="00000000">
      <w:pPr>
        <w:pStyle w:val="Normal24"/>
        <w:widowControl w:val="0"/>
        <w:spacing w:before="200" w:line="260" w:lineRule="atLeast"/>
        <w:jc w:val="both"/>
      </w:pPr>
      <w:bookmarkStart w:id="4535" w:name="Bookmark_para_2_23"/>
      <w:bookmarkEnd w:id="4535"/>
      <w:r>
        <w:rPr>
          <w:rFonts w:ascii="Arial" w:eastAsia="Arial" w:hAnsi="Arial" w:cs="Arial"/>
          <w:color w:val="000000"/>
          <w:sz w:val="20"/>
        </w:rPr>
        <w:t xml:space="preserve"> [*1188]  </w:t>
      </w:r>
      <w:r>
        <w:rPr>
          <w:rFonts w:ascii="Arial" w:eastAsia="Arial" w:hAnsi="Arial" w:cs="Arial"/>
          <w:b/>
          <w:color w:val="000000"/>
          <w:sz w:val="20"/>
        </w:rPr>
        <w:t>CARSON</w:t>
      </w:r>
      <w:r>
        <w:rPr>
          <w:rFonts w:ascii="Arial" w:eastAsia="Arial" w:hAnsi="Arial" w:cs="Arial"/>
          <w:color w:val="000000"/>
          <w:sz w:val="20"/>
        </w:rPr>
        <w:t>, Circuit Judge.</w:t>
      </w:r>
    </w:p>
    <w:p w:rsidR="00022B47" w:rsidRDefault="00000000">
      <w:pPr>
        <w:pStyle w:val="Normal24"/>
        <w:widowControl w:val="0"/>
        <w:spacing w:before="200" w:line="260" w:lineRule="atLeast"/>
        <w:jc w:val="both"/>
      </w:pPr>
      <w:bookmarkStart w:id="4536" w:name="Bookmark_para_3_23"/>
      <w:bookmarkStart w:id="4537" w:name="Bookmark_LNHNREFclscc1_21"/>
      <w:bookmarkEnd w:id="4536"/>
      <w:bookmarkEnd w:id="4537"/>
      <w:r>
        <w:rPr>
          <w:rFonts w:ascii="Arial" w:eastAsia="Arial" w:hAnsi="Arial" w:cs="Arial"/>
          <w:color w:val="000000"/>
          <w:sz w:val="20"/>
        </w:rPr>
        <w:t>When an employee provides notice to his employer of a disability and expresses a desire for a reasonable accommodation, the employee and the employer must engage in good-faith communications—what we have termed the interactive process. Once an employee triggers the interactive process, both the employee and the employer have an obligation to proceed in a reasonably interactive manner to determine the employee's limitations and consider whether the accommodations he requests—or perhaps [**2]  others that might surface during the interactive process— [*1189]  would enable the employee to return to work.</w:t>
      </w:r>
    </w:p>
    <w:p w:rsidR="00022B47" w:rsidRDefault="00000000">
      <w:pPr>
        <w:pStyle w:val="Normal24"/>
        <w:widowControl w:val="0"/>
        <w:spacing w:before="200" w:line="260" w:lineRule="atLeast"/>
        <w:jc w:val="both"/>
      </w:pPr>
      <w:bookmarkStart w:id="4538" w:name="Bookmark_para_4_23"/>
      <w:bookmarkEnd w:id="4538"/>
      <w:r>
        <w:rPr>
          <w:rFonts w:ascii="Arial" w:eastAsia="Arial" w:hAnsi="Arial" w:cs="Arial"/>
          <w:color w:val="000000"/>
          <w:sz w:val="20"/>
        </w:rPr>
        <w:t>Plaintiff Kelly Dansie sued Defendant Union Pacific Railroad Company for terminating his employment in violation of the Americans with Disabilities Act ("ADA") and the Family Medical Leave Act ("FMLA"). The district court granted summary judgment for Defendant on Plaintiff's ADA claim but allowed the case to proceed to trial on Plaintiff's FMLA claim. The jury then returned a verdict in Defendant's favor. Exercising jurisdiction under 28 U.S.C. § 1291, we reverse in part and affirm in part. Plaintiff presented sufficient evidence for a jury to find that Defendant failed to engage in the ADA mandated interactive process. Given that evidence, we reverse summary judgment for Defendant on Plaintiff's ADA claim and remand it to the district court for a trial. But we affirm the verdict for Defendant on Plaintiff's FMLA claim.</w:t>
      </w:r>
    </w:p>
    <w:p w:rsidR="00022B47" w:rsidRDefault="00000000">
      <w:pPr>
        <w:pStyle w:val="Normal24"/>
        <w:widowControl w:val="0"/>
        <w:spacing w:before="120" w:line="260" w:lineRule="atLeast"/>
      </w:pPr>
      <w:r>
        <w:rPr>
          <w:rFonts w:ascii="Arial" w:eastAsia="Arial" w:hAnsi="Arial" w:cs="Arial"/>
          <w:color w:val="000000"/>
          <w:sz w:val="20"/>
        </w:rPr>
        <w:t>I.</w:t>
      </w:r>
    </w:p>
    <w:p w:rsidR="00022B47" w:rsidRDefault="00000000">
      <w:pPr>
        <w:pStyle w:val="Normal24"/>
        <w:widowControl w:val="0"/>
        <w:spacing w:before="200" w:line="260" w:lineRule="atLeast"/>
        <w:jc w:val="both"/>
      </w:pPr>
      <w:bookmarkStart w:id="4539" w:name="Bookmark_para_5_23"/>
      <w:bookmarkEnd w:id="4539"/>
      <w:r>
        <w:rPr>
          <w:rFonts w:ascii="Arial" w:eastAsia="Arial" w:hAnsi="Arial" w:cs="Arial"/>
          <w:color w:val="000000"/>
          <w:sz w:val="20"/>
        </w:rPr>
        <w:t xml:space="preserve">Defendant, a railroad company, schedules its conductors using an on-call system. A dispatcher calls a conductor when Defendant needs him or her for work. The conductor at the top of the list at the time of the shift receives the first call. If that conductor is unavailable, the dispatcher calls the next conductor on the list. Under this system, Defendant [**3]  requires the conductor to report for duty within two hours. Although Defendant runs its trains twenty-four hours a day, seven days a week, conductors are not on call during federally mandated rest periods. Defendant also provides conductors with paid vacation leave and paid personal leave under a union agreement. The union agreement also provides conductors with "reasonable" unpaid personal "layoffs"—where an on-call conductor schedules himself unavailable for work </w:t>
      </w:r>
      <w:r>
        <w:rPr>
          <w:rFonts w:ascii="Arial" w:eastAsia="Arial" w:hAnsi="Arial" w:cs="Arial"/>
          <w:i/>
          <w:color w:val="000000"/>
          <w:sz w:val="20"/>
        </w:rPr>
        <w:t>and</w:t>
      </w:r>
      <w:r>
        <w:rPr>
          <w:rFonts w:ascii="Arial" w:eastAsia="Arial" w:hAnsi="Arial" w:cs="Arial"/>
          <w:color w:val="000000"/>
          <w:sz w:val="20"/>
        </w:rPr>
        <w:t xml:space="preserve"> he is called in for duty—and gives "significant consideration" to employees dealing with illness.</w:t>
      </w:r>
    </w:p>
    <w:p w:rsidR="00022B47" w:rsidRDefault="00000000">
      <w:pPr>
        <w:pStyle w:val="Normal24"/>
        <w:widowControl w:val="0"/>
        <w:spacing w:before="200" w:line="260" w:lineRule="atLeast"/>
        <w:jc w:val="both"/>
      </w:pPr>
      <w:bookmarkStart w:id="4540" w:name="Bookmark_para_6_23"/>
      <w:bookmarkEnd w:id="4540"/>
      <w:r>
        <w:rPr>
          <w:rFonts w:ascii="Arial" w:eastAsia="Arial" w:hAnsi="Arial" w:cs="Arial"/>
          <w:color w:val="000000"/>
          <w:sz w:val="20"/>
        </w:rPr>
        <w:t>For the past twenty years, Plaintiff has lived and worked with an HIV-positive diagnosis. He has AIDS and testicular cancer—though his cancer is in remission. Because of his medical conditions, Plaintiff requires ongoing treatment. Despite regularly undergoing physically taxing medical procedures, Plaintiff believes his condition is stable and his symptoms are manageable.</w:t>
      </w:r>
    </w:p>
    <w:p w:rsidR="00022B47" w:rsidRDefault="00000000">
      <w:pPr>
        <w:pStyle w:val="Normal24"/>
        <w:widowControl w:val="0"/>
        <w:spacing w:before="200" w:line="260" w:lineRule="atLeast"/>
        <w:jc w:val="both"/>
      </w:pPr>
      <w:bookmarkStart w:id="4541" w:name="Bookmark_para_7_23"/>
      <w:bookmarkEnd w:id="4541"/>
      <w:r>
        <w:rPr>
          <w:rFonts w:ascii="Arial" w:eastAsia="Arial" w:hAnsi="Arial" w:cs="Arial"/>
          <w:color w:val="000000"/>
          <w:sz w:val="20"/>
        </w:rPr>
        <w:t>In 2004, Plaintiff began working for Defendant as a conductor. As a conductor, Defendant expected Plaintiff to work "full time." And Plaintiff understood that his job required him to be physically present on trains and that his job was a "safety-sensitive" [**4]  position. Defendant's written attendance policy measures "attendance" for on-call employees based on their availability. The policy provides that employees must "protect" their "job assignment[s] on a full-time basis" and defines "full time" as "being available to work your assignment . . . whenever it is scheduled." Defendant's attendance policy distinguished between two types of absences—agreement-provided compensated days and uncompensated layover days. Defendant provided the "agreement-provided compensated days off" as a time for "personal business." As to layoffs, the policy mandates that the employee must notify his or her manager before the layoff "if possible." But notification and documentation alone would not excuse the employee's "responsibility" to protect his or her job.</w:t>
      </w:r>
    </w:p>
    <w:p w:rsidR="00022B47" w:rsidRDefault="00000000">
      <w:pPr>
        <w:pStyle w:val="Normal24"/>
        <w:widowControl w:val="0"/>
        <w:spacing w:before="200" w:line="260" w:lineRule="atLeast"/>
        <w:jc w:val="both"/>
      </w:pPr>
      <w:bookmarkStart w:id="4542" w:name="Bookmark_para_8_22"/>
      <w:bookmarkEnd w:id="4542"/>
      <w:r>
        <w:rPr>
          <w:rFonts w:ascii="Arial" w:eastAsia="Arial" w:hAnsi="Arial" w:cs="Arial"/>
          <w:color w:val="000000"/>
          <w:sz w:val="20"/>
        </w:rPr>
        <w:t>When an employee does not work full time, the company identifies that employee by examining:</w:t>
      </w:r>
    </w:p>
    <w:p w:rsidR="00022B47" w:rsidRDefault="00000000">
      <w:pPr>
        <w:pStyle w:val="Normal24"/>
        <w:widowControl w:val="0"/>
        <w:spacing w:line="260" w:lineRule="atLeast"/>
        <w:ind w:left="400"/>
        <w:jc w:val="both"/>
      </w:pPr>
      <w:bookmarkStart w:id="4543" w:name="Bookmark_para_9_22"/>
      <w:bookmarkEnd w:id="4543"/>
      <w:r>
        <w:rPr>
          <w:rFonts w:ascii="Arial" w:eastAsia="Arial" w:hAnsi="Arial" w:cs="Arial"/>
          <w:color w:val="000000"/>
          <w:sz w:val="20"/>
        </w:rPr>
        <w:t>A. Frequent, or pattern of, weekend layoffs.</w:t>
      </w:r>
    </w:p>
    <w:p w:rsidR="00022B47" w:rsidRDefault="00000000">
      <w:pPr>
        <w:pStyle w:val="Normal24"/>
        <w:widowControl w:val="0"/>
        <w:spacing w:line="260" w:lineRule="atLeast"/>
        <w:ind w:left="400"/>
        <w:jc w:val="both"/>
      </w:pPr>
      <w:bookmarkStart w:id="4544" w:name="Bookmark_para_10_22"/>
      <w:bookmarkEnd w:id="4544"/>
      <w:r>
        <w:rPr>
          <w:rFonts w:ascii="Arial" w:eastAsia="Arial" w:hAnsi="Arial" w:cs="Arial"/>
          <w:color w:val="000000"/>
          <w:sz w:val="20"/>
        </w:rPr>
        <w:t>B. Frequent, or pattern of, holiday layoffs.[]</w:t>
      </w:r>
    </w:p>
    <w:p w:rsidR="00022B47" w:rsidRDefault="00000000">
      <w:pPr>
        <w:pStyle w:val="Normal24"/>
        <w:widowControl w:val="0"/>
        <w:spacing w:line="260" w:lineRule="atLeast"/>
        <w:ind w:left="400"/>
        <w:jc w:val="both"/>
      </w:pPr>
      <w:bookmarkStart w:id="4545" w:name="Bookmark_para_11_22"/>
      <w:bookmarkEnd w:id="4545"/>
      <w:r>
        <w:rPr>
          <w:rFonts w:ascii="Arial" w:eastAsia="Arial" w:hAnsi="Arial" w:cs="Arial"/>
          <w:color w:val="000000"/>
          <w:sz w:val="20"/>
        </w:rPr>
        <w:t>C. Frequent personal layoffs.</w:t>
      </w:r>
    </w:p>
    <w:p w:rsidR="00022B47" w:rsidRDefault="00000000">
      <w:pPr>
        <w:pStyle w:val="Normal24"/>
        <w:widowControl w:val="0"/>
        <w:spacing w:before="200" w:line="260" w:lineRule="atLeast"/>
        <w:ind w:left="400"/>
        <w:jc w:val="both"/>
      </w:pPr>
      <w:bookmarkStart w:id="4546" w:name="Bookmark_para_12_22"/>
      <w:bookmarkEnd w:id="4546"/>
      <w:r>
        <w:rPr>
          <w:rFonts w:ascii="Arial" w:eastAsia="Arial" w:hAnsi="Arial" w:cs="Arial"/>
          <w:color w:val="000000"/>
          <w:sz w:val="20"/>
        </w:rPr>
        <w:t>D. Frequent sick/sickness in family layoffs without current medical documentation  [*1190]  provided in advance when possible.</w:t>
      </w:r>
    </w:p>
    <w:p w:rsidR="00022B47" w:rsidRDefault="00000000">
      <w:pPr>
        <w:pStyle w:val="Normal24"/>
        <w:widowControl w:val="0"/>
        <w:spacing w:line="260" w:lineRule="atLeast"/>
        <w:ind w:left="400"/>
        <w:jc w:val="both"/>
      </w:pPr>
      <w:bookmarkStart w:id="4547" w:name="Bookmark_para_13_22"/>
      <w:bookmarkEnd w:id="4547"/>
      <w:r>
        <w:rPr>
          <w:rFonts w:ascii="Arial" w:eastAsia="Arial" w:hAnsi="Arial" w:cs="Arial"/>
          <w:color w:val="000000"/>
          <w:sz w:val="20"/>
        </w:rPr>
        <w:t>E. Lower availability/work days when compared to peers.</w:t>
      </w:r>
    </w:p>
    <w:p w:rsidR="00022B47" w:rsidRDefault="00000000">
      <w:pPr>
        <w:pStyle w:val="Normal24"/>
        <w:widowControl w:val="0"/>
        <w:spacing w:before="200" w:line="260" w:lineRule="atLeast"/>
        <w:ind w:left="400"/>
        <w:jc w:val="both"/>
      </w:pPr>
      <w:bookmarkStart w:id="4548" w:name="Bookmark_para_14_22"/>
      <w:bookmarkEnd w:id="4548"/>
      <w:r>
        <w:rPr>
          <w:rFonts w:ascii="Arial" w:eastAsia="Arial" w:hAnsi="Arial" w:cs="Arial"/>
          <w:color w:val="000000"/>
          <w:sz w:val="20"/>
        </w:rPr>
        <w:t>F. Missed calls/No show/Tardy/Refusal. [**5] </w:t>
      </w:r>
    </w:p>
    <w:p w:rsidR="00022B47" w:rsidRDefault="00000000">
      <w:pPr>
        <w:pStyle w:val="Normal24"/>
        <w:widowControl w:val="0"/>
        <w:spacing w:line="260" w:lineRule="atLeast"/>
        <w:jc w:val="both"/>
      </w:pPr>
      <w:r>
        <w:rPr>
          <w:rFonts w:ascii="Arial" w:eastAsia="Arial" w:hAnsi="Arial" w:cs="Arial"/>
          <w:color w:val="000000"/>
          <w:sz w:val="20"/>
        </w:rPr>
        <w:t>If an employee's attendance record warrants, Defendant will investigate. Defendant's policy provides for two written notices of violation. Those written offenses stay on an employee's record for three years. A violation during the thirty-six months following the date of the second written notice leads to permanent dismissal.</w:t>
      </w:r>
    </w:p>
    <w:p w:rsidR="00022B47" w:rsidRDefault="00000000">
      <w:pPr>
        <w:pStyle w:val="Normal24"/>
        <w:widowControl w:val="0"/>
        <w:spacing w:before="200" w:line="260" w:lineRule="atLeast"/>
        <w:jc w:val="both"/>
      </w:pPr>
      <w:bookmarkStart w:id="4549" w:name="Bookmark_para_15_22"/>
      <w:bookmarkEnd w:id="4549"/>
      <w:r>
        <w:rPr>
          <w:rFonts w:ascii="Arial" w:eastAsia="Arial" w:hAnsi="Arial" w:cs="Arial"/>
          <w:color w:val="000000"/>
          <w:sz w:val="20"/>
        </w:rPr>
        <w:t>Through 2014, Plaintiff used the FMLA to cover his absences. But in September of 2014, Defendant terminated Plaintiff for an alleged safety violation. Plaintiff appealed his termination to the Public Law Board—an administrative body that hears disputes between railroad companies and their employees—which overturned his termination but declined to award him backpay. Plaintiff returned to work in January 2016—more than one year after his termination. Because the administrative body functionally commuted his termination to an unpaid suspension, Plaintiff temporarily lost his eligibility for FMLA leave.</w:t>
      </w:r>
    </w:p>
    <w:p w:rsidR="00022B47" w:rsidRDefault="00000000">
      <w:pPr>
        <w:pStyle w:val="Normal24"/>
        <w:widowControl w:val="0"/>
        <w:spacing w:before="200" w:line="260" w:lineRule="atLeast"/>
        <w:jc w:val="both"/>
      </w:pPr>
      <w:bookmarkStart w:id="4550" w:name="Bookmark_para_16_22"/>
      <w:bookmarkEnd w:id="4550"/>
      <w:r>
        <w:rPr>
          <w:rFonts w:ascii="Arial" w:eastAsia="Arial" w:hAnsi="Arial" w:cs="Arial"/>
          <w:color w:val="000000"/>
          <w:sz w:val="20"/>
        </w:rPr>
        <w:t>Plaintiff repeatedly sought to use paid leave to cover his illness or medical appointments. But Defendant denied his requests. Defendant's records show it denied the requests because the "[c]urrent supply of crews does not meet demand." Thus Plaintiff would "lay off" and [**6]  mark his status as "sick."</w:t>
      </w:r>
    </w:p>
    <w:p w:rsidR="00022B47" w:rsidRDefault="00000000">
      <w:pPr>
        <w:pStyle w:val="Normal24"/>
        <w:widowControl w:val="0"/>
        <w:spacing w:before="200" w:line="260" w:lineRule="atLeast"/>
        <w:jc w:val="both"/>
      </w:pPr>
      <w:bookmarkStart w:id="4551" w:name="Bookmark_para_17_21"/>
      <w:bookmarkEnd w:id="4551"/>
      <w:r>
        <w:rPr>
          <w:rFonts w:ascii="Arial" w:eastAsia="Arial" w:hAnsi="Arial" w:cs="Arial"/>
          <w:color w:val="000000"/>
          <w:sz w:val="20"/>
        </w:rPr>
        <w:t>Eight months after reinstatement, Defendant charged Plaintiff with violating its attendance policy, alleging that Plaintiff had "laid off sick" six times in a ninety-day period. Plaintiff then requested what he believed to be a reasonable accommodation under the ADA. He asked Defendant's occupational health nurse for advice and the nurse referred him to Defendant's director of disability management in Nebraska, Terry Owens. After contacting Owens, Plaintiff and one of his physicians filled out Defendant's "Form E," titled "Medical Inquiry in Response to Request for Reasonable Accommodation." While filling out the form, Plaintiff sought clarification from Defendant about the definition of full-time employment. Plaintiff told Defendant that his doctor would need to see the definition of "full time" to fill out the paperwork and determine what would constitute a reasonable accommodation request. Defendant did not provide clarification.</w:t>
      </w:r>
    </w:p>
    <w:p w:rsidR="00022B47" w:rsidRDefault="00000000">
      <w:pPr>
        <w:pStyle w:val="Normal24"/>
        <w:widowControl w:val="0"/>
        <w:spacing w:before="200" w:line="260" w:lineRule="atLeast"/>
        <w:jc w:val="both"/>
      </w:pPr>
      <w:bookmarkStart w:id="4552" w:name="Bookmark_para_18_21"/>
      <w:bookmarkEnd w:id="4552"/>
      <w:r>
        <w:rPr>
          <w:rFonts w:ascii="Arial" w:eastAsia="Arial" w:hAnsi="Arial" w:cs="Arial"/>
          <w:color w:val="000000"/>
          <w:sz w:val="20"/>
        </w:rPr>
        <w:t>Plaintiff's physicians submitted two Form E documents. The first explained that Plaintiff experienced fatigue and recovered slower from illnesses but that with sufficient rest, Plaintiff would be fully functional in his current [**7]  position. Without a clarification on the attendance policy, Plaintiff's physician did not clearly understand Plaintiff's schedule requirements and hesitated to recommend a specific amount of time off work. After Owens told him the requested amount of time off was not specific enough, Plaintiff told Owens that he needed guidance. Plaintiff and Owens had a follow up discussion in which they discussed that Plaintiff would need five days a month. Plaintiff and his physician then completed a new Form E, which the physician estimated that Plaintiff would likely need five days off each month but cautioned that the estimate was subject to change because of the nature of Plaintiff's illness. Plaintiff's physician again noted that Defendant's unclear scheduling and attendance requirements prevented him from providing an estimate with certainty.</w:t>
      </w:r>
    </w:p>
    <w:p w:rsidR="00022B47" w:rsidRDefault="00000000">
      <w:pPr>
        <w:pStyle w:val="Normal24"/>
        <w:widowControl w:val="0"/>
        <w:spacing w:before="200" w:line="260" w:lineRule="atLeast"/>
        <w:jc w:val="both"/>
      </w:pPr>
      <w:bookmarkStart w:id="4553" w:name="Bookmark_para_19_20"/>
      <w:bookmarkEnd w:id="4553"/>
      <w:r>
        <w:rPr>
          <w:rFonts w:ascii="Arial" w:eastAsia="Arial" w:hAnsi="Arial" w:cs="Arial"/>
          <w:color w:val="000000"/>
          <w:sz w:val="20"/>
        </w:rPr>
        <w:t>The parties disagree about what happened to Plaintiff's accommodation request after he submitted his amended Form E. Plaintiff asserts that a member of Defendant's disability-management team called him and told him that Defendant approved  [*1191]  his request for an accommodation. Plaintiff has no documentation from Defendant to support his claim. Plaintiff believed [**8]  that Defendant granted his request, so he suggested no other potential accommodations.</w:t>
      </w:r>
    </w:p>
    <w:p w:rsidR="00022B47" w:rsidRDefault="00000000">
      <w:pPr>
        <w:pStyle w:val="Normal24"/>
        <w:widowControl w:val="0"/>
        <w:spacing w:before="200" w:line="260" w:lineRule="atLeast"/>
        <w:jc w:val="both"/>
      </w:pPr>
      <w:bookmarkStart w:id="4554" w:name="Bookmark_para_20_20"/>
      <w:bookmarkEnd w:id="4554"/>
      <w:r>
        <w:rPr>
          <w:rFonts w:ascii="Arial" w:eastAsia="Arial" w:hAnsi="Arial" w:cs="Arial"/>
          <w:color w:val="000000"/>
          <w:sz w:val="20"/>
        </w:rPr>
        <w:t>But Defendant's internal correspondence shows that Defendant would not accommodate up to five days off per month. Terry Brown, superintendent of Defendant's Utah Transportation Department, explained in his deposition that he needed Plaintiff to show up to work and Plaintiff's request for five days off—on top of his normal days off—was too much time. Brown also testified that the unpredictability of Plaintiff's request compounded the issue. And Plaintiff testified that when he told his immediate supervisor that he believed Defendant granted his accommodation request, his supervisor just shrugged and walked away. His supervisor testified that Plaintiff was on his "shit list" and that he believed Plaintiff was lazy because he failed to follow the attendance policy.</w:t>
      </w:r>
    </w:p>
    <w:p w:rsidR="00022B47" w:rsidRDefault="00000000">
      <w:pPr>
        <w:pStyle w:val="Normal24"/>
        <w:widowControl w:val="0"/>
        <w:spacing w:before="200" w:line="260" w:lineRule="atLeast"/>
        <w:jc w:val="both"/>
      </w:pPr>
      <w:bookmarkStart w:id="4555" w:name="Bookmark_para_21_20"/>
      <w:bookmarkEnd w:id="4555"/>
      <w:r>
        <w:rPr>
          <w:rFonts w:ascii="Arial" w:eastAsia="Arial" w:hAnsi="Arial" w:cs="Arial"/>
          <w:color w:val="000000"/>
          <w:sz w:val="20"/>
        </w:rPr>
        <w:t>Before Defendant terminated him, Plaintiff testified that he asked for a dialogue among himself, his manager, and someone from the disability management office. Plaintiff requested that Owens intervene and explain what an ADA accommodation was to his supervisors. But Owens never did, and Plaintiff's supervisors charged him with attendance-policy [**9]  violations three times. After his first violation, Defendant instructed Plaintiff "to mark up immediately and to remain available on a full time basis." Four months later, Defendant disciplined him on the same basis. Defendant expedited the third and final charge against Plaintiff. Shortly before the third charge, Plaintiff received a letter from Defendant's Health &amp; Medical Services department informing him Defendant approved him for FMLA leave. Even so, Defendant terminated him one month later.</w:t>
      </w:r>
    </w:p>
    <w:p w:rsidR="00022B47" w:rsidRDefault="00000000">
      <w:pPr>
        <w:pStyle w:val="Normal24"/>
        <w:widowControl w:val="0"/>
        <w:spacing w:before="200" w:line="260" w:lineRule="atLeast"/>
        <w:jc w:val="both"/>
      </w:pPr>
      <w:bookmarkStart w:id="4556" w:name="Bookmark_para_22_19"/>
      <w:bookmarkEnd w:id="4556"/>
      <w:r>
        <w:rPr>
          <w:rFonts w:ascii="Arial" w:eastAsia="Arial" w:hAnsi="Arial" w:cs="Arial"/>
          <w:color w:val="000000"/>
          <w:sz w:val="20"/>
        </w:rPr>
        <w:t xml:space="preserve">Plaintiff sued Defendant, alleging violations of the Americans with Disabilities Act, 42 U.S.C. §§ 12101, </w:t>
      </w:r>
      <w:r>
        <w:rPr>
          <w:rFonts w:ascii="Arial" w:eastAsia="Arial" w:hAnsi="Arial" w:cs="Arial"/>
          <w:color w:val="000000"/>
          <w:sz w:val="20"/>
          <w:u w:val="single"/>
        </w:rPr>
        <w:t>et seq.</w:t>
      </w:r>
      <w:r>
        <w:rPr>
          <w:rFonts w:ascii="Arial" w:eastAsia="Arial" w:hAnsi="Arial" w:cs="Arial"/>
          <w:color w:val="000000"/>
          <w:sz w:val="20"/>
        </w:rPr>
        <w:t xml:space="preserve">, and the Family Medical Leave Act, 29 U.S.C. §§ 2601, </w:t>
      </w:r>
      <w:r>
        <w:rPr>
          <w:rFonts w:ascii="Arial" w:eastAsia="Arial" w:hAnsi="Arial" w:cs="Arial"/>
          <w:color w:val="000000"/>
          <w:sz w:val="20"/>
          <w:u w:val="single"/>
        </w:rPr>
        <w:t>et seq.</w:t>
      </w:r>
      <w:r>
        <w:rPr>
          <w:rFonts w:ascii="Arial" w:eastAsia="Arial" w:hAnsi="Arial" w:cs="Arial"/>
          <w:color w:val="000000"/>
          <w:sz w:val="20"/>
        </w:rPr>
        <w:t xml:space="preserve"> The parties cross-moved for summary judgment. In an oral ruling, the district court denied Plaintiff's motion for summary judgment and granted Defendant's motion for summary judgment in part. The district court granted Defendant's motion concluding Plaintiff did not request a plausibly reasonable accommodation in his Form E request and thus failed to satisfy his prima facie burden on his ADA claim. The district court reasoned Plaintiff's proposed accommodation failed to specify a duration for his accommodation. The district court also granted summary judgment on Plaintiff's claim that Defendant failed to engage in the interactive [**10]  process required under the ADA. The district court did not reach whether Defendant engaged in the interactive process. It concluded that even if Defendant did not, Plaintiff failed to show that Defendant could reasonably accommodate his disability and therefore it had no duty to engage in the interactive process.</w:t>
      </w:r>
    </w:p>
    <w:p w:rsidR="00022B47" w:rsidRDefault="00000000">
      <w:pPr>
        <w:pStyle w:val="Normal24"/>
        <w:widowControl w:val="0"/>
        <w:spacing w:before="200" w:line="260" w:lineRule="atLeast"/>
        <w:jc w:val="both"/>
      </w:pPr>
      <w:bookmarkStart w:id="4557" w:name="Bookmark_para_23_18"/>
      <w:bookmarkEnd w:id="4557"/>
      <w:r>
        <w:rPr>
          <w:rFonts w:ascii="Arial" w:eastAsia="Arial" w:hAnsi="Arial" w:cs="Arial"/>
          <w:color w:val="000000"/>
          <w:sz w:val="20"/>
        </w:rPr>
        <w:t>The district court allowed Plaintiff's FMLA interference claim to proceed to trial. Plaintiff contended at trial that Defendant made up a reason to terminate him and then expedited the termination process so that Plaintiff would be unable to work enough hours to qualify for FMLA leave. While deliberating, the jury submitted written questions. The district court did not answer the questions and instead directed the jury to consider the instructions as a whole. Plaintiff also requested that the district court provide supplemental instructions. But the district court declined to provide supplemental instructions and once again directed the jury's attention to the instructions as a whole. The jury returned a verdict in Defendant's favor.  [*1192]  The district court denied Plaintiff's motion for a new trial. Plaintiff appealed.</w:t>
      </w:r>
    </w:p>
    <w:p w:rsidR="00022B47" w:rsidRDefault="00000000">
      <w:pPr>
        <w:pStyle w:val="Normal24"/>
        <w:widowControl w:val="0"/>
        <w:spacing w:before="200" w:line="260" w:lineRule="atLeast"/>
        <w:jc w:val="both"/>
      </w:pPr>
      <w:bookmarkStart w:id="4558" w:name="Bookmark_para_24_18"/>
      <w:bookmarkEnd w:id="4558"/>
      <w:r>
        <w:rPr>
          <w:rFonts w:ascii="Arial" w:eastAsia="Arial" w:hAnsi="Arial" w:cs="Arial"/>
          <w:color w:val="000000"/>
          <w:sz w:val="20"/>
        </w:rPr>
        <w:t>After the summary judgment ruling, an arbitration board ordered [**11]  Plaintiff reinstated. Plaintiff now works in a non-conductor, set-schedule position. Defendant agreed to allow Plaintiff to layoff as needed up to three days per month, with no requirement that he schedule the days in advance.</w:t>
      </w:r>
    </w:p>
    <w:p w:rsidR="00022B47" w:rsidRDefault="00000000">
      <w:pPr>
        <w:pStyle w:val="Normal24"/>
        <w:widowControl w:val="0"/>
        <w:spacing w:before="120" w:line="260" w:lineRule="atLeast"/>
      </w:pPr>
      <w:r>
        <w:rPr>
          <w:rFonts w:ascii="Arial" w:eastAsia="Arial" w:hAnsi="Arial" w:cs="Arial"/>
          <w:color w:val="000000"/>
          <w:sz w:val="20"/>
        </w:rPr>
        <w:t>II.</w:t>
      </w:r>
    </w:p>
    <w:p w:rsidR="00022B47" w:rsidRDefault="00000000">
      <w:pPr>
        <w:pStyle w:val="Normal24"/>
        <w:widowControl w:val="0"/>
        <w:spacing w:before="200" w:line="260" w:lineRule="atLeast"/>
        <w:jc w:val="both"/>
      </w:pPr>
      <w:bookmarkStart w:id="4559" w:name="Bookmark_para_25_17"/>
      <w:bookmarkEnd w:id="4559"/>
      <w:r>
        <w:rPr>
          <w:rFonts w:ascii="Arial" w:eastAsia="Arial" w:hAnsi="Arial" w:cs="Arial"/>
          <w:color w:val="000000"/>
          <w:sz w:val="20"/>
        </w:rPr>
        <w:t>Plaintiff challenges both the district court's dismissal of his ADA claim and the jury's verdict on his FMLA claim. We first address Plaintiff's contention that Defendant failed to accommodate his disability. Thus, we analyze whether the parties engaged in the interactive process before we address whether a reasonable accommodation existed that would have enabled Plaintiff to perform the essential functions of his job.</w:t>
      </w:r>
    </w:p>
    <w:p w:rsidR="00022B47" w:rsidRDefault="00000000">
      <w:pPr>
        <w:pStyle w:val="Normal24"/>
        <w:widowControl w:val="0"/>
        <w:spacing w:before="200" w:line="260" w:lineRule="atLeast"/>
        <w:jc w:val="both"/>
      </w:pPr>
      <w:bookmarkStart w:id="4560" w:name="Bookmark_para_26_16"/>
      <w:bookmarkStart w:id="4561" w:name="Bookmark_I663D85H2N1PY50020000400"/>
      <w:bookmarkStart w:id="4562" w:name="Bookmark_LNHNREFclscc2_21"/>
      <w:bookmarkEnd w:id="4560"/>
      <w:bookmarkEnd w:id="4561"/>
      <w:bookmarkEnd w:id="4562"/>
      <w:r>
        <w:rPr>
          <w:rFonts w:ascii="Arial" w:eastAsia="Arial" w:hAnsi="Arial" w:cs="Arial"/>
          <w:color w:val="000000"/>
          <w:sz w:val="20"/>
        </w:rPr>
        <w:t xml:space="preserve">Under the ADA, a "covered entity" may not discriminate "against a qualified individual on the basis of disability in regard to job application procedures, the hiring, advancement, or discharge of employees, employee compensation, job training, and other terms, conditions, and privileges of employment." 42 U.S.C. § 12112(a). </w:t>
      </w:r>
      <w:bookmarkStart w:id="4563" w:name="Bookmark_I663D85H2N1PY50040000400"/>
      <w:bookmarkEnd w:id="4563"/>
      <w:r>
        <w:rPr>
          <w:rFonts w:ascii="Arial" w:eastAsia="Arial" w:hAnsi="Arial" w:cs="Arial"/>
          <w:color w:val="000000"/>
          <w:sz w:val="20"/>
        </w:rPr>
        <w:t xml:space="preserve">And the statute defines "discriminate against a qualified individual on the basis of disability" to include "not making reasonable accommodations to the known physical or mental limitations of an otherwise qualified individual with a disability [**12]  . . . unless [the employer] can demonstrate that the accommodation would impose an undue hardship on the operation of the business of [the employer]." </w:t>
      </w:r>
      <w:r>
        <w:rPr>
          <w:rFonts w:ascii="Arial" w:eastAsia="Arial" w:hAnsi="Arial" w:cs="Arial"/>
          <w:color w:val="000000"/>
          <w:sz w:val="20"/>
          <w:u w:val="single"/>
        </w:rPr>
        <w:t>Id.</w:t>
      </w:r>
      <w:r>
        <w:rPr>
          <w:rFonts w:ascii="Arial" w:eastAsia="Arial" w:hAnsi="Arial" w:cs="Arial"/>
          <w:color w:val="000000"/>
          <w:sz w:val="20"/>
        </w:rPr>
        <w:t xml:space="preserve"> § 12112(b)(5)(A). </w:t>
      </w:r>
      <w:bookmarkStart w:id="4564" w:name="Bookmark_I663D85J28T4800010000400"/>
      <w:bookmarkStart w:id="4565" w:name="Bookmark_LNHNREFclscc3_21"/>
      <w:bookmarkEnd w:id="4564"/>
      <w:bookmarkEnd w:id="4565"/>
      <w:r>
        <w:rPr>
          <w:rFonts w:ascii="Arial" w:eastAsia="Arial" w:hAnsi="Arial" w:cs="Arial"/>
          <w:color w:val="000000"/>
          <w:sz w:val="20"/>
        </w:rPr>
        <w:t>To establish a prima facie failure-to-accommodate claim, Plaintiff had to show: (1) he was disabled; (2) he was otherwise qualified; (3) he requested a plausibly reasonable accommodation; and (4) Defendant refused to accommodate his disability.</w:t>
      </w:r>
      <w:r>
        <w:rPr>
          <w:rFonts w:ascii="Arial" w:eastAsia="Arial" w:hAnsi="Arial" w:cs="Arial"/>
          <w:vertAlign w:val="superscript"/>
        </w:rPr>
        <w:footnoteReference w:customMarkFollows="1" w:id="108"/>
        <w:t>1</w:t>
      </w:r>
      <w:r>
        <w:rPr>
          <w:rFonts w:ascii="Arial" w:eastAsia="Arial" w:hAnsi="Arial" w:cs="Arial"/>
          <w:color w:val="000000"/>
          <w:sz w:val="20"/>
        </w:rPr>
        <w:t xml:space="preserve"> </w:t>
      </w:r>
      <w:bookmarkStart w:id="4594" w:name="Bookmark_I663D85H2N1PY50010000400"/>
      <w:bookmarkEnd w:id="4594"/>
      <w:r>
        <w:rPr>
          <w:rFonts w:ascii="Arial" w:eastAsia="Arial" w:hAnsi="Arial" w:cs="Arial"/>
          <w:color w:val="000000"/>
          <w:sz w:val="20"/>
          <w:u w:val="single"/>
        </w:rPr>
        <w:t>Aubrey v. Koppes</w:t>
      </w:r>
      <w:r>
        <w:rPr>
          <w:rFonts w:ascii="Arial" w:eastAsia="Arial" w:hAnsi="Arial" w:cs="Arial"/>
          <w:color w:val="000000"/>
          <w:sz w:val="20"/>
        </w:rPr>
        <w:t xml:space="preserve">, 975 F.3d 995, 1005 (10th Cir. 2020) (citations omitted). </w:t>
      </w:r>
      <w:bookmarkStart w:id="4595" w:name="Bookmark_I663D85J28T4800010000400_2"/>
      <w:bookmarkStart w:id="4596" w:name="Bookmark_I663D85H2N1PY50040000400_2"/>
      <w:bookmarkStart w:id="4597" w:name="Bookmark_I663D85J28T4800030000400"/>
      <w:bookmarkEnd w:id="4595"/>
      <w:bookmarkEnd w:id="4596"/>
      <w:bookmarkEnd w:id="4597"/>
      <w:r>
        <w:rPr>
          <w:rFonts w:ascii="Arial" w:eastAsia="Arial" w:hAnsi="Arial" w:cs="Arial"/>
          <w:color w:val="000000"/>
          <w:sz w:val="20"/>
        </w:rPr>
        <w:t xml:space="preserve">Meeting this test "is not onerous." </w:t>
      </w:r>
      <w:r>
        <w:rPr>
          <w:rFonts w:ascii="Arial" w:eastAsia="Arial" w:hAnsi="Arial" w:cs="Arial"/>
          <w:color w:val="000000"/>
          <w:sz w:val="20"/>
          <w:u w:val="single"/>
        </w:rPr>
        <w:t>Id.</w:t>
      </w:r>
      <w:r>
        <w:rPr>
          <w:rFonts w:ascii="Arial" w:eastAsia="Arial" w:hAnsi="Arial" w:cs="Arial"/>
          <w:color w:val="000000"/>
          <w:sz w:val="20"/>
        </w:rPr>
        <w:t xml:space="preserve"> (citing </w:t>
      </w:r>
      <w:bookmarkStart w:id="4598" w:name="Bookmark_I663D85H2N1PY50030000400"/>
      <w:bookmarkEnd w:id="4598"/>
      <w:r>
        <w:rPr>
          <w:rFonts w:ascii="Arial" w:eastAsia="Arial" w:hAnsi="Arial" w:cs="Arial"/>
          <w:color w:val="000000"/>
          <w:sz w:val="20"/>
          <w:u w:val="single"/>
        </w:rPr>
        <w:t>Osborne v. Baxter  [*1193]  Healthcare Corp.</w:t>
      </w:r>
      <w:r>
        <w:rPr>
          <w:rFonts w:ascii="Arial" w:eastAsia="Arial" w:hAnsi="Arial" w:cs="Arial"/>
          <w:color w:val="000000"/>
          <w:sz w:val="20"/>
        </w:rPr>
        <w:t xml:space="preserve">, 798 F.3d 1260, 1266 (10th Cir. 2015)). </w:t>
      </w:r>
      <w:bookmarkStart w:id="4599" w:name="Bookmark_I663D85J28T4800030000400_2"/>
      <w:bookmarkEnd w:id="4599"/>
      <w:r>
        <w:rPr>
          <w:rFonts w:ascii="Arial" w:eastAsia="Arial" w:hAnsi="Arial" w:cs="Arial"/>
          <w:color w:val="000000"/>
          <w:sz w:val="20"/>
        </w:rPr>
        <w:t xml:space="preserve">If a plaintiff establishes a prima facie claim, the burden shifts to the defendant to present evidence either "conclusively rebutting one or more elements of plaintiff's prima facie case" or "establishing an affirmative defense." </w:t>
      </w:r>
      <w:r>
        <w:rPr>
          <w:rFonts w:ascii="Arial" w:eastAsia="Arial" w:hAnsi="Arial" w:cs="Arial"/>
          <w:color w:val="000000"/>
          <w:sz w:val="20"/>
          <w:u w:val="single"/>
        </w:rPr>
        <w:t>Id.</w:t>
      </w:r>
      <w:r>
        <w:rPr>
          <w:rFonts w:ascii="Arial" w:eastAsia="Arial" w:hAnsi="Arial" w:cs="Arial"/>
          <w:color w:val="000000"/>
          <w:sz w:val="20"/>
        </w:rPr>
        <w:t xml:space="preserve"> (quoting </w:t>
      </w:r>
      <w:bookmarkStart w:id="4600" w:name="Bookmark_I663D85H2N1PY50050000400"/>
      <w:bookmarkEnd w:id="4600"/>
      <w:r>
        <w:rPr>
          <w:rFonts w:ascii="Arial" w:eastAsia="Arial" w:hAnsi="Arial" w:cs="Arial"/>
          <w:color w:val="000000"/>
          <w:sz w:val="20"/>
          <w:u w:val="single"/>
        </w:rPr>
        <w:t>Lincoln v. BNSF Ry.</w:t>
      </w:r>
      <w:r>
        <w:rPr>
          <w:rFonts w:ascii="Arial" w:eastAsia="Arial" w:hAnsi="Arial" w:cs="Arial"/>
          <w:color w:val="000000"/>
          <w:sz w:val="20"/>
        </w:rPr>
        <w:t xml:space="preserve">, 900 F.3d 1166, 1204 (10th Cir. 2018)). </w:t>
      </w:r>
      <w:bookmarkStart w:id="4601" w:name="Bookmark_I663D85J28T4800030000400_3"/>
      <w:bookmarkStart w:id="4602" w:name="Bookmark_I663D85K28T4840020000400"/>
      <w:bookmarkEnd w:id="4601"/>
      <w:bookmarkEnd w:id="4602"/>
      <w:r>
        <w:rPr>
          <w:rFonts w:ascii="Arial" w:eastAsia="Arial" w:hAnsi="Arial" w:cs="Arial"/>
          <w:color w:val="000000"/>
          <w:sz w:val="20"/>
        </w:rPr>
        <w:t xml:space="preserve">If the employer satisfies either, the employer is entitled to summary judgment unless the employee presents evidence establishing a genuine dispute about the affirmative defenses or rehabilitates any challenged elements of her prima facie case sufficiently to establish at least a genuine dispute of material fact. </w:t>
      </w:r>
      <w:bookmarkStart w:id="4603" w:name="Bookmark_I663D85J28T4800020000400"/>
      <w:bookmarkEnd w:id="4603"/>
      <w:r>
        <w:rPr>
          <w:rFonts w:ascii="Arial" w:eastAsia="Arial" w:hAnsi="Arial" w:cs="Arial"/>
          <w:color w:val="000000"/>
          <w:sz w:val="20"/>
          <w:u w:val="single"/>
        </w:rPr>
        <w:t>Id.</w:t>
      </w:r>
      <w:r>
        <w:rPr>
          <w:rFonts w:ascii="Arial" w:eastAsia="Arial" w:hAnsi="Arial" w:cs="Arial"/>
          <w:color w:val="000000"/>
          <w:sz w:val="20"/>
        </w:rPr>
        <w:t xml:space="preserve"> at 1005-06 (quoting </w:t>
      </w:r>
      <w:bookmarkStart w:id="4604" w:name="Bookmark_I663D85J28T4800040000400"/>
      <w:bookmarkEnd w:id="4604"/>
      <w:r>
        <w:rPr>
          <w:rFonts w:ascii="Arial" w:eastAsia="Arial" w:hAnsi="Arial" w:cs="Arial"/>
          <w:color w:val="000000"/>
          <w:sz w:val="20"/>
          <w:u w:val="single"/>
        </w:rPr>
        <w:t>Punt v. Kelly Servs.</w:t>
      </w:r>
      <w:r>
        <w:rPr>
          <w:rFonts w:ascii="Arial" w:eastAsia="Arial" w:hAnsi="Arial" w:cs="Arial"/>
          <w:color w:val="000000"/>
          <w:sz w:val="20"/>
        </w:rPr>
        <w:t xml:space="preserve">, 862 F.3d 1040, 1050 (10th Cir. 2017)). </w:t>
      </w:r>
      <w:bookmarkStart w:id="4605" w:name="Bookmark_I663D85K28T4840020000400_2"/>
      <w:bookmarkEnd w:id="4605"/>
      <w:r>
        <w:rPr>
          <w:rFonts w:ascii="Arial" w:eastAsia="Arial" w:hAnsi="Arial" w:cs="Arial"/>
          <w:color w:val="000000"/>
          <w:sz w:val="20"/>
        </w:rPr>
        <w:t xml:space="preserve">We review de novo a district court's grant of summary judgment. </w:t>
      </w:r>
      <w:bookmarkStart w:id="4606" w:name="Bookmark_I663D85K28T4840010000400"/>
      <w:bookmarkEnd w:id="4606"/>
      <w:r>
        <w:rPr>
          <w:rFonts w:ascii="Arial" w:eastAsia="Arial" w:hAnsi="Arial" w:cs="Arial"/>
          <w:color w:val="000000"/>
          <w:sz w:val="20"/>
          <w:u w:val="single"/>
        </w:rPr>
        <w:t>Petersen v. Raymond Corp.</w:t>
      </w:r>
      <w:r>
        <w:rPr>
          <w:rFonts w:ascii="Arial" w:eastAsia="Arial" w:hAnsi="Arial" w:cs="Arial"/>
          <w:color w:val="000000"/>
          <w:sz w:val="20"/>
        </w:rPr>
        <w:t xml:space="preserve">, 994 F.3d 1224, 1226 (10th Cir. 2021) (citing </w:t>
      </w:r>
      <w:bookmarkStart w:id="4607" w:name="Bookmark_I663D85K28T4840030000400"/>
      <w:bookmarkEnd w:id="4607"/>
      <w:r>
        <w:rPr>
          <w:rFonts w:ascii="Arial" w:eastAsia="Arial" w:hAnsi="Arial" w:cs="Arial"/>
          <w:color w:val="000000"/>
          <w:sz w:val="20"/>
          <w:u w:val="single"/>
        </w:rPr>
        <w:t>Allen v. Minnstar, Inc.</w:t>
      </w:r>
      <w:r>
        <w:rPr>
          <w:rFonts w:ascii="Arial" w:eastAsia="Arial" w:hAnsi="Arial" w:cs="Arial"/>
          <w:color w:val="000000"/>
          <w:sz w:val="20"/>
        </w:rPr>
        <w:t>, 8 F.3d 1470, 1476 (10th Cir. 1993)).</w:t>
      </w:r>
    </w:p>
    <w:p w:rsidR="00022B47" w:rsidRDefault="00000000">
      <w:pPr>
        <w:pStyle w:val="Normal24"/>
        <w:widowControl w:val="0"/>
        <w:spacing w:before="200" w:line="260" w:lineRule="atLeast"/>
        <w:jc w:val="both"/>
      </w:pPr>
      <w:bookmarkStart w:id="4608" w:name="Bookmark_para_27_16"/>
      <w:bookmarkStart w:id="4609" w:name="Bookmark_I663D85M28T48F0020000400"/>
      <w:bookmarkStart w:id="4610" w:name="Bookmark_I663D85M2N1PYT0010000400"/>
      <w:bookmarkEnd w:id="4608"/>
      <w:bookmarkEnd w:id="4609"/>
      <w:bookmarkEnd w:id="4610"/>
      <w:r>
        <w:rPr>
          <w:rFonts w:ascii="Arial" w:eastAsia="Arial" w:hAnsi="Arial" w:cs="Arial"/>
          <w:color w:val="000000"/>
          <w:sz w:val="20"/>
        </w:rPr>
        <w:t xml:space="preserve">At issue in this appeal is the third element of the prima facie case: [**13]  whether Plaintiff requested a plausibly reasonable accommodation. </w:t>
      </w:r>
      <w:bookmarkStart w:id="4611" w:name="Bookmark_LNHNREFclscc6_18"/>
      <w:bookmarkEnd w:id="4611"/>
      <w:r>
        <w:rPr>
          <w:rFonts w:ascii="Arial" w:eastAsia="Arial" w:hAnsi="Arial" w:cs="Arial"/>
          <w:color w:val="000000"/>
          <w:sz w:val="20"/>
        </w:rPr>
        <w:t xml:space="preserve">"Reasonable accommodation" means "those accommodations which presently, or in the near future, enable the employee to perform the essential functions of his job." </w:t>
      </w:r>
      <w:bookmarkStart w:id="4612" w:name="Bookmark_I663D85M28T48F0010000400"/>
      <w:bookmarkEnd w:id="4612"/>
      <w:r>
        <w:rPr>
          <w:rFonts w:ascii="Arial" w:eastAsia="Arial" w:hAnsi="Arial" w:cs="Arial"/>
          <w:color w:val="000000"/>
          <w:sz w:val="20"/>
          <w:u w:val="single"/>
        </w:rPr>
        <w:t>Aubrey</w:t>
      </w:r>
      <w:r>
        <w:rPr>
          <w:rFonts w:ascii="Arial" w:eastAsia="Arial" w:hAnsi="Arial" w:cs="Arial"/>
          <w:color w:val="000000"/>
          <w:sz w:val="20"/>
        </w:rPr>
        <w:t xml:space="preserve">, 975 F.3d at 1007 (quoting </w:t>
      </w:r>
      <w:bookmarkStart w:id="4613" w:name="Bookmark_I663D85M28T48F0030000400"/>
      <w:bookmarkEnd w:id="4613"/>
      <w:r>
        <w:rPr>
          <w:rFonts w:ascii="Arial" w:eastAsia="Arial" w:hAnsi="Arial" w:cs="Arial"/>
          <w:color w:val="000000"/>
          <w:sz w:val="20"/>
          <w:u w:val="single"/>
        </w:rPr>
        <w:t>Lincoln</w:t>
      </w:r>
      <w:r>
        <w:rPr>
          <w:rFonts w:ascii="Arial" w:eastAsia="Arial" w:hAnsi="Arial" w:cs="Arial"/>
          <w:color w:val="000000"/>
          <w:sz w:val="20"/>
        </w:rPr>
        <w:t xml:space="preserve">, 900 F.3d at 1205). The reasonableness determination depends "on the facts of each case taking into consideration the particular individual's disability and employment position." </w:t>
      </w:r>
      <w:r>
        <w:rPr>
          <w:rFonts w:ascii="Arial" w:eastAsia="Arial" w:hAnsi="Arial" w:cs="Arial"/>
          <w:color w:val="000000"/>
          <w:sz w:val="20"/>
          <w:u w:val="single"/>
        </w:rPr>
        <w:t>Id.</w:t>
      </w:r>
      <w:r>
        <w:rPr>
          <w:rFonts w:ascii="Arial" w:eastAsia="Arial" w:hAnsi="Arial" w:cs="Arial"/>
          <w:color w:val="000000"/>
          <w:sz w:val="20"/>
        </w:rPr>
        <w:t xml:space="preserve"> (quoting </w:t>
      </w:r>
      <w:bookmarkStart w:id="4614" w:name="Bookmark_I663D85M28T48F0050000400"/>
      <w:bookmarkEnd w:id="4614"/>
      <w:r>
        <w:rPr>
          <w:rFonts w:ascii="Arial" w:eastAsia="Arial" w:hAnsi="Arial" w:cs="Arial"/>
          <w:color w:val="000000"/>
          <w:sz w:val="20"/>
          <w:u w:val="single"/>
        </w:rPr>
        <w:t>Punt</w:t>
      </w:r>
      <w:r>
        <w:rPr>
          <w:rFonts w:ascii="Arial" w:eastAsia="Arial" w:hAnsi="Arial" w:cs="Arial"/>
          <w:color w:val="000000"/>
          <w:sz w:val="20"/>
        </w:rPr>
        <w:t>, 862 F.3d at 1050).</w:t>
      </w:r>
    </w:p>
    <w:p w:rsidR="00022B47" w:rsidRDefault="00000000">
      <w:pPr>
        <w:pStyle w:val="Normal24"/>
        <w:widowControl w:val="0"/>
        <w:spacing w:before="120" w:line="260" w:lineRule="atLeast"/>
      </w:pPr>
      <w:r>
        <w:rPr>
          <w:rFonts w:ascii="Arial" w:eastAsia="Arial" w:hAnsi="Arial" w:cs="Arial"/>
          <w:color w:val="000000"/>
          <w:sz w:val="20"/>
        </w:rPr>
        <w:t>A.</w:t>
      </w:r>
    </w:p>
    <w:p w:rsidR="00022B47" w:rsidRDefault="00000000">
      <w:pPr>
        <w:pStyle w:val="Normal24"/>
        <w:widowControl w:val="0"/>
        <w:spacing w:before="200" w:line="260" w:lineRule="atLeast"/>
        <w:jc w:val="both"/>
      </w:pPr>
      <w:bookmarkStart w:id="4615" w:name="Bookmark_para_28_16"/>
      <w:bookmarkStart w:id="4616" w:name="Bookmark_I663D85M2N1PYT0030000400"/>
      <w:bookmarkStart w:id="4617" w:name="Bookmark_I663D85N28T48M0020000400"/>
      <w:bookmarkStart w:id="4618" w:name="Bookmark_LNHNREFclscc7_17"/>
      <w:bookmarkEnd w:id="4615"/>
      <w:bookmarkEnd w:id="4616"/>
      <w:bookmarkEnd w:id="4617"/>
      <w:bookmarkEnd w:id="4618"/>
      <w:r>
        <w:rPr>
          <w:rFonts w:ascii="Arial" w:eastAsia="Arial" w:hAnsi="Arial" w:cs="Arial"/>
          <w:color w:val="000000"/>
          <w:sz w:val="20"/>
        </w:rPr>
        <w:t xml:space="preserve">We require an employer and employee to engage in what we call "the interactive process" to determine an appropriate position. </w:t>
      </w:r>
      <w:bookmarkStart w:id="4619" w:name="Bookmark_I663D85M2N1PYT0020000400"/>
      <w:bookmarkEnd w:id="4619"/>
      <w:r>
        <w:rPr>
          <w:rFonts w:ascii="Arial" w:eastAsia="Arial" w:hAnsi="Arial" w:cs="Arial"/>
          <w:color w:val="000000"/>
          <w:sz w:val="20"/>
          <w:u w:val="single"/>
        </w:rPr>
        <w:t>Albert v. Smith's Food &amp; Drug Ctrs., Inc.</w:t>
      </w:r>
      <w:r>
        <w:rPr>
          <w:rFonts w:ascii="Arial" w:eastAsia="Arial" w:hAnsi="Arial" w:cs="Arial"/>
          <w:color w:val="000000"/>
          <w:sz w:val="20"/>
        </w:rPr>
        <w:t xml:space="preserve">, 356 F.3d 1242, 1252 (10th Cir. 2004) (citing </w:t>
      </w:r>
      <w:bookmarkStart w:id="4620" w:name="Bookmark_I663D85M2N1PYT0040000400"/>
      <w:bookmarkEnd w:id="4620"/>
      <w:r>
        <w:rPr>
          <w:rFonts w:ascii="Arial" w:eastAsia="Arial" w:hAnsi="Arial" w:cs="Arial"/>
          <w:color w:val="000000"/>
          <w:sz w:val="20"/>
          <w:u w:val="single"/>
        </w:rPr>
        <w:t>Smith v. Midland Brake, Inc.</w:t>
      </w:r>
      <w:r>
        <w:rPr>
          <w:rFonts w:ascii="Arial" w:eastAsia="Arial" w:hAnsi="Arial" w:cs="Arial"/>
          <w:color w:val="000000"/>
          <w:sz w:val="20"/>
        </w:rPr>
        <w:t xml:space="preserve">, 180 F.3d 1154, 1171 (10th Cir. 1999) (en banc)). </w:t>
      </w:r>
      <w:bookmarkStart w:id="4621" w:name="Bookmark_I663D85N28T48M0040000400"/>
      <w:bookmarkEnd w:id="4621"/>
      <w:r>
        <w:rPr>
          <w:rFonts w:ascii="Arial" w:eastAsia="Arial" w:hAnsi="Arial" w:cs="Arial"/>
          <w:color w:val="000000"/>
          <w:sz w:val="20"/>
        </w:rPr>
        <w:t xml:space="preserve">This interactive process contemplates "an affirmative obligation to undertake a good faith back-and-forth process between the employer and the employee, with the goal of identifying the employee's precise limitations and attempting to find a reasonable accommodation for those limitations." </w:t>
      </w:r>
      <w:bookmarkStart w:id="4622" w:name="Bookmark_I663D85N28T48M0010000400"/>
      <w:bookmarkEnd w:id="4622"/>
      <w:r>
        <w:rPr>
          <w:rFonts w:ascii="Arial" w:eastAsia="Arial" w:hAnsi="Arial" w:cs="Arial"/>
          <w:color w:val="000000"/>
          <w:sz w:val="20"/>
          <w:u w:val="single"/>
        </w:rPr>
        <w:t>Aubrey</w:t>
      </w:r>
      <w:r>
        <w:rPr>
          <w:rFonts w:ascii="Arial" w:eastAsia="Arial" w:hAnsi="Arial" w:cs="Arial"/>
          <w:color w:val="000000"/>
          <w:sz w:val="20"/>
        </w:rPr>
        <w:t xml:space="preserve">, 975 F.3d at 1009 (citations omitted). </w:t>
      </w:r>
      <w:bookmarkStart w:id="4623" w:name="Bookmark_I663D85N28T48M0040000400_2"/>
      <w:bookmarkEnd w:id="4623"/>
      <w:r>
        <w:rPr>
          <w:rFonts w:ascii="Arial" w:eastAsia="Arial" w:hAnsi="Arial" w:cs="Arial"/>
          <w:color w:val="000000"/>
          <w:sz w:val="20"/>
        </w:rPr>
        <w:t xml:space="preserve">This process begins with the employee providing notice to the employer of his disability and any resulting limitations. </w:t>
      </w:r>
      <w:bookmarkStart w:id="4624" w:name="Bookmark_I663D85N28T48M0030000400"/>
      <w:bookmarkEnd w:id="4624"/>
      <w:r>
        <w:rPr>
          <w:rFonts w:ascii="Arial" w:eastAsia="Arial" w:hAnsi="Arial" w:cs="Arial"/>
          <w:color w:val="000000"/>
          <w:sz w:val="20"/>
          <w:u w:val="single"/>
        </w:rPr>
        <w:t>Albert</w:t>
      </w:r>
      <w:r>
        <w:rPr>
          <w:rFonts w:ascii="Arial" w:eastAsia="Arial" w:hAnsi="Arial" w:cs="Arial"/>
          <w:color w:val="000000"/>
          <w:sz w:val="20"/>
        </w:rPr>
        <w:t xml:space="preserve">, 356 F.3d at 1252 (citation omitted). </w:t>
      </w:r>
      <w:bookmarkStart w:id="4625" w:name="Bookmark_I663D85N2SF7TP0010000400"/>
      <w:bookmarkEnd w:id="4625"/>
      <w:r>
        <w:rPr>
          <w:rFonts w:ascii="Arial" w:eastAsia="Arial" w:hAnsi="Arial" w:cs="Arial"/>
          <w:color w:val="000000"/>
          <w:sz w:val="20"/>
        </w:rPr>
        <w:t xml:space="preserve">This notice triggers the employer's responsibility to engage in the interactive process where both parties must communicate in good-faith. </w:t>
      </w:r>
      <w:bookmarkStart w:id="4626" w:name="Bookmark_I663D85N2SF7TP0030000400"/>
      <w:bookmarkEnd w:id="4626"/>
      <w:r>
        <w:rPr>
          <w:rFonts w:ascii="Arial" w:eastAsia="Arial" w:hAnsi="Arial" w:cs="Arial"/>
          <w:color w:val="000000"/>
          <w:sz w:val="20"/>
          <w:u w:val="single"/>
        </w:rPr>
        <w:t>Id.</w:t>
      </w:r>
      <w:r>
        <w:rPr>
          <w:rFonts w:ascii="Arial" w:eastAsia="Arial" w:hAnsi="Arial" w:cs="Arial"/>
          <w:color w:val="000000"/>
          <w:sz w:val="20"/>
        </w:rPr>
        <w:t xml:space="preserve"> (citation omitted). This good-faith communication [**14]  "is imperative because each side will possess different information, all of which is critical to determining whether there is a reasonable accommodation that might permit the disabled employee to perform the essential functions of [his] job." </w:t>
      </w:r>
      <w:bookmarkStart w:id="4627" w:name="Bookmark_I663D85N28T48M0050000400"/>
      <w:bookmarkEnd w:id="4627"/>
      <w:r>
        <w:rPr>
          <w:rFonts w:ascii="Arial" w:eastAsia="Arial" w:hAnsi="Arial" w:cs="Arial"/>
          <w:color w:val="000000"/>
          <w:sz w:val="20"/>
          <w:u w:val="single"/>
        </w:rPr>
        <w:t>Aubrey</w:t>
      </w:r>
      <w:r>
        <w:rPr>
          <w:rFonts w:ascii="Arial" w:eastAsia="Arial" w:hAnsi="Arial" w:cs="Arial"/>
          <w:color w:val="000000"/>
          <w:sz w:val="20"/>
        </w:rPr>
        <w:t xml:space="preserve">, 975 F.3d at 1007. </w:t>
      </w:r>
      <w:bookmarkStart w:id="4628" w:name="Bookmark_I663D85N2SF7TP0030000400_2"/>
      <w:bookmarkEnd w:id="4628"/>
      <w:r>
        <w:rPr>
          <w:rFonts w:ascii="Arial" w:eastAsia="Arial" w:hAnsi="Arial" w:cs="Arial"/>
          <w:color w:val="000000"/>
          <w:sz w:val="20"/>
        </w:rPr>
        <w:t xml:space="preserve">A workable accommodation may not exist, "but the ADA mandates that the employer work with the employee to try to find one." </w:t>
      </w:r>
      <w:bookmarkStart w:id="4629" w:name="Bookmark_I663D85N2SF7TP0020000400"/>
      <w:bookmarkEnd w:id="4629"/>
      <w:r>
        <w:rPr>
          <w:rFonts w:ascii="Arial" w:eastAsia="Arial" w:hAnsi="Arial" w:cs="Arial"/>
          <w:color w:val="000000"/>
          <w:sz w:val="20"/>
          <w:u w:val="single"/>
        </w:rPr>
        <w:t>Id.</w:t>
      </w:r>
      <w:r>
        <w:rPr>
          <w:rFonts w:ascii="Arial" w:eastAsia="Arial" w:hAnsi="Arial" w:cs="Arial"/>
          <w:color w:val="000000"/>
          <w:sz w:val="20"/>
        </w:rPr>
        <w:t xml:space="preserve"> at 1009 (citation omitted). Plaintiff triggered Defendant's responsibility to engage in the interactive process when he informed both his direct supervisor and Defendant's director of disability management that he wanted an accommodation for his disability.</w:t>
      </w:r>
    </w:p>
    <w:p w:rsidR="00022B47" w:rsidRDefault="00000000">
      <w:pPr>
        <w:pStyle w:val="Normal24"/>
        <w:widowControl w:val="0"/>
        <w:spacing w:before="200" w:line="260" w:lineRule="atLeast"/>
        <w:jc w:val="both"/>
      </w:pPr>
      <w:bookmarkStart w:id="4630" w:name="Bookmark_para_29_15"/>
      <w:bookmarkEnd w:id="4630"/>
      <w:r>
        <w:rPr>
          <w:rFonts w:ascii="Arial" w:eastAsia="Arial" w:hAnsi="Arial" w:cs="Arial"/>
          <w:color w:val="000000"/>
          <w:sz w:val="20"/>
        </w:rPr>
        <w:t>Based on the record evidence, a reasonable jury could find that Defendant failed to engage in the interactive process when assessing whether a reasonable accommodation existed that would have enabled Plaintiff to perform the essential functions of his job. A jury could conclude that Defendant made no effort to discover exactly what Plaintiff's limitations were or to explore with Plaintiff whether any accommodations were available to him. Plaintiff admits he did not immediately come up with an accommodation that Defendant  [*1194]  was willing to implement. But Plaintiff says that communications [**15]  broke down when Defendant refused to clarify its definition of "full time" employment. Plaintiff produced email correspondence in which he asked for guidance to help formulate an appropriate request. The email shows that Plaintiff struggled to locate a written policy for transportation employees explaining full-time employment. Plaintiff also says Defendant obstructed the process by telling him that it approved his accommodation. Plaintiff testified that when he told his direct supervisor that Defendant approved his accommodation, his supervisor shrugged and walked away. When Plaintiff tried to discuss his medical issues with his supervisor by email, his supervisor responded he only wanted to know what days Plaintiff was unavailable for work, and not the details about his medical treatments.</w:t>
      </w:r>
    </w:p>
    <w:p w:rsidR="00022B47" w:rsidRDefault="00000000">
      <w:pPr>
        <w:pStyle w:val="Normal24"/>
        <w:widowControl w:val="0"/>
        <w:spacing w:before="200" w:line="260" w:lineRule="atLeast"/>
        <w:jc w:val="both"/>
      </w:pPr>
      <w:bookmarkStart w:id="4631" w:name="Bookmark_para_30_14"/>
      <w:bookmarkStart w:id="4632" w:name="Bookmark_I663D85N2SF7TP0050000400"/>
      <w:bookmarkStart w:id="4633" w:name="Bookmark_LNHNREFclscc8_16"/>
      <w:bookmarkEnd w:id="4631"/>
      <w:bookmarkEnd w:id="4632"/>
      <w:bookmarkEnd w:id="4633"/>
      <w:r>
        <w:rPr>
          <w:rFonts w:ascii="Arial" w:eastAsia="Arial" w:hAnsi="Arial" w:cs="Arial"/>
          <w:color w:val="000000"/>
          <w:sz w:val="20"/>
        </w:rPr>
        <w:t xml:space="preserve">Just as an employee may not terminate the interactive process quickly to create liability, so too an employer may not cut off the interactive process so early that the parties cannot find a position to reasonably accommodate the employee. </w:t>
      </w:r>
      <w:r>
        <w:rPr>
          <w:rFonts w:ascii="Arial" w:eastAsia="Arial" w:hAnsi="Arial" w:cs="Arial"/>
          <w:color w:val="000000"/>
          <w:sz w:val="20"/>
          <w:u w:val="single"/>
        </w:rPr>
        <w:t xml:space="preserve">See </w:t>
      </w:r>
      <w:bookmarkStart w:id="4634" w:name="Bookmark_I663D85N2SF7TP0040000400"/>
      <w:bookmarkEnd w:id="4634"/>
      <w:r>
        <w:rPr>
          <w:rFonts w:ascii="Arial" w:eastAsia="Arial" w:hAnsi="Arial" w:cs="Arial"/>
          <w:color w:val="000000"/>
          <w:sz w:val="20"/>
          <w:u w:val="single"/>
        </w:rPr>
        <w:t>Albert</w:t>
      </w:r>
      <w:r>
        <w:rPr>
          <w:rFonts w:ascii="Arial" w:eastAsia="Arial" w:hAnsi="Arial" w:cs="Arial"/>
          <w:color w:val="000000"/>
          <w:sz w:val="20"/>
        </w:rPr>
        <w:t xml:space="preserve">, 356 F.3d at 1253 (citing </w:t>
      </w:r>
      <w:bookmarkStart w:id="4635" w:name="Bookmark_I663D85N2HM6P40010000400"/>
      <w:bookmarkEnd w:id="4635"/>
      <w:r>
        <w:rPr>
          <w:rFonts w:ascii="Arial" w:eastAsia="Arial" w:hAnsi="Arial" w:cs="Arial"/>
          <w:color w:val="000000"/>
          <w:sz w:val="20"/>
          <w:u w:val="single"/>
        </w:rPr>
        <w:t>Davoll v. Webb</w:t>
      </w:r>
      <w:r>
        <w:rPr>
          <w:rFonts w:ascii="Arial" w:eastAsia="Arial" w:hAnsi="Arial" w:cs="Arial"/>
          <w:color w:val="000000"/>
          <w:sz w:val="20"/>
        </w:rPr>
        <w:t>, 194 F.3d 1116, 1133 (10th Cir. 1999)) ("Neither party may create or destroy liability by causing a breakdown of the interactive process."). Here, a jury could conclude that Defendant [**16]  engaged in the interactive process. But Plaintiff has presented sufficient evidence to create a genuine issue of material fact on whether Defendant fulfilled its responsibilities during the interactive process to work with Plaintiff to identify the type of position that would reasonably accommodate his limitations.</w:t>
      </w:r>
      <w:r>
        <w:rPr>
          <w:rFonts w:ascii="Arial" w:eastAsia="Arial" w:hAnsi="Arial" w:cs="Arial"/>
          <w:vertAlign w:val="superscript"/>
        </w:rPr>
        <w:footnoteReference w:customMarkFollows="1" w:id="109"/>
        <w:t>2</w:t>
      </w:r>
    </w:p>
    <w:p w:rsidR="00022B47" w:rsidRDefault="00000000">
      <w:pPr>
        <w:pStyle w:val="Normal24"/>
        <w:widowControl w:val="0"/>
        <w:spacing w:before="120" w:line="260" w:lineRule="atLeast"/>
      </w:pPr>
      <w:r>
        <w:rPr>
          <w:rFonts w:ascii="Arial" w:eastAsia="Arial" w:hAnsi="Arial" w:cs="Arial"/>
          <w:color w:val="000000"/>
          <w:sz w:val="20"/>
        </w:rPr>
        <w:t>B.</w:t>
      </w:r>
    </w:p>
    <w:p w:rsidR="00022B47" w:rsidRDefault="00000000">
      <w:pPr>
        <w:pStyle w:val="Normal24"/>
        <w:widowControl w:val="0"/>
        <w:spacing w:before="200" w:line="260" w:lineRule="atLeast"/>
        <w:jc w:val="both"/>
      </w:pPr>
      <w:bookmarkStart w:id="4642" w:name="Bookmark_para_31_14"/>
      <w:bookmarkStart w:id="4643" w:name="Bookmark_I663D85N2D6MSB0030000400"/>
      <w:bookmarkEnd w:id="4642"/>
      <w:bookmarkEnd w:id="4643"/>
      <w:r>
        <w:rPr>
          <w:rFonts w:ascii="Arial" w:eastAsia="Arial" w:hAnsi="Arial" w:cs="Arial"/>
          <w:color w:val="000000"/>
          <w:sz w:val="20"/>
        </w:rPr>
        <w:t xml:space="preserve">We now turn to whether a reasonable accommodation existed that would have enabled Plaintiff to perform the essential functions of his job. This presents a mixed question of law and fact. </w:t>
      </w:r>
      <w:bookmarkStart w:id="4644" w:name="Bookmark_I663D85N2D6MSB0020000400"/>
      <w:bookmarkEnd w:id="4644"/>
      <w:r>
        <w:rPr>
          <w:rFonts w:ascii="Arial" w:eastAsia="Arial" w:hAnsi="Arial" w:cs="Arial"/>
          <w:color w:val="000000"/>
          <w:sz w:val="20"/>
          <w:u w:val="single"/>
        </w:rPr>
        <w:t>Aubrey</w:t>
      </w:r>
      <w:r>
        <w:rPr>
          <w:rFonts w:ascii="Arial" w:eastAsia="Arial" w:hAnsi="Arial" w:cs="Arial"/>
          <w:color w:val="000000"/>
          <w:sz w:val="20"/>
        </w:rPr>
        <w:t xml:space="preserve">, 975 F.3d at 1010 (citation omitted). </w:t>
      </w:r>
      <w:bookmarkStart w:id="4645" w:name="Bookmark_LNHNREFclscc10_15"/>
      <w:bookmarkEnd w:id="4645"/>
      <w:r>
        <w:rPr>
          <w:rFonts w:ascii="Arial" w:eastAsia="Arial" w:hAnsi="Arial" w:cs="Arial"/>
          <w:color w:val="000000"/>
          <w:sz w:val="20"/>
        </w:rPr>
        <w:t xml:space="preserve">We prescribe a burden-shifting formula to determine whether an accommodation is reasonable. </w:t>
      </w:r>
      <w:r>
        <w:rPr>
          <w:rFonts w:ascii="Arial" w:eastAsia="Arial" w:hAnsi="Arial" w:cs="Arial"/>
          <w:color w:val="000000"/>
          <w:sz w:val="20"/>
          <w:u w:val="single"/>
        </w:rPr>
        <w:t>Id.</w:t>
      </w:r>
      <w:r>
        <w:rPr>
          <w:rFonts w:ascii="Arial" w:eastAsia="Arial" w:hAnsi="Arial" w:cs="Arial"/>
          <w:color w:val="000000"/>
          <w:sz w:val="20"/>
        </w:rPr>
        <w:t xml:space="preserve"> (citation omitted). First, the employee must show that an accommodation appears reasonable on its face. </w:t>
      </w:r>
      <w:r>
        <w:rPr>
          <w:rFonts w:ascii="Arial" w:eastAsia="Arial" w:hAnsi="Arial" w:cs="Arial"/>
          <w:color w:val="000000"/>
          <w:sz w:val="20"/>
          <w:u w:val="single"/>
        </w:rPr>
        <w:t>Id.</w:t>
      </w:r>
      <w:r>
        <w:rPr>
          <w:rFonts w:ascii="Arial" w:eastAsia="Arial" w:hAnsi="Arial" w:cs="Arial"/>
          <w:color w:val="000000"/>
          <w:sz w:val="20"/>
        </w:rPr>
        <w:t xml:space="preserve"> (quotation omitted). An accommodation is not reasonable on its face if the proposed accommodation would not enable the employee to perform the essential function at issue. </w:t>
      </w:r>
      <w:r>
        <w:rPr>
          <w:rFonts w:ascii="Arial" w:eastAsia="Arial" w:hAnsi="Arial" w:cs="Arial"/>
          <w:color w:val="000000"/>
          <w:sz w:val="20"/>
          <w:u w:val="single"/>
        </w:rPr>
        <w:t>Id.</w:t>
      </w:r>
      <w:r>
        <w:rPr>
          <w:rFonts w:ascii="Arial" w:eastAsia="Arial" w:hAnsi="Arial" w:cs="Arial"/>
          <w:color w:val="000000"/>
          <w:sz w:val="20"/>
        </w:rPr>
        <w:t xml:space="preserve"> (quotation omitted). Second, if the employee meets this initial burden, "the burden of production then shifts to the employer to present evidence of its inability to accommodate." </w:t>
      </w:r>
      <w:r>
        <w:rPr>
          <w:rFonts w:ascii="Arial" w:eastAsia="Arial" w:hAnsi="Arial" w:cs="Arial"/>
          <w:color w:val="000000"/>
          <w:sz w:val="20"/>
          <w:u w:val="single"/>
        </w:rPr>
        <w:t>Id.</w:t>
      </w:r>
      <w:r>
        <w:rPr>
          <w:rFonts w:ascii="Arial" w:eastAsia="Arial" w:hAnsi="Arial" w:cs="Arial"/>
          <w:color w:val="000000"/>
          <w:sz w:val="20"/>
        </w:rPr>
        <w:t xml:space="preserve"> (quotation omitted). At that point, the employer must show special circumstances that prove undue hardship [**17]  in the particular situation. </w:t>
      </w:r>
      <w:r>
        <w:rPr>
          <w:rFonts w:ascii="Arial" w:eastAsia="Arial" w:hAnsi="Arial" w:cs="Arial"/>
          <w:color w:val="000000"/>
          <w:sz w:val="20"/>
          <w:u w:val="single"/>
        </w:rPr>
        <w:t>Id.</w:t>
      </w:r>
      <w:r>
        <w:rPr>
          <w:rFonts w:ascii="Arial" w:eastAsia="Arial" w:hAnsi="Arial" w:cs="Arial"/>
          <w:color w:val="000000"/>
          <w:sz w:val="20"/>
        </w:rPr>
        <w:t xml:space="preserve"> (quotation omitted). Third, if the employer presents such evidence, then the burden shifts back to the employee who must "com[e] forward with evidence concerning [his] individual capabilities and suggestions for possible accommodations to rebut the employer's evidence." </w:t>
      </w:r>
      <w:r>
        <w:rPr>
          <w:rFonts w:ascii="Arial" w:eastAsia="Arial" w:hAnsi="Arial" w:cs="Arial"/>
          <w:color w:val="000000"/>
          <w:sz w:val="20"/>
          <w:u w:val="single"/>
        </w:rPr>
        <w:t>Id.</w:t>
      </w:r>
      <w:r>
        <w:rPr>
          <w:rFonts w:ascii="Arial" w:eastAsia="Arial" w:hAnsi="Arial" w:cs="Arial"/>
          <w:color w:val="000000"/>
          <w:sz w:val="20"/>
        </w:rPr>
        <w:t xml:space="preserve"> (quotation omitted). Plaintiff presents three plausibly reasonable accommodations to satisfy his burden  [*1195]  to establish a prima facie failure-to-accommodate claim: allowing him more time off from work; allowing him to use his earned paid leave days to cover his absences until he qualified for FMLA leave; and reassigning him to an available regular-schedule position.</w:t>
      </w:r>
    </w:p>
    <w:p w:rsidR="00022B47" w:rsidRDefault="00000000">
      <w:pPr>
        <w:pStyle w:val="Normal24"/>
        <w:widowControl w:val="0"/>
        <w:spacing w:before="200" w:line="260" w:lineRule="atLeast"/>
        <w:jc w:val="both"/>
      </w:pPr>
      <w:bookmarkStart w:id="4646" w:name="Bookmark_para_32_14"/>
      <w:bookmarkStart w:id="4647" w:name="Bookmark_I663D85N2D6MSB0050000400"/>
      <w:bookmarkEnd w:id="4646"/>
      <w:bookmarkEnd w:id="4647"/>
      <w:r>
        <w:rPr>
          <w:rFonts w:ascii="Arial" w:eastAsia="Arial" w:hAnsi="Arial" w:cs="Arial"/>
          <w:color w:val="000000"/>
          <w:sz w:val="20"/>
        </w:rPr>
        <w:t xml:space="preserve">Plaintiff first requested more time off from work. </w:t>
      </w:r>
      <w:bookmarkStart w:id="4648" w:name="Bookmark_LNHNREFclscc11_12"/>
      <w:bookmarkEnd w:id="4648"/>
      <w:r>
        <w:rPr>
          <w:rFonts w:ascii="Arial" w:eastAsia="Arial" w:hAnsi="Arial" w:cs="Arial"/>
          <w:color w:val="000000"/>
          <w:sz w:val="20"/>
        </w:rPr>
        <w:t xml:space="preserve">A leave request may lead to a reasonable accommodation. </w:t>
      </w:r>
      <w:r>
        <w:rPr>
          <w:rFonts w:ascii="Arial" w:eastAsia="Arial" w:hAnsi="Arial" w:cs="Arial"/>
          <w:color w:val="000000"/>
          <w:sz w:val="20"/>
          <w:u w:val="single"/>
        </w:rPr>
        <w:t>Id.</w:t>
      </w:r>
      <w:r>
        <w:rPr>
          <w:rFonts w:ascii="Arial" w:eastAsia="Arial" w:hAnsi="Arial" w:cs="Arial"/>
          <w:color w:val="000000"/>
          <w:sz w:val="20"/>
        </w:rPr>
        <w:t xml:space="preserve"> (citations omitted). But an employer does not have to retain a disabled employee on unpaid leave indefinitely or for excessive time. </w:t>
      </w:r>
      <w:bookmarkStart w:id="4649" w:name="Bookmark_I663D85N2D6MSB0040000400"/>
      <w:bookmarkEnd w:id="4649"/>
      <w:r>
        <w:rPr>
          <w:rFonts w:ascii="Arial" w:eastAsia="Arial" w:hAnsi="Arial" w:cs="Arial"/>
          <w:color w:val="000000"/>
          <w:sz w:val="20"/>
          <w:u w:val="single"/>
        </w:rPr>
        <w:t>Id.</w:t>
      </w:r>
      <w:r>
        <w:rPr>
          <w:rFonts w:ascii="Arial" w:eastAsia="Arial" w:hAnsi="Arial" w:cs="Arial"/>
          <w:color w:val="000000"/>
          <w:sz w:val="20"/>
        </w:rPr>
        <w:t xml:space="preserve"> at 1011 (citations omitted). Based on the language Plaintiff submitted in his two Form E requests—the form Defendant designated for employee accommodation requests—the district court considered Plaintiff to be requesting an indefinite amount of time off from work, both in amount of days per [**18]  month and in duration of the request. But we believe a jury could find that Plaintiff was not asking for an indefinite amount of time off from work.</w:t>
      </w:r>
    </w:p>
    <w:p w:rsidR="00022B47" w:rsidRDefault="00000000">
      <w:pPr>
        <w:pStyle w:val="Normal24"/>
        <w:widowControl w:val="0"/>
        <w:spacing w:before="200" w:line="260" w:lineRule="atLeast"/>
        <w:jc w:val="both"/>
      </w:pPr>
      <w:bookmarkStart w:id="4650" w:name="Bookmark_para_33_13"/>
      <w:bookmarkEnd w:id="4650"/>
      <w:r>
        <w:rPr>
          <w:rFonts w:ascii="Arial" w:eastAsia="Arial" w:hAnsi="Arial" w:cs="Arial"/>
          <w:color w:val="000000"/>
          <w:sz w:val="20"/>
        </w:rPr>
        <w:t>Defendant returned Plaintiff's first Form E request because it did not provide the specific amount of time he needed off. Plaintiff then submitted a second form, where he requested Defendant allow him to take time to rest and recover after treatment, illness, or to attend appointments. In that second form, Plaintiff estimated he would incur, on average, five days of incapacity days per month. But the form also suggested that the time needed per month could change without notice. Defendant asserts Plaintiff's second Form E request left Plaintiff's potential layoff time limited only by his own discretion. Defendant also argues Plaintiff did not specify the duration for the accommodation. Plaintiff, on the other hand, presented evidence of a voicemail that he contends proves he told Defendant that he needed the accommodation only until he became eligible for FMLA.</w:t>
      </w:r>
      <w:r>
        <w:rPr>
          <w:rFonts w:ascii="Arial" w:eastAsia="Arial" w:hAnsi="Arial" w:cs="Arial"/>
          <w:vertAlign w:val="superscript"/>
        </w:rPr>
        <w:footnoteReference w:customMarkFollows="1" w:id="110"/>
        <w:t>3</w:t>
      </w:r>
      <w:r>
        <w:rPr>
          <w:rFonts w:ascii="Arial" w:eastAsia="Arial" w:hAnsi="Arial" w:cs="Arial"/>
          <w:color w:val="000000"/>
          <w:sz w:val="20"/>
        </w:rPr>
        <w:t xml:space="preserve"> And another email in the record among Defendant's employees says that Plaintiff's "doctor supplied information to HMS that he needs </w:t>
      </w:r>
      <w:r>
        <w:rPr>
          <w:rFonts w:ascii="Arial" w:eastAsia="Arial" w:hAnsi="Arial" w:cs="Arial"/>
          <w:i/>
          <w:color w:val="000000"/>
          <w:sz w:val="20"/>
        </w:rPr>
        <w:t>up to five days per month</w:t>
      </w:r>
      <w:r>
        <w:rPr>
          <w:rFonts w:ascii="Arial" w:eastAsia="Arial" w:hAnsi="Arial" w:cs="Arial"/>
          <w:color w:val="000000"/>
          <w:sz w:val="20"/>
        </w:rPr>
        <w:t xml:space="preserve"> of unforeseen leave." [**19]  Appellant's App., Vol. III at 877 (emphasis added).</w:t>
      </w:r>
      <w:r>
        <w:rPr>
          <w:rFonts w:ascii="Arial" w:eastAsia="Arial" w:hAnsi="Arial" w:cs="Arial"/>
          <w:vertAlign w:val="superscript"/>
        </w:rPr>
        <w:footnoteReference w:customMarkFollows="1" w:id="111"/>
        <w:t>4</w:t>
      </w:r>
    </w:p>
    <w:p w:rsidR="00022B47" w:rsidRDefault="00000000">
      <w:pPr>
        <w:pStyle w:val="Normal24"/>
        <w:widowControl w:val="0"/>
        <w:spacing w:before="200" w:line="260" w:lineRule="atLeast"/>
        <w:jc w:val="both"/>
      </w:pPr>
      <w:bookmarkStart w:id="4656" w:name="Bookmark_para_34_13"/>
      <w:bookmarkEnd w:id="4656"/>
      <w:r>
        <w:rPr>
          <w:rFonts w:ascii="Arial" w:eastAsia="Arial" w:hAnsi="Arial" w:cs="Arial"/>
          <w:color w:val="000000"/>
          <w:sz w:val="20"/>
        </w:rPr>
        <w:t>Plaintiff presented evidence that he requested up to five days off per month for a specific period of time—until he could obtain FMLA leave—and that evidence at least created a genuine issue of material fact about the open-endedness of his request.</w:t>
      </w:r>
      <w:r>
        <w:rPr>
          <w:rFonts w:ascii="Arial" w:eastAsia="Arial" w:hAnsi="Arial" w:cs="Arial"/>
          <w:vertAlign w:val="superscript"/>
        </w:rPr>
        <w:footnoteReference w:customMarkFollows="1" w:id="112"/>
        <w:t>5</w:t>
      </w:r>
      <w:r>
        <w:rPr>
          <w:rFonts w:ascii="Arial" w:eastAsia="Arial" w:hAnsi="Arial" w:cs="Arial"/>
          <w:color w:val="000000"/>
          <w:sz w:val="20"/>
        </w:rPr>
        <w:t xml:space="preserve"> From this evidence, a jury could  [*1196]  find that Plaintiff requested a plausibly reasonable accommodation that would have permitted him to return, in the near future, to performing the essential functions of his job and that the accommodation did not present an undue hardship to Defendant. That evidence is sufficient for Plaintiff's failure-to-accommodate claim to survive summary judgment and let a jury decide these issues.</w:t>
      </w:r>
      <w:r>
        <w:rPr>
          <w:rFonts w:ascii="Arial" w:eastAsia="Arial" w:hAnsi="Arial" w:cs="Arial"/>
          <w:vertAlign w:val="superscript"/>
        </w:rPr>
        <w:footnoteReference w:customMarkFollows="1" w:id="113"/>
        <w:t>6</w:t>
      </w:r>
    </w:p>
    <w:p w:rsidR="00022B47" w:rsidRDefault="00000000">
      <w:pPr>
        <w:pStyle w:val="Normal24"/>
        <w:widowControl w:val="0"/>
        <w:spacing w:before="200" w:line="260" w:lineRule="atLeast"/>
        <w:jc w:val="both"/>
      </w:pPr>
      <w:bookmarkStart w:id="4669" w:name="Bookmark_para_35_13"/>
      <w:bookmarkStart w:id="4670" w:name="Bookmark_I663D85N2N1R030050000400"/>
      <w:bookmarkEnd w:id="4669"/>
      <w:bookmarkEnd w:id="4670"/>
      <w:r>
        <w:rPr>
          <w:rFonts w:ascii="Arial" w:eastAsia="Arial" w:hAnsi="Arial" w:cs="Arial"/>
          <w:color w:val="000000"/>
          <w:sz w:val="20"/>
        </w:rPr>
        <w:t xml:space="preserve">Plaintiff also asserts Defendant could have accommodated him by allowing him to use his earned paid-leave days to cover his absences until he qualified for FMLA leave. </w:t>
      </w:r>
      <w:bookmarkStart w:id="4671" w:name="Bookmark_LNHNREFclscc15_7"/>
      <w:bookmarkEnd w:id="4671"/>
      <w:r>
        <w:rPr>
          <w:rFonts w:ascii="Arial" w:eastAsia="Arial" w:hAnsi="Arial" w:cs="Arial"/>
          <w:color w:val="000000"/>
          <w:sz w:val="20"/>
        </w:rPr>
        <w:t xml:space="preserve">"For purposes of the ADA, 'reasonable accommodations' may comprise . . . 'permitting the use of accrued paid leave or providing additional unpaid leave for necessary treatment . . . .'" </w:t>
      </w:r>
      <w:bookmarkStart w:id="4672" w:name="Bookmark_I663D85N2N1R030040000400"/>
      <w:bookmarkEnd w:id="4672"/>
      <w:r>
        <w:rPr>
          <w:rFonts w:ascii="Arial" w:eastAsia="Arial" w:hAnsi="Arial" w:cs="Arial"/>
          <w:color w:val="000000"/>
          <w:sz w:val="20"/>
          <w:u w:val="single"/>
        </w:rPr>
        <w:t>Wilson v. Dollar Gen. Corp.</w:t>
      </w:r>
      <w:r>
        <w:rPr>
          <w:rFonts w:ascii="Arial" w:eastAsia="Arial" w:hAnsi="Arial" w:cs="Arial"/>
          <w:color w:val="000000"/>
          <w:sz w:val="20"/>
        </w:rPr>
        <w:t>, 717 F.3d 337, 344-45 (4th Cir. 2013) (quoting 29 C.F.R. Pt. 1630, App. § 1630.2(o) (2011)). So a jury could find that Plaintiff's accrued leave request was a plausibly reasonable accommodation that would [**20]  have enabled Plaintiff to perform the essential functions of his job and could reject Defendant's assertion that it could not provide that accommodation.</w:t>
      </w:r>
    </w:p>
    <w:p w:rsidR="00022B47" w:rsidRDefault="00000000">
      <w:pPr>
        <w:pStyle w:val="Normal24"/>
        <w:widowControl w:val="0"/>
        <w:spacing w:before="200" w:line="260" w:lineRule="atLeast"/>
        <w:jc w:val="both"/>
      </w:pPr>
      <w:bookmarkStart w:id="4673" w:name="Bookmark_para_36_13"/>
      <w:bookmarkStart w:id="4674" w:name="Bookmark_I663D85P2HM6P90020000400"/>
      <w:bookmarkEnd w:id="4673"/>
      <w:bookmarkEnd w:id="4674"/>
      <w:r>
        <w:rPr>
          <w:rFonts w:ascii="Arial" w:eastAsia="Arial" w:hAnsi="Arial" w:cs="Arial"/>
          <w:color w:val="000000"/>
          <w:sz w:val="20"/>
        </w:rPr>
        <w:t xml:space="preserve">Plaintiff finally suggests that had Defendant engaged in the interactive process that Defendant could have reassigned him to an available regular-schedule position. </w:t>
      </w:r>
      <w:bookmarkStart w:id="4675" w:name="Bookmark_LNHNREFclscc16_5"/>
      <w:bookmarkEnd w:id="4675"/>
      <w:r>
        <w:rPr>
          <w:rFonts w:ascii="Arial" w:eastAsia="Arial" w:hAnsi="Arial" w:cs="Arial"/>
          <w:color w:val="000000"/>
          <w:sz w:val="20"/>
        </w:rPr>
        <w:t xml:space="preserve">"The ADA itself expressly recognizes reassignment can be a reasonable accommodation." </w:t>
      </w:r>
      <w:bookmarkStart w:id="4676" w:name="Bookmark_I663D85P2HM6P90010000400"/>
      <w:bookmarkEnd w:id="4676"/>
      <w:r>
        <w:rPr>
          <w:rFonts w:ascii="Arial" w:eastAsia="Arial" w:hAnsi="Arial" w:cs="Arial"/>
          <w:color w:val="000000"/>
          <w:sz w:val="20"/>
          <w:u w:val="single"/>
        </w:rPr>
        <w:t>Aubrey</w:t>
      </w:r>
      <w:r>
        <w:rPr>
          <w:rFonts w:ascii="Arial" w:eastAsia="Arial" w:hAnsi="Arial" w:cs="Arial"/>
          <w:color w:val="000000"/>
          <w:sz w:val="20"/>
        </w:rPr>
        <w:t xml:space="preserve">, 975 F.3d at 1012 (citing 42 U.S.C. § 12111(9)(B); </w:t>
      </w:r>
      <w:bookmarkStart w:id="4677" w:name="Bookmark_I663D85P2HM6P90030000400"/>
      <w:bookmarkEnd w:id="4677"/>
      <w:r>
        <w:rPr>
          <w:rFonts w:ascii="Arial" w:eastAsia="Arial" w:hAnsi="Arial" w:cs="Arial"/>
          <w:color w:val="000000"/>
          <w:sz w:val="20"/>
          <w:u w:val="single"/>
        </w:rPr>
        <w:t>Lincoln</w:t>
      </w:r>
      <w:r>
        <w:rPr>
          <w:rFonts w:ascii="Arial" w:eastAsia="Arial" w:hAnsi="Arial" w:cs="Arial"/>
          <w:color w:val="000000"/>
          <w:sz w:val="20"/>
        </w:rPr>
        <w:t xml:space="preserve">, 900 F.3d at 1204-05). If an employee cannot return to a previous job, reassignment to a vacant position "can be a reasonable accommodation and is particularly amenable to consideration during a genuine interactive process between the employee and employer." </w:t>
      </w:r>
      <w:r>
        <w:rPr>
          <w:rFonts w:ascii="Arial" w:eastAsia="Arial" w:hAnsi="Arial" w:cs="Arial"/>
          <w:color w:val="000000"/>
          <w:sz w:val="20"/>
          <w:u w:val="single"/>
        </w:rPr>
        <w:t>Id.</w:t>
      </w:r>
      <w:r>
        <w:rPr>
          <w:rFonts w:ascii="Arial" w:eastAsia="Arial" w:hAnsi="Arial" w:cs="Arial"/>
          <w:color w:val="000000"/>
          <w:sz w:val="20"/>
        </w:rPr>
        <w:t xml:space="preserve"> (citations omitted). In fact, Plaintiff eventually transferred to a regular-schedule position. This is sufficient to meet his prima facie burden.</w:t>
      </w:r>
      <w:r>
        <w:rPr>
          <w:rFonts w:ascii="Arial" w:eastAsia="Arial" w:hAnsi="Arial" w:cs="Arial"/>
          <w:vertAlign w:val="superscript"/>
        </w:rPr>
        <w:footnoteReference w:customMarkFollows="1" w:id="114"/>
        <w:t>7</w:t>
      </w:r>
      <w:r>
        <w:rPr>
          <w:rFonts w:ascii="Arial" w:eastAsia="Arial" w:hAnsi="Arial" w:cs="Arial"/>
          <w:color w:val="000000"/>
          <w:sz w:val="20"/>
        </w:rPr>
        <w:t xml:space="preserve"> Thus, Plaintiff has  [*1197]  sufficiently established three plausibly reasonable accommodations that a jury could find would have permitted him to return to performing the essential functions of his job.</w:t>
      </w:r>
    </w:p>
    <w:p w:rsidR="00022B47" w:rsidRDefault="00000000">
      <w:pPr>
        <w:pStyle w:val="Normal24"/>
        <w:widowControl w:val="0"/>
        <w:spacing w:before="200" w:line="260" w:lineRule="atLeast"/>
        <w:jc w:val="both"/>
      </w:pPr>
      <w:bookmarkStart w:id="4679" w:name="Bookmark_para_37_11"/>
      <w:bookmarkEnd w:id="4679"/>
      <w:r>
        <w:rPr>
          <w:rFonts w:ascii="Arial" w:eastAsia="Arial" w:hAnsi="Arial" w:cs="Arial"/>
          <w:color w:val="000000"/>
          <w:sz w:val="20"/>
        </w:rPr>
        <w:t>That shifts the burden to Defendant to present evidence either conclusively rebutting one or more elements of Plaintiff's prima facie case or establishing an affirmative defense. Defendant counters that [**21]  the evidence shows that Plaintiff's request was not reasonable because Plaintiff did not limit his request to a specific duration. Rather, Plaintiff requested that Defendant allow him to miss work on an as-needed basis for an indefinite time. And Defendant presented evidence that Plaintiff's job required his physical presence at essentially all times. That, however, presents a fact question for a jury.</w:t>
      </w:r>
    </w:p>
    <w:p w:rsidR="00022B47" w:rsidRDefault="00000000">
      <w:pPr>
        <w:pStyle w:val="Normal24"/>
        <w:widowControl w:val="0"/>
        <w:spacing w:before="200" w:line="260" w:lineRule="atLeast"/>
        <w:jc w:val="both"/>
      </w:pPr>
      <w:bookmarkStart w:id="4680" w:name="Bookmark_para_38_11"/>
      <w:bookmarkStart w:id="4681" w:name="Bookmark_I663D85P2D6MSD0010000400"/>
      <w:bookmarkEnd w:id="4680"/>
      <w:bookmarkEnd w:id="4681"/>
      <w:r>
        <w:rPr>
          <w:rFonts w:ascii="Arial" w:eastAsia="Arial" w:hAnsi="Arial" w:cs="Arial"/>
          <w:color w:val="000000"/>
          <w:sz w:val="20"/>
        </w:rPr>
        <w:t xml:space="preserve">Plaintiff then has the burden to come forward with evidence about his individual capabilities and suggestions for possible accommodations to rebut the employer's evidence. </w:t>
      </w:r>
      <w:bookmarkStart w:id="4682" w:name="Bookmark_LNHNREFclscc17_5"/>
      <w:bookmarkEnd w:id="4682"/>
      <w:r>
        <w:rPr>
          <w:rFonts w:ascii="Arial" w:eastAsia="Arial" w:hAnsi="Arial" w:cs="Arial"/>
          <w:color w:val="000000"/>
          <w:sz w:val="20"/>
        </w:rPr>
        <w:t xml:space="preserve">First, as mentioned above, when an employer does not engage in the interactive process, that employer will unlikely be able to establish the absence of a disputed fact as to the existence of a reasonable accommodation. </w:t>
      </w:r>
      <w:bookmarkStart w:id="4683" w:name="Bookmark_I663D85P2HM6P90050000400"/>
      <w:bookmarkEnd w:id="4683"/>
      <w:r>
        <w:rPr>
          <w:rFonts w:ascii="Arial" w:eastAsia="Arial" w:hAnsi="Arial" w:cs="Arial"/>
          <w:color w:val="000000"/>
          <w:sz w:val="20"/>
          <w:u w:val="single"/>
        </w:rPr>
        <w:t>Id.</w:t>
      </w:r>
      <w:r>
        <w:rPr>
          <w:rFonts w:ascii="Arial" w:eastAsia="Arial" w:hAnsi="Arial" w:cs="Arial"/>
          <w:color w:val="000000"/>
          <w:sz w:val="20"/>
        </w:rPr>
        <w:t xml:space="preserve"> at 1010 (citation omitted). Because a jury could conclude Defendant did not fulfill its responsibilities during the interactive process to work with Plaintiff to identify the type of position that would reasonably accommodate his limitations, a fact question remains whether a reasonable accommodation would have been possible had Defendant engaged in the interactive process. Second, Plaintiff provided evidence [**22]  sufficient for a jury to conclude Defendant knew that his request for more time off was for a specific duration (until he could obtain FMLA leave) and for a specific amount of time (up to five days off per month). Plaintiff also provided evidence that Defendant accommodated him on a similar arrangement when he had access to FMLA leave and that Defendant could accommodate him in a regular-schedule position.</w:t>
      </w:r>
    </w:p>
    <w:p w:rsidR="00022B47" w:rsidRDefault="00000000">
      <w:pPr>
        <w:pStyle w:val="Normal24"/>
        <w:widowControl w:val="0"/>
        <w:spacing w:before="200" w:line="260" w:lineRule="atLeast"/>
        <w:jc w:val="both"/>
      </w:pPr>
      <w:bookmarkStart w:id="4684" w:name="Bookmark_para_39_9"/>
      <w:bookmarkEnd w:id="4684"/>
      <w:r>
        <w:rPr>
          <w:rFonts w:ascii="Arial" w:eastAsia="Arial" w:hAnsi="Arial" w:cs="Arial"/>
          <w:color w:val="000000"/>
          <w:sz w:val="20"/>
        </w:rPr>
        <w:t>In sum, Plaintiff presented sufficient evidence to establish a prima facie failure-to-accommodate claim. Plaintiff is disabled, but otherwise qualified. A jury could conclude his requests for up to five days per month to lay off until he qualified for FMLA, use of paid leave, or reassignment to a scheduled position were plausibly reasonable accommodations. And Defendant refused to accommodate Plaintiff's disability. That shifted the burden to Defendant. Defendant presented evidence to rebut Plaintiff's prima facie case, asserting that the evidence showed Plaintiff requested that Defendant allow him to miss work on an as-needed basis for an indefinite time. Plaintiff's evidence can establish at least a genuine dispute of material fact to enable his failure-to-accommodate claim to survive [**23]  summary judgment. The district court therefore erred in granting Defendant summary judgment on this claim.</w:t>
      </w:r>
    </w:p>
    <w:p w:rsidR="00022B47" w:rsidRDefault="00000000">
      <w:pPr>
        <w:pStyle w:val="Normal24"/>
        <w:widowControl w:val="0"/>
        <w:spacing w:before="120" w:line="260" w:lineRule="atLeast"/>
      </w:pPr>
      <w:r>
        <w:rPr>
          <w:rFonts w:ascii="Arial" w:eastAsia="Arial" w:hAnsi="Arial" w:cs="Arial"/>
          <w:color w:val="000000"/>
          <w:sz w:val="20"/>
        </w:rPr>
        <w:t>III.</w:t>
      </w:r>
    </w:p>
    <w:p w:rsidR="00022B47" w:rsidRDefault="00000000">
      <w:pPr>
        <w:pStyle w:val="Normal24"/>
        <w:widowControl w:val="0"/>
        <w:spacing w:before="200" w:line="260" w:lineRule="atLeast"/>
        <w:jc w:val="both"/>
      </w:pPr>
      <w:bookmarkStart w:id="4685" w:name="Bookmark_para_40_9"/>
      <w:bookmarkStart w:id="4686" w:name="Bookmark_I663D85P2D6MSD0030000400"/>
      <w:bookmarkStart w:id="4687" w:name="Bookmark_I663D85P2SF7V10020000400"/>
      <w:bookmarkEnd w:id="4685"/>
      <w:bookmarkEnd w:id="4686"/>
      <w:bookmarkEnd w:id="4687"/>
      <w:r>
        <w:rPr>
          <w:rFonts w:ascii="Arial" w:eastAsia="Arial" w:hAnsi="Arial" w:cs="Arial"/>
          <w:color w:val="000000"/>
          <w:sz w:val="20"/>
        </w:rPr>
        <w:t xml:space="preserve">Plaintiff next contends that the district court abused its discretion by refusing to give supplemental jury instructions, and then, for the same reason, abused its discretion by denying Plaintiff's motion for a new trial. </w:t>
      </w:r>
      <w:bookmarkStart w:id="4688" w:name="Bookmark_I663D85P2SF7V10040000400"/>
      <w:bookmarkStart w:id="4689" w:name="Bookmark_LNHNREFclscc18_3"/>
      <w:bookmarkEnd w:id="4688"/>
      <w:bookmarkEnd w:id="4689"/>
      <w:r>
        <w:rPr>
          <w:rFonts w:ascii="Arial" w:eastAsia="Arial" w:hAnsi="Arial" w:cs="Arial"/>
          <w:color w:val="000000"/>
          <w:sz w:val="20"/>
        </w:rPr>
        <w:t xml:space="preserve">"We review the jury instructions de novo to determine whether, as a whole, the instructions correctly state the governing law and provide the jury with an ample understanding of the issues and applicable standards." </w:t>
      </w:r>
      <w:bookmarkStart w:id="4690" w:name="Bookmark_I663D85P2D6MSD0020000400"/>
      <w:bookmarkEnd w:id="4690"/>
      <w:r>
        <w:rPr>
          <w:rFonts w:ascii="Arial" w:eastAsia="Arial" w:hAnsi="Arial" w:cs="Arial"/>
          <w:color w:val="000000"/>
          <w:sz w:val="20"/>
          <w:u w:val="single"/>
        </w:rPr>
        <w:t>United States v. Alcorn</w:t>
      </w:r>
      <w:r>
        <w:rPr>
          <w:rFonts w:ascii="Arial" w:eastAsia="Arial" w:hAnsi="Arial" w:cs="Arial"/>
          <w:color w:val="000000"/>
          <w:sz w:val="20"/>
        </w:rPr>
        <w:t xml:space="preserve">, 329 F.3d 759, 764 (10th Cir. 2003) (quoting </w:t>
      </w:r>
      <w:bookmarkStart w:id="4691" w:name="Bookmark_I663D85P2D6MSD0040000400"/>
      <w:bookmarkEnd w:id="4691"/>
      <w:r>
        <w:rPr>
          <w:rFonts w:ascii="Arial" w:eastAsia="Arial" w:hAnsi="Arial" w:cs="Arial"/>
          <w:color w:val="000000"/>
          <w:sz w:val="20"/>
          <w:u w:val="single"/>
        </w:rPr>
        <w:t>United States v. Fredette</w:t>
      </w:r>
      <w:r>
        <w:rPr>
          <w:rFonts w:ascii="Arial" w:eastAsia="Arial" w:hAnsi="Arial" w:cs="Arial"/>
          <w:color w:val="000000"/>
          <w:sz w:val="20"/>
        </w:rPr>
        <w:t xml:space="preserve">, 315 F.3d 1235, 1240 (10th Cir. 2003)). </w:t>
      </w:r>
      <w:bookmarkStart w:id="4692" w:name="Bookmark_I663D85P28T48W0030000400"/>
      <w:bookmarkEnd w:id="4692"/>
      <w:r>
        <w:rPr>
          <w:rFonts w:ascii="Arial" w:eastAsia="Arial" w:hAnsi="Arial" w:cs="Arial"/>
          <w:color w:val="000000"/>
          <w:sz w:val="20"/>
        </w:rPr>
        <w:t xml:space="preserve">And  [*1198]  "while we review de novo the jury instructions as a whole, 'the district court's decision to give a particular jury instruction is reviewed for abuse of discretion.'" </w:t>
      </w:r>
      <w:r>
        <w:rPr>
          <w:rFonts w:ascii="Arial" w:eastAsia="Arial" w:hAnsi="Arial" w:cs="Arial"/>
          <w:color w:val="000000"/>
          <w:sz w:val="20"/>
          <w:u w:val="single"/>
        </w:rPr>
        <w:t>Id.</w:t>
      </w:r>
      <w:r>
        <w:rPr>
          <w:rFonts w:ascii="Arial" w:eastAsia="Arial" w:hAnsi="Arial" w:cs="Arial"/>
          <w:color w:val="000000"/>
          <w:sz w:val="20"/>
        </w:rPr>
        <w:t xml:space="preserve"> (quoting </w:t>
      </w:r>
      <w:bookmarkStart w:id="4693" w:name="Bookmark_I663D85P2SF7V10010000400"/>
      <w:bookmarkEnd w:id="4693"/>
      <w:r>
        <w:rPr>
          <w:rFonts w:ascii="Arial" w:eastAsia="Arial" w:hAnsi="Arial" w:cs="Arial"/>
          <w:color w:val="000000"/>
          <w:sz w:val="20"/>
          <w:u w:val="single"/>
        </w:rPr>
        <w:t>Fredette</w:t>
      </w:r>
      <w:r>
        <w:rPr>
          <w:rFonts w:ascii="Arial" w:eastAsia="Arial" w:hAnsi="Arial" w:cs="Arial"/>
          <w:color w:val="000000"/>
          <w:sz w:val="20"/>
        </w:rPr>
        <w:t xml:space="preserve">, 315 F.3d at 1241). </w:t>
      </w:r>
      <w:bookmarkStart w:id="4694" w:name="Bookmark_I663D85P28T48W0030000400_2"/>
      <w:bookmarkStart w:id="4695" w:name="Bookmark_I663D85P2SF7V10040000400_2"/>
      <w:bookmarkEnd w:id="4694"/>
      <w:bookmarkEnd w:id="4695"/>
      <w:r>
        <w:rPr>
          <w:rFonts w:ascii="Arial" w:eastAsia="Arial" w:hAnsi="Arial" w:cs="Arial"/>
          <w:color w:val="000000"/>
          <w:sz w:val="20"/>
        </w:rPr>
        <w:t xml:space="preserve">"This court [also] reviews a district court's actions in response to questions from the jury, as well as supplemental instructions given to the jury, for an abuse of discretion." </w:t>
      </w:r>
      <w:bookmarkStart w:id="4696" w:name="Bookmark_I663D85P2SF7V10030000400"/>
      <w:bookmarkEnd w:id="4696"/>
      <w:r>
        <w:rPr>
          <w:rFonts w:ascii="Arial" w:eastAsia="Arial" w:hAnsi="Arial" w:cs="Arial"/>
          <w:color w:val="000000"/>
          <w:sz w:val="20"/>
          <w:u w:val="single"/>
        </w:rPr>
        <w:t>United States v. Olea-Monarez</w:t>
      </w:r>
      <w:r>
        <w:rPr>
          <w:rFonts w:ascii="Arial" w:eastAsia="Arial" w:hAnsi="Arial" w:cs="Arial"/>
          <w:color w:val="000000"/>
          <w:sz w:val="20"/>
        </w:rPr>
        <w:t xml:space="preserve">, 908 F.3d 636, 639 (10th Cir. 2018) (citing </w:t>
      </w:r>
      <w:bookmarkStart w:id="4697" w:name="Bookmark_I663D85P2SF7V10050000400"/>
      <w:bookmarkEnd w:id="4697"/>
      <w:r>
        <w:rPr>
          <w:rFonts w:ascii="Arial" w:eastAsia="Arial" w:hAnsi="Arial" w:cs="Arial"/>
          <w:color w:val="000000"/>
          <w:sz w:val="20"/>
          <w:u w:val="single"/>
        </w:rPr>
        <w:t>Minnstar, Inc.</w:t>
      </w:r>
      <w:r>
        <w:rPr>
          <w:rFonts w:ascii="Arial" w:eastAsia="Arial" w:hAnsi="Arial" w:cs="Arial"/>
          <w:color w:val="000000"/>
          <w:sz w:val="20"/>
        </w:rPr>
        <w:t xml:space="preserve">, 97 F.3d at 1372). </w:t>
      </w:r>
      <w:bookmarkStart w:id="4698" w:name="Bookmark_I663D85P28T48W0050000400"/>
      <w:bookmarkEnd w:id="4698"/>
      <w:r>
        <w:rPr>
          <w:rFonts w:ascii="Arial" w:eastAsia="Arial" w:hAnsi="Arial" w:cs="Arial"/>
          <w:color w:val="000000"/>
          <w:sz w:val="20"/>
        </w:rPr>
        <w:t xml:space="preserve">"A district court abuses its discretion when its decision is 'arbitrary, capricious or whimsical' or falls outside 'the bounds of permissible choice in the circumstances.'" </w:t>
      </w:r>
      <w:r>
        <w:rPr>
          <w:rFonts w:ascii="Arial" w:eastAsia="Arial" w:hAnsi="Arial" w:cs="Arial"/>
          <w:color w:val="000000"/>
          <w:sz w:val="20"/>
          <w:u w:val="single"/>
        </w:rPr>
        <w:t>Id.</w:t>
      </w:r>
      <w:r>
        <w:rPr>
          <w:rFonts w:ascii="Arial" w:eastAsia="Arial" w:hAnsi="Arial" w:cs="Arial"/>
          <w:color w:val="000000"/>
          <w:sz w:val="20"/>
        </w:rPr>
        <w:t xml:space="preserve"> (quoting </w:t>
      </w:r>
      <w:bookmarkStart w:id="4699" w:name="Bookmark_I663D85P28T48W0020000400"/>
      <w:bookmarkEnd w:id="4699"/>
      <w:r>
        <w:rPr>
          <w:rFonts w:ascii="Arial" w:eastAsia="Arial" w:hAnsi="Arial" w:cs="Arial"/>
          <w:color w:val="000000"/>
          <w:sz w:val="20"/>
          <w:u w:val="single"/>
        </w:rPr>
        <w:t>United States v. Mares</w:t>
      </w:r>
      <w:r>
        <w:rPr>
          <w:rFonts w:ascii="Arial" w:eastAsia="Arial" w:hAnsi="Arial" w:cs="Arial"/>
          <w:color w:val="000000"/>
          <w:sz w:val="20"/>
        </w:rPr>
        <w:t xml:space="preserve">, 441 F.3d 1152, 1156 (10th Cir. 2006)). </w:t>
      </w:r>
      <w:bookmarkStart w:id="4700" w:name="Bookmark_I663D85P28T48W0050000400_2"/>
      <w:bookmarkEnd w:id="4700"/>
      <w:r>
        <w:rPr>
          <w:rFonts w:ascii="Arial" w:eastAsia="Arial" w:hAnsi="Arial" w:cs="Arial"/>
          <w:color w:val="000000"/>
          <w:sz w:val="20"/>
        </w:rPr>
        <w:t xml:space="preserve">We also review the district court's denial of a motion for a new trial for [**24]  abuse of discretion. </w:t>
      </w:r>
      <w:bookmarkStart w:id="4701" w:name="Bookmark_I663D85P28T48W0040000400"/>
      <w:bookmarkEnd w:id="4701"/>
      <w:r>
        <w:rPr>
          <w:rFonts w:ascii="Arial" w:eastAsia="Arial" w:hAnsi="Arial" w:cs="Arial"/>
          <w:color w:val="000000"/>
          <w:sz w:val="20"/>
          <w:u w:val="single"/>
        </w:rPr>
        <w:t>Henning v. Union Pac. R.R. Co.</w:t>
      </w:r>
      <w:r>
        <w:rPr>
          <w:rFonts w:ascii="Arial" w:eastAsia="Arial" w:hAnsi="Arial" w:cs="Arial"/>
          <w:color w:val="000000"/>
          <w:sz w:val="20"/>
        </w:rPr>
        <w:t xml:space="preserve">, 530 F.3d 1206, 1216 (10th Cir. 2008) (citing </w:t>
      </w:r>
      <w:bookmarkStart w:id="4702" w:name="Bookmark_I663D85R2D6MSP0010000400"/>
      <w:bookmarkEnd w:id="4702"/>
      <w:r>
        <w:rPr>
          <w:rFonts w:ascii="Arial" w:eastAsia="Arial" w:hAnsi="Arial" w:cs="Arial"/>
          <w:color w:val="000000"/>
          <w:sz w:val="20"/>
          <w:u w:val="single"/>
        </w:rPr>
        <w:t>United States v. Gwathney</w:t>
      </w:r>
      <w:r>
        <w:rPr>
          <w:rFonts w:ascii="Arial" w:eastAsia="Arial" w:hAnsi="Arial" w:cs="Arial"/>
          <w:color w:val="000000"/>
          <w:sz w:val="20"/>
        </w:rPr>
        <w:t xml:space="preserve">, 465 F.3d 1133, 1144 (10th Cir. 2006)). The district court cannot grant a motion for a new trial "unless the error was prejudicial and affects the party's substantial rights." </w:t>
      </w:r>
      <w:r>
        <w:rPr>
          <w:rFonts w:ascii="Arial" w:eastAsia="Arial" w:hAnsi="Arial" w:cs="Arial"/>
          <w:color w:val="000000"/>
          <w:sz w:val="20"/>
          <w:u w:val="single"/>
        </w:rPr>
        <w:t>Id.</w:t>
      </w:r>
      <w:r>
        <w:rPr>
          <w:rFonts w:ascii="Arial" w:eastAsia="Arial" w:hAnsi="Arial" w:cs="Arial"/>
          <w:color w:val="000000"/>
          <w:sz w:val="20"/>
        </w:rPr>
        <w:t xml:space="preserve"> (citing Fed. R. Civ. P. 61).</w:t>
      </w:r>
    </w:p>
    <w:p w:rsidR="00022B47" w:rsidRDefault="00000000">
      <w:pPr>
        <w:pStyle w:val="Normal24"/>
        <w:widowControl w:val="0"/>
        <w:spacing w:before="200" w:line="260" w:lineRule="atLeast"/>
        <w:jc w:val="both"/>
      </w:pPr>
      <w:bookmarkStart w:id="4703" w:name="Bookmark_para_41_9"/>
      <w:bookmarkStart w:id="4704" w:name="Bookmark_I663D85R2D6MSP0040000400"/>
      <w:bookmarkStart w:id="4705" w:name="Bookmark_I663D85S2HM6PM0030000400"/>
      <w:bookmarkStart w:id="4706" w:name="Bookmark_I663D85S2HM6PM0050000400"/>
      <w:bookmarkStart w:id="4707" w:name="Bookmark_LNHNREFclscc19_2"/>
      <w:bookmarkEnd w:id="4703"/>
      <w:bookmarkEnd w:id="4704"/>
      <w:bookmarkEnd w:id="4705"/>
      <w:bookmarkEnd w:id="4706"/>
      <w:bookmarkEnd w:id="4707"/>
      <w:r>
        <w:rPr>
          <w:rFonts w:ascii="Arial" w:eastAsia="Arial" w:hAnsi="Arial" w:cs="Arial"/>
          <w:color w:val="000000"/>
          <w:sz w:val="20"/>
        </w:rPr>
        <w:t xml:space="preserve">We review whether the district court gave an erroneous instruction "on a case-by-case basis with a view towards determining whether the instruction had a coercive effect on the jury." </w:t>
      </w:r>
      <w:bookmarkStart w:id="4708" w:name="Bookmark_I663D85R2D6MSP0030000400"/>
      <w:bookmarkEnd w:id="4708"/>
      <w:r>
        <w:rPr>
          <w:rFonts w:ascii="Arial" w:eastAsia="Arial" w:hAnsi="Arial" w:cs="Arial"/>
          <w:color w:val="000000"/>
          <w:sz w:val="20"/>
          <w:u w:val="single"/>
        </w:rPr>
        <w:t>Alcorn</w:t>
      </w:r>
      <w:r>
        <w:rPr>
          <w:rFonts w:ascii="Arial" w:eastAsia="Arial" w:hAnsi="Arial" w:cs="Arial"/>
          <w:color w:val="000000"/>
          <w:sz w:val="20"/>
        </w:rPr>
        <w:t xml:space="preserve">, 329 F.3d at 765 (quoting </w:t>
      </w:r>
      <w:bookmarkStart w:id="4709" w:name="Bookmark_I663D85R2D6MSP0050000400"/>
      <w:bookmarkEnd w:id="4709"/>
      <w:r>
        <w:rPr>
          <w:rFonts w:ascii="Arial" w:eastAsia="Arial" w:hAnsi="Arial" w:cs="Arial"/>
          <w:color w:val="000000"/>
          <w:sz w:val="20"/>
          <w:u w:val="single"/>
        </w:rPr>
        <w:t>United States v. Rodriguez-Mejia</w:t>
      </w:r>
      <w:r>
        <w:rPr>
          <w:rFonts w:ascii="Arial" w:eastAsia="Arial" w:hAnsi="Arial" w:cs="Arial"/>
          <w:color w:val="000000"/>
          <w:sz w:val="20"/>
        </w:rPr>
        <w:t xml:space="preserve">, 20 F.3d 1090, 1091 (10th Cir. 1994)). "Some of the factors we consider in making this determination include: (1) the language of the instruction, (2) whether the instruction is presented with other instructions, (3) the timing of the instruction, and (4) the length of the jury's subsequent deliberations." </w:t>
      </w:r>
      <w:r>
        <w:rPr>
          <w:rFonts w:ascii="Arial" w:eastAsia="Arial" w:hAnsi="Arial" w:cs="Arial"/>
          <w:color w:val="000000"/>
          <w:sz w:val="20"/>
          <w:u w:val="single"/>
        </w:rPr>
        <w:t>Id.</w:t>
      </w:r>
      <w:r>
        <w:rPr>
          <w:rFonts w:ascii="Arial" w:eastAsia="Arial" w:hAnsi="Arial" w:cs="Arial"/>
          <w:color w:val="000000"/>
          <w:sz w:val="20"/>
        </w:rPr>
        <w:t xml:space="preserve"> (quoting </w:t>
      </w:r>
      <w:bookmarkStart w:id="4710" w:name="Bookmark_I663D85S2HM6PM0020000400"/>
      <w:bookmarkEnd w:id="4710"/>
      <w:r>
        <w:rPr>
          <w:rFonts w:ascii="Arial" w:eastAsia="Arial" w:hAnsi="Arial" w:cs="Arial"/>
          <w:color w:val="000000"/>
          <w:sz w:val="20"/>
          <w:u w:val="single"/>
        </w:rPr>
        <w:t>Gilbert v. Mullin</w:t>
      </w:r>
      <w:r>
        <w:rPr>
          <w:rFonts w:ascii="Arial" w:eastAsia="Arial" w:hAnsi="Arial" w:cs="Arial"/>
          <w:color w:val="000000"/>
          <w:sz w:val="20"/>
        </w:rPr>
        <w:t xml:space="preserve">, 302 F.3d 1166, 1173 (10th Cir. 2002)). "This court considers the instructions as a whole in determining whether the jury was provided with sufficient understanding of the applicable standards." </w:t>
      </w:r>
      <w:bookmarkStart w:id="4711" w:name="Bookmark_I663D85S2HM6PM0040000400"/>
      <w:bookmarkEnd w:id="4711"/>
      <w:r>
        <w:rPr>
          <w:rFonts w:ascii="Arial" w:eastAsia="Arial" w:hAnsi="Arial" w:cs="Arial"/>
          <w:color w:val="000000"/>
          <w:sz w:val="20"/>
          <w:u w:val="single"/>
        </w:rPr>
        <w:t>United States v. Frias</w:t>
      </w:r>
      <w:r>
        <w:rPr>
          <w:rFonts w:ascii="Arial" w:eastAsia="Arial" w:hAnsi="Arial" w:cs="Arial"/>
          <w:color w:val="000000"/>
          <w:sz w:val="20"/>
        </w:rPr>
        <w:t xml:space="preserve">, 893 F.3d 1268, 1275 (10th Cir. 2018) (citing </w:t>
      </w:r>
      <w:bookmarkStart w:id="4712" w:name="Bookmark_I663D85S2HM6PS0010000400"/>
      <w:bookmarkEnd w:id="4712"/>
      <w:r>
        <w:rPr>
          <w:rFonts w:ascii="Arial" w:eastAsia="Arial" w:hAnsi="Arial" w:cs="Arial"/>
          <w:color w:val="000000"/>
          <w:sz w:val="20"/>
          <w:u w:val="single"/>
        </w:rPr>
        <w:t>United States v. Zimmerman</w:t>
      </w:r>
      <w:r>
        <w:rPr>
          <w:rFonts w:ascii="Arial" w:eastAsia="Arial" w:hAnsi="Arial" w:cs="Arial"/>
          <w:color w:val="000000"/>
          <w:sz w:val="20"/>
        </w:rPr>
        <w:t>, 943 F.2d 1204, 1213 (10th Cir. 1991)).</w:t>
      </w:r>
    </w:p>
    <w:p w:rsidR="00022B47" w:rsidRDefault="00000000">
      <w:pPr>
        <w:pStyle w:val="Normal24"/>
        <w:widowControl w:val="0"/>
        <w:spacing w:before="200" w:line="260" w:lineRule="atLeast"/>
        <w:jc w:val="both"/>
      </w:pPr>
      <w:bookmarkStart w:id="4713" w:name="Bookmark_para_42_8"/>
      <w:bookmarkStart w:id="4714" w:name="Bookmark_I663D85S2HM6PS0040000400"/>
      <w:bookmarkStart w:id="4715" w:name="Bookmark_I663D85S2D6MSX0050000400"/>
      <w:bookmarkStart w:id="4716" w:name="Bookmark_LNHNREFclscc20_2"/>
      <w:bookmarkEnd w:id="4713"/>
      <w:bookmarkEnd w:id="4714"/>
      <w:bookmarkEnd w:id="4715"/>
      <w:bookmarkEnd w:id="4716"/>
      <w:r>
        <w:rPr>
          <w:rFonts w:ascii="Arial" w:eastAsia="Arial" w:hAnsi="Arial" w:cs="Arial"/>
          <w:color w:val="000000"/>
          <w:sz w:val="20"/>
        </w:rPr>
        <w:t xml:space="preserve">"When a jury makes explicit its difficulties a trial judge should clear them away with concrete accuracy." </w:t>
      </w:r>
      <w:bookmarkStart w:id="4717" w:name="Bookmark_I663D85S2HM6PS0030000400"/>
      <w:bookmarkEnd w:id="4717"/>
      <w:r>
        <w:rPr>
          <w:rFonts w:ascii="Arial" w:eastAsia="Arial" w:hAnsi="Arial" w:cs="Arial"/>
          <w:color w:val="000000"/>
          <w:sz w:val="20"/>
          <w:u w:val="single"/>
        </w:rPr>
        <w:t>Olea-Monarez</w:t>
      </w:r>
      <w:r>
        <w:rPr>
          <w:rFonts w:ascii="Arial" w:eastAsia="Arial" w:hAnsi="Arial" w:cs="Arial"/>
          <w:color w:val="000000"/>
          <w:sz w:val="20"/>
        </w:rPr>
        <w:t xml:space="preserve">, 908 F.3d at 639 (quoting </w:t>
      </w:r>
      <w:bookmarkStart w:id="4718" w:name="Bookmark_I663D85S2HM6PS0050000400"/>
      <w:bookmarkEnd w:id="4718"/>
      <w:r>
        <w:rPr>
          <w:rFonts w:ascii="Arial" w:eastAsia="Arial" w:hAnsi="Arial" w:cs="Arial"/>
          <w:color w:val="000000"/>
          <w:sz w:val="20"/>
          <w:u w:val="single"/>
        </w:rPr>
        <w:t>Bollenbach v. United States</w:t>
      </w:r>
      <w:r>
        <w:rPr>
          <w:rFonts w:ascii="Arial" w:eastAsia="Arial" w:hAnsi="Arial" w:cs="Arial"/>
          <w:color w:val="000000"/>
          <w:sz w:val="20"/>
        </w:rPr>
        <w:t xml:space="preserve">, 326 U.S. 607, 612-13, 66 S. Ct. 402, 90 L. Ed. 350 (1946)) (citing </w:t>
      </w:r>
      <w:bookmarkStart w:id="4719" w:name="Bookmark_I663D85S2D6MSX0020000400"/>
      <w:bookmarkEnd w:id="4719"/>
      <w:r>
        <w:rPr>
          <w:rFonts w:ascii="Arial" w:eastAsia="Arial" w:hAnsi="Arial" w:cs="Arial"/>
          <w:color w:val="000000"/>
          <w:sz w:val="20"/>
          <w:u w:val="single"/>
        </w:rPr>
        <w:t>Zimmerman</w:t>
      </w:r>
      <w:r>
        <w:rPr>
          <w:rFonts w:ascii="Arial" w:eastAsia="Arial" w:hAnsi="Arial" w:cs="Arial"/>
          <w:color w:val="000000"/>
          <w:sz w:val="20"/>
        </w:rPr>
        <w:t xml:space="preserve">, 943 F.2d at 1213). "[A] district judge has a duty to guide the jury toward an intelligent understanding of the legal and factual issues it must resolve, particularly when the jury asks a question revealing its confusion over the central issue of a case." </w:t>
      </w:r>
      <w:r>
        <w:rPr>
          <w:rFonts w:ascii="Arial" w:eastAsia="Arial" w:hAnsi="Arial" w:cs="Arial"/>
          <w:color w:val="000000"/>
          <w:sz w:val="20"/>
          <w:u w:val="single"/>
        </w:rPr>
        <w:t>Id. [**25] </w:t>
      </w:r>
      <w:r>
        <w:rPr>
          <w:rFonts w:ascii="Arial" w:eastAsia="Arial" w:hAnsi="Arial" w:cs="Arial"/>
          <w:color w:val="000000"/>
          <w:sz w:val="20"/>
        </w:rPr>
        <w:t xml:space="preserve"> (quoting </w:t>
      </w:r>
      <w:bookmarkStart w:id="4720" w:name="Bookmark_I663D85S2D6MSX0040000400"/>
      <w:bookmarkEnd w:id="4720"/>
      <w:r>
        <w:rPr>
          <w:rFonts w:ascii="Arial" w:eastAsia="Arial" w:hAnsi="Arial" w:cs="Arial"/>
          <w:color w:val="000000"/>
          <w:sz w:val="20"/>
          <w:u w:val="single"/>
        </w:rPr>
        <w:t>Shultz v. Rice</w:t>
      </w:r>
      <w:r>
        <w:rPr>
          <w:rFonts w:ascii="Arial" w:eastAsia="Arial" w:hAnsi="Arial" w:cs="Arial"/>
          <w:color w:val="000000"/>
          <w:sz w:val="20"/>
        </w:rPr>
        <w:t>, 809 F.2d 643, 650 (10th Cir. 1986)).</w:t>
      </w:r>
    </w:p>
    <w:p w:rsidR="00022B47" w:rsidRDefault="00000000">
      <w:pPr>
        <w:pStyle w:val="Normal24"/>
        <w:widowControl w:val="0"/>
        <w:spacing w:before="200" w:line="260" w:lineRule="atLeast"/>
        <w:jc w:val="both"/>
      </w:pPr>
      <w:bookmarkStart w:id="4721" w:name="Bookmark_para_43_8"/>
      <w:bookmarkEnd w:id="4721"/>
      <w:r>
        <w:rPr>
          <w:rFonts w:ascii="Arial" w:eastAsia="Arial" w:hAnsi="Arial" w:cs="Arial"/>
          <w:color w:val="000000"/>
          <w:sz w:val="20"/>
        </w:rPr>
        <w:t>Plaintiff contends the district court erred by refusing to give supplemental jury instructions and that the failure to do so prejudiced him. Jury Instruction Number 12 instructed the jury on the FMLA generally as follows:</w:t>
      </w:r>
    </w:p>
    <w:p w:rsidR="00022B47" w:rsidRDefault="00000000">
      <w:pPr>
        <w:pStyle w:val="Normal24"/>
        <w:widowControl w:val="0"/>
        <w:spacing w:line="260" w:lineRule="atLeast"/>
        <w:ind w:left="400"/>
        <w:jc w:val="both"/>
      </w:pPr>
      <w:bookmarkStart w:id="4722" w:name="Bookmark_para_44_8"/>
      <w:bookmarkEnd w:id="4722"/>
      <w:r>
        <w:rPr>
          <w:rFonts w:ascii="Arial" w:eastAsia="Arial" w:hAnsi="Arial" w:cs="Arial"/>
          <w:color w:val="000000"/>
          <w:sz w:val="20"/>
        </w:rPr>
        <w:t>The Family and Medical Leave Act provides eligible employees the right to take a total of twelve weeks of unpaid leave per year (1) to care for a newborn son or daughter, (2) to care for a child placed with the employee through adoption or foster care, (3) to care for an immediate family member with a "serious health condition," or (4) to care for the employee's own "serious health condition" that renders the employee unable to perform his or her work functions. After the period of qualified leave expires, the employee generally is entitled to be reinstated to the former position or an equivalent one with the same benefits and terms of employment that existed before the employee took the leave.</w:t>
      </w:r>
    </w:p>
    <w:p w:rsidR="00022B47" w:rsidRDefault="00000000">
      <w:pPr>
        <w:pStyle w:val="Normal24"/>
        <w:widowControl w:val="0"/>
        <w:spacing w:line="260" w:lineRule="atLeast"/>
        <w:ind w:left="400"/>
        <w:jc w:val="both"/>
      </w:pPr>
      <w:bookmarkStart w:id="4723" w:name="Bookmark_para_45_8"/>
      <w:bookmarkEnd w:id="4723"/>
      <w:r>
        <w:rPr>
          <w:rFonts w:ascii="Arial" w:eastAsia="Arial" w:hAnsi="Arial" w:cs="Arial"/>
          <w:color w:val="000000"/>
          <w:sz w:val="20"/>
        </w:rPr>
        <w:t>To insure the availability of these guarantees, the FMLA declares that it is unlawful for any employer to interfere with, restrain, or deny the exercise of or the attempt to exercise, any right provided by the FMLA.</w:t>
      </w:r>
    </w:p>
    <w:p w:rsidR="00022B47" w:rsidRDefault="00000000">
      <w:pPr>
        <w:pStyle w:val="Normal24"/>
        <w:widowControl w:val="0"/>
        <w:spacing w:before="200" w:line="260" w:lineRule="atLeast"/>
        <w:jc w:val="both"/>
      </w:pPr>
      <w:r>
        <w:rPr>
          <w:rFonts w:ascii="Arial" w:eastAsia="Arial" w:hAnsi="Arial" w:cs="Arial"/>
          <w:color w:val="000000"/>
          <w:sz w:val="20"/>
        </w:rPr>
        <w:t> [*1199]  Jury Instruction Number 13 then instructed the jury [**26]  about the essential elements of Plaintiff's FMLA interference claim as follows:</w:t>
      </w:r>
    </w:p>
    <w:p w:rsidR="00022B47" w:rsidRDefault="00000000">
      <w:pPr>
        <w:pStyle w:val="Normal24"/>
        <w:widowControl w:val="0"/>
        <w:spacing w:line="260" w:lineRule="atLeast"/>
        <w:ind w:left="400"/>
        <w:jc w:val="both"/>
      </w:pPr>
      <w:bookmarkStart w:id="4724" w:name="Bookmark_para_46_8"/>
      <w:bookmarkEnd w:id="4724"/>
      <w:r>
        <w:rPr>
          <w:rFonts w:ascii="Arial" w:eastAsia="Arial" w:hAnsi="Arial" w:cs="Arial"/>
          <w:color w:val="000000"/>
          <w:sz w:val="20"/>
        </w:rPr>
        <w:t>Ordinarily, a plaintiff asserting a claim for FMLA interference would bear an initial burden of proof on certain matters. In this case, however, the only question for you to decide is whether Union Pacific proved by a preponderance of the evidence that its termination of Dansie's employment was unrelated to the exercise or attempted exercise of his FMLA rights—in other words, that it would have discharged Dansie regardless of his request for FMLA leave.</w:t>
      </w:r>
    </w:p>
    <w:p w:rsidR="00022B47" w:rsidRDefault="00000000">
      <w:pPr>
        <w:pStyle w:val="Normal24"/>
        <w:widowControl w:val="0"/>
        <w:spacing w:line="260" w:lineRule="atLeast"/>
        <w:ind w:left="400"/>
        <w:jc w:val="both"/>
      </w:pPr>
      <w:bookmarkStart w:id="4725" w:name="Bookmark_para_47_8"/>
      <w:bookmarkEnd w:id="4725"/>
      <w:r>
        <w:rPr>
          <w:rFonts w:ascii="Arial" w:eastAsia="Arial" w:hAnsi="Arial" w:cs="Arial"/>
          <w:color w:val="000000"/>
          <w:sz w:val="20"/>
        </w:rPr>
        <w:t>Your verdict must be for Union Pacific if it proves by a preponderance of the evidence that it would have discharged Dansie regardless of his request for FMLA leave.</w:t>
      </w:r>
    </w:p>
    <w:p w:rsidR="00022B47" w:rsidRDefault="00000000">
      <w:pPr>
        <w:pStyle w:val="Normal24"/>
        <w:widowControl w:val="0"/>
        <w:spacing w:before="200" w:line="260" w:lineRule="atLeast"/>
        <w:jc w:val="both"/>
      </w:pPr>
      <w:bookmarkStart w:id="4726" w:name="Bookmark_para_48_8"/>
      <w:bookmarkEnd w:id="4726"/>
      <w:r>
        <w:rPr>
          <w:rFonts w:ascii="Arial" w:eastAsia="Arial" w:hAnsi="Arial" w:cs="Arial"/>
          <w:color w:val="000000"/>
          <w:sz w:val="20"/>
        </w:rPr>
        <w:t>The jury submitted written questions during deliberations. First, the jury asked, "Is FMLA retroactive, i.e. when Mr. Dansie received FMLA approval . . . for April 5, 2017, did the FMLA cover January 2017 to April 2017? How back [sic] does it reach and doe [sic] it excuse back date absences?" The district court responded that it could "only say that you have been provided the law applicable to the issues you must decide. I direct your attention to the Instructions as a whole." The jury also asked, [**27]  "As to the instruction on pag [sic] 12, paragraph two, does the Law 'deny the exercise of or the attempt to exercise' apply to persons who have FMLA only, or also people trying to obtain FMLA? This is crucial for us to understand whom this applies to, as you know." Plaintiff requested the district court instruct the jury that protected activity includes the attempt to work enough hours to qualify for FMLA coverage. But the district court declined to provide the jury with supplemental instructions and once again directed the jury's attention to the Instructions as a whole.</w:t>
      </w:r>
    </w:p>
    <w:p w:rsidR="00022B47" w:rsidRDefault="00000000">
      <w:pPr>
        <w:pStyle w:val="Normal24"/>
        <w:widowControl w:val="0"/>
        <w:spacing w:before="200" w:line="260" w:lineRule="atLeast"/>
        <w:jc w:val="both"/>
      </w:pPr>
      <w:bookmarkStart w:id="4727" w:name="Bookmark_para_49_8"/>
      <w:bookmarkEnd w:id="4727"/>
      <w:r>
        <w:rPr>
          <w:rFonts w:ascii="Arial" w:eastAsia="Arial" w:hAnsi="Arial" w:cs="Arial"/>
          <w:color w:val="000000"/>
          <w:sz w:val="20"/>
        </w:rPr>
        <w:t xml:space="preserve">The district court did not abuse its discretion in declining to give the supplemental instructions. The instructions set forth the law the jury was to apply to determine whether Defendant had shown by a preponderance of the evidence that it would have discharged Plaintiff regardless of his request for FMLA leave. </w:t>
      </w:r>
      <w:bookmarkStart w:id="4728" w:name="Bookmark_I663D85T28T49B0020000400"/>
      <w:bookmarkStart w:id="4729" w:name="Bookmark_I663D85T28T49C0010000400"/>
      <w:bookmarkEnd w:id="4728"/>
      <w:bookmarkEnd w:id="4729"/>
      <w:r>
        <w:rPr>
          <w:rFonts w:ascii="Arial" w:eastAsia="Arial" w:hAnsi="Arial" w:cs="Arial"/>
          <w:color w:val="000000"/>
          <w:sz w:val="20"/>
        </w:rPr>
        <w:t>The jury determined that it would have. And Plaintiff's entitlement to FMLA leave—the focus of the jury's question—was not at issue. The instructions as a whole and the verdict form made clear that the jury need not have to answer whether Plaintiff was entitled to FMLA leave. Thus, the answer to that question [**28]  was not central to the case.</w:t>
      </w:r>
      <w:r>
        <w:rPr>
          <w:rFonts w:ascii="Arial" w:eastAsia="Arial" w:hAnsi="Arial" w:cs="Arial"/>
          <w:vertAlign w:val="superscript"/>
        </w:rPr>
        <w:footnoteReference w:customMarkFollows="1" w:id="115"/>
        <w:t>8</w:t>
      </w:r>
      <w:r>
        <w:rPr>
          <w:rFonts w:ascii="Arial" w:eastAsia="Arial" w:hAnsi="Arial" w:cs="Arial"/>
          <w:color w:val="000000"/>
          <w:sz w:val="20"/>
        </w:rPr>
        <w:t xml:space="preserve"> Because the district court referred the jury back to the instructions as a whole, which accurately depicted the law at issue, the district court did not abuse its discretion in refusing to supplement the jury instructions and consequently denying Plaintiff's motion for a new trial.</w:t>
      </w:r>
      <w:r>
        <w:rPr>
          <w:rFonts w:ascii="Arial" w:eastAsia="Arial" w:hAnsi="Arial" w:cs="Arial"/>
          <w:vertAlign w:val="superscript"/>
        </w:rPr>
        <w:footnoteReference w:customMarkFollows="1" w:id="116"/>
        <w:t>9</w:t>
      </w:r>
      <w:r>
        <w:rPr>
          <w:rFonts w:ascii="Arial" w:eastAsia="Arial" w:hAnsi="Arial" w:cs="Arial"/>
          <w:color w:val="000000"/>
          <w:sz w:val="20"/>
        </w:rPr>
        <w:t xml:space="preserve"> </w:t>
      </w:r>
      <w:bookmarkStart w:id="4736" w:name="Bookmark_I663D85T28T49B0010000400"/>
      <w:bookmarkEnd w:id="4736"/>
      <w:r>
        <w:rPr>
          <w:rFonts w:ascii="Arial" w:eastAsia="Arial" w:hAnsi="Arial" w:cs="Arial"/>
          <w:color w:val="000000"/>
          <w:sz w:val="20"/>
          <w:u w:val="single"/>
        </w:rPr>
        <w:t>Alcorn</w:t>
      </w:r>
      <w:r>
        <w:rPr>
          <w:rFonts w:ascii="Arial" w:eastAsia="Arial" w:hAnsi="Arial" w:cs="Arial"/>
          <w:color w:val="000000"/>
          <w:sz w:val="20"/>
        </w:rPr>
        <w:t>,  [*1200]  329 F.3d at 766 ("Given the adequacy of the instructions, the district court did not err in referring the jury to them . . . .").</w:t>
      </w:r>
    </w:p>
    <w:p w:rsidR="00022B47" w:rsidRDefault="00000000">
      <w:pPr>
        <w:pStyle w:val="Normal24"/>
        <w:widowControl w:val="0"/>
        <w:spacing w:before="120" w:line="260" w:lineRule="atLeast"/>
      </w:pPr>
      <w:r>
        <w:rPr>
          <w:rFonts w:ascii="Arial" w:eastAsia="Arial" w:hAnsi="Arial" w:cs="Arial"/>
          <w:color w:val="000000"/>
          <w:sz w:val="20"/>
        </w:rPr>
        <w:t>IV.</w:t>
      </w:r>
    </w:p>
    <w:p w:rsidR="00022B47" w:rsidRDefault="00000000">
      <w:pPr>
        <w:pStyle w:val="Normal24"/>
        <w:widowControl w:val="0"/>
        <w:spacing w:before="200" w:line="260" w:lineRule="atLeast"/>
        <w:jc w:val="both"/>
      </w:pPr>
      <w:bookmarkStart w:id="4737" w:name="Bookmark_para_50_8"/>
      <w:bookmarkEnd w:id="4737"/>
      <w:r>
        <w:rPr>
          <w:rFonts w:ascii="Arial" w:eastAsia="Arial" w:hAnsi="Arial" w:cs="Arial"/>
          <w:color w:val="000000"/>
          <w:sz w:val="20"/>
        </w:rPr>
        <w:t>We REVERSE the district court's decision to grant Defendant summary judgment on Plaintiff's ADA failure-to-accommodate claim and REMAND to the district court for further proceedings. We AFFIRM the district court's decision to decline to give supplemental jury instructions and to deny Plaintiff's motion for a new trial.</w:t>
      </w:r>
    </w:p>
    <w:p w:rsidR="00022B47" w:rsidRDefault="00000000">
      <w:pPr>
        <w:pStyle w:val="Normal24"/>
        <w:widowControl w:val="0"/>
        <w:spacing w:before="240" w:line="260" w:lineRule="atLeast"/>
      </w:pPr>
      <w:bookmarkStart w:id="4738" w:name="Concur_by_0"/>
      <w:bookmarkEnd w:id="4738"/>
      <w:r>
        <w:rPr>
          <w:rFonts w:ascii="Arial" w:eastAsia="Arial" w:hAnsi="Arial" w:cs="Arial"/>
          <w:b/>
          <w:color w:val="000000"/>
          <w:sz w:val="20"/>
        </w:rPr>
        <w:t>Concur by:</w:t>
      </w:r>
      <w:r>
        <w:rPr>
          <w:rFonts w:ascii="Arial" w:eastAsia="Arial" w:hAnsi="Arial" w:cs="Arial"/>
          <w:color w:val="000000"/>
          <w:sz w:val="20"/>
        </w:rPr>
        <w:t> BRISCOE (In Part)</w:t>
      </w:r>
    </w:p>
    <w:p w:rsidR="00022B47" w:rsidRDefault="00000000">
      <w:pPr>
        <w:pStyle w:val="Normal24"/>
        <w:widowControl w:val="0"/>
        <w:spacing w:before="240" w:line="260" w:lineRule="atLeast"/>
      </w:pPr>
      <w:bookmarkStart w:id="4739" w:name="Dissent_by_0"/>
      <w:bookmarkEnd w:id="4739"/>
      <w:r>
        <w:rPr>
          <w:rFonts w:ascii="Arial" w:eastAsia="Arial" w:hAnsi="Arial" w:cs="Arial"/>
          <w:b/>
          <w:color w:val="000000"/>
          <w:sz w:val="20"/>
        </w:rPr>
        <w:t>Dissent by:</w:t>
      </w:r>
      <w:r>
        <w:rPr>
          <w:rFonts w:ascii="Arial" w:eastAsia="Arial" w:hAnsi="Arial" w:cs="Arial"/>
          <w:color w:val="000000"/>
          <w:sz w:val="20"/>
        </w:rPr>
        <w:t> BRISCOE (In Part)</w:t>
      </w:r>
    </w:p>
    <w:p w:rsidR="00022B47" w:rsidRDefault="00000000">
      <w:pPr>
        <w:pStyle w:val="Normal24"/>
        <w:keepNext/>
        <w:widowControl w:val="0"/>
        <w:spacing w:before="240" w:line="340" w:lineRule="atLeast"/>
      </w:pPr>
      <w:bookmarkStart w:id="4740" w:name="Dissent_0"/>
      <w:bookmarkEnd w:id="4740"/>
      <w:r>
        <w:rPr>
          <w:rFonts w:ascii="Arial" w:eastAsia="Arial" w:hAnsi="Arial" w:cs="Arial"/>
          <w:b/>
          <w:color w:val="000000"/>
          <w:sz w:val="28"/>
        </w:rPr>
        <w:t>Dissent</w:t>
      </w:r>
    </w:p>
    <w:p w:rsidR="00022B47" w:rsidRDefault="0025213E">
      <w:pPr>
        <w:pStyle w:val="Normal24"/>
        <w:spacing w:line="60" w:lineRule="exact"/>
      </w:pPr>
      <w:r>
        <w:rPr>
          <w:noProof/>
        </w:rPr>
        <mc:AlternateContent>
          <mc:Choice Requires="wps">
            <w:drawing>
              <wp:anchor distT="0" distB="0" distL="114300" distR="114300" simplePos="0" relativeHeight="251710464"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971184851"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53CF2" id="Line 53"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24"/>
      </w:pPr>
    </w:p>
    <w:p w:rsidR="00022B47" w:rsidRDefault="00000000">
      <w:pPr>
        <w:pStyle w:val="Normal24"/>
        <w:widowControl w:val="0"/>
        <w:spacing w:before="200" w:line="260" w:lineRule="atLeast"/>
        <w:jc w:val="both"/>
      </w:pPr>
      <w:bookmarkStart w:id="4741" w:name="Bookmark_para_51_8"/>
      <w:bookmarkEnd w:id="4741"/>
      <w:r>
        <w:rPr>
          <w:rFonts w:ascii="Arial" w:eastAsia="Arial" w:hAnsi="Arial" w:cs="Arial"/>
          <w:b/>
          <w:color w:val="000000"/>
          <w:sz w:val="20"/>
        </w:rPr>
        <w:t>BRISCOE</w:t>
      </w:r>
      <w:r>
        <w:rPr>
          <w:rFonts w:ascii="Arial" w:eastAsia="Arial" w:hAnsi="Arial" w:cs="Arial"/>
          <w:color w:val="000000"/>
          <w:sz w:val="20"/>
        </w:rPr>
        <w:t>, Senior Circuit Judge, concurring in part and dissenting in part.</w:t>
      </w:r>
    </w:p>
    <w:p w:rsidR="00022B47" w:rsidRDefault="00000000">
      <w:pPr>
        <w:pStyle w:val="Normal24"/>
        <w:widowControl w:val="0"/>
        <w:spacing w:before="200" w:line="260" w:lineRule="atLeast"/>
        <w:jc w:val="both"/>
      </w:pPr>
      <w:bookmarkStart w:id="4742" w:name="Bookmark_para_52_8"/>
      <w:bookmarkEnd w:id="4742"/>
      <w:r>
        <w:rPr>
          <w:rFonts w:ascii="Arial" w:eastAsia="Arial" w:hAnsi="Arial" w:cs="Arial"/>
          <w:color w:val="000000"/>
          <w:sz w:val="20"/>
        </w:rPr>
        <w:t>I concur in part and dissent in part. I agree with the majority that the district court erred in granting summary judgment in favor of Union Pacific Railroad Company (Union Pacific) with respect to Dansie's claim under the Americans with Disabilities Act, and therefore I join Parts I and II of the majority's opinion. I disagree, however, with the majority's [**29]  decision in Part III of the opinion to affirm the district court's refusal to give supplemental jury instructions regarding Dansie's claim under the Family and Medical Leave Act (FMLA) and the district court's denial of Dansie's motion for a new trial on the FMLA claim. For the reasons outlined in greater detail below, I conclude that the district court erred in both regards and, as a result, I would reverse and remand Dansie's FMLA claim for a new trial.</w:t>
      </w:r>
    </w:p>
    <w:p w:rsidR="00022B47" w:rsidRDefault="00000000">
      <w:pPr>
        <w:pStyle w:val="Normal24"/>
        <w:widowControl w:val="0"/>
        <w:spacing w:before="240" w:line="260" w:lineRule="atLeast"/>
      </w:pPr>
      <w:r>
        <w:br/>
      </w:r>
      <w:r>
        <w:rPr>
          <w:rFonts w:ascii="Arial" w:eastAsia="Arial" w:hAnsi="Arial" w:cs="Arial"/>
          <w:i/>
          <w:color w:val="000000"/>
          <w:sz w:val="20"/>
        </w:rPr>
        <w:t>Standards of review</w:t>
      </w:r>
    </w:p>
    <w:p w:rsidR="00022B47" w:rsidRDefault="00000000">
      <w:pPr>
        <w:pStyle w:val="Normal24"/>
        <w:widowControl w:val="0"/>
        <w:spacing w:before="200" w:line="260" w:lineRule="atLeast"/>
        <w:jc w:val="both"/>
      </w:pPr>
      <w:bookmarkStart w:id="4743" w:name="Bookmark_para_53_7"/>
      <w:bookmarkStart w:id="4744" w:name="Bookmark_I263DNXH2XD0000360K00010"/>
      <w:bookmarkStart w:id="4745" w:name="Bookmark_I263DNXH6B30000360K00011"/>
      <w:bookmarkStart w:id="4746" w:name="Bookmark_I663D85T28T49C0030000400"/>
      <w:bookmarkEnd w:id="4743"/>
      <w:bookmarkEnd w:id="4744"/>
      <w:bookmarkEnd w:id="4745"/>
      <w:bookmarkEnd w:id="4746"/>
      <w:r>
        <w:rPr>
          <w:rFonts w:ascii="Arial" w:eastAsia="Arial" w:hAnsi="Arial" w:cs="Arial"/>
          <w:color w:val="000000"/>
          <w:sz w:val="20"/>
        </w:rPr>
        <w:t xml:space="preserve">As noted by the majority, we review for an abuse of discretion both the district court's refusal to provide supplemental instructions and the district court's denial of Dansie's motion for new trial. </w:t>
      </w:r>
      <w:bookmarkStart w:id="4747" w:name="Bookmark_I663D85T28T49C0020000400"/>
      <w:bookmarkEnd w:id="4747"/>
      <w:r>
        <w:rPr>
          <w:rFonts w:ascii="Arial" w:eastAsia="Arial" w:hAnsi="Arial" w:cs="Arial"/>
          <w:i/>
          <w:color w:val="000000"/>
          <w:sz w:val="20"/>
        </w:rPr>
        <w:t>Harte v. Bd. of Commrs. of Johnson Cnty.</w:t>
      </w:r>
      <w:r>
        <w:rPr>
          <w:rFonts w:ascii="Arial" w:eastAsia="Arial" w:hAnsi="Arial" w:cs="Arial"/>
          <w:color w:val="000000"/>
          <w:sz w:val="20"/>
        </w:rPr>
        <w:t xml:space="preserve">, 940 F.3d 498, 519 (10th Cir. 2019) (motion for new trial); </w:t>
      </w:r>
      <w:bookmarkStart w:id="4748" w:name="Bookmark_I663D85T28T49C0040000400"/>
      <w:bookmarkEnd w:id="4748"/>
      <w:r>
        <w:rPr>
          <w:rFonts w:ascii="Arial" w:eastAsia="Arial" w:hAnsi="Arial" w:cs="Arial"/>
          <w:i/>
          <w:color w:val="000000"/>
          <w:sz w:val="20"/>
        </w:rPr>
        <w:t>United States v. Olea-Monarez</w:t>
      </w:r>
      <w:r>
        <w:rPr>
          <w:rFonts w:ascii="Arial" w:eastAsia="Arial" w:hAnsi="Arial" w:cs="Arial"/>
          <w:color w:val="000000"/>
          <w:sz w:val="20"/>
        </w:rPr>
        <w:t>, 908 F.3d 636, 639 (10th Cir. 2018) (supplemental instructions).</w:t>
      </w:r>
    </w:p>
    <w:p w:rsidR="00022B47" w:rsidRDefault="00000000">
      <w:pPr>
        <w:pStyle w:val="Normal24"/>
        <w:widowControl w:val="0"/>
        <w:spacing w:before="200" w:line="260" w:lineRule="atLeast"/>
        <w:jc w:val="both"/>
      </w:pPr>
      <w:bookmarkStart w:id="4749" w:name="Bookmark_para_54_6"/>
      <w:bookmarkStart w:id="4750" w:name="Bookmark_I263DNXGY790000360K0000Y"/>
      <w:bookmarkStart w:id="4751" w:name="Bookmark_I663D85V2HM6R50020000400"/>
      <w:bookmarkStart w:id="4752" w:name="Bookmark_I263DNXGTKH0000360K0000X"/>
      <w:bookmarkStart w:id="4753" w:name="Bookmark_I663D85V2HM6R50040000400"/>
      <w:bookmarkStart w:id="4754" w:name="Bookmark_I263DNXGP500000360K0000W"/>
      <w:bookmarkStart w:id="4755" w:name="Bookmark_I663D85V2D6MTB0010000400"/>
      <w:bookmarkEnd w:id="4749"/>
      <w:bookmarkEnd w:id="4750"/>
      <w:bookmarkEnd w:id="4751"/>
      <w:bookmarkEnd w:id="4752"/>
      <w:bookmarkEnd w:id="4753"/>
      <w:bookmarkEnd w:id="4754"/>
      <w:bookmarkEnd w:id="4755"/>
      <w:r>
        <w:rPr>
          <w:rFonts w:ascii="Arial" w:eastAsia="Arial" w:hAnsi="Arial" w:cs="Arial"/>
          <w:color w:val="000000"/>
          <w:sz w:val="20"/>
        </w:rPr>
        <w:t xml:space="preserve">"When a jury makes explicit its difficulties a trial judge should clear them away with concrete accuracy." </w:t>
      </w:r>
      <w:bookmarkStart w:id="4756" w:name="Bookmark_I663D85V2HM6R50010000400"/>
      <w:bookmarkEnd w:id="4756"/>
      <w:r>
        <w:rPr>
          <w:rFonts w:ascii="Arial" w:eastAsia="Arial" w:hAnsi="Arial" w:cs="Arial"/>
          <w:i/>
          <w:color w:val="000000"/>
          <w:sz w:val="20"/>
        </w:rPr>
        <w:t>Bollenbach v. United States</w:t>
      </w:r>
      <w:r>
        <w:rPr>
          <w:rFonts w:ascii="Arial" w:eastAsia="Arial" w:hAnsi="Arial" w:cs="Arial"/>
          <w:color w:val="000000"/>
          <w:sz w:val="20"/>
        </w:rPr>
        <w:t xml:space="preserve">, 326 U.S. 607, 612-13, 66 S. Ct. 402, 90 L. Ed. 350 (1946). "A district judge has a duty to guide the jury toward an intelligent understanding of the legal and factual issues it must resolve, particularly when the jury asks a question revealing its confusion over the central issue of a case." </w:t>
      </w:r>
      <w:bookmarkStart w:id="4757" w:name="Bookmark_I663D85V2HM6R50030000400"/>
      <w:bookmarkEnd w:id="4757"/>
      <w:r>
        <w:rPr>
          <w:rFonts w:ascii="Arial" w:eastAsia="Arial" w:hAnsi="Arial" w:cs="Arial"/>
          <w:i/>
          <w:color w:val="000000"/>
          <w:sz w:val="20"/>
        </w:rPr>
        <w:t>Olea-Monarez</w:t>
      </w:r>
      <w:r>
        <w:rPr>
          <w:rFonts w:ascii="Arial" w:eastAsia="Arial" w:hAnsi="Arial" w:cs="Arial"/>
          <w:color w:val="000000"/>
          <w:sz w:val="20"/>
        </w:rPr>
        <w:t xml:space="preserve">, 908 F.3d at 639 (quotation marks and brackets omitted). In determining whether a district court abused its discretion in deciding whether or [**30]  not to provide the jury with supplemental instructions, we "review[] the jury instructions as a whole to determine whether they correctly state[d] the governing law and provide[d] an ample understanding of the issues and the applicable standards." </w:t>
      </w:r>
      <w:bookmarkStart w:id="4758" w:name="Bookmark_I663D85V2HM6R50050000400"/>
      <w:bookmarkEnd w:id="4758"/>
      <w:r>
        <w:rPr>
          <w:rFonts w:ascii="Arial" w:eastAsia="Arial" w:hAnsi="Arial" w:cs="Arial"/>
          <w:i/>
          <w:color w:val="000000"/>
          <w:sz w:val="20"/>
        </w:rPr>
        <w:t>United States v. Williams</w:t>
      </w:r>
      <w:r>
        <w:rPr>
          <w:rFonts w:ascii="Arial" w:eastAsia="Arial" w:hAnsi="Arial" w:cs="Arial"/>
          <w:color w:val="000000"/>
          <w:sz w:val="20"/>
        </w:rPr>
        <w:t>, 403 F.3d 1188, 1197 (10th Cir. 2005) (quotation marks omitted).</w:t>
      </w:r>
    </w:p>
    <w:p w:rsidR="00022B47" w:rsidRDefault="00000000">
      <w:pPr>
        <w:pStyle w:val="Normal24"/>
        <w:widowControl w:val="0"/>
        <w:spacing w:before="240" w:line="260" w:lineRule="atLeast"/>
      </w:pPr>
      <w:r>
        <w:br/>
      </w:r>
      <w:r>
        <w:rPr>
          <w:rFonts w:ascii="Arial" w:eastAsia="Arial" w:hAnsi="Arial" w:cs="Arial"/>
          <w:i/>
          <w:color w:val="000000"/>
          <w:sz w:val="20"/>
        </w:rPr>
        <w:t>Facts relevant to the FMLA claim</w:t>
      </w:r>
    </w:p>
    <w:p w:rsidR="00022B47" w:rsidRDefault="00000000">
      <w:pPr>
        <w:pStyle w:val="Normal24"/>
        <w:widowControl w:val="0"/>
        <w:spacing w:before="200" w:line="260" w:lineRule="atLeast"/>
        <w:jc w:val="both"/>
      </w:pPr>
      <w:bookmarkStart w:id="4759" w:name="Bookmark_para_55_6"/>
      <w:bookmarkEnd w:id="4759"/>
      <w:r>
        <w:rPr>
          <w:rFonts w:ascii="Arial" w:eastAsia="Arial" w:hAnsi="Arial" w:cs="Arial"/>
          <w:color w:val="000000"/>
          <w:sz w:val="20"/>
        </w:rPr>
        <w:t>It is undisputed that on or about April 3, 2017, Dansie accumulated the requisite 1,250 hours-worked to qualify for FMLA leave. Dansie immediately requested and received approval from Union Pacific's Health and Medical Services Department for "intermittent" FMLA leave for the period from April 5, 2017, through April 5, 2018.</w:t>
      </w:r>
    </w:p>
    <w:p w:rsidR="00022B47" w:rsidRDefault="00000000">
      <w:pPr>
        <w:pStyle w:val="Normal24"/>
        <w:widowControl w:val="0"/>
        <w:spacing w:before="200" w:line="260" w:lineRule="atLeast"/>
        <w:jc w:val="both"/>
      </w:pPr>
      <w:bookmarkStart w:id="4760" w:name="Bookmark_para_56_6"/>
      <w:bookmarkEnd w:id="4760"/>
      <w:r>
        <w:rPr>
          <w:rFonts w:ascii="Arial" w:eastAsia="Arial" w:hAnsi="Arial" w:cs="Arial"/>
          <w:color w:val="000000"/>
          <w:sz w:val="20"/>
        </w:rPr>
        <w:t>On May 5, 2017, Mike Warren, Dansie's direct supervisor (who allegedly disliked Dansie and was interested in seeing him terminated from with Union Pacific), charged Dansie with a third violation of  [*1201]  Union Pacific's attendance policy. Warren's letter to Dansie informing him of the charge stated that Dansie "failed to protect [his] employment on a full time basis through frequent or pattern layoffs and/or failure to report for service between 02/11/2017 and 04/23/2017." Aplt. App., Vol. 3 at 639. In other words, the alleged pattern of layoffs and/or failures to report [**31]  occurred during a time period that largely preceded Dansie accumulating the requisite hours-worked to qualify for FMLA leave.</w:t>
      </w:r>
    </w:p>
    <w:p w:rsidR="00022B47" w:rsidRDefault="00000000">
      <w:pPr>
        <w:pStyle w:val="Normal24"/>
        <w:widowControl w:val="0"/>
        <w:spacing w:before="200" w:line="260" w:lineRule="atLeast"/>
        <w:jc w:val="both"/>
      </w:pPr>
      <w:bookmarkStart w:id="4761" w:name="Bookmark_para_57_6"/>
      <w:bookmarkEnd w:id="4761"/>
      <w:r>
        <w:rPr>
          <w:rFonts w:ascii="Arial" w:eastAsia="Arial" w:hAnsi="Arial" w:cs="Arial"/>
          <w:color w:val="000000"/>
          <w:sz w:val="20"/>
        </w:rPr>
        <w:t xml:space="preserve">Dansie's complaint in this case alleged, in pertinent part, that Union Pacific violated the FMLA by "unlawfully interfer[ing] with [his] exercise of, and attempts to exercise, his rights under the FMLA." </w:t>
      </w:r>
      <w:r>
        <w:rPr>
          <w:rFonts w:ascii="Arial" w:eastAsia="Arial" w:hAnsi="Arial" w:cs="Arial"/>
          <w:i/>
          <w:color w:val="000000"/>
          <w:sz w:val="20"/>
        </w:rPr>
        <w:t>Id.</w:t>
      </w:r>
      <w:r>
        <w:rPr>
          <w:rFonts w:ascii="Arial" w:eastAsia="Arial" w:hAnsi="Arial" w:cs="Arial"/>
          <w:color w:val="000000"/>
          <w:sz w:val="20"/>
        </w:rPr>
        <w:t xml:space="preserve">, Vol. 1 at 18. The parties both moved for summary judgment on the FMLA claim, but the district court denied those motions. In doing so, the district court noted that "[t]o establish a prima facie interference claim an employe[e] must show, Number 1, they were entitled to FMLA leave; Number 2, that some adverse action by the employer interfered with their right to take FMLA leave; and Number 3, that the employer's action was related to the exercises or attempted exercise of FMLA rights." </w:t>
      </w:r>
      <w:r>
        <w:rPr>
          <w:rFonts w:ascii="Arial" w:eastAsia="Arial" w:hAnsi="Arial" w:cs="Arial"/>
          <w:i/>
          <w:color w:val="000000"/>
          <w:sz w:val="20"/>
        </w:rPr>
        <w:t>Id.</w:t>
      </w:r>
      <w:r>
        <w:rPr>
          <w:rFonts w:ascii="Arial" w:eastAsia="Arial" w:hAnsi="Arial" w:cs="Arial"/>
          <w:color w:val="000000"/>
          <w:sz w:val="20"/>
        </w:rPr>
        <w:t xml:space="preserve">, Vol. V at 1305. The district court concluded that "[t]he first two elements of Dansie's interference claim [we]re not in dispute, and for that reason the burden rest[ed] with Union Pacific to demonstrate that its termination of Dansie was unrelated to his exercise of his FMLA rights." </w:t>
      </w:r>
      <w:r>
        <w:rPr>
          <w:rFonts w:ascii="Arial" w:eastAsia="Arial" w:hAnsi="Arial" w:cs="Arial"/>
          <w:i/>
          <w:color w:val="000000"/>
          <w:sz w:val="20"/>
        </w:rPr>
        <w:t>Id.</w:t>
      </w:r>
      <w:r>
        <w:rPr>
          <w:rFonts w:ascii="Arial" w:eastAsia="Arial" w:hAnsi="Arial" w:cs="Arial"/>
          <w:color w:val="000000"/>
          <w:sz w:val="20"/>
        </w:rPr>
        <w:t xml:space="preserve"> at 1306. As to that issue, the district court concluded that genuine issues of material [**32]  fact existed. </w:t>
      </w:r>
      <w:r>
        <w:rPr>
          <w:rFonts w:ascii="Arial" w:eastAsia="Arial" w:hAnsi="Arial" w:cs="Arial"/>
          <w:i/>
          <w:color w:val="000000"/>
          <w:sz w:val="20"/>
        </w:rPr>
        <w:t>Id.</w:t>
      </w:r>
      <w:r>
        <w:rPr>
          <w:rFonts w:ascii="Arial" w:eastAsia="Arial" w:hAnsi="Arial" w:cs="Arial"/>
          <w:color w:val="000000"/>
          <w:sz w:val="20"/>
        </w:rPr>
        <w:t xml:space="preserve"> at 1308.</w:t>
      </w:r>
    </w:p>
    <w:p w:rsidR="00022B47" w:rsidRDefault="00000000">
      <w:pPr>
        <w:pStyle w:val="Normal24"/>
        <w:widowControl w:val="0"/>
        <w:spacing w:before="200" w:line="260" w:lineRule="atLeast"/>
        <w:jc w:val="both"/>
      </w:pPr>
      <w:bookmarkStart w:id="4762" w:name="Bookmark_para_58_6"/>
      <w:bookmarkEnd w:id="4762"/>
      <w:r>
        <w:rPr>
          <w:rFonts w:ascii="Arial" w:eastAsia="Arial" w:hAnsi="Arial" w:cs="Arial"/>
          <w:color w:val="000000"/>
          <w:sz w:val="20"/>
        </w:rPr>
        <w:t xml:space="preserve">The case proceeded to a three-day jury trial on the issue of whether "Union Pacific interfered with Dansie's exercise of his rights under the [FMLA] by terminating his employment." </w:t>
      </w:r>
      <w:r>
        <w:rPr>
          <w:rFonts w:ascii="Arial" w:eastAsia="Arial" w:hAnsi="Arial" w:cs="Arial"/>
          <w:i/>
          <w:color w:val="000000"/>
          <w:sz w:val="20"/>
        </w:rPr>
        <w:t>Id.</w:t>
      </w:r>
      <w:r>
        <w:rPr>
          <w:rFonts w:ascii="Arial" w:eastAsia="Arial" w:hAnsi="Arial" w:cs="Arial"/>
          <w:color w:val="000000"/>
          <w:sz w:val="20"/>
        </w:rPr>
        <w:t xml:space="preserve"> at 1371 (Jury Instruction No. 11). "Dansie's theory of the case was that . . . Union Pacific . . . manufactured a reason to terminate him because it did not want him to work enough hours to qualify for protection under the [FMLA], after which it knew it would be unable to prohibit him from missing work as necessitated by his disabilities." Aplt. App., Vol. V at 1386. For example, during closing arguments, Dansie's counsel argued that "[w]hen . . . [Terry] Brown[, the superintendent who managed both Dansie and Warren,] learned that despite his best efforts . . . Dansie was going to qualify for FMLA anyway, Union Pacific expedited the termination process."</w:t>
      </w:r>
      <w:r>
        <w:rPr>
          <w:rFonts w:ascii="Arial" w:eastAsia="Arial" w:hAnsi="Arial" w:cs="Arial"/>
          <w:vertAlign w:val="superscript"/>
        </w:rPr>
        <w:footnoteReference w:customMarkFollows="1" w:id="117"/>
        <w:t>1</w:t>
      </w:r>
      <w:r>
        <w:rPr>
          <w:rFonts w:ascii="Arial" w:eastAsia="Arial" w:hAnsi="Arial" w:cs="Arial"/>
          <w:color w:val="000000"/>
          <w:sz w:val="20"/>
        </w:rPr>
        <w:t xml:space="preserve"> </w:t>
      </w:r>
      <w:r>
        <w:rPr>
          <w:rFonts w:ascii="Arial" w:eastAsia="Arial" w:hAnsi="Arial" w:cs="Arial"/>
          <w:i/>
          <w:color w:val="000000"/>
          <w:sz w:val="20"/>
        </w:rPr>
        <w:t>Id.</w:t>
      </w:r>
      <w:r>
        <w:rPr>
          <w:rFonts w:ascii="Arial" w:eastAsia="Arial" w:hAnsi="Arial" w:cs="Arial"/>
          <w:color w:val="000000"/>
          <w:sz w:val="20"/>
        </w:rPr>
        <w:t xml:space="preserve"> at 1467.</w:t>
      </w:r>
    </w:p>
    <w:p w:rsidR="00022B47" w:rsidRDefault="00000000">
      <w:pPr>
        <w:pStyle w:val="Normal24"/>
        <w:widowControl w:val="0"/>
        <w:spacing w:before="200" w:line="260" w:lineRule="atLeast"/>
        <w:jc w:val="both"/>
      </w:pPr>
      <w:bookmarkStart w:id="4764" w:name="Bookmark_para_59_5"/>
      <w:bookmarkEnd w:id="4764"/>
      <w:r>
        <w:rPr>
          <w:rFonts w:ascii="Arial" w:eastAsia="Arial" w:hAnsi="Arial" w:cs="Arial"/>
          <w:color w:val="000000"/>
          <w:sz w:val="20"/>
        </w:rPr>
        <w:t>At the close of the evidence, the district court gave the following substantive instructions to the jury:</w:t>
      </w:r>
    </w:p>
    <w:p w:rsidR="00022B47" w:rsidRDefault="00022B47">
      <w:pPr>
        <w:pStyle w:val="Normal24"/>
      </w:pPr>
    </w:p>
    <w:p w:rsidR="00022B47" w:rsidRDefault="00000000">
      <w:pPr>
        <w:pStyle w:val="Normal24"/>
        <w:widowControl w:val="0"/>
        <w:spacing w:before="240" w:line="260" w:lineRule="atLeast"/>
        <w:ind w:left="400"/>
        <w:jc w:val="both"/>
      </w:pPr>
      <w:r>
        <w:rPr>
          <w:rFonts w:ascii="Arial" w:eastAsia="Arial" w:hAnsi="Arial" w:cs="Arial"/>
          <w:color w:val="000000"/>
          <w:sz w:val="20"/>
          <w:u w:val="single"/>
        </w:rPr>
        <w:t>INSTRUCTION NO. 11</w:t>
      </w:r>
    </w:p>
    <w:p w:rsidR="00022B47" w:rsidRDefault="00022B47">
      <w:pPr>
        <w:pStyle w:val="Normal24"/>
      </w:pPr>
    </w:p>
    <w:p w:rsidR="00022B47" w:rsidRDefault="00000000">
      <w:pPr>
        <w:pStyle w:val="Normal24"/>
        <w:widowControl w:val="0"/>
        <w:spacing w:line="260" w:lineRule="atLeast"/>
        <w:ind w:left="400"/>
        <w:jc w:val="both"/>
      </w:pPr>
      <w:r>
        <w:rPr>
          <w:rFonts w:ascii="Arial" w:eastAsia="Arial" w:hAnsi="Arial" w:cs="Arial"/>
          <w:color w:val="000000"/>
          <w:sz w:val="20"/>
        </w:rPr>
        <w:t>Nature of the Claim</w:t>
      </w:r>
    </w:p>
    <w:p w:rsidR="00022B47" w:rsidRDefault="00000000">
      <w:pPr>
        <w:pStyle w:val="Normal24"/>
        <w:widowControl w:val="0"/>
        <w:spacing w:before="200" w:line="260" w:lineRule="atLeast"/>
        <w:ind w:left="400"/>
        <w:jc w:val="both"/>
      </w:pPr>
      <w:bookmarkStart w:id="4765" w:name="Bookmark_para_60_5"/>
      <w:bookmarkEnd w:id="4765"/>
      <w:r>
        <w:rPr>
          <w:rFonts w:ascii="Arial" w:eastAsia="Arial" w:hAnsi="Arial" w:cs="Arial"/>
          <w:color w:val="000000"/>
          <w:sz w:val="20"/>
        </w:rPr>
        <w:t>This case arises under the Family and Medical Leave Act (FMLA). This federal law entitles eligible employees to leaves of absence for specified family and medical reasons. [**33]  The Plaintiff, Kelly Dansie, asserts one claim against the Defendant, Union Pacific Railroad Company: a claim that Union Pacific interfered with Dansie's exercise of his rights under the Family and Medical Leave  [*1202]  Act (FMLA) by terminating his employment. Union Pacific denies Dansie's claim and asserts that it terminated Dansie's employment because he had excessive absences in violation of Union Pacific's attendance policy.</w:t>
      </w:r>
    </w:p>
    <w:p w:rsidR="00022B47" w:rsidRDefault="00000000">
      <w:pPr>
        <w:pStyle w:val="Normal24"/>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xml:space="preserve"> at 1371.</w:t>
      </w:r>
    </w:p>
    <w:p w:rsidR="00022B47" w:rsidRDefault="00022B47">
      <w:pPr>
        <w:pStyle w:val="Normal24"/>
      </w:pPr>
    </w:p>
    <w:p w:rsidR="00022B47" w:rsidRDefault="00000000">
      <w:pPr>
        <w:pStyle w:val="Normal24"/>
        <w:widowControl w:val="0"/>
        <w:spacing w:before="240" w:line="260" w:lineRule="atLeast"/>
        <w:ind w:left="400"/>
        <w:jc w:val="both"/>
      </w:pPr>
      <w:r>
        <w:rPr>
          <w:rFonts w:ascii="Arial" w:eastAsia="Arial" w:hAnsi="Arial" w:cs="Arial"/>
          <w:color w:val="000000"/>
          <w:sz w:val="20"/>
          <w:u w:val="single"/>
        </w:rPr>
        <w:t>INSTRUCTION NO. 12</w:t>
      </w:r>
    </w:p>
    <w:p w:rsidR="00022B47" w:rsidRDefault="00022B47">
      <w:pPr>
        <w:pStyle w:val="Normal24"/>
      </w:pPr>
    </w:p>
    <w:p w:rsidR="00022B47" w:rsidRDefault="00000000">
      <w:pPr>
        <w:pStyle w:val="Normal24"/>
        <w:widowControl w:val="0"/>
        <w:spacing w:line="260" w:lineRule="atLeast"/>
        <w:ind w:left="400"/>
        <w:jc w:val="both"/>
      </w:pPr>
      <w:r>
        <w:rPr>
          <w:rFonts w:ascii="Arial" w:eastAsia="Arial" w:hAnsi="Arial" w:cs="Arial"/>
          <w:color w:val="000000"/>
          <w:sz w:val="20"/>
        </w:rPr>
        <w:t>FMLA Generally</w:t>
      </w:r>
    </w:p>
    <w:p w:rsidR="00022B47" w:rsidRDefault="00000000">
      <w:pPr>
        <w:pStyle w:val="Normal24"/>
        <w:widowControl w:val="0"/>
        <w:spacing w:line="260" w:lineRule="atLeast"/>
        <w:ind w:left="400"/>
        <w:jc w:val="both"/>
      </w:pPr>
      <w:bookmarkStart w:id="4766" w:name="Bookmark_para_61_5"/>
      <w:bookmarkEnd w:id="4766"/>
      <w:r>
        <w:rPr>
          <w:rFonts w:ascii="Arial" w:eastAsia="Arial" w:hAnsi="Arial" w:cs="Arial"/>
          <w:color w:val="000000"/>
          <w:sz w:val="20"/>
        </w:rPr>
        <w:t>The Family and Medical Leave Act provides eligible employees the right to take a total of twelve weeks of unpaid leave per year (1) to care for a newborn son or daughter, (2) to care for a child placed with the employee through adoption or foster care, (3) to care for an immediate family member with a "serious health condition," or (4) to care for the employee's own "serious health condition" that renders the employee unable to perform his or her work functions. After the period of qualified leave expires, the employee generally is entitled to be reinstated to the former position or an equivalent one with the same benefits and terms of employment that existed before the employee took the leave.</w:t>
      </w:r>
    </w:p>
    <w:p w:rsidR="00022B47" w:rsidRDefault="00000000">
      <w:pPr>
        <w:pStyle w:val="Normal24"/>
        <w:widowControl w:val="0"/>
        <w:spacing w:before="200" w:line="260" w:lineRule="atLeast"/>
        <w:ind w:left="400"/>
        <w:jc w:val="both"/>
      </w:pPr>
      <w:bookmarkStart w:id="4767" w:name="Bookmark_para_62_4"/>
      <w:bookmarkEnd w:id="4767"/>
      <w:r>
        <w:rPr>
          <w:rFonts w:ascii="Arial" w:eastAsia="Arial" w:hAnsi="Arial" w:cs="Arial"/>
          <w:color w:val="000000"/>
          <w:sz w:val="20"/>
        </w:rPr>
        <w:t>To insure the availability of [**34]  these guarantees, the FMLA declares that it is unlawful for any employer to interfere with, restrain, or deny the exercise of or the attempt to exercise, any right provided by the FMLA.</w:t>
      </w:r>
    </w:p>
    <w:p w:rsidR="00022B47" w:rsidRDefault="00000000">
      <w:pPr>
        <w:pStyle w:val="Normal24"/>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xml:space="preserve"> at 1372.</w:t>
      </w:r>
    </w:p>
    <w:p w:rsidR="00022B47" w:rsidRDefault="00022B47">
      <w:pPr>
        <w:pStyle w:val="Normal24"/>
      </w:pPr>
    </w:p>
    <w:p w:rsidR="00022B47" w:rsidRDefault="00000000">
      <w:pPr>
        <w:pStyle w:val="Normal24"/>
        <w:widowControl w:val="0"/>
        <w:spacing w:line="260" w:lineRule="atLeast"/>
        <w:ind w:left="400"/>
        <w:jc w:val="both"/>
      </w:pPr>
      <w:r>
        <w:rPr>
          <w:rFonts w:ascii="Arial" w:eastAsia="Arial" w:hAnsi="Arial" w:cs="Arial"/>
          <w:color w:val="000000"/>
          <w:sz w:val="20"/>
        </w:rPr>
        <w:t>INSTRUCTION NO. 13</w:t>
      </w:r>
    </w:p>
    <w:p w:rsidR="00022B47" w:rsidRDefault="00022B47">
      <w:pPr>
        <w:pStyle w:val="Normal24"/>
      </w:pPr>
    </w:p>
    <w:p w:rsidR="00022B47" w:rsidRDefault="00000000">
      <w:pPr>
        <w:pStyle w:val="Normal24"/>
        <w:widowControl w:val="0"/>
        <w:spacing w:line="260" w:lineRule="atLeast"/>
        <w:ind w:left="400"/>
        <w:jc w:val="both"/>
      </w:pPr>
      <w:r>
        <w:rPr>
          <w:rFonts w:ascii="Arial" w:eastAsia="Arial" w:hAnsi="Arial" w:cs="Arial"/>
          <w:color w:val="000000"/>
          <w:sz w:val="20"/>
        </w:rPr>
        <w:t>Essential Elements of Plaintiff's Claim</w:t>
      </w:r>
    </w:p>
    <w:p w:rsidR="00022B47" w:rsidRDefault="00000000">
      <w:pPr>
        <w:pStyle w:val="Normal24"/>
        <w:widowControl w:val="0"/>
        <w:spacing w:line="260" w:lineRule="atLeast"/>
        <w:ind w:left="400"/>
        <w:jc w:val="both"/>
      </w:pPr>
      <w:bookmarkStart w:id="4768" w:name="Bookmark_para_63_4"/>
      <w:bookmarkEnd w:id="4768"/>
      <w:r>
        <w:rPr>
          <w:rFonts w:ascii="Arial" w:eastAsia="Arial" w:hAnsi="Arial" w:cs="Arial"/>
          <w:color w:val="000000"/>
          <w:sz w:val="20"/>
        </w:rPr>
        <w:t>Ordinarily, a plaintiff asserting a claim for FMLA interference would bear an initial burden of proof on certain matters. In this case, however, the only question for you to decide is whether Union Pacific proved by a preponderance of the evidence that its termination of Dansie's employment was unrelated to the exercise or attempted exercise of his FMLA rights—in other words, that it would have discharged Dansie regardless of his request for FMLA leave.</w:t>
      </w:r>
    </w:p>
    <w:p w:rsidR="00022B47" w:rsidRDefault="00000000">
      <w:pPr>
        <w:pStyle w:val="Normal24"/>
        <w:widowControl w:val="0"/>
        <w:spacing w:line="260" w:lineRule="atLeast"/>
        <w:ind w:left="400"/>
        <w:jc w:val="both"/>
      </w:pPr>
      <w:bookmarkStart w:id="4769" w:name="Bookmark_para_64_4"/>
      <w:bookmarkEnd w:id="4769"/>
      <w:r>
        <w:rPr>
          <w:rFonts w:ascii="Arial" w:eastAsia="Arial" w:hAnsi="Arial" w:cs="Arial"/>
          <w:color w:val="000000"/>
          <w:sz w:val="20"/>
        </w:rPr>
        <w:t>Your verdict must be for Union Pacific if it proves by a preponderance of the evidence that it would have discharged Dansie regardless of his request for FMLA leave.</w:t>
      </w:r>
    </w:p>
    <w:p w:rsidR="00022B47" w:rsidRDefault="00000000">
      <w:pPr>
        <w:pStyle w:val="Normal24"/>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xml:space="preserve"> at 1373.</w:t>
      </w:r>
    </w:p>
    <w:p w:rsidR="00022B47" w:rsidRDefault="00000000">
      <w:pPr>
        <w:pStyle w:val="Normal24"/>
        <w:widowControl w:val="0"/>
        <w:spacing w:before="200" w:line="260" w:lineRule="atLeast"/>
        <w:jc w:val="both"/>
      </w:pPr>
      <w:bookmarkStart w:id="4770" w:name="Bookmark_para_65_4"/>
      <w:bookmarkEnd w:id="4770"/>
      <w:r>
        <w:rPr>
          <w:rFonts w:ascii="Arial" w:eastAsia="Arial" w:hAnsi="Arial" w:cs="Arial"/>
          <w:color w:val="000000"/>
          <w:sz w:val="20"/>
        </w:rPr>
        <w:t xml:space="preserve">During its deliberations, the jury sent several notes to the district court, at least two of which evidenced its need for more specific direction than was provided by the district court's instructions. One of those notes asked: "Is FMLA retroactive, i.e. [sic] when Mr. Dansie recieved [sic] FMLA approval Exhibit [**35]  05 for April 5, 2017, did the FMLA cover January 2017 to April 2017? How back [sic] does it reach and doe [sic] it excuse back date absenses [sic]?" </w:t>
      </w:r>
      <w:r>
        <w:rPr>
          <w:rFonts w:ascii="Arial" w:eastAsia="Arial" w:hAnsi="Arial" w:cs="Arial"/>
          <w:i/>
          <w:color w:val="000000"/>
          <w:sz w:val="20"/>
        </w:rPr>
        <w:t>Id.</w:t>
      </w:r>
      <w:r>
        <w:rPr>
          <w:rFonts w:ascii="Arial" w:eastAsia="Arial" w:hAnsi="Arial" w:cs="Arial"/>
          <w:color w:val="000000"/>
          <w:sz w:val="20"/>
        </w:rPr>
        <w:t xml:space="preserve"> at 1378. The district court declined to directly answer this question and instead responded by telling the jury, by way of a written response: "With respect to your question concerning Exhibit 5, and retroactivity of FMLA approval: The court can only say that you have been provided the  [*1203]  law applicable to the issues you must decide. I direct your attention to the Instructions as a whole." </w:t>
      </w:r>
      <w:r>
        <w:rPr>
          <w:rFonts w:ascii="Arial" w:eastAsia="Arial" w:hAnsi="Arial" w:cs="Arial"/>
          <w:i/>
          <w:color w:val="000000"/>
          <w:sz w:val="20"/>
        </w:rPr>
        <w:t>Id.</w:t>
      </w:r>
      <w:r>
        <w:rPr>
          <w:rFonts w:ascii="Arial" w:eastAsia="Arial" w:hAnsi="Arial" w:cs="Arial"/>
          <w:color w:val="000000"/>
          <w:sz w:val="20"/>
        </w:rPr>
        <w:t xml:space="preserve"> at 1380.</w:t>
      </w:r>
    </w:p>
    <w:p w:rsidR="00022B47" w:rsidRDefault="00000000">
      <w:pPr>
        <w:pStyle w:val="Normal24"/>
        <w:widowControl w:val="0"/>
        <w:spacing w:before="200" w:line="260" w:lineRule="atLeast"/>
        <w:jc w:val="both"/>
      </w:pPr>
      <w:bookmarkStart w:id="4771" w:name="Bookmark_para_66_4"/>
      <w:bookmarkEnd w:id="4771"/>
      <w:r>
        <w:rPr>
          <w:rFonts w:ascii="Arial" w:eastAsia="Arial" w:hAnsi="Arial" w:cs="Arial"/>
          <w:color w:val="000000"/>
          <w:sz w:val="20"/>
        </w:rPr>
        <w:t xml:space="preserve">After receiving the district court's response and apparently examining the original instructions, the jury sent another note asking the district court: "As to the instruction on pag [sic] 12, paragraph two, does the Law 'deny the exercise of or the attempt to exercise' apply to persons who have FMLA only, or also people trying to obtain FMLA? This is crucial for us to understand whom this applies to, as you know." </w:t>
      </w:r>
      <w:r>
        <w:rPr>
          <w:rFonts w:ascii="Arial" w:eastAsia="Arial" w:hAnsi="Arial" w:cs="Arial"/>
          <w:i/>
          <w:color w:val="000000"/>
          <w:sz w:val="20"/>
        </w:rPr>
        <w:t>Id.</w:t>
      </w:r>
      <w:r>
        <w:rPr>
          <w:rFonts w:ascii="Arial" w:eastAsia="Arial" w:hAnsi="Arial" w:cs="Arial"/>
          <w:color w:val="000000"/>
          <w:sz w:val="20"/>
        </w:rPr>
        <w:t xml:space="preserve"> at 1382. The district court, over the objection of Dansie's counsel, responded to this note as follows: "With respect to your question concerning Jury Instruction No. 12: The court cannot elaborate on the law provided in your [**36]  Instructions. I can only say that you have been provided the law applicable to the issues you must decide. I direct your attention to the Instructions as a whole." </w:t>
      </w:r>
      <w:r>
        <w:rPr>
          <w:rFonts w:ascii="Arial" w:eastAsia="Arial" w:hAnsi="Arial" w:cs="Arial"/>
          <w:i/>
          <w:color w:val="000000"/>
          <w:sz w:val="20"/>
        </w:rPr>
        <w:t>Id.</w:t>
      </w:r>
      <w:r>
        <w:rPr>
          <w:rFonts w:ascii="Arial" w:eastAsia="Arial" w:hAnsi="Arial" w:cs="Arial"/>
          <w:color w:val="000000"/>
          <w:sz w:val="20"/>
        </w:rPr>
        <w:t xml:space="preserve"> at 1383.</w:t>
      </w:r>
    </w:p>
    <w:p w:rsidR="00022B47" w:rsidRDefault="00000000">
      <w:pPr>
        <w:pStyle w:val="Normal24"/>
        <w:widowControl w:val="0"/>
        <w:spacing w:before="200" w:line="260" w:lineRule="atLeast"/>
        <w:jc w:val="both"/>
      </w:pPr>
      <w:bookmarkStart w:id="4772" w:name="Bookmark_para_67_3"/>
      <w:bookmarkEnd w:id="4772"/>
      <w:r>
        <w:rPr>
          <w:rFonts w:ascii="Arial" w:eastAsia="Arial" w:hAnsi="Arial" w:cs="Arial"/>
          <w:color w:val="000000"/>
          <w:sz w:val="20"/>
        </w:rPr>
        <w:t xml:space="preserve">Ultimately, the jury answered "YES" to the sole question on the verdict form: "Has Defendant Union Pacific proved by a preponderance of the evidence that its termination of Plaintiff Kelly Dansie's employment was unrelated to the exercise or attempted exercise of his FMLA rights?" </w:t>
      </w:r>
      <w:r>
        <w:rPr>
          <w:rFonts w:ascii="Arial" w:eastAsia="Arial" w:hAnsi="Arial" w:cs="Arial"/>
          <w:i/>
          <w:color w:val="000000"/>
          <w:sz w:val="20"/>
        </w:rPr>
        <w:t>Id.</w:t>
      </w:r>
      <w:r>
        <w:rPr>
          <w:rFonts w:ascii="Arial" w:eastAsia="Arial" w:hAnsi="Arial" w:cs="Arial"/>
          <w:color w:val="000000"/>
          <w:sz w:val="20"/>
        </w:rPr>
        <w:t xml:space="preserve"> at 1384.</w:t>
      </w:r>
    </w:p>
    <w:p w:rsidR="00022B47" w:rsidRDefault="00000000">
      <w:pPr>
        <w:pStyle w:val="Normal24"/>
        <w:widowControl w:val="0"/>
        <w:spacing w:before="200" w:line="260" w:lineRule="atLeast"/>
        <w:jc w:val="both"/>
      </w:pPr>
      <w:bookmarkStart w:id="4773" w:name="Bookmark_para_68_3"/>
      <w:bookmarkEnd w:id="4773"/>
      <w:r>
        <w:rPr>
          <w:rFonts w:ascii="Arial" w:eastAsia="Arial" w:hAnsi="Arial" w:cs="Arial"/>
          <w:color w:val="000000"/>
          <w:sz w:val="20"/>
        </w:rPr>
        <w:t>Dansie filed a motion for new trial arguing that the district court committed reversible error by failing to respond to the jury's second question. The district court denied that motion with a written order issued on May 4, 2020.</w:t>
      </w:r>
    </w:p>
    <w:p w:rsidR="00022B47" w:rsidRDefault="00000000">
      <w:pPr>
        <w:pStyle w:val="Normal24"/>
        <w:widowControl w:val="0"/>
        <w:spacing w:before="240" w:line="260" w:lineRule="atLeast"/>
      </w:pPr>
      <w:r>
        <w:br/>
      </w:r>
      <w:r>
        <w:rPr>
          <w:rFonts w:ascii="Arial" w:eastAsia="Arial" w:hAnsi="Arial" w:cs="Arial"/>
          <w:i/>
          <w:color w:val="000000"/>
          <w:sz w:val="20"/>
        </w:rPr>
        <w:t>Analysis</w:t>
      </w:r>
    </w:p>
    <w:p w:rsidR="00022B47" w:rsidRDefault="00000000">
      <w:pPr>
        <w:pStyle w:val="Normal24"/>
        <w:widowControl w:val="0"/>
        <w:spacing w:before="200" w:line="260" w:lineRule="atLeast"/>
        <w:jc w:val="both"/>
      </w:pPr>
      <w:bookmarkStart w:id="4774" w:name="Bookmark_para_69_3"/>
      <w:bookmarkStart w:id="4775" w:name="Bookmark_I263DNXGJFH0000360K0000V"/>
      <w:bookmarkStart w:id="4776" w:name="Bookmark_I663D85V2D6MTB0030000400"/>
      <w:bookmarkEnd w:id="4774"/>
      <w:bookmarkEnd w:id="4775"/>
      <w:bookmarkEnd w:id="4776"/>
      <w:r>
        <w:rPr>
          <w:rFonts w:ascii="Arial" w:eastAsia="Arial" w:hAnsi="Arial" w:cs="Arial"/>
          <w:color w:val="000000"/>
          <w:sz w:val="20"/>
        </w:rPr>
        <w:t xml:space="preserve">The FMLA entitles qualified employees to take up to twelve weeks of leave during a twelve-month period for any one of several reasons, including "[b]ecause of a serious health condition that makes the employee unable to perform the functions of the position of such employee." 29 U.S.C. § 2612(a)(1)(D). </w:t>
      </w:r>
      <w:bookmarkStart w:id="4777" w:name="Bookmark_I263DNXG97W0000360K0000S"/>
      <w:bookmarkStart w:id="4778" w:name="Bookmark_I663D85V2D6MTB0050000400"/>
      <w:bookmarkEnd w:id="4777"/>
      <w:bookmarkEnd w:id="4778"/>
      <w:r>
        <w:rPr>
          <w:rFonts w:ascii="Arial" w:eastAsia="Arial" w:hAnsi="Arial" w:cs="Arial"/>
          <w:color w:val="000000"/>
          <w:sz w:val="20"/>
        </w:rPr>
        <w:t xml:space="preserve">An FMLA interference claim is based on an employer's denial of an employee's FMLA rights. </w:t>
      </w:r>
      <w:bookmarkStart w:id="4779" w:name="Bookmark_I263DNXFT6T0000360K0000M"/>
      <w:bookmarkStart w:id="4780" w:name="Bookmark_I663D85V2D6MTD0020000400"/>
      <w:bookmarkEnd w:id="4779"/>
      <w:bookmarkEnd w:id="4780"/>
      <w:r>
        <w:rPr>
          <w:rFonts w:ascii="Arial" w:eastAsia="Arial" w:hAnsi="Arial" w:cs="Arial"/>
          <w:i/>
          <w:color w:val="000000"/>
          <w:sz w:val="20"/>
        </w:rPr>
        <w:t xml:space="preserve">See </w:t>
      </w:r>
      <w:bookmarkStart w:id="4781" w:name="Bookmark_I663D85V2D6MTB0020000400"/>
      <w:bookmarkEnd w:id="4781"/>
      <w:r>
        <w:rPr>
          <w:rFonts w:ascii="Arial" w:eastAsia="Arial" w:hAnsi="Arial" w:cs="Arial"/>
          <w:i/>
          <w:color w:val="000000"/>
          <w:sz w:val="20"/>
        </w:rPr>
        <w:t>Campbell v. Gambro Healthcare, Inc.</w:t>
      </w:r>
      <w:r>
        <w:rPr>
          <w:rFonts w:ascii="Arial" w:eastAsia="Arial" w:hAnsi="Arial" w:cs="Arial"/>
          <w:color w:val="000000"/>
          <w:sz w:val="20"/>
        </w:rPr>
        <w:t xml:space="preserve">, 478 F.3d 1282, 1287 (10th Cir. 2007); </w:t>
      </w:r>
      <w:r>
        <w:rPr>
          <w:rFonts w:ascii="Arial" w:eastAsia="Arial" w:hAnsi="Arial" w:cs="Arial"/>
          <w:i/>
          <w:color w:val="000000"/>
          <w:sz w:val="20"/>
        </w:rPr>
        <w:t>see also</w:t>
      </w:r>
      <w:r>
        <w:rPr>
          <w:rFonts w:ascii="Arial" w:eastAsia="Arial" w:hAnsi="Arial" w:cs="Arial"/>
          <w:color w:val="000000"/>
          <w:sz w:val="20"/>
        </w:rPr>
        <w:t xml:space="preserve"> 29 U.S.C. § 2615(a)(1) (providing that it is "unlawful for any employer to interfere with, restrain, or deny the exercise" of FMLA [**37]  rights). </w:t>
      </w:r>
      <w:bookmarkStart w:id="4782" w:name="Bookmark_I663D85V2D6MTD0020000400_2"/>
      <w:bookmarkStart w:id="4783" w:name="Bookmark_I663D85V2D6MTB0050000400_2"/>
      <w:bookmarkEnd w:id="4782"/>
      <w:bookmarkEnd w:id="4783"/>
      <w:r>
        <w:rPr>
          <w:rFonts w:ascii="Arial" w:eastAsia="Arial" w:hAnsi="Arial" w:cs="Arial"/>
          <w:color w:val="000000"/>
          <w:sz w:val="20"/>
        </w:rPr>
        <w:t xml:space="preserve">To establish an interference claim, an employee must show: "(1) that she was entitled to FMLA leave, (2) that some adverse action by the employer interfered with her right to take FMLA leave, and (3) that the employer's action was related to the exercise or attempted exercise of her FMLA rights." </w:t>
      </w:r>
      <w:bookmarkStart w:id="4784" w:name="Bookmark_I663D85V2D6MTB0040000400"/>
      <w:bookmarkEnd w:id="4784"/>
      <w:r>
        <w:rPr>
          <w:rFonts w:ascii="Arial" w:eastAsia="Arial" w:hAnsi="Arial" w:cs="Arial"/>
          <w:i/>
          <w:color w:val="000000"/>
          <w:sz w:val="20"/>
        </w:rPr>
        <w:t>Campbell</w:t>
      </w:r>
      <w:r>
        <w:rPr>
          <w:rFonts w:ascii="Arial" w:eastAsia="Arial" w:hAnsi="Arial" w:cs="Arial"/>
          <w:color w:val="000000"/>
          <w:sz w:val="20"/>
        </w:rPr>
        <w:t xml:space="preserve">, 478 F.3d at 1287 (brackets and internal quotation marks omitted). An employer can defeat an FMLA interference claim "by showing that the employee would have been terminated anyway, i.e. regardless of the request for FMLA leave." </w:t>
      </w:r>
      <w:bookmarkStart w:id="4785" w:name="Bookmark_I663D85V2D6MTD0010000400"/>
      <w:bookmarkEnd w:id="4785"/>
      <w:r>
        <w:rPr>
          <w:rFonts w:ascii="Arial" w:eastAsia="Arial" w:hAnsi="Arial" w:cs="Arial"/>
          <w:i/>
          <w:color w:val="000000"/>
          <w:sz w:val="20"/>
        </w:rPr>
        <w:t>Brown v. ScriptPro, LLC</w:t>
      </w:r>
      <w:r>
        <w:rPr>
          <w:rFonts w:ascii="Arial" w:eastAsia="Arial" w:hAnsi="Arial" w:cs="Arial"/>
          <w:color w:val="000000"/>
          <w:sz w:val="20"/>
        </w:rPr>
        <w:t>, 700 F.3d 1222, 1227 (10th Cir. 2012).</w:t>
      </w:r>
    </w:p>
    <w:p w:rsidR="00022B47" w:rsidRDefault="00000000">
      <w:pPr>
        <w:pStyle w:val="Normal24"/>
        <w:widowControl w:val="0"/>
        <w:spacing w:before="200" w:line="260" w:lineRule="atLeast"/>
        <w:jc w:val="both"/>
      </w:pPr>
      <w:bookmarkStart w:id="4786" w:name="Bookmark_para_70_3"/>
      <w:bookmarkEnd w:id="4786"/>
      <w:r>
        <w:rPr>
          <w:rFonts w:ascii="Arial" w:eastAsia="Arial" w:hAnsi="Arial" w:cs="Arial"/>
          <w:color w:val="000000"/>
          <w:sz w:val="20"/>
        </w:rPr>
        <w:t>As noted, the district court's instructions to the jury in this case did not list the three elements that an employee must prove to establish an interference claim. Nor did the district court's instructions inform the jury that the district court had previously ruled in Dansie's favor on the first two elements of his interference claim. Instead, Instruction No. 13's beginning two sentences merely alluded to the existence of other requirements, but did not specifically outline them:</w:t>
      </w:r>
    </w:p>
    <w:p w:rsidR="00022B47" w:rsidRDefault="00000000">
      <w:pPr>
        <w:pStyle w:val="Normal24"/>
        <w:widowControl w:val="0"/>
        <w:spacing w:before="200" w:line="260" w:lineRule="atLeast"/>
        <w:ind w:left="400"/>
        <w:jc w:val="both"/>
      </w:pPr>
      <w:bookmarkStart w:id="4787" w:name="Bookmark_para_71_3"/>
      <w:bookmarkEnd w:id="4787"/>
      <w:r>
        <w:rPr>
          <w:rFonts w:ascii="Arial" w:eastAsia="Arial" w:hAnsi="Arial" w:cs="Arial"/>
          <w:color w:val="000000"/>
          <w:sz w:val="20"/>
        </w:rPr>
        <w:t>Ordinarily, a plaintiff asserting a claim for FMLA interference would bear an initial burden of proof on certain matters." In this case, however, the only question for you to decide is whether [**38]  Union Pacific proved by a preponderance of the evidence that its termination of Dansie's employment was unrelated to the exercise or attempted exercise of his FMLA rights—in other words, that it would have discharged Dansie regardless of his request for FMLA leave.</w:t>
      </w:r>
    </w:p>
    <w:p w:rsidR="00022B47" w:rsidRDefault="00000000">
      <w:pPr>
        <w:pStyle w:val="Normal24"/>
        <w:widowControl w:val="0"/>
        <w:spacing w:before="200" w:line="260" w:lineRule="atLeast"/>
        <w:jc w:val="both"/>
      </w:pPr>
      <w:r>
        <w:rPr>
          <w:rFonts w:ascii="Arial" w:eastAsia="Arial" w:hAnsi="Arial" w:cs="Arial"/>
          <w:color w:val="000000"/>
          <w:sz w:val="20"/>
        </w:rPr>
        <w:t>Aplt. App., Vol. V at 1373. Thus, the jury did not know that Dansie was required to establish that he was entitled to FMLA leave in order to prevail on his FMLA interference claim, or that the district court had decided this issue as a matter of law in Dansie's favor.</w:t>
      </w:r>
      <w:r>
        <w:rPr>
          <w:rFonts w:ascii="Arial" w:eastAsia="Arial" w:hAnsi="Arial" w:cs="Arial"/>
          <w:vertAlign w:val="superscript"/>
        </w:rPr>
        <w:footnoteReference w:customMarkFollows="1" w:id="118"/>
        <w:t>2</w:t>
      </w:r>
      <w:r>
        <w:rPr>
          <w:rFonts w:ascii="Arial" w:eastAsia="Arial" w:hAnsi="Arial" w:cs="Arial"/>
          <w:color w:val="000000"/>
          <w:sz w:val="20"/>
        </w:rPr>
        <w:t xml:space="preserve"> And it was this issue that the jury appeared to be concerned with in its second note to the district court, i.e., whether the FMLA applied to Dansie since he was, in the jury's words, "trying to obtain it" during part of the time period in question. To be sure, the  [*1204]  district court's instructions did not ask the jury to decide this issue. But, as the jury's note to the district court indicated, the jury's reading of Instruction No. 12 left it in doubt as to whether the FMLA applied to Dansie, and therefore whether Union Pacific could interfere with Dansie's FMLA rights by terminating him for layoffs and failures to report that occurred prior to him accumulating [**39]  the requisite hours-worked to qualify for FMLA leave.</w:t>
      </w:r>
    </w:p>
    <w:p w:rsidR="00022B47" w:rsidRDefault="00000000">
      <w:pPr>
        <w:pStyle w:val="Normal24"/>
        <w:widowControl w:val="0"/>
        <w:spacing w:before="200" w:line="260" w:lineRule="atLeast"/>
        <w:jc w:val="both"/>
      </w:pPr>
      <w:bookmarkStart w:id="4789" w:name="Bookmark_para_72_3"/>
      <w:bookmarkEnd w:id="4789"/>
      <w:r>
        <w:rPr>
          <w:rFonts w:ascii="Arial" w:eastAsia="Arial" w:hAnsi="Arial" w:cs="Arial"/>
          <w:color w:val="000000"/>
          <w:sz w:val="20"/>
        </w:rPr>
        <w:t>In my view, the jury's questions strongly suggest that the jury was well aware of the date upon which Dansie became eligible for FMLA leave (April 3, 2017), and were confused as to whether it was permissible for Union Pacific to punish Dansie, i.e., find him in violation of its attendance policy and in turn terminate his employment, based upon layoffs or failures to report that occurred prior to him becoming formally eligible for FMLA leave on April 3, 2017.</w:t>
      </w:r>
      <w:r>
        <w:rPr>
          <w:rFonts w:ascii="Arial" w:eastAsia="Arial" w:hAnsi="Arial" w:cs="Arial"/>
          <w:vertAlign w:val="superscript"/>
        </w:rPr>
        <w:footnoteReference w:customMarkFollows="1" w:id="119"/>
        <w:t>3</w:t>
      </w:r>
      <w:r>
        <w:rPr>
          <w:rFonts w:ascii="Arial" w:eastAsia="Arial" w:hAnsi="Arial" w:cs="Arial"/>
          <w:color w:val="000000"/>
          <w:sz w:val="20"/>
        </w:rPr>
        <w:t xml:space="preserve"> Contrary to the majority's suggestion, this confusion went to the central issue the jury was tasked with deciding, i.e., whether Union Pacific proved that its termination of Dansie's employment was unrelated to the exercise or attempted exercise of his FMLA rights.</w:t>
      </w:r>
    </w:p>
    <w:p w:rsidR="00022B47" w:rsidRDefault="00000000">
      <w:pPr>
        <w:pStyle w:val="Normal24"/>
        <w:widowControl w:val="0"/>
        <w:spacing w:before="200" w:line="260" w:lineRule="atLeast"/>
        <w:jc w:val="both"/>
      </w:pPr>
      <w:bookmarkStart w:id="4813" w:name="Bookmark_para_73_2"/>
      <w:bookmarkEnd w:id="4813"/>
      <w:r>
        <w:rPr>
          <w:rFonts w:ascii="Arial" w:eastAsia="Arial" w:hAnsi="Arial" w:cs="Arial"/>
          <w:color w:val="000000"/>
          <w:sz w:val="20"/>
        </w:rPr>
        <w:t>Consequently, the proper course in my view would have been for the district court to provide the jury with a supplemental instruction addressing the jury's question regarding Instruction No. 12.</w:t>
      </w:r>
      <w:r>
        <w:rPr>
          <w:rFonts w:ascii="Arial" w:eastAsia="Arial" w:hAnsi="Arial" w:cs="Arial"/>
          <w:vertAlign w:val="superscript"/>
        </w:rPr>
        <w:footnoteReference w:customMarkFollows="1" w:id="120"/>
        <w:t>4</w:t>
      </w:r>
      <w:r>
        <w:rPr>
          <w:rFonts w:ascii="Arial" w:eastAsia="Arial" w:hAnsi="Arial" w:cs="Arial"/>
          <w:color w:val="000000"/>
          <w:sz w:val="20"/>
        </w:rPr>
        <w:t xml:space="preserve"> That supplemental instruction should have, in my view, noted the other two elements of Dansie's claim and the fact that the district court had found in Dansie's favor on those two elements. Such an instruction would have [**40]  clarified for the jury that the fact that the bulk of Dansie's layoffs or failures to report occurred prior to April 3, 2017, did not mean that Union Pacific's termination of his employment was necessarily unrelated to the exercise or attempted exercise of his FMLA rights. Those prior layoffs or failures to report did not remove Dansie from FMLA coverage or in any way negate his rights under the FMLA.</w:t>
      </w:r>
    </w:p>
    <w:p w:rsidR="00022B47" w:rsidRDefault="00000000">
      <w:pPr>
        <w:pStyle w:val="Normal24"/>
        <w:widowControl w:val="0"/>
        <w:spacing w:before="200" w:line="260" w:lineRule="atLeast"/>
        <w:jc w:val="both"/>
      </w:pPr>
      <w:bookmarkStart w:id="4815" w:name="Bookmark_para_74_1"/>
      <w:bookmarkEnd w:id="4815"/>
      <w:r>
        <w:rPr>
          <w:rFonts w:ascii="Arial" w:eastAsia="Arial" w:hAnsi="Arial" w:cs="Arial"/>
          <w:color w:val="000000"/>
          <w:sz w:val="20"/>
        </w:rPr>
        <w:t>By failing to provide the jury with a supplemental instruction, and instead simply referring the jury back to the original instructions that did not discuss the first two elements of the claim, the district court effectively left the jury without an answer to their question. And that in turn  [*1205]  may have prejudiced Dansie because the jury, by not being informed of the district court's legal conclusion that Dansie was entitled to FMLA leave, may well have decided that Union Pacific did not interfere with Dansie's FMLA rights because Union Pacific based the termination on absences that largely occurred prior to Dansie accumulating the requisite hours and being approved by Union Pacific's Health and Medical Services Department for FMLA leave.</w:t>
      </w:r>
    </w:p>
    <w:p w:rsidR="00022B47" w:rsidRDefault="00000000">
      <w:pPr>
        <w:pStyle w:val="Normal24"/>
        <w:widowControl w:val="0"/>
        <w:spacing w:before="200" w:line="260" w:lineRule="atLeast"/>
        <w:jc w:val="both"/>
      </w:pPr>
      <w:bookmarkStart w:id="4816" w:name="Bookmark_para_75_1"/>
      <w:bookmarkStart w:id="4817" w:name="Bookmark_I263DNXD7SH0000360K00006"/>
      <w:bookmarkStart w:id="4818" w:name="Bookmark_I663D85W28T4B00010000400"/>
      <w:bookmarkEnd w:id="4816"/>
      <w:bookmarkEnd w:id="4817"/>
      <w:bookmarkEnd w:id="4818"/>
      <w:r>
        <w:rPr>
          <w:rFonts w:ascii="Arial" w:eastAsia="Arial" w:hAnsi="Arial" w:cs="Arial"/>
          <w:color w:val="000000"/>
          <w:sz w:val="20"/>
        </w:rPr>
        <w:t xml:space="preserve">For these reasons, I conclude that the district court [**41]  abused its discretion in refusing to provide supplemental instructions and, in turn, denying Dansie's motion for new trial. I in turn conclude that the proper remedy is to remand to the district court for a new trial. </w:t>
      </w:r>
      <w:r>
        <w:rPr>
          <w:rFonts w:ascii="Arial" w:eastAsia="Arial" w:hAnsi="Arial" w:cs="Arial"/>
          <w:i/>
          <w:color w:val="000000"/>
          <w:sz w:val="20"/>
        </w:rPr>
        <w:t xml:space="preserve">See generally </w:t>
      </w:r>
      <w:bookmarkStart w:id="4819" w:name="Bookmark_I663D85W2HM6RH0050000400"/>
      <w:bookmarkEnd w:id="4819"/>
      <w:r>
        <w:rPr>
          <w:rFonts w:ascii="Arial" w:eastAsia="Arial" w:hAnsi="Arial" w:cs="Arial"/>
          <w:i/>
          <w:color w:val="000000"/>
          <w:sz w:val="20"/>
        </w:rPr>
        <w:t>Exby-Stolley v. Bd. of Cty. Comm'rs</w:t>
      </w:r>
      <w:r>
        <w:rPr>
          <w:rFonts w:ascii="Arial" w:eastAsia="Arial" w:hAnsi="Arial" w:cs="Arial"/>
          <w:color w:val="000000"/>
          <w:sz w:val="20"/>
        </w:rPr>
        <w:t>, 979 F.3d 784, 820 (10th Cir. 2020) (noting that a district court's judgment must be reversed and the case remanded for a new trial if the jury might have based its verdict on an erroneously given instruction).</w:t>
      </w:r>
    </w:p>
    <w:p w:rsidR="00022B47" w:rsidRDefault="00022B47">
      <w:pPr>
        <w:pStyle w:val="Normal24"/>
      </w:pPr>
    </w:p>
    <w:p w:rsidR="00022B47" w:rsidRDefault="00000000">
      <w:pPr>
        <w:pStyle w:val="Normal24"/>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11488"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845330926"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F45F15" id="Line 54"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25"/>
        <w:sectPr w:rsidR="00022B47">
          <w:headerReference w:type="even" r:id="rId157"/>
          <w:headerReference w:type="default" r:id="rId158"/>
          <w:footerReference w:type="even" r:id="rId159"/>
          <w:footerReference w:type="default" r:id="rId160"/>
          <w:headerReference w:type="first" r:id="rId161"/>
          <w:footerReference w:type="first" r:id="rId162"/>
          <w:pgSz w:w="12240" w:h="15840"/>
          <w:pgMar w:top="840" w:right="1000" w:bottom="840" w:left="1000" w:header="400" w:footer="400" w:gutter="0"/>
          <w:cols w:space="720"/>
          <w:titlePg/>
        </w:sectPr>
      </w:pPr>
    </w:p>
    <w:p w:rsidR="00022B47" w:rsidRDefault="00022B47">
      <w:pPr>
        <w:pStyle w:val="Normal25"/>
      </w:pPr>
    </w:p>
    <w:p w:rsidR="00022B47" w:rsidRDefault="00000000">
      <w:pPr>
        <w:pStyle w:val="Heading124"/>
        <w:keepNext w:val="0"/>
        <w:widowControl w:val="0"/>
        <w:spacing w:after="200" w:line="340" w:lineRule="atLeast"/>
        <w:jc w:val="center"/>
      </w:pPr>
      <w:r>
        <w:rPr>
          <w:rFonts w:eastAsia="Arial"/>
          <w:color w:val="000000"/>
          <w:sz w:val="28"/>
        </w:rPr>
        <w:t>Love v. Marriott Hotel Servs.</w:t>
      </w:r>
    </w:p>
    <w:p w:rsidR="00022B47" w:rsidRDefault="00000000">
      <w:pPr>
        <w:pStyle w:val="Normal25"/>
        <w:widowControl w:val="0"/>
        <w:spacing w:before="120" w:line="260" w:lineRule="atLeast"/>
        <w:jc w:val="center"/>
      </w:pPr>
      <w:r>
        <w:rPr>
          <w:rFonts w:ascii="Arial" w:eastAsia="Arial" w:hAnsi="Arial" w:cs="Arial"/>
          <w:color w:val="000000"/>
          <w:sz w:val="20"/>
        </w:rPr>
        <w:t>United States Court of Appeals for the Ninth Circuit</w:t>
      </w:r>
    </w:p>
    <w:p w:rsidR="00022B47" w:rsidRDefault="00000000">
      <w:pPr>
        <w:pStyle w:val="Normal25"/>
        <w:widowControl w:val="0"/>
        <w:spacing w:before="120" w:line="260" w:lineRule="atLeast"/>
        <w:jc w:val="center"/>
      </w:pPr>
      <w:r>
        <w:rPr>
          <w:rFonts w:ascii="Arial" w:eastAsia="Arial" w:hAnsi="Arial" w:cs="Arial"/>
          <w:color w:val="000000"/>
          <w:sz w:val="20"/>
        </w:rPr>
        <w:t>February 14, 2022, Argued and Submitted, San Francisco, California; July 22, 2022, Filed</w:t>
      </w:r>
    </w:p>
    <w:p w:rsidR="00022B47" w:rsidRDefault="00000000">
      <w:pPr>
        <w:pStyle w:val="Normal25"/>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21-15458</w:t>
      </w:r>
    </w:p>
    <w:p w:rsidR="00022B47" w:rsidRDefault="00022B47">
      <w:pPr>
        <w:pStyle w:val="Normal25"/>
        <w:widowControl w:val="0"/>
        <w:spacing w:line="240" w:lineRule="atLeast"/>
        <w:jc w:val="both"/>
      </w:pPr>
      <w:bookmarkStart w:id="4820" w:name="Bookmark_26"/>
      <w:bookmarkEnd w:id="4820"/>
    </w:p>
    <w:p w:rsidR="00022B47" w:rsidRDefault="00000000">
      <w:pPr>
        <w:pStyle w:val="Normal25"/>
        <w:widowControl w:val="0"/>
        <w:spacing w:before="200" w:line="240" w:lineRule="atLeast"/>
      </w:pPr>
      <w:bookmarkStart w:id="4821" w:name="Reporter_24"/>
      <w:bookmarkEnd w:id="4821"/>
      <w:r>
        <w:rPr>
          <w:rFonts w:ascii="Arial" w:eastAsia="Arial" w:hAnsi="Arial" w:cs="Arial"/>
          <w:b/>
          <w:color w:val="000000"/>
          <w:sz w:val="18"/>
        </w:rPr>
        <w:t>Reporter</w:t>
      </w:r>
    </w:p>
    <w:p w:rsidR="00022B47" w:rsidRDefault="00000000">
      <w:pPr>
        <w:pStyle w:val="Normal25"/>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40 F.4th 1043 *; 2022 U.S. App. LEXIS 20267 **</w:t>
      </w:r>
    </w:p>
    <w:p w:rsidR="00022B47" w:rsidRDefault="00000000">
      <w:pPr>
        <w:pStyle w:val="Normal25"/>
        <w:widowControl w:val="0"/>
        <w:spacing w:before="120" w:line="260" w:lineRule="atLeast"/>
      </w:pPr>
      <w:r>
        <w:rPr>
          <w:rFonts w:ascii="Arial" w:eastAsia="Arial" w:hAnsi="Arial" w:cs="Arial"/>
          <w:color w:val="000000"/>
          <w:sz w:val="20"/>
        </w:rPr>
        <w:t>SAMUEL LOVE, Plaintiff-Appellant, v. MARRIOTT HOTEL SERVICES, INC., a Delaware Corporation, Defendant-Appellee.</w:t>
      </w:r>
    </w:p>
    <w:p w:rsidR="00022B47" w:rsidRDefault="00000000">
      <w:pPr>
        <w:pStyle w:val="Normal25"/>
        <w:widowControl w:val="0"/>
        <w:spacing w:before="240" w:line="260" w:lineRule="atLeast"/>
      </w:pPr>
      <w:bookmarkStart w:id="4822" w:name="Subsequent_History_2"/>
      <w:bookmarkEnd w:id="4822"/>
      <w:r>
        <w:rPr>
          <w:rFonts w:ascii="Arial" w:eastAsia="Arial" w:hAnsi="Arial" w:cs="Arial"/>
          <w:b/>
          <w:color w:val="000000"/>
          <w:sz w:val="20"/>
        </w:rPr>
        <w:t>Subsequent History:</w:t>
      </w:r>
      <w:r>
        <w:rPr>
          <w:rFonts w:ascii="Arial" w:eastAsia="Arial" w:hAnsi="Arial" w:cs="Arial"/>
          <w:color w:val="000000"/>
          <w:sz w:val="20"/>
        </w:rPr>
        <w:t> Rehearing denied by, En banc, Rehearing denied by Love v. Marriott Hotel Servs., 2022 U.S. App. LEXIS 26280 (9th Cir. Cal., Sept. 20, 2022)</w:t>
      </w:r>
    </w:p>
    <w:p w:rsidR="00022B47" w:rsidRDefault="00000000">
      <w:pPr>
        <w:pStyle w:val="Normal25"/>
        <w:widowControl w:val="0"/>
        <w:spacing w:before="240" w:line="260" w:lineRule="atLeast"/>
        <w:jc w:val="both"/>
      </w:pPr>
      <w:bookmarkStart w:id="4823" w:name="Prior_History_24"/>
      <w:bookmarkEnd w:id="4823"/>
      <w:r>
        <w:rPr>
          <w:rFonts w:ascii="Arial" w:eastAsia="Arial" w:hAnsi="Arial" w:cs="Arial"/>
          <w:b/>
          <w:color w:val="000000"/>
          <w:sz w:val="20"/>
        </w:rPr>
        <w:t>Prior History:</w:t>
      </w:r>
      <w:r>
        <w:rPr>
          <w:rFonts w:ascii="Arial" w:eastAsia="Arial" w:hAnsi="Arial" w:cs="Arial"/>
          <w:color w:val="000000"/>
          <w:sz w:val="20"/>
        </w:rPr>
        <w:t> </w:t>
      </w:r>
      <w:bookmarkStart w:id="4824" w:name="Bookmark_para_1_24"/>
      <w:bookmarkEnd w:id="4824"/>
      <w:r>
        <w:rPr>
          <w:rFonts w:ascii="Arial" w:eastAsia="Arial" w:hAnsi="Arial" w:cs="Arial"/>
          <w:color w:val="000000"/>
          <w:sz w:val="20"/>
        </w:rPr>
        <w:t> [**1] Appeal from the United States District Court for the Northern District of California. D.C. No. 3:20-cv-07137-TSH. Thomas S. Hixson, Magistrate Judge, Presiding.</w:t>
      </w:r>
    </w:p>
    <w:p w:rsidR="00022B47" w:rsidRDefault="00000000">
      <w:pPr>
        <w:pStyle w:val="Normal25"/>
        <w:widowControl w:val="0"/>
        <w:spacing w:before="120" w:line="260" w:lineRule="atLeast"/>
      </w:pPr>
      <w:r>
        <w:rPr>
          <w:rFonts w:ascii="Arial" w:eastAsia="Arial" w:hAnsi="Arial" w:cs="Arial"/>
          <w:color w:val="000000"/>
          <w:sz w:val="20"/>
        </w:rPr>
        <w:t>Love v. Marriott Hotel Servs., 2021 U.S. Dist. LEXIS 41081, 2021 WL 810252 (N.D. Cal., Mar. 3, 2021)</w:t>
      </w:r>
    </w:p>
    <w:p w:rsidR="00022B47" w:rsidRDefault="00000000">
      <w:pPr>
        <w:pStyle w:val="Normal25"/>
        <w:widowControl w:val="0"/>
        <w:spacing w:before="240" w:line="260" w:lineRule="atLeast"/>
      </w:pPr>
      <w:bookmarkStart w:id="4825" w:name="Summary"/>
      <w:bookmarkEnd w:id="4825"/>
      <w:r>
        <w:rPr>
          <w:rFonts w:ascii="Arial" w:eastAsia="Arial" w:hAnsi="Arial" w:cs="Arial"/>
          <w:b/>
          <w:color w:val="000000"/>
          <w:sz w:val="20"/>
        </w:rPr>
        <w:t>Summary:</w:t>
      </w:r>
    </w:p>
    <w:p w:rsidR="00022B47" w:rsidRDefault="00000000">
      <w:pPr>
        <w:pStyle w:val="Normal25"/>
        <w:widowControl w:val="0"/>
        <w:spacing w:before="240" w:line="260" w:lineRule="atLeast"/>
        <w:jc w:val="both"/>
      </w:pPr>
      <w:bookmarkStart w:id="4826" w:name="Bookmark_clspara_4_4"/>
      <w:bookmarkEnd w:id="4826"/>
      <w:r>
        <w:rPr>
          <w:rFonts w:ascii="Arial" w:eastAsia="Arial" w:hAnsi="Arial" w:cs="Arial"/>
          <w:b/>
          <w:color w:val="000000"/>
          <w:sz w:val="20"/>
        </w:rPr>
        <w:t>SUMMARY</w:t>
      </w:r>
      <w:r>
        <w:rPr>
          <w:rFonts w:ascii="Arial" w:eastAsia="Arial" w:hAnsi="Arial" w:cs="Arial"/>
          <w:vertAlign w:val="superscript"/>
        </w:rPr>
        <w:footnoteReference w:customMarkFollows="1" w:id="121"/>
        <w:t>**</w:t>
      </w:r>
    </w:p>
    <w:p w:rsidR="00022B47" w:rsidRDefault="00000000">
      <w:pPr>
        <w:pStyle w:val="Normal25"/>
        <w:widowControl w:val="0"/>
        <w:spacing w:before="240" w:line="260" w:lineRule="atLeast"/>
        <w:jc w:val="both"/>
      </w:pPr>
      <w:bookmarkStart w:id="4828" w:name="Bookmark_clspara_5"/>
      <w:bookmarkEnd w:id="4828"/>
      <w:r>
        <w:rPr>
          <w:rFonts w:ascii="Arial" w:eastAsia="Arial" w:hAnsi="Arial" w:cs="Arial"/>
          <w:b/>
          <w:color w:val="000000"/>
          <w:sz w:val="20"/>
        </w:rPr>
        <w:t>Americans with Disabilities Act</w:t>
      </w:r>
    </w:p>
    <w:p w:rsidR="00022B47" w:rsidRDefault="00000000">
      <w:pPr>
        <w:pStyle w:val="Normal25"/>
        <w:widowControl w:val="0"/>
        <w:spacing w:before="240" w:line="260" w:lineRule="atLeast"/>
        <w:jc w:val="both"/>
      </w:pPr>
      <w:bookmarkStart w:id="4829" w:name="Bookmark_clspara_6"/>
      <w:bookmarkEnd w:id="4829"/>
      <w:r>
        <w:rPr>
          <w:rFonts w:ascii="Arial" w:eastAsia="Arial" w:hAnsi="Arial" w:cs="Arial"/>
          <w:color w:val="000000"/>
          <w:sz w:val="20"/>
        </w:rPr>
        <w:t>The panel affirmed the district court's dismissal, for failure to state a claim, of an action under Title III of the Americans with Disabilities Act, alleging that a hotel's reservation website failed to comply with the "Reservations Rule," 28 C.F.R. § 36.302(e)(1), which regulates the accessibility information that hotels must post on their online booking sites.</w:t>
      </w:r>
    </w:p>
    <w:p w:rsidR="00022B47" w:rsidRDefault="00000000">
      <w:pPr>
        <w:pStyle w:val="Normal25"/>
        <w:widowControl w:val="0"/>
        <w:spacing w:before="240" w:line="260" w:lineRule="atLeast"/>
        <w:jc w:val="both"/>
      </w:pPr>
      <w:bookmarkStart w:id="4830" w:name="Bookmark_clspara_7"/>
      <w:bookmarkEnd w:id="4830"/>
      <w:r>
        <w:rPr>
          <w:rFonts w:ascii="Arial" w:eastAsia="Arial" w:hAnsi="Arial" w:cs="Arial"/>
          <w:color w:val="000000"/>
          <w:sz w:val="20"/>
        </w:rPr>
        <w:t>Addressing "</w:t>
      </w:r>
      <w:r>
        <w:rPr>
          <w:rFonts w:ascii="Arial" w:eastAsia="Arial" w:hAnsi="Arial" w:cs="Arial"/>
          <w:i/>
          <w:color w:val="000000"/>
          <w:sz w:val="20"/>
        </w:rPr>
        <w:t>Auer</w:t>
      </w:r>
      <w:r>
        <w:rPr>
          <w:rFonts w:ascii="Arial" w:eastAsia="Arial" w:hAnsi="Arial" w:cs="Arial"/>
          <w:color w:val="000000"/>
          <w:sz w:val="20"/>
        </w:rPr>
        <w:t xml:space="preserve"> deference" to an agency's construction of its own regulation, the panel concluded that the Reservations Rule was ambiguous in its directive that hotels "[i]dentify and describe accessible features" in "enough detail to reasonably permit individuals with disabilities to assess independently" whether the hotel's offerings suit their needs. To resolve that ambiguity, the panel deferred to the Department of Justice's sound and reasonable interpretation of that rule (the "DOJ Guidance"), published in an appendix to the Code of Federal Regulations. The panel concluded that the defendant's website satisfied the DOJ Guidance and thus the Reservations Rule, which contains different [**2]  requirements depending on the age of a building. The panel concluded that this distinction did not matter here because defendant's website passed muster under either set of requirements.</w:t>
      </w:r>
    </w:p>
    <w:p w:rsidR="00022B47" w:rsidRDefault="00000000">
      <w:pPr>
        <w:pStyle w:val="Normal25"/>
        <w:widowControl w:val="0"/>
        <w:spacing w:before="240" w:line="260" w:lineRule="atLeast"/>
      </w:pPr>
      <w:bookmarkStart w:id="4831" w:name="Counsel_24"/>
      <w:bookmarkEnd w:id="4831"/>
      <w:r>
        <w:rPr>
          <w:rFonts w:ascii="Arial" w:eastAsia="Arial" w:hAnsi="Arial" w:cs="Arial"/>
          <w:b/>
          <w:color w:val="000000"/>
          <w:sz w:val="20"/>
        </w:rPr>
        <w:t>Counsel:</w:t>
      </w:r>
      <w:r>
        <w:rPr>
          <w:rFonts w:ascii="Arial" w:eastAsia="Arial" w:hAnsi="Arial" w:cs="Arial"/>
          <w:color w:val="000000"/>
          <w:sz w:val="20"/>
        </w:rPr>
        <w:t> Dennis Price (argued) and Russell Handy, Center for Disability Access, San Diego, California, for Plaintiff-Appellant.</w:t>
      </w:r>
    </w:p>
    <w:p w:rsidR="00022B47" w:rsidRDefault="00000000">
      <w:pPr>
        <w:pStyle w:val="Normal25"/>
        <w:widowControl w:val="0"/>
        <w:spacing w:before="120" w:line="260" w:lineRule="atLeast"/>
      </w:pPr>
      <w:r>
        <w:rPr>
          <w:rFonts w:ascii="Arial" w:eastAsia="Arial" w:hAnsi="Arial" w:cs="Arial"/>
          <w:color w:val="000000"/>
          <w:sz w:val="20"/>
        </w:rPr>
        <w:t>Philip H. Stillman (argued), Stillman &amp; Associates, Miami Beach, Florida, for Defendant-Appellee.</w:t>
      </w:r>
    </w:p>
    <w:p w:rsidR="00022B47" w:rsidRDefault="00000000">
      <w:pPr>
        <w:pStyle w:val="Normal25"/>
        <w:widowControl w:val="0"/>
        <w:spacing w:before="120" w:line="260" w:lineRule="atLeast"/>
      </w:pPr>
      <w:r>
        <w:rPr>
          <w:rFonts w:ascii="Arial" w:eastAsia="Arial" w:hAnsi="Arial" w:cs="Arial"/>
          <w:color w:val="000000"/>
          <w:sz w:val="20"/>
        </w:rPr>
        <w:t>Minh N. Vu (argued), Seyfarth Shaw LLP, Washington, D.C.; Michael E. Steinberg, Boston, Massachusetts; for Amicus Curiae American Hotel &amp; Lodging Association.</w:t>
      </w:r>
    </w:p>
    <w:p w:rsidR="00022B47" w:rsidRDefault="00000000">
      <w:pPr>
        <w:pStyle w:val="Normal25"/>
        <w:widowControl w:val="0"/>
        <w:spacing w:before="240" w:line="260" w:lineRule="atLeast"/>
      </w:pPr>
      <w:bookmarkStart w:id="4832" w:name="Judges_24"/>
      <w:bookmarkEnd w:id="4832"/>
      <w:r>
        <w:rPr>
          <w:rFonts w:ascii="Arial" w:eastAsia="Arial" w:hAnsi="Arial" w:cs="Arial"/>
          <w:b/>
          <w:color w:val="000000"/>
          <w:sz w:val="20"/>
        </w:rPr>
        <w:t>Judges:</w:t>
      </w:r>
      <w:r>
        <w:rPr>
          <w:rFonts w:ascii="Arial" w:eastAsia="Arial" w:hAnsi="Arial" w:cs="Arial"/>
          <w:color w:val="000000"/>
          <w:sz w:val="20"/>
        </w:rPr>
        <w:t> Before: M. Margaret McKeown and William A. Fletcher, Circuit Judges, and Kathryn H. Vratil,</w:t>
      </w:r>
      <w:r>
        <w:rPr>
          <w:rFonts w:ascii="Arial" w:eastAsia="Arial" w:hAnsi="Arial" w:cs="Arial"/>
          <w:vertAlign w:val="superscript"/>
        </w:rPr>
        <w:footnoteReference w:customMarkFollows="1" w:id="122"/>
        <w:t>*</w:t>
      </w:r>
      <w:r>
        <w:rPr>
          <w:rFonts w:ascii="Arial" w:eastAsia="Arial" w:hAnsi="Arial" w:cs="Arial"/>
          <w:color w:val="000000"/>
          <w:sz w:val="20"/>
        </w:rPr>
        <w:t xml:space="preserve"> District Judge. Opinion by Judge McKeown.</w:t>
      </w:r>
    </w:p>
    <w:p w:rsidR="00022B47" w:rsidRDefault="00000000">
      <w:pPr>
        <w:pStyle w:val="Normal25"/>
        <w:widowControl w:val="0"/>
        <w:spacing w:before="240" w:line="260" w:lineRule="atLeast"/>
      </w:pPr>
      <w:bookmarkStart w:id="4834" w:name="Opinion_by_14"/>
      <w:bookmarkEnd w:id="4834"/>
      <w:r>
        <w:rPr>
          <w:rFonts w:ascii="Arial" w:eastAsia="Arial" w:hAnsi="Arial" w:cs="Arial"/>
          <w:b/>
          <w:color w:val="000000"/>
          <w:sz w:val="20"/>
        </w:rPr>
        <w:t>Opinion by:</w:t>
      </w:r>
      <w:r>
        <w:rPr>
          <w:rFonts w:ascii="Arial" w:eastAsia="Arial" w:hAnsi="Arial" w:cs="Arial"/>
          <w:color w:val="000000"/>
          <w:sz w:val="20"/>
        </w:rPr>
        <w:t> M. Margaret McKeown</w:t>
      </w:r>
    </w:p>
    <w:p w:rsidR="00022B47" w:rsidRDefault="00000000">
      <w:pPr>
        <w:pStyle w:val="Normal25"/>
        <w:keepNext/>
        <w:widowControl w:val="0"/>
        <w:spacing w:before="240" w:line="340" w:lineRule="atLeast"/>
      </w:pPr>
      <w:bookmarkStart w:id="4835" w:name="Opinion_24"/>
      <w:bookmarkEnd w:id="4835"/>
      <w:r>
        <w:rPr>
          <w:rFonts w:ascii="Arial" w:eastAsia="Arial" w:hAnsi="Arial" w:cs="Arial"/>
          <w:b/>
          <w:color w:val="000000"/>
          <w:sz w:val="28"/>
        </w:rPr>
        <w:t>Opinion</w:t>
      </w:r>
    </w:p>
    <w:p w:rsidR="00022B47" w:rsidRDefault="0025213E">
      <w:pPr>
        <w:pStyle w:val="Normal25"/>
        <w:spacing w:line="60" w:lineRule="exact"/>
      </w:pPr>
      <w:r>
        <w:rPr>
          <w:noProof/>
        </w:rPr>
        <mc:AlternateContent>
          <mc:Choice Requires="wps">
            <w:drawing>
              <wp:anchor distT="0" distB="0" distL="114300" distR="114300" simplePos="0" relativeHeight="251712512"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019895832"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60D20B" id="Line 55"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25"/>
      </w:pPr>
    </w:p>
    <w:p w:rsidR="00022B47" w:rsidRDefault="00000000">
      <w:pPr>
        <w:pStyle w:val="Normal25"/>
        <w:widowControl w:val="0"/>
        <w:spacing w:before="200" w:line="260" w:lineRule="atLeast"/>
        <w:jc w:val="both"/>
      </w:pPr>
      <w:bookmarkStart w:id="4836" w:name="Bookmark_para_2_24"/>
      <w:bookmarkEnd w:id="4836"/>
      <w:r>
        <w:rPr>
          <w:rFonts w:ascii="Arial" w:eastAsia="Arial" w:hAnsi="Arial" w:cs="Arial"/>
          <w:color w:val="000000"/>
          <w:sz w:val="20"/>
        </w:rPr>
        <w:t> [*1045]  McKEOWN, Circuit Judge:</w:t>
      </w:r>
    </w:p>
    <w:p w:rsidR="00022B47" w:rsidRDefault="00000000">
      <w:pPr>
        <w:pStyle w:val="Normal25"/>
        <w:widowControl w:val="0"/>
        <w:spacing w:before="200" w:line="260" w:lineRule="atLeast"/>
        <w:jc w:val="both"/>
      </w:pPr>
      <w:bookmarkStart w:id="4837" w:name="Bookmark_para_3_24"/>
      <w:bookmarkStart w:id="4838" w:name="Bookmark_LNHNREFclscc1_22"/>
      <w:bookmarkEnd w:id="4837"/>
      <w:bookmarkEnd w:id="4838"/>
      <w:r>
        <w:rPr>
          <w:rFonts w:ascii="Arial" w:eastAsia="Arial" w:hAnsi="Arial" w:cs="Arial"/>
          <w:color w:val="000000"/>
          <w:sz w:val="20"/>
        </w:rPr>
        <w:t xml:space="preserve">The Americans with Disabilities Act ("ADA") bars discrimination in public life against people with disabilities. </w:t>
      </w:r>
      <w:r>
        <w:rPr>
          <w:rFonts w:ascii="Arial" w:eastAsia="Arial" w:hAnsi="Arial" w:cs="Arial"/>
          <w:i/>
          <w:color w:val="000000"/>
          <w:sz w:val="20"/>
        </w:rPr>
        <w:t>See</w:t>
      </w:r>
      <w:r>
        <w:rPr>
          <w:rFonts w:ascii="Arial" w:eastAsia="Arial" w:hAnsi="Arial" w:cs="Arial"/>
          <w:color w:val="000000"/>
          <w:sz w:val="20"/>
        </w:rPr>
        <w:t xml:space="preserve"> 42 U.S.C. § 12101 </w:t>
      </w:r>
      <w:r>
        <w:rPr>
          <w:rFonts w:ascii="Arial" w:eastAsia="Arial" w:hAnsi="Arial" w:cs="Arial"/>
          <w:i/>
          <w:color w:val="000000"/>
          <w:sz w:val="20"/>
        </w:rPr>
        <w:t>et seq.</w:t>
      </w:r>
      <w:r>
        <w:rPr>
          <w:rFonts w:ascii="Arial" w:eastAsia="Arial" w:hAnsi="Arial" w:cs="Arial"/>
          <w:color w:val="000000"/>
          <w:sz w:val="20"/>
        </w:rPr>
        <w:t xml:space="preserve"> Congress has delegated to the Department of Justice ("DOJ") the responsibility of promulgating regulations under the ADA. </w:t>
      </w:r>
      <w:r>
        <w:rPr>
          <w:rFonts w:ascii="Arial" w:eastAsia="Arial" w:hAnsi="Arial" w:cs="Arial"/>
          <w:i/>
          <w:color w:val="000000"/>
          <w:sz w:val="20"/>
        </w:rPr>
        <w:t>Id.</w:t>
      </w:r>
      <w:r>
        <w:rPr>
          <w:rFonts w:ascii="Arial" w:eastAsia="Arial" w:hAnsi="Arial" w:cs="Arial"/>
          <w:color w:val="000000"/>
          <w:sz w:val="20"/>
        </w:rPr>
        <w:t xml:space="preserve"> § 12186(b). The regulation at issue in this appeal is the "Reservations Rule," which regulates the accessibility information that hotels must post on their online booking websites. 28 C.F.R. § 36.302(e)(1). The Reservations Rule is ambiguous in its directive that hotels "[i]dentify and describe [**3]  accessible features" in "enough detail to reasonably permit individuals with disabilities to assess independently" whether the hotel's offerings suit their needs. </w:t>
      </w:r>
      <w:r>
        <w:rPr>
          <w:rFonts w:ascii="Arial" w:eastAsia="Arial" w:hAnsi="Arial" w:cs="Arial"/>
          <w:i/>
          <w:color w:val="000000"/>
          <w:sz w:val="20"/>
        </w:rPr>
        <w:t>Id.</w:t>
      </w:r>
      <w:r>
        <w:rPr>
          <w:rFonts w:ascii="Arial" w:eastAsia="Arial" w:hAnsi="Arial" w:cs="Arial"/>
          <w:color w:val="000000"/>
          <w:sz w:val="20"/>
        </w:rPr>
        <w:t xml:space="preserve"> § 36.302(e)(1)(ii). To resolve that ambiguity, we defer to the DOJ's sound and reasoned interpretation of that rule (the "DOJ Guidance"), which DOJ published in an appendix to the Code of Federal Regulations. 28 C.F.R. pt. 35, app. A. We conclude that Marriott's website satisfies the DOJ Guidance and thus the Reservations Rule.</w:t>
      </w:r>
    </w:p>
    <w:p w:rsidR="00022B47" w:rsidRDefault="00000000">
      <w:pPr>
        <w:pStyle w:val="Normal25"/>
        <w:widowControl w:val="0"/>
        <w:spacing w:before="240" w:line="260" w:lineRule="atLeast"/>
      </w:pPr>
      <w:r>
        <w:br/>
      </w:r>
      <w:r>
        <w:rPr>
          <w:rFonts w:ascii="Arial" w:eastAsia="Arial" w:hAnsi="Arial" w:cs="Arial"/>
          <w:b/>
          <w:color w:val="000000"/>
          <w:sz w:val="20"/>
        </w:rPr>
        <w:t xml:space="preserve">I. </w:t>
      </w:r>
      <w:r>
        <w:rPr>
          <w:rFonts w:ascii="Arial" w:eastAsia="Arial" w:hAnsi="Arial" w:cs="Arial"/>
          <w:b/>
          <w:smallCaps/>
          <w:color w:val="000000"/>
          <w:sz w:val="20"/>
        </w:rPr>
        <w:t>Background</w:t>
      </w:r>
    </w:p>
    <w:p w:rsidR="00022B47" w:rsidRDefault="00000000">
      <w:pPr>
        <w:pStyle w:val="Normal25"/>
        <w:widowControl w:val="0"/>
        <w:spacing w:before="200" w:line="260" w:lineRule="atLeast"/>
        <w:jc w:val="both"/>
      </w:pPr>
      <w:bookmarkStart w:id="4839" w:name="Bookmark_para_4_24"/>
      <w:bookmarkEnd w:id="4839"/>
      <w:r>
        <w:rPr>
          <w:rFonts w:ascii="Arial" w:eastAsia="Arial" w:hAnsi="Arial" w:cs="Arial"/>
          <w:color w:val="000000"/>
          <w:sz w:val="20"/>
        </w:rPr>
        <w:t>Samuel Love has paraplegia and uses a wheelchair for mobility. His condition makes it difficult or impossible for Love to stand, walk, reach objects above his shoulders, transfer from his wheelchair to other equipment, and maneuver around fixed objects. Preparing to travel to San Francisco in February 2021, Love tried to book a room at the downtown Marriott Marquis using the hotel's online reservation website. According to Love, the website lacked sufficient information about the hotel's accessibility features, which prompted him to sue Marriott Hotel Services Inc. ("Marriott") under the ADA. Love takes issue with the website's description of "Accessible Hotel Features," and its list of accessible features in some guestrooms. [**4]  In addition to that list, the website provided information for different types of rooms, including the size and number of beds, the type of accessible bathing facility, and the accessible communications features available in the room. The website listed a phone number for prospective guests to call with inquiries about "the physical features of [the hotel's] accessible rooms, common areas, or special services relating to a specific disability."</w:t>
      </w:r>
    </w:p>
    <w:p w:rsidR="00022B47" w:rsidRDefault="00000000">
      <w:pPr>
        <w:pStyle w:val="Normal25"/>
        <w:widowControl w:val="0"/>
        <w:spacing w:before="200" w:line="260" w:lineRule="atLeast"/>
        <w:jc w:val="both"/>
      </w:pPr>
      <w:bookmarkStart w:id="4840" w:name="Bookmark_para_5_24"/>
      <w:bookmarkEnd w:id="4840"/>
      <w:r>
        <w:rPr>
          <w:rFonts w:ascii="Arial" w:eastAsia="Arial" w:hAnsi="Arial" w:cs="Arial"/>
          <w:color w:val="000000"/>
          <w:sz w:val="20"/>
        </w:rPr>
        <w:t>Love contends that this information was insufficient to permit him to assess whether a given hotel room would meet his accessibility needs. Because Love uses a wheelchair, he alleges he needed to know whether there was at least 30 inches of maneuvering space beside the bed, whether the sink and mirror had enough clearance to be used from a wheelchair, whether there were grab bars mounted near the toilet and shower, whether the shower had a seat and detachable hand-held wand, and whether the heights of the toilet and bathing facilities were appropriate.</w:t>
      </w:r>
    </w:p>
    <w:p w:rsidR="00022B47" w:rsidRDefault="00000000">
      <w:pPr>
        <w:pStyle w:val="Normal25"/>
        <w:widowControl w:val="0"/>
        <w:spacing w:before="200" w:line="260" w:lineRule="atLeast"/>
        <w:jc w:val="both"/>
      </w:pPr>
      <w:bookmarkStart w:id="4841" w:name="Bookmark_para_6_24"/>
      <w:bookmarkEnd w:id="4841"/>
      <w:r>
        <w:rPr>
          <w:rFonts w:ascii="Arial" w:eastAsia="Arial" w:hAnsi="Arial" w:cs="Arial"/>
          <w:color w:val="000000"/>
          <w:sz w:val="20"/>
        </w:rPr>
        <w:t>Love claims that Marriott's failure to post this information on the reservation website violated the ADA and its implementing regulations. The district court granted Marriott's motion to dismiss [**5]  under Federal Rule of Civil Procedure 12(b)(6), finding that the website complied with the DOJ Guidance and satisfied the Reservations Rule.</w:t>
      </w:r>
    </w:p>
    <w:p w:rsidR="00022B47" w:rsidRDefault="00000000">
      <w:pPr>
        <w:pStyle w:val="Normal25"/>
        <w:widowControl w:val="0"/>
        <w:spacing w:before="240" w:line="260" w:lineRule="atLeast"/>
      </w:pPr>
      <w:r>
        <w:br/>
      </w:r>
      <w:r>
        <w:rPr>
          <w:rFonts w:ascii="Arial" w:eastAsia="Arial" w:hAnsi="Arial" w:cs="Arial"/>
          <w:b/>
          <w:color w:val="000000"/>
          <w:sz w:val="20"/>
        </w:rPr>
        <w:t xml:space="preserve">II. </w:t>
      </w:r>
      <w:r>
        <w:rPr>
          <w:rFonts w:ascii="Arial" w:eastAsia="Arial" w:hAnsi="Arial" w:cs="Arial"/>
          <w:b/>
          <w:smallCaps/>
          <w:color w:val="000000"/>
          <w:sz w:val="20"/>
        </w:rPr>
        <w:t>Analysis</w:t>
      </w:r>
    </w:p>
    <w:p w:rsidR="00022B47" w:rsidRDefault="00000000">
      <w:pPr>
        <w:pStyle w:val="Normal25"/>
        <w:widowControl w:val="0"/>
        <w:spacing w:before="200" w:line="260" w:lineRule="atLeast"/>
        <w:jc w:val="both"/>
      </w:pPr>
      <w:bookmarkStart w:id="4842" w:name="Bookmark_para_7_24"/>
      <w:bookmarkStart w:id="4843" w:name="Bookmark_I6618JP72N1R750020000400"/>
      <w:bookmarkStart w:id="4844" w:name="Bookmark_LNHNREFclscc2_22"/>
      <w:bookmarkEnd w:id="4842"/>
      <w:bookmarkEnd w:id="4843"/>
      <w:bookmarkEnd w:id="4844"/>
      <w:r>
        <w:rPr>
          <w:rFonts w:ascii="Arial" w:eastAsia="Arial" w:hAnsi="Arial" w:cs="Arial"/>
          <w:color w:val="000000"/>
          <w:sz w:val="20"/>
        </w:rPr>
        <w:t xml:space="preserve">In our de novo review of the district court's dismissal under Rule 12(b)(6), we accept as true all factual allegations in the complaint, construing the pleadings in the light most favorable to Love, the nonmoving party. </w:t>
      </w:r>
      <w:bookmarkStart w:id="4845" w:name="Bookmark_I6618JP72N1R750010000400"/>
      <w:bookmarkEnd w:id="4845"/>
      <w:r>
        <w:rPr>
          <w:rFonts w:ascii="Arial" w:eastAsia="Arial" w:hAnsi="Arial" w:cs="Arial"/>
          <w:i/>
          <w:color w:val="000000"/>
          <w:sz w:val="20"/>
        </w:rPr>
        <w:t>Curtis v. Irwin Indus., Inc.</w:t>
      </w:r>
      <w:r>
        <w:rPr>
          <w:rFonts w:ascii="Arial" w:eastAsia="Arial" w:hAnsi="Arial" w:cs="Arial"/>
          <w:color w:val="000000"/>
          <w:sz w:val="20"/>
        </w:rPr>
        <w:t>, 913 F.3d 1146, 1151 (9th Cir. 2019).</w:t>
      </w:r>
    </w:p>
    <w:p w:rsidR="00022B47" w:rsidRDefault="00000000">
      <w:pPr>
        <w:pStyle w:val="Normal25"/>
        <w:widowControl w:val="0"/>
        <w:spacing w:before="240" w:line="260" w:lineRule="atLeast"/>
      </w:pPr>
      <w:r>
        <w:br/>
      </w:r>
      <w:r>
        <w:rPr>
          <w:rFonts w:ascii="Arial" w:eastAsia="Arial" w:hAnsi="Arial" w:cs="Arial"/>
          <w:color w:val="000000"/>
          <w:sz w:val="20"/>
        </w:rPr>
        <w:t xml:space="preserve"> [*1046]  </w:t>
      </w:r>
      <w:r>
        <w:rPr>
          <w:rFonts w:ascii="Arial" w:eastAsia="Arial" w:hAnsi="Arial" w:cs="Arial"/>
          <w:b/>
          <w:color w:val="000000"/>
          <w:sz w:val="20"/>
        </w:rPr>
        <w:t xml:space="preserve">A. </w:t>
      </w:r>
      <w:r>
        <w:rPr>
          <w:rFonts w:ascii="Arial" w:eastAsia="Arial" w:hAnsi="Arial" w:cs="Arial"/>
          <w:b/>
          <w:smallCaps/>
          <w:color w:val="000000"/>
          <w:sz w:val="20"/>
        </w:rPr>
        <w:t>Regulatory Framework</w:t>
      </w:r>
    </w:p>
    <w:p w:rsidR="00022B47" w:rsidRDefault="00000000">
      <w:pPr>
        <w:pStyle w:val="Normal25"/>
        <w:widowControl w:val="0"/>
        <w:spacing w:before="200" w:line="260" w:lineRule="atLeast"/>
        <w:jc w:val="both"/>
      </w:pPr>
      <w:bookmarkStart w:id="4846" w:name="Bookmark_para_8_23"/>
      <w:bookmarkStart w:id="4847" w:name="Bookmark_LNHNREFclscc3_22"/>
      <w:bookmarkEnd w:id="4846"/>
      <w:bookmarkEnd w:id="4847"/>
      <w:r>
        <w:rPr>
          <w:rFonts w:ascii="Arial" w:eastAsia="Arial" w:hAnsi="Arial" w:cs="Arial"/>
          <w:color w:val="000000"/>
          <w:sz w:val="20"/>
        </w:rPr>
        <w:t xml:space="preserve">Title III of the ADA requires public accommodations, including hotels, to afford disabled individuals "the opportunity . . . to participate in or benefit from the goods, services, facilities, privileges, advantages, or accommodations of an entity." 42 U.S.C. § 12182(b)(1)(A)(i). Subject to several enumerated exceptions, those facilities must make "reasonable modifications" to their "policies, practices, or procedures" to accommodate individuals with disabilities. </w:t>
      </w:r>
      <w:r>
        <w:rPr>
          <w:rFonts w:ascii="Arial" w:eastAsia="Arial" w:hAnsi="Arial" w:cs="Arial"/>
          <w:i/>
          <w:color w:val="000000"/>
          <w:sz w:val="20"/>
        </w:rPr>
        <w:t>Id.</w:t>
      </w:r>
      <w:r>
        <w:rPr>
          <w:rFonts w:ascii="Arial" w:eastAsia="Arial" w:hAnsi="Arial" w:cs="Arial"/>
          <w:color w:val="000000"/>
          <w:sz w:val="20"/>
        </w:rPr>
        <w:t xml:space="preserve"> § 12182(b)(2)(A)(ii).</w:t>
      </w:r>
    </w:p>
    <w:p w:rsidR="00022B47" w:rsidRDefault="00000000">
      <w:pPr>
        <w:pStyle w:val="Normal25"/>
        <w:widowControl w:val="0"/>
        <w:spacing w:before="200" w:line="260" w:lineRule="atLeast"/>
        <w:jc w:val="both"/>
      </w:pPr>
      <w:bookmarkStart w:id="4848" w:name="Bookmark_para_9_23"/>
      <w:bookmarkStart w:id="4849" w:name="Bookmark_LNHNREFclscc4_22"/>
      <w:bookmarkEnd w:id="4848"/>
      <w:bookmarkEnd w:id="4849"/>
      <w:r>
        <w:rPr>
          <w:rFonts w:ascii="Arial" w:eastAsia="Arial" w:hAnsi="Arial" w:cs="Arial"/>
          <w:color w:val="000000"/>
          <w:sz w:val="20"/>
        </w:rPr>
        <w:t xml:space="preserve">The ADA delegates rulemaking authority to DOJ, which must "issue regulations . . . to carry out the provisions of" Title III relating to hotel accommodations. </w:t>
      </w:r>
      <w:bookmarkStart w:id="4850" w:name="Bookmark_I6618JP72N1R750040000400"/>
      <w:bookmarkEnd w:id="4850"/>
      <w:r>
        <w:rPr>
          <w:rFonts w:ascii="Arial" w:eastAsia="Arial" w:hAnsi="Arial" w:cs="Arial"/>
          <w:i/>
          <w:color w:val="000000"/>
          <w:sz w:val="20"/>
        </w:rPr>
        <w:t>Id.</w:t>
      </w:r>
      <w:r>
        <w:rPr>
          <w:rFonts w:ascii="Arial" w:eastAsia="Arial" w:hAnsi="Arial" w:cs="Arial"/>
          <w:color w:val="000000"/>
          <w:sz w:val="20"/>
        </w:rPr>
        <w:t xml:space="preserve"> § 12186(b). </w:t>
      </w:r>
      <w:bookmarkStart w:id="4851" w:name="Bookmark_I6618JP82N1R780010000400"/>
      <w:bookmarkEnd w:id="4851"/>
      <w:r>
        <w:rPr>
          <w:rFonts w:ascii="Arial" w:eastAsia="Arial" w:hAnsi="Arial" w:cs="Arial"/>
          <w:color w:val="000000"/>
          <w:sz w:val="20"/>
        </w:rPr>
        <w:t xml:space="preserve">In 2004, DOJ issued an advance notice of proposed rulemaking "to begin the process" of adopting "revised guidelines" implementing the statute's requirements. </w:t>
      </w:r>
      <w:bookmarkStart w:id="4852" w:name="Bookmark_I6618JP72N1R750030000400"/>
      <w:bookmarkEnd w:id="4852"/>
      <w:r>
        <w:rPr>
          <w:rFonts w:ascii="Arial" w:eastAsia="Arial" w:hAnsi="Arial" w:cs="Arial"/>
          <w:color w:val="000000"/>
          <w:sz w:val="20"/>
        </w:rPr>
        <w:t xml:space="preserve">Advance Notice of Proposed Rulemaking Relating to Nondiscrimination on the Basis of Disability by Public Accommodations, 69 Fed. Reg. 58768, 58768 (Sept. 30, 2004). </w:t>
      </w:r>
      <w:bookmarkStart w:id="4853" w:name="Bookmark_I6618JP82N1R780010000400_2"/>
      <w:bookmarkEnd w:id="4853"/>
      <w:r>
        <w:rPr>
          <w:rFonts w:ascii="Arial" w:eastAsia="Arial" w:hAnsi="Arial" w:cs="Arial"/>
          <w:color w:val="000000"/>
          <w:sz w:val="20"/>
        </w:rPr>
        <w:t xml:space="preserve">The "public response" was "extraordinary" and highlighted the need for regulatory guidance [**6]  to ensure that individuals with disabilities could "reserve hotel rooms with the same efficiency, immediacy, and convenience as those who do not need accessible guest rooms." </w:t>
      </w:r>
      <w:bookmarkStart w:id="4854" w:name="Bookmark_I6618JP72N1R750050000400"/>
      <w:bookmarkEnd w:id="4854"/>
      <w:r>
        <w:rPr>
          <w:rFonts w:ascii="Arial" w:eastAsia="Arial" w:hAnsi="Arial" w:cs="Arial"/>
          <w:color w:val="000000"/>
          <w:sz w:val="20"/>
        </w:rPr>
        <w:t xml:space="preserve">Notice of Proposed Rulemaking Relating to Nondiscrimination on the Basis of Disability by Public Accommodations, 73 Fed. Reg. 34508, 34511, 34525 (June 17, 2008). In response, DOJ proposed specific language to address hotel reservation websites and solicited public feedback. </w:t>
      </w:r>
      <w:r>
        <w:rPr>
          <w:rFonts w:ascii="Arial" w:eastAsia="Arial" w:hAnsi="Arial" w:cs="Arial"/>
          <w:i/>
          <w:color w:val="000000"/>
          <w:sz w:val="20"/>
        </w:rPr>
        <w:t>See id.</w:t>
      </w:r>
      <w:r>
        <w:rPr>
          <w:rFonts w:ascii="Arial" w:eastAsia="Arial" w:hAnsi="Arial" w:cs="Arial"/>
          <w:color w:val="000000"/>
          <w:sz w:val="20"/>
        </w:rPr>
        <w:t xml:space="preserve"> at 34553-54.</w:t>
      </w:r>
    </w:p>
    <w:p w:rsidR="00022B47" w:rsidRDefault="00000000">
      <w:pPr>
        <w:pStyle w:val="Normal25"/>
        <w:widowControl w:val="0"/>
        <w:spacing w:before="200" w:line="260" w:lineRule="atLeast"/>
        <w:jc w:val="both"/>
      </w:pPr>
      <w:bookmarkStart w:id="4855" w:name="Bookmark_para_10_23"/>
      <w:bookmarkStart w:id="4856" w:name="Bookmark_I6618JP82N1R780030000400"/>
      <w:bookmarkEnd w:id="4855"/>
      <w:bookmarkEnd w:id="4856"/>
      <w:r>
        <w:rPr>
          <w:rFonts w:ascii="Arial" w:eastAsia="Arial" w:hAnsi="Arial" w:cs="Arial"/>
          <w:color w:val="000000"/>
          <w:sz w:val="20"/>
        </w:rPr>
        <w:t xml:space="preserve">From this extended process of notice-and-comment rulemaking emerged the final Reservations Rule. Nondiscrimination on the Basis of Disability by Public Accommodations and in </w:t>
      </w:r>
      <w:bookmarkStart w:id="4857" w:name="Bookmark_I6618JP82N1R780020000400"/>
      <w:bookmarkEnd w:id="4857"/>
      <w:r>
        <w:rPr>
          <w:rFonts w:ascii="Arial" w:eastAsia="Arial" w:hAnsi="Arial" w:cs="Arial"/>
          <w:color w:val="000000"/>
          <w:sz w:val="20"/>
        </w:rPr>
        <w:t xml:space="preserve">Commercial Facilities Final Rule, 75 Fed. Reg. 56236, 56251-52 (Sept. 15, 2010) (codified at 28 C.F.R. § 36.302(e)(1). </w:t>
      </w:r>
      <w:bookmarkStart w:id="4858" w:name="Bookmark_LNHNREFclscc5_22"/>
      <w:bookmarkEnd w:id="4858"/>
      <w:r>
        <w:rPr>
          <w:rFonts w:ascii="Arial" w:eastAsia="Arial" w:hAnsi="Arial" w:cs="Arial"/>
          <w:color w:val="000000"/>
          <w:sz w:val="20"/>
        </w:rPr>
        <w:t xml:space="preserve">The Reservations Rule requires places of public accommodations, like the San Francisco Marriott Marquis here, to "ensure that individuals with disabilities can make reservations for accessible guest rooms during the same hours and in the same manner as individuals who do not need accessible rooms." 28 C.F.R. § 36.302(e)(1)(i). Regulated entities must also "[i]dentify and describe accessible features in the hotels and guest rooms" on the hotel's website, providing "enough detail to reasonably permit" guests to "assess independently whether a given hotel or guest room meets his or her accessibility needs." </w:t>
      </w:r>
      <w:r>
        <w:rPr>
          <w:rFonts w:ascii="Arial" w:eastAsia="Arial" w:hAnsi="Arial" w:cs="Arial"/>
          <w:i/>
          <w:color w:val="000000"/>
          <w:sz w:val="20"/>
        </w:rPr>
        <w:t>Id.</w:t>
      </w:r>
      <w:r>
        <w:rPr>
          <w:rFonts w:ascii="Arial" w:eastAsia="Arial" w:hAnsi="Arial" w:cs="Arial"/>
          <w:color w:val="000000"/>
          <w:sz w:val="20"/>
        </w:rPr>
        <w:t xml:space="preserve"> § 36.302(e)(1)(ii).</w:t>
      </w:r>
    </w:p>
    <w:p w:rsidR="00022B47" w:rsidRDefault="00000000">
      <w:pPr>
        <w:pStyle w:val="Normal25"/>
        <w:widowControl w:val="0"/>
        <w:spacing w:before="200" w:line="260" w:lineRule="atLeast"/>
        <w:jc w:val="both"/>
      </w:pPr>
      <w:bookmarkStart w:id="4859" w:name="Bookmark_para_11_23"/>
      <w:bookmarkEnd w:id="4859"/>
      <w:r>
        <w:rPr>
          <w:rFonts w:ascii="Arial" w:eastAsia="Arial" w:hAnsi="Arial" w:cs="Arial"/>
          <w:color w:val="000000"/>
          <w:sz w:val="20"/>
        </w:rPr>
        <w:t xml:space="preserve">Concurrent with the final Reservations Rule, DOJ published an appendix with interpretive guidance. </w:t>
      </w:r>
      <w:r>
        <w:rPr>
          <w:rFonts w:ascii="Arial" w:eastAsia="Arial" w:hAnsi="Arial" w:cs="Arial"/>
          <w:i/>
          <w:color w:val="000000"/>
          <w:sz w:val="20"/>
        </w:rPr>
        <w:t>See</w:t>
      </w:r>
      <w:r>
        <w:rPr>
          <w:rFonts w:ascii="Arial" w:eastAsia="Arial" w:hAnsi="Arial" w:cs="Arial"/>
          <w:color w:val="000000"/>
          <w:sz w:val="20"/>
        </w:rPr>
        <w:t xml:space="preserve"> 28 C.F.R. pt. 36, app. A. The DOJ [**7]  Guidance contains a "detailed description" of the regulatory amendments, and the "reasoning behind those changes." </w:t>
      </w:r>
      <w:r>
        <w:rPr>
          <w:rFonts w:ascii="Arial" w:eastAsia="Arial" w:hAnsi="Arial" w:cs="Arial"/>
          <w:i/>
          <w:color w:val="000000"/>
          <w:sz w:val="20"/>
        </w:rPr>
        <w:t>Id.</w:t>
      </w:r>
      <w:r>
        <w:rPr>
          <w:rFonts w:ascii="Arial" w:eastAsia="Arial" w:hAnsi="Arial" w:cs="Arial"/>
          <w:color w:val="000000"/>
          <w:sz w:val="20"/>
        </w:rPr>
        <w:t xml:space="preserve"> It also provides information about how hotels may comply with the regulations. For example, older hotels built before the ADA Standards came into effect should specify "features that do not comply with the 1991 Standards," like a bedroom doorway that does not meet current regulations. </w:t>
      </w:r>
      <w:r>
        <w:rPr>
          <w:rFonts w:ascii="Arial" w:eastAsia="Arial" w:hAnsi="Arial" w:cs="Arial"/>
          <w:i/>
          <w:color w:val="000000"/>
          <w:sz w:val="20"/>
        </w:rPr>
        <w:t>Id.</w:t>
      </w:r>
      <w:r>
        <w:rPr>
          <w:rFonts w:ascii="Arial" w:eastAsia="Arial" w:hAnsi="Arial" w:cs="Arial"/>
          <w:color w:val="000000"/>
          <w:sz w:val="20"/>
        </w:rPr>
        <w:t xml:space="preserve"> Different standards apply to newer hotels built in compliance with the 1991 Standards for Accessible Design, </w:t>
      </w:r>
      <w:r>
        <w:rPr>
          <w:rFonts w:ascii="Arial" w:eastAsia="Arial" w:hAnsi="Arial" w:cs="Arial"/>
          <w:i/>
          <w:color w:val="000000"/>
          <w:sz w:val="20"/>
        </w:rPr>
        <w:t>see id.</w:t>
      </w:r>
      <w:r>
        <w:rPr>
          <w:rFonts w:ascii="Arial" w:eastAsia="Arial" w:hAnsi="Arial" w:cs="Arial"/>
          <w:color w:val="000000"/>
          <w:sz w:val="20"/>
        </w:rPr>
        <w:t xml:space="preserve"> app. D. For these hotels, "it may be sufficient to specify that the hotel is accessible and, for each accessible room, to describe the general type of room (e.g., deluxe executive suite), the size and number of beds (e.g., two queen beds), the type of accessible bathing facility (e.g., roll-in shower), and communications features available in the room (e.g., alarms and visual notification devices)." </w:t>
      </w:r>
      <w:r>
        <w:rPr>
          <w:rFonts w:ascii="Arial" w:eastAsia="Arial" w:hAnsi="Arial" w:cs="Arial"/>
          <w:i/>
          <w:color w:val="000000"/>
          <w:sz w:val="20"/>
        </w:rPr>
        <w:t>Id.</w:t>
      </w:r>
      <w:r>
        <w:rPr>
          <w:rFonts w:ascii="Arial" w:eastAsia="Arial" w:hAnsi="Arial" w:cs="Arial"/>
          <w:color w:val="000000"/>
          <w:sz w:val="20"/>
        </w:rPr>
        <w:t xml:space="preserve"> app. A. In each case, hotels should make trained staff available to answer questions about accessibility features and provide guests more detailed information. </w:t>
      </w:r>
      <w:r>
        <w:rPr>
          <w:rFonts w:ascii="Arial" w:eastAsia="Arial" w:hAnsi="Arial" w:cs="Arial"/>
          <w:i/>
          <w:color w:val="000000"/>
          <w:sz w:val="20"/>
        </w:rPr>
        <w:t>Id.</w:t>
      </w:r>
    </w:p>
    <w:p w:rsidR="00022B47" w:rsidRDefault="00000000">
      <w:pPr>
        <w:pStyle w:val="Normal25"/>
        <w:widowControl w:val="0"/>
        <w:spacing w:before="240" w:line="260" w:lineRule="atLeast"/>
      </w:pPr>
      <w:r>
        <w:br/>
      </w:r>
      <w:r>
        <w:rPr>
          <w:rFonts w:ascii="Arial" w:eastAsia="Arial" w:hAnsi="Arial" w:cs="Arial"/>
          <w:color w:val="000000"/>
          <w:sz w:val="20"/>
        </w:rPr>
        <w:t xml:space="preserve"> [*1047]  </w:t>
      </w:r>
      <w:r>
        <w:rPr>
          <w:rFonts w:ascii="Arial" w:eastAsia="Arial" w:hAnsi="Arial" w:cs="Arial"/>
          <w:b/>
          <w:color w:val="000000"/>
          <w:sz w:val="20"/>
        </w:rPr>
        <w:t xml:space="preserve">B. </w:t>
      </w:r>
      <w:r>
        <w:rPr>
          <w:rFonts w:ascii="Arial" w:eastAsia="Arial" w:hAnsi="Arial" w:cs="Arial"/>
          <w:b/>
          <w:smallCaps/>
          <w:color w:val="000000"/>
          <w:sz w:val="20"/>
        </w:rPr>
        <w:t>We Afford the DOJ Guidance Controlling Weight</w:t>
      </w:r>
    </w:p>
    <w:p w:rsidR="00022B47" w:rsidRDefault="00000000">
      <w:pPr>
        <w:pStyle w:val="Normal25"/>
        <w:widowControl w:val="0"/>
        <w:spacing w:before="200" w:line="260" w:lineRule="atLeast"/>
        <w:jc w:val="both"/>
      </w:pPr>
      <w:bookmarkStart w:id="4860" w:name="Bookmark_para_12_23"/>
      <w:bookmarkStart w:id="4861" w:name="Bookmark_I6618JP82N1R780050000400"/>
      <w:bookmarkEnd w:id="4860"/>
      <w:bookmarkEnd w:id="4861"/>
      <w:r>
        <w:rPr>
          <w:rFonts w:ascii="Arial" w:eastAsia="Arial" w:hAnsi="Arial" w:cs="Arial"/>
          <w:color w:val="000000"/>
          <w:sz w:val="20"/>
        </w:rPr>
        <w:t xml:space="preserve">The parties dispute how much deference we should afford [**8]  the DOJ's interpretation of the Reservations Rule in the DOJ Guidance. </w:t>
      </w:r>
      <w:bookmarkStart w:id="4862" w:name="Bookmark_I6618JP82HM6HG0020000400"/>
      <w:bookmarkStart w:id="4863" w:name="Bookmark_LNHNREFclscc6_19"/>
      <w:bookmarkEnd w:id="4862"/>
      <w:bookmarkEnd w:id="4863"/>
      <w:r>
        <w:rPr>
          <w:rFonts w:ascii="Arial" w:eastAsia="Arial" w:hAnsi="Arial" w:cs="Arial"/>
          <w:color w:val="000000"/>
          <w:sz w:val="20"/>
        </w:rPr>
        <w:t>Under the familiar principle of "</w:t>
      </w:r>
      <w:r>
        <w:rPr>
          <w:rFonts w:ascii="Arial" w:eastAsia="Arial" w:hAnsi="Arial" w:cs="Arial"/>
          <w:i/>
          <w:color w:val="000000"/>
          <w:sz w:val="20"/>
        </w:rPr>
        <w:t>Auer</w:t>
      </w:r>
      <w:r>
        <w:rPr>
          <w:rFonts w:ascii="Arial" w:eastAsia="Arial" w:hAnsi="Arial" w:cs="Arial"/>
          <w:color w:val="000000"/>
          <w:sz w:val="20"/>
        </w:rPr>
        <w:t xml:space="preserve"> deference," we defer to an agency's construction of its own regulation. </w:t>
      </w:r>
      <w:bookmarkStart w:id="4864" w:name="Bookmark_I6618JP82N1R780040000400"/>
      <w:bookmarkEnd w:id="4864"/>
      <w:r>
        <w:rPr>
          <w:rFonts w:ascii="Arial" w:eastAsia="Arial" w:hAnsi="Arial" w:cs="Arial"/>
          <w:i/>
          <w:color w:val="000000"/>
          <w:sz w:val="20"/>
        </w:rPr>
        <w:t>Kisor v. Wilkie</w:t>
      </w:r>
      <w:r>
        <w:rPr>
          <w:rFonts w:ascii="Arial" w:eastAsia="Arial" w:hAnsi="Arial" w:cs="Arial"/>
          <w:color w:val="000000"/>
          <w:sz w:val="20"/>
        </w:rPr>
        <w:t xml:space="preserve">, 139 S. Ct. 2400, 2412, 204 L. Ed. 2d 841 (2019) (explaining the "presumption that Congress would generally want the agency to play the primary role in resolving regulatory ambiguities."). </w:t>
      </w:r>
      <w:bookmarkStart w:id="4865" w:name="Bookmark_I6618JP82HM6HG0020000400_2"/>
      <w:bookmarkEnd w:id="4865"/>
      <w:r>
        <w:rPr>
          <w:rFonts w:ascii="Arial" w:eastAsia="Arial" w:hAnsi="Arial" w:cs="Arial"/>
          <w:color w:val="000000"/>
          <w:sz w:val="20"/>
        </w:rPr>
        <w:t xml:space="preserve">But </w:t>
      </w:r>
      <w:r>
        <w:rPr>
          <w:rFonts w:ascii="Arial" w:eastAsia="Arial" w:hAnsi="Arial" w:cs="Arial"/>
          <w:i/>
          <w:color w:val="000000"/>
          <w:sz w:val="20"/>
        </w:rPr>
        <w:t>Auer</w:t>
      </w:r>
      <w:r>
        <w:rPr>
          <w:rFonts w:ascii="Arial" w:eastAsia="Arial" w:hAnsi="Arial" w:cs="Arial"/>
          <w:color w:val="000000"/>
          <w:sz w:val="20"/>
        </w:rPr>
        <w:t xml:space="preserve"> deference is warranted "only if a regulation is genuinely ambiguous," and only after we make "an independent inquiry into whether the character and context of the agency interpretation entitles it to controlling weight." </w:t>
      </w:r>
      <w:bookmarkStart w:id="4866" w:name="Bookmark_I6618JP82HM6HG0010000400"/>
      <w:bookmarkEnd w:id="4866"/>
      <w:r>
        <w:rPr>
          <w:rFonts w:ascii="Arial" w:eastAsia="Arial" w:hAnsi="Arial" w:cs="Arial"/>
          <w:i/>
          <w:color w:val="000000"/>
          <w:sz w:val="20"/>
        </w:rPr>
        <w:t>Id.</w:t>
      </w:r>
      <w:r>
        <w:rPr>
          <w:rFonts w:ascii="Arial" w:eastAsia="Arial" w:hAnsi="Arial" w:cs="Arial"/>
          <w:color w:val="000000"/>
          <w:sz w:val="20"/>
        </w:rPr>
        <w:t xml:space="preserve"> at 2414, 2416.</w:t>
      </w:r>
    </w:p>
    <w:p w:rsidR="00022B47" w:rsidRDefault="00000000">
      <w:pPr>
        <w:pStyle w:val="Normal25"/>
        <w:widowControl w:val="0"/>
        <w:spacing w:before="200" w:line="260" w:lineRule="atLeast"/>
        <w:jc w:val="both"/>
      </w:pPr>
      <w:bookmarkStart w:id="4867" w:name="Bookmark_para_13_23"/>
      <w:bookmarkStart w:id="4868" w:name="Bookmark_I6618JP82HM6HG0040000400"/>
      <w:bookmarkEnd w:id="4867"/>
      <w:bookmarkEnd w:id="4868"/>
      <w:r>
        <w:rPr>
          <w:rFonts w:ascii="Arial" w:eastAsia="Arial" w:hAnsi="Arial" w:cs="Arial"/>
          <w:color w:val="000000"/>
          <w:sz w:val="20"/>
        </w:rPr>
        <w:t xml:space="preserve">Applying the "'traditional tools' of construction," considering the regulation's "text, structure, history, and purpose," we conclude that the Reservations Rule is genuinely ambiguous. </w:t>
      </w:r>
      <w:bookmarkStart w:id="4869" w:name="Bookmark_I6618JP82HM6HG0030000400"/>
      <w:bookmarkEnd w:id="4869"/>
      <w:r>
        <w:rPr>
          <w:rFonts w:ascii="Arial" w:eastAsia="Arial" w:hAnsi="Arial" w:cs="Arial"/>
          <w:i/>
          <w:color w:val="000000"/>
          <w:sz w:val="20"/>
        </w:rPr>
        <w:t>Id.</w:t>
      </w:r>
      <w:r>
        <w:rPr>
          <w:rFonts w:ascii="Arial" w:eastAsia="Arial" w:hAnsi="Arial" w:cs="Arial"/>
          <w:color w:val="000000"/>
          <w:sz w:val="20"/>
        </w:rPr>
        <w:t xml:space="preserve"> at 2415 (first quoting </w:t>
      </w:r>
      <w:bookmarkStart w:id="4870" w:name="Bookmark_I6618JP82HM6HG0050000400"/>
      <w:bookmarkEnd w:id="4870"/>
      <w:r>
        <w:rPr>
          <w:rFonts w:ascii="Arial" w:eastAsia="Arial" w:hAnsi="Arial" w:cs="Arial"/>
          <w:i/>
          <w:color w:val="000000"/>
          <w:sz w:val="20"/>
        </w:rPr>
        <w:t>Chevron U. S. A., Inc. v. Nat. Res. Def. Council, Inc.</w:t>
      </w:r>
      <w:r>
        <w:rPr>
          <w:rFonts w:ascii="Arial" w:eastAsia="Arial" w:hAnsi="Arial" w:cs="Arial"/>
          <w:color w:val="000000"/>
          <w:sz w:val="20"/>
        </w:rPr>
        <w:t xml:space="preserve">, 467 U.S. 837, 843 n.9, 104 S. Ct. 2778, 81 L. Ed. 2d 694 (1984)). </w:t>
      </w:r>
      <w:bookmarkStart w:id="4871" w:name="Bookmark_LNHNREFclscc7_18"/>
      <w:bookmarkEnd w:id="4871"/>
      <w:r>
        <w:rPr>
          <w:rFonts w:ascii="Arial" w:eastAsia="Arial" w:hAnsi="Arial" w:cs="Arial"/>
          <w:color w:val="000000"/>
          <w:sz w:val="20"/>
        </w:rPr>
        <w:t>The Rule requires hotel reservation websites to "[i]dentify and describe accessible features . . . in enough detail to reasonably permit" customers "to assess independently whether a given hotel or guest room meets his or her accessibility needs." 28 C.F.R. § 36.302(e)(1)(ii). But what is "enough detail," and which "accessible features" must be identified and described? These are genuine ambiguities in the regulation's text. Its structure, history and purpose do not [**9]  dispel that textual ambiguity.</w:t>
      </w:r>
    </w:p>
    <w:p w:rsidR="00022B47" w:rsidRDefault="00000000">
      <w:pPr>
        <w:pStyle w:val="Normal25"/>
        <w:widowControl w:val="0"/>
        <w:spacing w:before="240" w:line="260" w:lineRule="atLeast"/>
      </w:pPr>
      <w:r>
        <w:br/>
      </w:r>
      <w:r>
        <w:rPr>
          <w:rFonts w:ascii="Arial" w:eastAsia="Arial" w:hAnsi="Arial" w:cs="Arial"/>
          <w:b/>
          <w:color w:val="000000"/>
          <w:sz w:val="20"/>
        </w:rPr>
        <w:t>1. The Rule's Structure, History and Purpose</w:t>
      </w:r>
    </w:p>
    <w:p w:rsidR="00022B47" w:rsidRDefault="00000000">
      <w:pPr>
        <w:pStyle w:val="Normal25"/>
        <w:widowControl w:val="0"/>
        <w:spacing w:before="200" w:line="260" w:lineRule="atLeast"/>
        <w:jc w:val="both"/>
      </w:pPr>
      <w:bookmarkStart w:id="4872" w:name="Bookmark_para_14_23"/>
      <w:bookmarkStart w:id="4873" w:name="Bookmark_I6618JP82N1R7B0030000400"/>
      <w:bookmarkEnd w:id="4872"/>
      <w:bookmarkEnd w:id="4873"/>
      <w:r>
        <w:rPr>
          <w:rFonts w:ascii="Arial" w:eastAsia="Arial" w:hAnsi="Arial" w:cs="Arial"/>
          <w:color w:val="000000"/>
          <w:sz w:val="20"/>
        </w:rPr>
        <w:t xml:space="preserve">The Rule's structure and its placement within Part 36 of the Code of Federal Regulations' chapter dedicated to the requirements for public accommodations' nondiscrimination of people with disabilities does not resolve the text's ambiguity, nor do its history and purpose. </w:t>
      </w:r>
      <w:bookmarkStart w:id="4874" w:name="Bookmark_I6618JP82N1R7B0050000400"/>
      <w:bookmarkEnd w:id="4874"/>
      <w:r>
        <w:rPr>
          <w:rFonts w:ascii="Arial" w:eastAsia="Arial" w:hAnsi="Arial" w:cs="Arial"/>
          <w:color w:val="000000"/>
          <w:sz w:val="20"/>
        </w:rPr>
        <w:t xml:space="preserve">During the regulatory process, commenters asked DOJ "to focus on previously unregulated areas, such as . . . reservations for hotel rooms." </w:t>
      </w:r>
      <w:bookmarkStart w:id="4875" w:name="Bookmark_I6618JP82N1R7B0020000400"/>
      <w:bookmarkEnd w:id="4875"/>
      <w:r>
        <w:rPr>
          <w:rFonts w:ascii="Arial" w:eastAsia="Arial" w:hAnsi="Arial" w:cs="Arial"/>
          <w:color w:val="000000"/>
          <w:sz w:val="20"/>
        </w:rPr>
        <w:t xml:space="preserve">75 Fed. Reg. 56236, 56239. In 2008, commenters observed that "now, more than seventeen years after enactment of the ADA, as facilities are becoming physically accessible to individuals with disabilities, the Department needs to focus on second generation issues that ensure that individuals with disabilities can actually gain access to and use the accessible elements," such as reservations for hotel rooms. </w:t>
      </w:r>
      <w:bookmarkStart w:id="4876" w:name="Bookmark_I6618JP82N1R7B0050000400_2"/>
      <w:bookmarkEnd w:id="4876"/>
      <w:r>
        <w:rPr>
          <w:rFonts w:ascii="Arial" w:eastAsia="Arial" w:hAnsi="Arial" w:cs="Arial"/>
          <w:i/>
          <w:color w:val="000000"/>
          <w:sz w:val="20"/>
        </w:rPr>
        <w:t>Id.</w:t>
      </w:r>
      <w:r>
        <w:rPr>
          <w:rFonts w:ascii="Arial" w:eastAsia="Arial" w:hAnsi="Arial" w:cs="Arial"/>
          <w:color w:val="000000"/>
          <w:sz w:val="20"/>
        </w:rPr>
        <w:t xml:space="preserve"> While the history makes clear that the Rule's purpose was to address concerns that it was often "difficult or impossible to obtain information about accessible rooms and hotel features" from a reservation system, it does not clarify what level of detail is sufficient or which accessibility features must be described. </w:t>
      </w:r>
      <w:bookmarkStart w:id="4877" w:name="Bookmark_I6618JP82N1R7B0040000400"/>
      <w:bookmarkEnd w:id="4877"/>
      <w:r>
        <w:rPr>
          <w:rFonts w:ascii="Arial" w:eastAsia="Arial" w:hAnsi="Arial" w:cs="Arial"/>
          <w:color w:val="000000"/>
          <w:sz w:val="20"/>
        </w:rPr>
        <w:t>75 Fed. Reg. 56236, 56273.</w:t>
      </w:r>
    </w:p>
    <w:p w:rsidR="00022B47" w:rsidRDefault="00000000">
      <w:pPr>
        <w:pStyle w:val="Normal25"/>
        <w:widowControl w:val="0"/>
        <w:spacing w:before="240" w:line="260" w:lineRule="atLeast"/>
      </w:pPr>
      <w:r>
        <w:br/>
      </w:r>
      <w:r>
        <w:rPr>
          <w:rFonts w:ascii="Arial" w:eastAsia="Arial" w:hAnsi="Arial" w:cs="Arial"/>
          <w:b/>
          <w:color w:val="000000"/>
          <w:sz w:val="20"/>
        </w:rPr>
        <w:t>2. Additional</w:t>
      </w:r>
      <w:r>
        <w:rPr>
          <w:rFonts w:ascii="Arial" w:eastAsia="Arial" w:hAnsi="Arial" w:cs="Arial"/>
          <w:color w:val="000000"/>
          <w:sz w:val="20"/>
        </w:rPr>
        <w:t> [**10] </w:t>
      </w:r>
      <w:r>
        <w:rPr>
          <w:rFonts w:ascii="Arial" w:eastAsia="Arial" w:hAnsi="Arial" w:cs="Arial"/>
          <w:b/>
          <w:color w:val="000000"/>
          <w:sz w:val="20"/>
        </w:rPr>
        <w:t xml:space="preserve"> Considerations</w:t>
      </w:r>
    </w:p>
    <w:p w:rsidR="00022B47" w:rsidRDefault="00000000">
      <w:pPr>
        <w:pStyle w:val="Normal25"/>
        <w:widowControl w:val="0"/>
        <w:spacing w:before="200" w:line="260" w:lineRule="atLeast"/>
        <w:jc w:val="both"/>
      </w:pPr>
      <w:bookmarkStart w:id="4878" w:name="Bookmark_para_15_23"/>
      <w:bookmarkStart w:id="4879" w:name="Bookmark_I6618JP928T4J00020000400"/>
      <w:bookmarkEnd w:id="4878"/>
      <w:bookmarkEnd w:id="4879"/>
      <w:r>
        <w:rPr>
          <w:rFonts w:ascii="Arial" w:eastAsia="Arial" w:hAnsi="Arial" w:cs="Arial"/>
          <w:color w:val="000000"/>
          <w:sz w:val="20"/>
        </w:rPr>
        <w:t xml:space="preserve">Having concluded that the Rule's text, structure, history, and purpose each point to the Reservation Rule's ambiguity, we ask whether the "character and context of the agency interpretation" suggest such deference is appropriate. </w:t>
      </w:r>
      <w:bookmarkStart w:id="4880" w:name="Bookmark_I6618JP928T4J00040000400"/>
      <w:bookmarkStart w:id="4881" w:name="Bookmark_I6618JP928T4J00010000400"/>
      <w:bookmarkEnd w:id="4880"/>
      <w:bookmarkEnd w:id="4881"/>
      <w:r>
        <w:rPr>
          <w:rFonts w:ascii="Arial" w:eastAsia="Arial" w:hAnsi="Arial" w:cs="Arial"/>
          <w:i/>
          <w:color w:val="000000"/>
          <w:sz w:val="20"/>
        </w:rPr>
        <w:t>Kisor</w:t>
      </w:r>
      <w:r>
        <w:rPr>
          <w:rFonts w:ascii="Arial" w:eastAsia="Arial" w:hAnsi="Arial" w:cs="Arial"/>
          <w:color w:val="000000"/>
          <w:sz w:val="20"/>
        </w:rPr>
        <w:t xml:space="preserve">, 139 S. Ct. at 2416. </w:t>
      </w:r>
      <w:bookmarkStart w:id="4882" w:name="Bookmark_I6618JP92N1R7D0050000400"/>
      <w:bookmarkEnd w:id="4882"/>
      <w:r>
        <w:rPr>
          <w:rFonts w:ascii="Arial" w:eastAsia="Arial" w:hAnsi="Arial" w:cs="Arial"/>
          <w:color w:val="000000"/>
          <w:sz w:val="20"/>
        </w:rPr>
        <w:t xml:space="preserve">The DOJ Guidance was promulgated pursuant to DOJ's "substantive expertise" in ADA compliance, making DOJ an "authority" on the Rule's meaning. </w:t>
      </w:r>
      <w:bookmarkStart w:id="4883" w:name="Bookmark_I6618JP92N1R7D0050000400_2"/>
      <w:bookmarkStart w:id="4884" w:name="Bookmark_I6618JP928T4J00040000400_2"/>
      <w:bookmarkStart w:id="4885" w:name="Bookmark_I6618JP92HM6HK0020000400"/>
      <w:bookmarkStart w:id="4886" w:name="Bookmark_I6618JP928T4J00030000400"/>
      <w:bookmarkEnd w:id="4883"/>
      <w:bookmarkEnd w:id="4884"/>
      <w:bookmarkEnd w:id="4885"/>
      <w:bookmarkEnd w:id="4886"/>
      <w:r>
        <w:rPr>
          <w:rFonts w:ascii="Arial" w:eastAsia="Arial" w:hAnsi="Arial" w:cs="Arial"/>
          <w:i/>
          <w:color w:val="000000"/>
          <w:sz w:val="20"/>
        </w:rPr>
        <w:t>Kisor</w:t>
      </w:r>
      <w:r>
        <w:rPr>
          <w:rFonts w:ascii="Arial" w:eastAsia="Arial" w:hAnsi="Arial" w:cs="Arial"/>
          <w:color w:val="000000"/>
          <w:sz w:val="20"/>
        </w:rPr>
        <w:t xml:space="preserve">, 139 S. Ct. at 2417; </w:t>
      </w:r>
      <w:r>
        <w:rPr>
          <w:rFonts w:ascii="Arial" w:eastAsia="Arial" w:hAnsi="Arial" w:cs="Arial"/>
          <w:i/>
          <w:color w:val="000000"/>
          <w:sz w:val="20"/>
        </w:rPr>
        <w:t xml:space="preserve">cf. </w:t>
      </w:r>
      <w:bookmarkStart w:id="4887" w:name="Bookmark_I6618JP928T4J00050000400"/>
      <w:bookmarkEnd w:id="4887"/>
      <w:r>
        <w:rPr>
          <w:rFonts w:ascii="Arial" w:eastAsia="Arial" w:hAnsi="Arial" w:cs="Arial"/>
          <w:i/>
          <w:color w:val="000000"/>
          <w:sz w:val="20"/>
        </w:rPr>
        <w:t>Miller v. California Speedway Corp.</w:t>
      </w:r>
      <w:r>
        <w:rPr>
          <w:rFonts w:ascii="Arial" w:eastAsia="Arial" w:hAnsi="Arial" w:cs="Arial"/>
          <w:color w:val="000000"/>
          <w:sz w:val="20"/>
        </w:rPr>
        <w:t xml:space="preserve">, 536 F.3d 1020, 1025-26 (9th Cir. 2008) (describing DOJ's technical expertise on related ADA provision); </w:t>
      </w:r>
      <w:r>
        <w:rPr>
          <w:rFonts w:ascii="Arial" w:eastAsia="Arial" w:hAnsi="Arial" w:cs="Arial"/>
          <w:i/>
          <w:color w:val="000000"/>
          <w:sz w:val="20"/>
        </w:rPr>
        <w:t xml:space="preserve">see also </w:t>
      </w:r>
      <w:bookmarkStart w:id="4888" w:name="Bookmark_I6618JP92N1R7D0020000400"/>
      <w:bookmarkEnd w:id="4888"/>
      <w:r>
        <w:rPr>
          <w:rFonts w:ascii="Arial" w:eastAsia="Arial" w:hAnsi="Arial" w:cs="Arial"/>
          <w:i/>
          <w:color w:val="000000"/>
          <w:sz w:val="20"/>
        </w:rPr>
        <w:t>Fortyune v. City of Lomita</w:t>
      </w:r>
      <w:r>
        <w:rPr>
          <w:rFonts w:ascii="Arial" w:eastAsia="Arial" w:hAnsi="Arial" w:cs="Arial"/>
          <w:color w:val="000000"/>
          <w:sz w:val="20"/>
        </w:rPr>
        <w:t xml:space="preserve">, 766 F.3d 1098, 1104 (9th Cir. 2014) (concluding the court was "bound to defer" to DOJ's interpretation of ADA implementing regulations). </w:t>
      </w:r>
      <w:bookmarkStart w:id="4889" w:name="Bookmark_I6618JP92HM6HK0020000400_2"/>
      <w:bookmarkEnd w:id="4889"/>
      <w:r>
        <w:rPr>
          <w:rFonts w:ascii="Arial" w:eastAsia="Arial" w:hAnsi="Arial" w:cs="Arial"/>
          <w:color w:val="000000"/>
          <w:sz w:val="20"/>
        </w:rPr>
        <w:t xml:space="preserve">The Guidance was published in the Federal Register alongside the Rule  [*1048]  and was informed by the extensive notice-and-comment period that preceded publication. </w:t>
      </w:r>
      <w:bookmarkStart w:id="4890" w:name="Bookmark_I6618JP92N1R7D0040000400"/>
      <w:bookmarkEnd w:id="4890"/>
      <w:r>
        <w:rPr>
          <w:rFonts w:ascii="Arial" w:eastAsia="Arial" w:hAnsi="Arial" w:cs="Arial"/>
          <w:color w:val="000000"/>
          <w:sz w:val="20"/>
        </w:rPr>
        <w:t xml:space="preserve">75 Fed. Reg. 56236, 56240. </w:t>
      </w:r>
      <w:bookmarkStart w:id="4891" w:name="Bookmark_I6618JP92HM6HK0020000400_3"/>
      <w:bookmarkEnd w:id="4891"/>
      <w:r>
        <w:rPr>
          <w:rFonts w:ascii="Arial" w:eastAsia="Arial" w:hAnsi="Arial" w:cs="Arial"/>
          <w:color w:val="000000"/>
          <w:sz w:val="20"/>
        </w:rPr>
        <w:t xml:space="preserve">It reflected the "agency's authoritative [and] official position," and was the product of DOJ's "fair and considered judgment." </w:t>
      </w:r>
      <w:bookmarkStart w:id="4892" w:name="Bookmark_I6618JP92HM6HK0010000400"/>
      <w:bookmarkEnd w:id="4892"/>
      <w:r>
        <w:rPr>
          <w:rFonts w:ascii="Arial" w:eastAsia="Arial" w:hAnsi="Arial" w:cs="Arial"/>
          <w:i/>
          <w:color w:val="000000"/>
          <w:sz w:val="20"/>
        </w:rPr>
        <w:t>Kisor</w:t>
      </w:r>
      <w:r>
        <w:rPr>
          <w:rFonts w:ascii="Arial" w:eastAsia="Arial" w:hAnsi="Arial" w:cs="Arial"/>
          <w:color w:val="000000"/>
          <w:sz w:val="20"/>
        </w:rPr>
        <w:t xml:space="preserve">, 139 S. Ct. at 2416. We therefore afford "controlling weight" to the DOJ Guidance and ask whether the San Francisco Marriott Marquis' reservations website complies with that Guidance. </w:t>
      </w:r>
      <w:r>
        <w:rPr>
          <w:rFonts w:ascii="Arial" w:eastAsia="Arial" w:hAnsi="Arial" w:cs="Arial"/>
          <w:i/>
          <w:color w:val="000000"/>
          <w:sz w:val="20"/>
        </w:rPr>
        <w:t>Id.</w:t>
      </w:r>
    </w:p>
    <w:p w:rsidR="00022B47" w:rsidRDefault="00000000">
      <w:pPr>
        <w:pStyle w:val="Normal25"/>
        <w:widowControl w:val="0"/>
        <w:spacing w:before="240" w:line="260" w:lineRule="atLeast"/>
      </w:pPr>
      <w:r>
        <w:br/>
      </w:r>
      <w:r>
        <w:rPr>
          <w:rFonts w:ascii="Arial" w:eastAsia="Arial" w:hAnsi="Arial" w:cs="Arial"/>
          <w:b/>
          <w:color w:val="000000"/>
          <w:sz w:val="20"/>
        </w:rPr>
        <w:t xml:space="preserve">C. </w:t>
      </w:r>
      <w:r>
        <w:rPr>
          <w:rFonts w:ascii="Arial" w:eastAsia="Arial" w:hAnsi="Arial" w:cs="Arial"/>
          <w:b/>
          <w:smallCaps/>
          <w:color w:val="000000"/>
          <w:sz w:val="20"/>
        </w:rPr>
        <w:t>The Reservations Website Complies With the DOJ Guidance</w:t>
      </w:r>
    </w:p>
    <w:p w:rsidR="00022B47" w:rsidRDefault="00000000">
      <w:pPr>
        <w:pStyle w:val="Normal25"/>
        <w:widowControl w:val="0"/>
        <w:spacing w:before="200" w:line="260" w:lineRule="atLeast"/>
        <w:jc w:val="both"/>
      </w:pPr>
      <w:bookmarkStart w:id="4893" w:name="Bookmark_para_16_23"/>
      <w:bookmarkStart w:id="4894" w:name="Bookmark_I6618JP92HM6HK0040000400"/>
      <w:bookmarkEnd w:id="4893"/>
      <w:bookmarkEnd w:id="4894"/>
      <w:r>
        <w:rPr>
          <w:rFonts w:ascii="Arial" w:eastAsia="Arial" w:hAnsi="Arial" w:cs="Arial"/>
          <w:color w:val="000000"/>
          <w:sz w:val="20"/>
        </w:rPr>
        <w:t>Although the Rule contains different requirements depending on the age of a building,</w:t>
      </w:r>
      <w:r>
        <w:rPr>
          <w:rFonts w:ascii="Arial" w:eastAsia="Arial" w:hAnsi="Arial" w:cs="Arial"/>
          <w:vertAlign w:val="superscript"/>
        </w:rPr>
        <w:footnoteReference w:customMarkFollows="1" w:id="123"/>
        <w:t>1</w:t>
      </w:r>
      <w:r>
        <w:rPr>
          <w:rFonts w:ascii="Arial" w:eastAsia="Arial" w:hAnsi="Arial" w:cs="Arial"/>
          <w:color w:val="000000"/>
          <w:sz w:val="20"/>
        </w:rPr>
        <w:t xml:space="preserve"> that distinction does not matter [**11]  here, because the Marriott's website passes muster under either set of requirements.</w:t>
      </w:r>
    </w:p>
    <w:p w:rsidR="00022B47" w:rsidRDefault="00000000">
      <w:pPr>
        <w:pStyle w:val="Normal25"/>
        <w:widowControl w:val="0"/>
        <w:spacing w:before="200" w:line="260" w:lineRule="atLeast"/>
        <w:jc w:val="both"/>
      </w:pPr>
      <w:bookmarkStart w:id="4897" w:name="Bookmark_para_17_22"/>
      <w:bookmarkStart w:id="4898" w:name="Bookmark_LNHNREFclscc8_17"/>
      <w:bookmarkEnd w:id="4897"/>
      <w:bookmarkEnd w:id="4898"/>
      <w:r>
        <w:rPr>
          <w:rFonts w:ascii="Arial" w:eastAsia="Arial" w:hAnsi="Arial" w:cs="Arial"/>
          <w:color w:val="000000"/>
          <w:sz w:val="20"/>
        </w:rPr>
        <w:t xml:space="preserve">Newer hotels built in compliance with ADA Standards should "specify that the hotel is accessible" and provide key information about accessible rooms per the DOJ Guidance. 28 C.F.R. pt. 36, app. A. This information should include "the general type of room (e.g., deluxe executive suite), the size and number of beds (e.g., two queen beds), the type of accessible bathing facility (e.g., roll-in shower), and communications features available in the room (e.g., alarms and visual notification devices)." </w:t>
      </w:r>
      <w:r>
        <w:rPr>
          <w:rFonts w:ascii="Arial" w:eastAsia="Arial" w:hAnsi="Arial" w:cs="Arial"/>
          <w:i/>
          <w:color w:val="000000"/>
          <w:sz w:val="20"/>
        </w:rPr>
        <w:t>Id.</w:t>
      </w:r>
    </w:p>
    <w:p w:rsidR="00022B47" w:rsidRDefault="00000000">
      <w:pPr>
        <w:pStyle w:val="Normal25"/>
        <w:widowControl w:val="0"/>
        <w:spacing w:before="200" w:line="260" w:lineRule="atLeast"/>
        <w:jc w:val="both"/>
      </w:pPr>
      <w:bookmarkStart w:id="4899" w:name="Bookmark_para_18_22"/>
      <w:bookmarkEnd w:id="4899"/>
      <w:r>
        <w:rPr>
          <w:rFonts w:ascii="Arial" w:eastAsia="Arial" w:hAnsi="Arial" w:cs="Arial"/>
          <w:color w:val="000000"/>
          <w:sz w:val="20"/>
        </w:rPr>
        <w:t xml:space="preserve">Marriott's website complies with this guidance. First, it "specif[ies] that the hotel is accessible," </w:t>
      </w:r>
      <w:r>
        <w:rPr>
          <w:rFonts w:ascii="Arial" w:eastAsia="Arial" w:hAnsi="Arial" w:cs="Arial"/>
          <w:i/>
          <w:color w:val="000000"/>
          <w:sz w:val="20"/>
        </w:rPr>
        <w:t>id.</w:t>
      </w:r>
      <w:r>
        <w:rPr>
          <w:rFonts w:ascii="Arial" w:eastAsia="Arial" w:hAnsi="Arial" w:cs="Arial"/>
          <w:color w:val="000000"/>
          <w:sz w:val="20"/>
        </w:rPr>
        <w:t xml:space="preserve">, and lists accessible features available in certain guest rooms, including 32-inch wide doorways; accessible routes from the public entrance to accessible guest rooms; alarm clock telephone ringers; bathroom and bathtub grab bars; bathtub seats; lowered deadbolt locks; door night guards, electrical outlets, and viewports; doors with lever handles; flashing door knockers; hearing accessible rooms and/or kits; roll-in showers; adjustable shower wands; text telephones; close-captioning television service; wheelchair-height toilet [**12]  seats; transfer showers; and accessible vanities. The website also describes the accessible guest rooms themselves, displaying information about (1) "the general type of room"; (2) "the size and number of beds"; (3) "the type of accessible bathing facility"; and (4) "communications features available in the room" in accordance with the DOJ Guidance. </w:t>
      </w:r>
      <w:r>
        <w:rPr>
          <w:rFonts w:ascii="Arial" w:eastAsia="Arial" w:hAnsi="Arial" w:cs="Arial"/>
          <w:i/>
          <w:color w:val="000000"/>
          <w:sz w:val="20"/>
        </w:rPr>
        <w:t>Id.</w:t>
      </w:r>
      <w:r>
        <w:rPr>
          <w:rFonts w:ascii="Arial" w:eastAsia="Arial" w:hAnsi="Arial" w:cs="Arial"/>
          <w:color w:val="000000"/>
          <w:sz w:val="20"/>
        </w:rPr>
        <w:t xml:space="preserve"> For example, the page describing the Hotel's "Guest room, 2 Queen, Low floor" room type stated that such rooms offered "2 Queen" beds, "roll in showers" and hearing-accessible communications features including "visual alarms and visual notification devices for door and phone."</w:t>
      </w:r>
    </w:p>
    <w:p w:rsidR="00022B47" w:rsidRDefault="00000000">
      <w:pPr>
        <w:pStyle w:val="Normal25"/>
        <w:widowControl w:val="0"/>
        <w:spacing w:before="200" w:line="260" w:lineRule="atLeast"/>
        <w:jc w:val="both"/>
      </w:pPr>
      <w:bookmarkStart w:id="4900" w:name="Bookmark_para_19_21"/>
      <w:bookmarkEnd w:id="4900"/>
      <w:r>
        <w:rPr>
          <w:rFonts w:ascii="Arial" w:eastAsia="Arial" w:hAnsi="Arial" w:cs="Arial"/>
          <w:color w:val="000000"/>
          <w:sz w:val="20"/>
        </w:rPr>
        <w:t xml:space="preserve">Love correctly observes that certain features may be described as "accessible" but differ in key ways. The DOJ Guidance provides the example of an "accessible" bathroom, which could contain either a roll-in shower or a bathtub. </w:t>
      </w:r>
      <w:r>
        <w:rPr>
          <w:rFonts w:ascii="Arial" w:eastAsia="Arial" w:hAnsi="Arial" w:cs="Arial"/>
          <w:i/>
          <w:color w:val="000000"/>
          <w:sz w:val="20"/>
        </w:rPr>
        <w:t>Id.</w:t>
      </w:r>
      <w:r>
        <w:rPr>
          <w:rFonts w:ascii="Arial" w:eastAsia="Arial" w:hAnsi="Arial" w:cs="Arial"/>
          <w:color w:val="000000"/>
          <w:sz w:val="20"/>
        </w:rPr>
        <w:t xml:space="preserve"> ("[H]otel rooms that are in full compliance with current standards may differ"). In such cases, hotels must explain the accessible features so that individuals with disabilities can evaluate whether those features meet their needs. </w:t>
      </w:r>
      <w:r>
        <w:rPr>
          <w:rFonts w:ascii="Arial" w:eastAsia="Arial" w:hAnsi="Arial" w:cs="Arial"/>
          <w:i/>
          <w:color w:val="000000"/>
          <w:sz w:val="20"/>
        </w:rPr>
        <w:t>Id.</w:t>
      </w:r>
      <w:r>
        <w:rPr>
          <w:rFonts w:ascii="Arial" w:eastAsia="Arial" w:hAnsi="Arial" w:cs="Arial"/>
          <w:color w:val="000000"/>
          <w:sz w:val="20"/>
        </w:rPr>
        <w:t xml:space="preserve"> Marriott also complied with this requirement. For example, Marriott's website stated that one accessible [**13]  guestroom offered a "roll-in shower" (as opposed to a transfer shower or tub) in  [*1049]  compliance with the Guidance. For other features, the ADA Standards leave no doubt about the meaning of "accessible." For those features, additional detail is not necessary because "accessible" functions as a term of art, i.e., as a shorthand way of signaling compliance with the ADA and its implementing regulations. For example, the 1991 Standards specify that "accessible sleeping rooms shall have a 36 in. [] clear width maneuvering space located along both sides of a bed," 28 C.F.R. pt. 36 app. D § 9.2.2(1); that toilet seats must be 17-19 inches high with grab bars provided, </w:t>
      </w:r>
      <w:r>
        <w:rPr>
          <w:rFonts w:ascii="Arial" w:eastAsia="Arial" w:hAnsi="Arial" w:cs="Arial"/>
          <w:i/>
          <w:color w:val="000000"/>
          <w:sz w:val="20"/>
        </w:rPr>
        <w:t>id.</w:t>
      </w:r>
      <w:r>
        <w:rPr>
          <w:rFonts w:ascii="Arial" w:eastAsia="Arial" w:hAnsi="Arial" w:cs="Arial"/>
          <w:color w:val="000000"/>
          <w:sz w:val="20"/>
        </w:rPr>
        <w:t xml:space="preserve"> §§ 4.16.3, 4.16.4; that sinks must have knee clearance that is at least 27 inches high, 30 inches wide, and 19 inches deep, </w:t>
      </w:r>
      <w:r>
        <w:rPr>
          <w:rFonts w:ascii="Arial" w:eastAsia="Arial" w:hAnsi="Arial" w:cs="Arial"/>
          <w:i/>
          <w:color w:val="000000"/>
          <w:sz w:val="20"/>
        </w:rPr>
        <w:t>id.</w:t>
      </w:r>
      <w:r>
        <w:rPr>
          <w:rFonts w:ascii="Arial" w:eastAsia="Arial" w:hAnsi="Arial" w:cs="Arial"/>
          <w:color w:val="000000"/>
          <w:sz w:val="20"/>
        </w:rPr>
        <w:t xml:space="preserve"> § 4.24.3; and accessible showers must have seats and grab bars, </w:t>
      </w:r>
      <w:r>
        <w:rPr>
          <w:rFonts w:ascii="Arial" w:eastAsia="Arial" w:hAnsi="Arial" w:cs="Arial"/>
          <w:i/>
          <w:color w:val="000000"/>
          <w:sz w:val="20"/>
        </w:rPr>
        <w:t>id.</w:t>
      </w:r>
      <w:r>
        <w:rPr>
          <w:rFonts w:ascii="Arial" w:eastAsia="Arial" w:hAnsi="Arial" w:cs="Arial"/>
          <w:color w:val="000000"/>
          <w:sz w:val="20"/>
        </w:rPr>
        <w:t xml:space="preserve"> §§ 4.21.3, 4.21.4—the same information Love contends was missing from Marriott's website.</w:t>
      </w:r>
    </w:p>
    <w:p w:rsidR="00022B47" w:rsidRDefault="00000000">
      <w:pPr>
        <w:pStyle w:val="Normal25"/>
        <w:widowControl w:val="0"/>
        <w:spacing w:before="200" w:line="260" w:lineRule="atLeast"/>
        <w:jc w:val="both"/>
      </w:pPr>
      <w:bookmarkStart w:id="4901" w:name="Bookmark_para_20_21"/>
      <w:bookmarkStart w:id="4902" w:name="Bookmark_LNHNREFclscc9_17"/>
      <w:bookmarkEnd w:id="4901"/>
      <w:bookmarkEnd w:id="4902"/>
      <w:r>
        <w:rPr>
          <w:rFonts w:ascii="Arial" w:eastAsia="Arial" w:hAnsi="Arial" w:cs="Arial"/>
          <w:color w:val="000000"/>
          <w:sz w:val="20"/>
        </w:rPr>
        <w:t xml:space="preserve">"Older hotels" not built in accordance with ADA Standards "should include, at a minimum, information about accessible entrances to the hotel, the path of travel to guest check-in and other essential services, and the accessible route to the accessible room or rooms." </w:t>
      </w:r>
      <w:r>
        <w:rPr>
          <w:rFonts w:ascii="Arial" w:eastAsia="Arial" w:hAnsi="Arial" w:cs="Arial"/>
          <w:i/>
          <w:color w:val="000000"/>
          <w:sz w:val="20"/>
        </w:rPr>
        <w:t>Id.</w:t>
      </w:r>
      <w:r>
        <w:rPr>
          <w:rFonts w:ascii="Arial" w:eastAsia="Arial" w:hAnsi="Arial" w:cs="Arial"/>
          <w:color w:val="000000"/>
          <w:sz w:val="20"/>
        </w:rPr>
        <w:t xml:space="preserve"> app. A. Marriott's website provides that information [**14]  and more: The "Hotel Details" page includes an "Accessibility" section describing the "Accessible Areas with Accessible Routes from Public Entrance." Those areas include the business center, the fitness center, the public entrance alternative, the registration desk pathway, the registration desk, and the restaurant lounges. The page also describes "Accessible Hotel Features" including parking areas and elevators.</w:t>
      </w:r>
    </w:p>
    <w:p w:rsidR="00022B47" w:rsidRDefault="00000000">
      <w:pPr>
        <w:pStyle w:val="Normal25"/>
        <w:widowControl w:val="0"/>
        <w:spacing w:before="200" w:line="260" w:lineRule="atLeast"/>
        <w:jc w:val="both"/>
      </w:pPr>
      <w:bookmarkStart w:id="4903" w:name="Bookmark_para_21_21"/>
      <w:bookmarkEnd w:id="4903"/>
      <w:r>
        <w:rPr>
          <w:rFonts w:ascii="Arial" w:eastAsia="Arial" w:hAnsi="Arial" w:cs="Arial"/>
          <w:color w:val="000000"/>
          <w:sz w:val="20"/>
        </w:rPr>
        <w:t xml:space="preserve">These older hotels should also indicate when "important features . . . do not comply with the [ADA] Standards" and "provide a way for guests to contact the appropriate hotel employee for additional information." </w:t>
      </w:r>
      <w:r>
        <w:rPr>
          <w:rFonts w:ascii="Arial" w:eastAsia="Arial" w:hAnsi="Arial" w:cs="Arial"/>
          <w:i/>
          <w:color w:val="000000"/>
          <w:sz w:val="20"/>
        </w:rPr>
        <w:t>Id.</w:t>
      </w:r>
      <w:r>
        <w:rPr>
          <w:rFonts w:ascii="Arial" w:eastAsia="Arial" w:hAnsi="Arial" w:cs="Arial"/>
          <w:color w:val="000000"/>
          <w:sz w:val="20"/>
        </w:rPr>
        <w:t xml:space="preserve"> Love has neither alleged that the Hotel fails to comply with the ADA Standards, nor has he indicated that any information is missing from the website regarding noncompliant features. In any event, Marriott's website provides a phone number for prospective guests to call with inquiries about "the physical features of [Marriott's] accessible rooms, common areas, or special services relating to a specific disability." </w:t>
      </w:r>
      <w:r>
        <w:rPr>
          <w:rFonts w:ascii="Arial" w:eastAsia="Arial" w:hAnsi="Arial" w:cs="Arial"/>
          <w:i/>
          <w:color w:val="000000"/>
          <w:sz w:val="20"/>
        </w:rPr>
        <w:t>Id.</w:t>
      </w:r>
      <w:r>
        <w:rPr>
          <w:rFonts w:ascii="Arial" w:eastAsia="Arial" w:hAnsi="Arial" w:cs="Arial"/>
          <w:color w:val="000000"/>
          <w:sz w:val="20"/>
        </w:rPr>
        <w:t xml:space="preserve"> (requiring hotels to make "trained staff" available to provide additional accessibility information).</w:t>
      </w:r>
    </w:p>
    <w:p w:rsidR="00022B47" w:rsidRDefault="00000000">
      <w:pPr>
        <w:pStyle w:val="Normal25"/>
        <w:widowControl w:val="0"/>
        <w:spacing w:before="200" w:line="260" w:lineRule="atLeast"/>
        <w:jc w:val="both"/>
      </w:pPr>
      <w:bookmarkStart w:id="4904" w:name="Bookmark_para_22_20"/>
      <w:bookmarkEnd w:id="4904"/>
      <w:r>
        <w:rPr>
          <w:rFonts w:ascii="Arial" w:eastAsia="Arial" w:hAnsi="Arial" w:cs="Arial"/>
          <w:color w:val="000000"/>
          <w:sz w:val="20"/>
        </w:rPr>
        <w:t>To sum up, Marriott's website comports with [**15]  DOJ's Guidance.</w:t>
      </w:r>
    </w:p>
    <w:p w:rsidR="00022B47" w:rsidRDefault="00000000">
      <w:pPr>
        <w:pStyle w:val="Normal25"/>
        <w:widowControl w:val="0"/>
        <w:spacing w:before="240" w:line="260" w:lineRule="atLeast"/>
      </w:pPr>
      <w:r>
        <w:br/>
      </w:r>
      <w:r>
        <w:rPr>
          <w:rFonts w:ascii="Arial" w:eastAsia="Arial" w:hAnsi="Arial" w:cs="Arial"/>
          <w:b/>
          <w:color w:val="000000"/>
          <w:sz w:val="20"/>
        </w:rPr>
        <w:t xml:space="preserve">III. </w:t>
      </w:r>
      <w:r>
        <w:rPr>
          <w:rFonts w:ascii="Arial" w:eastAsia="Arial" w:hAnsi="Arial" w:cs="Arial"/>
          <w:b/>
          <w:smallCaps/>
          <w:color w:val="000000"/>
          <w:sz w:val="20"/>
        </w:rPr>
        <w:t>Conclusion</w:t>
      </w:r>
    </w:p>
    <w:p w:rsidR="00022B47" w:rsidRDefault="00000000">
      <w:pPr>
        <w:pStyle w:val="Normal25"/>
        <w:widowControl w:val="0"/>
        <w:spacing w:before="200" w:line="260" w:lineRule="atLeast"/>
        <w:jc w:val="both"/>
      </w:pPr>
      <w:bookmarkStart w:id="4905" w:name="Bookmark_para_23_19"/>
      <w:bookmarkEnd w:id="4905"/>
      <w:r>
        <w:rPr>
          <w:rFonts w:ascii="Arial" w:eastAsia="Arial" w:hAnsi="Arial" w:cs="Arial"/>
          <w:color w:val="000000"/>
          <w:sz w:val="20"/>
        </w:rPr>
        <w:t>Because we afford the DOJ Guidance controlling weight in interpreting the Reservations Rule, and because Marriott has complied with that Guidance, Love cannot prevail on his ADA claim. We affirm the district court's dismissal of the complaint.</w:t>
      </w:r>
    </w:p>
    <w:p w:rsidR="00022B47" w:rsidRDefault="00022B47">
      <w:pPr>
        <w:pStyle w:val="Normal25"/>
      </w:pPr>
    </w:p>
    <w:p w:rsidR="00022B47" w:rsidRDefault="00000000">
      <w:pPr>
        <w:pStyle w:val="Normal25"/>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13536"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2138248244"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24281E" id="Line 56"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26"/>
        <w:sectPr w:rsidR="00022B47">
          <w:headerReference w:type="even" r:id="rId163"/>
          <w:headerReference w:type="default" r:id="rId164"/>
          <w:footerReference w:type="even" r:id="rId165"/>
          <w:footerReference w:type="default" r:id="rId166"/>
          <w:headerReference w:type="first" r:id="rId167"/>
          <w:footerReference w:type="first" r:id="rId168"/>
          <w:pgSz w:w="12240" w:h="15840"/>
          <w:pgMar w:top="840" w:right="1000" w:bottom="840" w:left="1000" w:header="400" w:footer="400" w:gutter="0"/>
          <w:cols w:space="720"/>
          <w:titlePg/>
        </w:sectPr>
      </w:pPr>
    </w:p>
    <w:p w:rsidR="00022B47" w:rsidRDefault="00022B47">
      <w:pPr>
        <w:pStyle w:val="Normal26"/>
      </w:pPr>
    </w:p>
    <w:p w:rsidR="00022B47" w:rsidRDefault="00000000">
      <w:pPr>
        <w:pStyle w:val="Heading125"/>
        <w:keepNext w:val="0"/>
        <w:widowControl w:val="0"/>
        <w:spacing w:after="200" w:line="340" w:lineRule="atLeast"/>
        <w:jc w:val="center"/>
      </w:pPr>
      <w:r>
        <w:rPr>
          <w:rFonts w:eastAsia="Arial"/>
          <w:color w:val="000000"/>
          <w:sz w:val="28"/>
        </w:rPr>
        <w:t>Guess v. St. Martinus Univ.</w:t>
      </w:r>
    </w:p>
    <w:p w:rsidR="00022B47" w:rsidRDefault="00000000">
      <w:pPr>
        <w:pStyle w:val="Normal26"/>
        <w:widowControl w:val="0"/>
        <w:spacing w:before="120" w:line="260" w:lineRule="atLeast"/>
        <w:jc w:val="center"/>
      </w:pPr>
      <w:r>
        <w:rPr>
          <w:rFonts w:ascii="Arial" w:eastAsia="Arial" w:hAnsi="Arial" w:cs="Arial"/>
          <w:color w:val="000000"/>
          <w:sz w:val="20"/>
        </w:rPr>
        <w:t>United States Court of Appeals for the Sixth Circuit</w:t>
      </w:r>
    </w:p>
    <w:p w:rsidR="00022B47" w:rsidRDefault="00000000">
      <w:pPr>
        <w:pStyle w:val="Normal26"/>
        <w:widowControl w:val="0"/>
        <w:spacing w:before="120" w:line="260" w:lineRule="atLeast"/>
        <w:jc w:val="center"/>
      </w:pPr>
      <w:r>
        <w:rPr>
          <w:rFonts w:ascii="Arial" w:eastAsia="Arial" w:hAnsi="Arial" w:cs="Arial"/>
          <w:color w:val="000000"/>
          <w:sz w:val="20"/>
        </w:rPr>
        <w:t>April 26, 2022, Filed</w:t>
      </w:r>
    </w:p>
    <w:p w:rsidR="00022B47" w:rsidRDefault="00000000">
      <w:pPr>
        <w:pStyle w:val="Normal26"/>
        <w:widowControl w:val="0"/>
        <w:spacing w:before="120" w:line="260" w:lineRule="atLeast"/>
        <w:jc w:val="center"/>
      </w:pPr>
      <w:r>
        <w:rPr>
          <w:rFonts w:ascii="Arial" w:eastAsia="Arial" w:hAnsi="Arial" w:cs="Arial"/>
          <w:color w:val="000000"/>
          <w:sz w:val="20"/>
        </w:rPr>
        <w:t>File Name: 22a0170n.06</w:t>
      </w:r>
    </w:p>
    <w:p w:rsidR="00022B47" w:rsidRDefault="00000000">
      <w:pPr>
        <w:pStyle w:val="Normal26"/>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Case No. 21-1478</w:t>
      </w:r>
    </w:p>
    <w:p w:rsidR="00022B47" w:rsidRDefault="00022B47">
      <w:pPr>
        <w:pStyle w:val="Normal26"/>
        <w:widowControl w:val="0"/>
        <w:spacing w:line="240" w:lineRule="atLeast"/>
        <w:jc w:val="both"/>
      </w:pPr>
      <w:bookmarkStart w:id="4906" w:name="Bookmark_27"/>
      <w:bookmarkEnd w:id="4906"/>
    </w:p>
    <w:p w:rsidR="00022B47" w:rsidRDefault="00000000">
      <w:pPr>
        <w:pStyle w:val="Normal26"/>
        <w:widowControl w:val="0"/>
        <w:spacing w:before="200" w:line="240" w:lineRule="atLeast"/>
      </w:pPr>
      <w:bookmarkStart w:id="4907" w:name="Reporter_25"/>
      <w:bookmarkEnd w:id="4907"/>
      <w:r>
        <w:rPr>
          <w:rFonts w:ascii="Arial" w:eastAsia="Arial" w:hAnsi="Arial" w:cs="Arial"/>
          <w:b/>
          <w:color w:val="000000"/>
          <w:sz w:val="18"/>
        </w:rPr>
        <w:t>Reporter</w:t>
      </w:r>
    </w:p>
    <w:p w:rsidR="00022B47" w:rsidRDefault="00000000">
      <w:pPr>
        <w:pStyle w:val="Normal26"/>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2022 U.S. App. LEXIS 11466 *; 2022 WL 1224555</w:t>
      </w:r>
    </w:p>
    <w:p w:rsidR="00022B47" w:rsidRDefault="00000000">
      <w:pPr>
        <w:pStyle w:val="Normal26"/>
        <w:widowControl w:val="0"/>
        <w:spacing w:before="120" w:line="260" w:lineRule="atLeast"/>
      </w:pPr>
      <w:r>
        <w:rPr>
          <w:rFonts w:ascii="Arial" w:eastAsia="Arial" w:hAnsi="Arial" w:cs="Arial"/>
          <w:color w:val="000000"/>
          <w:sz w:val="20"/>
        </w:rPr>
        <w:t>WILLIAM PATRICK GUESS, Plaintiff-Appellant, v. ST. MARTINUS UNIVERSITY and OAKLAND PHYSICIANS MEDICAL CENTER, LLC, Defendants-Appellees.</w:t>
      </w:r>
    </w:p>
    <w:p w:rsidR="00022B47" w:rsidRDefault="00000000">
      <w:pPr>
        <w:pStyle w:val="Normal26"/>
        <w:widowControl w:val="0"/>
        <w:spacing w:before="240" w:line="260" w:lineRule="atLeast"/>
        <w:jc w:val="both"/>
      </w:pPr>
      <w:bookmarkStart w:id="4908" w:name="Notice_11"/>
      <w:bookmarkEnd w:id="4908"/>
      <w:r>
        <w:rPr>
          <w:rFonts w:ascii="Arial" w:eastAsia="Arial" w:hAnsi="Arial" w:cs="Arial"/>
          <w:b/>
          <w:color w:val="000000"/>
          <w:sz w:val="20"/>
        </w:rPr>
        <w:t>Notice:</w:t>
      </w:r>
      <w:r>
        <w:rPr>
          <w:rFonts w:ascii="Arial" w:eastAsia="Arial" w:hAnsi="Arial" w:cs="Arial"/>
          <w:color w:val="000000"/>
          <w:sz w:val="20"/>
        </w:rPr>
        <w:t> </w:t>
      </w:r>
      <w:bookmarkStart w:id="4909" w:name="Bookmark_para_1_25"/>
      <w:bookmarkEnd w:id="4909"/>
      <w:r>
        <w:rPr>
          <w:rFonts w:ascii="Arial" w:eastAsia="Arial" w:hAnsi="Arial" w:cs="Arial"/>
          <w:color w:val="000000"/>
          <w:sz w:val="20"/>
        </w:rPr>
        <w:t>CONSULT 6TH CIR. R. 32.1 FOR CITATION OF UNPUBLISHED OPINIONS AND DECISIONS.</w:t>
      </w:r>
    </w:p>
    <w:p w:rsidR="00022B47" w:rsidRDefault="00000000">
      <w:pPr>
        <w:pStyle w:val="Normal26"/>
        <w:widowControl w:val="0"/>
        <w:spacing w:before="240" w:line="260" w:lineRule="atLeast"/>
      </w:pPr>
      <w:bookmarkStart w:id="4910" w:name="Subsequent_History_3"/>
      <w:bookmarkEnd w:id="4910"/>
      <w:r>
        <w:rPr>
          <w:rFonts w:ascii="Arial" w:eastAsia="Arial" w:hAnsi="Arial" w:cs="Arial"/>
          <w:b/>
          <w:color w:val="000000"/>
          <w:sz w:val="20"/>
        </w:rPr>
        <w:t>Subsequent History:</w:t>
      </w:r>
      <w:r>
        <w:rPr>
          <w:rFonts w:ascii="Arial" w:eastAsia="Arial" w:hAnsi="Arial" w:cs="Arial"/>
          <w:color w:val="000000"/>
          <w:sz w:val="20"/>
        </w:rPr>
        <w:t> Rehearing denied by Guess v. St. Martinus Univ., 2022 U.S. App. LEXIS 12949 (6th Cir., May 12, 2022)</w:t>
      </w:r>
    </w:p>
    <w:p w:rsidR="00022B47" w:rsidRDefault="00000000">
      <w:pPr>
        <w:pStyle w:val="Normal26"/>
        <w:widowControl w:val="0"/>
        <w:spacing w:before="240" w:line="260" w:lineRule="atLeast"/>
        <w:jc w:val="both"/>
      </w:pPr>
      <w:bookmarkStart w:id="4911" w:name="Prior_History_25"/>
      <w:bookmarkEnd w:id="4911"/>
      <w:r>
        <w:rPr>
          <w:rFonts w:ascii="Arial" w:eastAsia="Arial" w:hAnsi="Arial" w:cs="Arial"/>
          <w:b/>
          <w:color w:val="000000"/>
          <w:sz w:val="20"/>
        </w:rPr>
        <w:t>Prior History:</w:t>
      </w:r>
      <w:r>
        <w:rPr>
          <w:rFonts w:ascii="Arial" w:eastAsia="Arial" w:hAnsi="Arial" w:cs="Arial"/>
          <w:color w:val="000000"/>
          <w:sz w:val="20"/>
        </w:rPr>
        <w:t> </w:t>
      </w:r>
      <w:bookmarkStart w:id="4912" w:name="Bookmark_para_2_25"/>
      <w:bookmarkEnd w:id="4912"/>
      <w:r>
        <w:rPr>
          <w:rFonts w:ascii="Arial" w:eastAsia="Arial" w:hAnsi="Arial" w:cs="Arial"/>
          <w:color w:val="000000"/>
          <w:sz w:val="20"/>
        </w:rPr>
        <w:t> [*1] ON APPEAL FROM THE UNITED STATES DISTRICT COURT FOR THE EASTERN DISTRICT OF MICHIGAN.</w:t>
      </w:r>
    </w:p>
    <w:p w:rsidR="00022B47" w:rsidRDefault="00000000">
      <w:pPr>
        <w:pStyle w:val="Normal26"/>
        <w:widowControl w:val="0"/>
        <w:spacing w:before="120" w:line="260" w:lineRule="atLeast"/>
      </w:pPr>
      <w:r>
        <w:rPr>
          <w:rFonts w:ascii="Arial" w:eastAsia="Arial" w:hAnsi="Arial" w:cs="Arial"/>
          <w:color w:val="000000"/>
          <w:sz w:val="20"/>
        </w:rPr>
        <w:t>Guess v. St. Martinus Univ., 2021 U.S. Dist. LEXIS 70685, 2021 WL 1387784 ( E.D. Mich., Apr. 13, 2021)</w:t>
      </w:r>
    </w:p>
    <w:p w:rsidR="00022B47" w:rsidRDefault="00000000">
      <w:pPr>
        <w:pStyle w:val="Normal26"/>
        <w:widowControl w:val="0"/>
        <w:spacing w:before="240" w:line="260" w:lineRule="atLeast"/>
      </w:pPr>
      <w:bookmarkStart w:id="4913" w:name="Counsel_25"/>
      <w:bookmarkEnd w:id="4913"/>
      <w:r>
        <w:rPr>
          <w:rFonts w:ascii="Arial" w:eastAsia="Arial" w:hAnsi="Arial" w:cs="Arial"/>
          <w:b/>
          <w:color w:val="000000"/>
          <w:sz w:val="20"/>
        </w:rPr>
        <w:t>Counsel:</w:t>
      </w:r>
      <w:r>
        <w:rPr>
          <w:rFonts w:ascii="Arial" w:eastAsia="Arial" w:hAnsi="Arial" w:cs="Arial"/>
          <w:color w:val="000000"/>
          <w:sz w:val="20"/>
        </w:rPr>
        <w:t> For WILLIAM PATRICK GUESS, Plaintiff - Appellant: Howard Yale Lederman, Law Office, Bloomfield Hills, MI.</w:t>
      </w:r>
    </w:p>
    <w:p w:rsidR="00022B47" w:rsidRDefault="00000000">
      <w:pPr>
        <w:pStyle w:val="Normal26"/>
        <w:widowControl w:val="0"/>
        <w:spacing w:before="120" w:line="260" w:lineRule="atLeast"/>
      </w:pPr>
      <w:r>
        <w:rPr>
          <w:rFonts w:ascii="Arial" w:eastAsia="Arial" w:hAnsi="Arial" w:cs="Arial"/>
          <w:color w:val="000000"/>
          <w:sz w:val="20"/>
        </w:rPr>
        <w:t>For ST. MARTINUS UNIVERSITY, OAKLAND PHYSICIANS MEDICAL CENTER, LLC, Defendant - Appellees: Erica Shell, Bodman, Detroit, MI; Thomas J. Tallerico, Bodman, Troy, MI.</w:t>
      </w:r>
    </w:p>
    <w:p w:rsidR="00022B47" w:rsidRDefault="00000000">
      <w:pPr>
        <w:pStyle w:val="Normal26"/>
        <w:widowControl w:val="0"/>
        <w:spacing w:before="240" w:line="260" w:lineRule="atLeast"/>
      </w:pPr>
      <w:bookmarkStart w:id="4914" w:name="Judges_25"/>
      <w:bookmarkEnd w:id="4914"/>
      <w:r>
        <w:rPr>
          <w:rFonts w:ascii="Arial" w:eastAsia="Arial" w:hAnsi="Arial" w:cs="Arial"/>
          <w:b/>
          <w:color w:val="000000"/>
          <w:sz w:val="20"/>
        </w:rPr>
        <w:t>Judges:</w:t>
      </w:r>
      <w:r>
        <w:rPr>
          <w:rFonts w:ascii="Arial" w:eastAsia="Arial" w:hAnsi="Arial" w:cs="Arial"/>
          <w:color w:val="000000"/>
          <w:sz w:val="20"/>
        </w:rPr>
        <w:t> Before: McKEAGUE, GRIFFIN, and READLER, Circuit Judges.</w:t>
      </w:r>
    </w:p>
    <w:p w:rsidR="00022B47" w:rsidRDefault="00000000">
      <w:pPr>
        <w:pStyle w:val="Normal26"/>
        <w:widowControl w:val="0"/>
        <w:spacing w:before="240" w:line="260" w:lineRule="atLeast"/>
      </w:pPr>
      <w:bookmarkStart w:id="4915" w:name="Opinion_by_15"/>
      <w:bookmarkEnd w:id="4915"/>
      <w:r>
        <w:rPr>
          <w:rFonts w:ascii="Arial" w:eastAsia="Arial" w:hAnsi="Arial" w:cs="Arial"/>
          <w:b/>
          <w:color w:val="000000"/>
          <w:sz w:val="20"/>
        </w:rPr>
        <w:t>Opinion by:</w:t>
      </w:r>
      <w:r>
        <w:rPr>
          <w:rFonts w:ascii="Arial" w:eastAsia="Arial" w:hAnsi="Arial" w:cs="Arial"/>
          <w:color w:val="000000"/>
          <w:sz w:val="20"/>
        </w:rPr>
        <w:t> McKEAGUE</w:t>
      </w:r>
    </w:p>
    <w:p w:rsidR="00022B47" w:rsidRDefault="00000000">
      <w:pPr>
        <w:pStyle w:val="Normal26"/>
        <w:keepNext/>
        <w:widowControl w:val="0"/>
        <w:spacing w:before="240" w:line="340" w:lineRule="atLeast"/>
      </w:pPr>
      <w:bookmarkStart w:id="4916" w:name="Opinion_25"/>
      <w:bookmarkEnd w:id="4916"/>
      <w:r>
        <w:rPr>
          <w:rFonts w:ascii="Arial" w:eastAsia="Arial" w:hAnsi="Arial" w:cs="Arial"/>
          <w:b/>
          <w:color w:val="000000"/>
          <w:sz w:val="28"/>
        </w:rPr>
        <w:t>Opinion</w:t>
      </w:r>
    </w:p>
    <w:p w:rsidR="00022B47" w:rsidRDefault="0025213E">
      <w:pPr>
        <w:pStyle w:val="Normal26"/>
        <w:spacing w:line="60" w:lineRule="exact"/>
      </w:pPr>
      <w:r>
        <w:rPr>
          <w:noProof/>
        </w:rPr>
        <mc:AlternateContent>
          <mc:Choice Requires="wps">
            <w:drawing>
              <wp:anchor distT="0" distB="0" distL="114300" distR="114300" simplePos="0" relativeHeight="25171456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863158397"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E40BA5" id="Line 57"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26"/>
      </w:pPr>
    </w:p>
    <w:p w:rsidR="00022B47" w:rsidRDefault="00000000">
      <w:pPr>
        <w:pStyle w:val="Normal26"/>
        <w:widowControl w:val="0"/>
        <w:spacing w:before="200" w:line="260" w:lineRule="atLeast"/>
        <w:jc w:val="both"/>
      </w:pPr>
      <w:bookmarkStart w:id="4917" w:name="Bookmark_para_3_25"/>
      <w:bookmarkEnd w:id="4917"/>
      <w:r>
        <w:rPr>
          <w:rFonts w:ascii="Arial" w:eastAsia="Arial" w:hAnsi="Arial" w:cs="Arial"/>
          <w:b/>
          <w:color w:val="000000"/>
          <w:sz w:val="20"/>
        </w:rPr>
        <w:t>McKEAGUE, Circuit Judge</w:t>
      </w:r>
      <w:r>
        <w:rPr>
          <w:rFonts w:ascii="Arial" w:eastAsia="Arial" w:hAnsi="Arial" w:cs="Arial"/>
          <w:color w:val="000000"/>
          <w:sz w:val="20"/>
        </w:rPr>
        <w:t>. Plaintiff William Patrick Guess, a medical student who has attention-deficit/hyperactivity disorder (ADHD), claims that his former medical school and an affiliate violated Title III of the Americans with Disabilities Act by failing to provide him a reasonable accommodation during a preparatory exam. The district court granted summary judgment in favor of the defendants, reasoning that they did not "offer" the exam in question and therefore the defendants were not liable under Title III as a matter of law. The court also denied Guess's motion for leave to file a third amended complaint. We affirm.</w:t>
      </w:r>
    </w:p>
    <w:p w:rsidR="00022B47" w:rsidRDefault="00000000">
      <w:pPr>
        <w:pStyle w:val="Normal26"/>
        <w:widowControl w:val="0"/>
        <w:spacing w:before="120" w:line="260" w:lineRule="atLeast"/>
      </w:pPr>
      <w:r>
        <w:rPr>
          <w:rFonts w:ascii="Arial" w:eastAsia="Arial" w:hAnsi="Arial" w:cs="Arial"/>
          <w:color w:val="000000"/>
          <w:sz w:val="20"/>
        </w:rPr>
        <w:t>I.</w:t>
      </w:r>
    </w:p>
    <w:p w:rsidR="00022B47" w:rsidRDefault="00000000">
      <w:pPr>
        <w:pStyle w:val="Normal26"/>
        <w:widowControl w:val="0"/>
        <w:spacing w:before="240" w:line="260" w:lineRule="atLeast"/>
      </w:pPr>
      <w:r>
        <w:br/>
      </w:r>
      <w:r>
        <w:rPr>
          <w:rFonts w:ascii="Arial" w:eastAsia="Arial" w:hAnsi="Arial" w:cs="Arial"/>
          <w:b/>
          <w:color w:val="000000"/>
          <w:sz w:val="20"/>
        </w:rPr>
        <w:t>A. Factual Background</w:t>
      </w:r>
    </w:p>
    <w:p w:rsidR="00022B47" w:rsidRDefault="00000000">
      <w:pPr>
        <w:pStyle w:val="Normal26"/>
        <w:widowControl w:val="0"/>
        <w:spacing w:before="200" w:line="260" w:lineRule="atLeast"/>
        <w:jc w:val="both"/>
      </w:pPr>
      <w:bookmarkStart w:id="4918" w:name="Bookmark_para_4_25"/>
      <w:bookmarkEnd w:id="4918"/>
      <w:r>
        <w:rPr>
          <w:rFonts w:ascii="Arial" w:eastAsia="Arial" w:hAnsi="Arial" w:cs="Arial"/>
          <w:color w:val="000000"/>
          <w:sz w:val="20"/>
        </w:rPr>
        <w:t>Guess, a resident of Michigan, enrolled at St. Martinus University medical school in 2013. St. Martinus University is a private [*2]  school located in Curaçao. Curaçao is an island country located in the southern Caribbean Sea, just north of Venezuela, and a constituent of the Netherlands.</w:t>
      </w:r>
    </w:p>
    <w:p w:rsidR="00022B47" w:rsidRDefault="00000000">
      <w:pPr>
        <w:pStyle w:val="Normal26"/>
        <w:widowControl w:val="0"/>
        <w:spacing w:before="200" w:line="260" w:lineRule="atLeast"/>
        <w:jc w:val="both"/>
      </w:pPr>
      <w:bookmarkStart w:id="4919" w:name="Bookmark_para_5_25"/>
      <w:bookmarkEnd w:id="4919"/>
      <w:r>
        <w:rPr>
          <w:rFonts w:ascii="Arial" w:eastAsia="Arial" w:hAnsi="Arial" w:cs="Arial"/>
          <w:color w:val="000000"/>
          <w:sz w:val="20"/>
        </w:rPr>
        <w:t>Prior to enrolling at St. Martinus, Guess communicated with the school regarding accommodations for his ADHD. According to Guess, the school assured him that his requested accommodations, such as extra time for exams, would be provided. During Guess's time at St. Martinus, the school gave him extra time to complete school-administered exams to accommodate his ADHD.</w:t>
      </w:r>
    </w:p>
    <w:p w:rsidR="00022B47" w:rsidRDefault="00000000">
      <w:pPr>
        <w:pStyle w:val="Normal26"/>
        <w:widowControl w:val="0"/>
        <w:spacing w:before="200" w:line="260" w:lineRule="atLeast"/>
        <w:jc w:val="both"/>
      </w:pPr>
      <w:bookmarkStart w:id="4920" w:name="Bookmark_para_6_25"/>
      <w:bookmarkEnd w:id="4920"/>
      <w:r>
        <w:rPr>
          <w:rFonts w:ascii="Arial" w:eastAsia="Arial" w:hAnsi="Arial" w:cs="Arial"/>
          <w:color w:val="000000"/>
          <w:sz w:val="20"/>
        </w:rPr>
        <w:t>St. Martinus, though not located in the United States, prepares students for medical careers in the United States. To become a physician in the United States, medical students must pass three phases of testing administered by the National Board of Medical Examiners (NBME), referred to as Step 1, Step 2, and Step 3. Medical students generally attempt Step 1 after completing their second year of medical school. St. Martinus requires students to take preparatory exams prior to taking the Step 1 exam from the NBME. The NBME creates the prep exams, and Prometric, a company that provides testing centers around the world for a variety of subjects, administers them. Neither entity [*3]  is a party to this case. St. Martinus policy requires that students perform at a sufficient level in the Prometric-administered NBME prep exam to become eligible to take the NBME Step 1 exam.</w:t>
      </w:r>
    </w:p>
    <w:p w:rsidR="00022B47" w:rsidRDefault="00000000">
      <w:pPr>
        <w:pStyle w:val="Normal26"/>
        <w:widowControl w:val="0"/>
        <w:spacing w:before="200" w:line="260" w:lineRule="atLeast"/>
        <w:jc w:val="both"/>
      </w:pPr>
      <w:bookmarkStart w:id="4921" w:name="Bookmark_para_7_25"/>
      <w:bookmarkEnd w:id="4921"/>
      <w:r>
        <w:rPr>
          <w:rFonts w:ascii="Arial" w:eastAsia="Arial" w:hAnsi="Arial" w:cs="Arial"/>
          <w:color w:val="000000"/>
          <w:sz w:val="20"/>
        </w:rPr>
        <w:t>In 2016, after struggling academically during his first two years at St. Martinus, Guess left Curaçao and returned home to Michigan. Guess remained enrolled at St. Martinus and continued to self-study by using his professors' class slides. Guess took school exams at Pontiac General Hospital in Pontiac, Michigan. Pontiac General is owned by Defendant Oakland Physicians Medical Center, LLC (OPMC). St. Martinus and OPMC had an agreement under which St. Martinus students could "participate in the medical education, research, and patient care programs" at Pontiac General. R. 39-10.</w:t>
      </w:r>
    </w:p>
    <w:p w:rsidR="00022B47" w:rsidRDefault="00000000">
      <w:pPr>
        <w:pStyle w:val="Normal26"/>
        <w:widowControl w:val="0"/>
        <w:spacing w:before="200" w:line="260" w:lineRule="atLeast"/>
        <w:jc w:val="both"/>
      </w:pPr>
      <w:bookmarkStart w:id="4922" w:name="Bookmark_para_8_24"/>
      <w:bookmarkEnd w:id="4922"/>
      <w:r>
        <w:rPr>
          <w:rFonts w:ascii="Arial" w:eastAsia="Arial" w:hAnsi="Arial" w:cs="Arial"/>
          <w:color w:val="000000"/>
          <w:sz w:val="20"/>
        </w:rPr>
        <w:t xml:space="preserve">By 2018, Guess had yet to take the Step 1 NBME exam. That October, Guess emailed Marc Poulin, the Associate Dean of Clinical Affairs for St. Martinus Administrative Services, LLC (a separate entity that handles the school's administrative services and is not a party to this lawsuit). The email informed Poulin that Guess had requested an extension for his Step 1 exam because he had not yet taken his Prometric prep exams. In [*4]  that email, Guess also stated that he wanted to take "at least" three Prometric exams prior to taking the Step 1 exam. R. 39-19 at PID 1494. In February 2019, Poulin emailed Guess to let him know that he "scheduled the [Prometric] exams for the blocks we discussed a few weeks back." </w:t>
      </w:r>
      <w:r>
        <w:rPr>
          <w:rFonts w:ascii="Arial" w:eastAsia="Arial" w:hAnsi="Arial" w:cs="Arial"/>
          <w:i/>
          <w:color w:val="000000"/>
          <w:sz w:val="20"/>
        </w:rPr>
        <w:t>Id.</w:t>
      </w:r>
      <w:r>
        <w:rPr>
          <w:rFonts w:ascii="Arial" w:eastAsia="Arial" w:hAnsi="Arial" w:cs="Arial"/>
          <w:color w:val="000000"/>
          <w:sz w:val="20"/>
        </w:rPr>
        <w:t xml:space="preserve"> at 1491. Poulin stated that he "scheduled the first two for normal time and the last 2 with 1.5X accommodation" because he "realized only after the first two that [Guess] had requested accommodation and the NBME registration process has no mechanism for me to make changes to an order once I push the order button and add to the roster." </w:t>
      </w:r>
      <w:r>
        <w:rPr>
          <w:rFonts w:ascii="Arial" w:eastAsia="Arial" w:hAnsi="Arial" w:cs="Arial"/>
          <w:i/>
          <w:color w:val="000000"/>
          <w:sz w:val="20"/>
        </w:rPr>
        <w:t>Id.</w:t>
      </w:r>
    </w:p>
    <w:p w:rsidR="00022B47" w:rsidRDefault="00000000">
      <w:pPr>
        <w:pStyle w:val="Normal26"/>
        <w:widowControl w:val="0"/>
        <w:spacing w:before="200" w:line="260" w:lineRule="atLeast"/>
        <w:jc w:val="both"/>
      </w:pPr>
      <w:bookmarkStart w:id="4923" w:name="Bookmark_para_9_24"/>
      <w:bookmarkEnd w:id="4923"/>
      <w:r>
        <w:rPr>
          <w:rFonts w:ascii="Arial" w:eastAsia="Arial" w:hAnsi="Arial" w:cs="Arial"/>
          <w:color w:val="000000"/>
          <w:sz w:val="20"/>
        </w:rPr>
        <w:t>Guess took a Prometric exam in February, one in March, and one in June 2019. The exams were administered by Prometric at Prometric testing sites in Michigan. Guess had planned to take his first two Prometric exams without an accommodation to evaluate his level of preparedness. Based on the email from Poulin, Guess believed that he would have an accommodation for his third exam in June. When Guess arrived for the third exam, he asked the Prometric employee about his accommodation. Guess informed her that Poulin "made sure that this test had [his] accommodations." R. [*5]  30-5 at 47. The employee told him that she did not see any accommodations listed and that Guess would have to speak to Poulin. Guess took the exam without the timing accommodation.</w:t>
      </w:r>
    </w:p>
    <w:p w:rsidR="00022B47" w:rsidRDefault="00000000">
      <w:pPr>
        <w:pStyle w:val="Normal26"/>
        <w:widowControl w:val="0"/>
        <w:spacing w:before="200" w:line="260" w:lineRule="atLeast"/>
        <w:jc w:val="both"/>
      </w:pPr>
      <w:bookmarkStart w:id="4924" w:name="Bookmark_para_10_24"/>
      <w:bookmarkEnd w:id="4924"/>
      <w:r>
        <w:rPr>
          <w:rFonts w:ascii="Arial" w:eastAsia="Arial" w:hAnsi="Arial" w:cs="Arial"/>
          <w:color w:val="000000"/>
          <w:sz w:val="20"/>
        </w:rPr>
        <w:t>According to Guess, he was supposed to take a fourth prometric exam in 2019 but St. Martinus canceled that exam due to unpaid balances on his account. St. Martinus assessed LAP—or "lack of academic progress"—fees in the amount of $200 per month if students did not complete their Step 1 exam within six months of completing basic medical sciences (courses taught during the first two years of medical school). Back in December of 2018, Poulin informed Guess that if a fourth prometric exam was to be taken, Guess would need to clear his "LAP fee balance." R. 39-19 at 1493.</w:t>
      </w:r>
    </w:p>
    <w:p w:rsidR="00022B47" w:rsidRDefault="00000000">
      <w:pPr>
        <w:pStyle w:val="Normal26"/>
        <w:widowControl w:val="0"/>
        <w:spacing w:before="200" w:line="260" w:lineRule="atLeast"/>
        <w:jc w:val="both"/>
      </w:pPr>
      <w:bookmarkStart w:id="4925" w:name="Bookmark_para_11_24"/>
      <w:bookmarkEnd w:id="4925"/>
      <w:r>
        <w:rPr>
          <w:rFonts w:ascii="Arial" w:eastAsia="Arial" w:hAnsi="Arial" w:cs="Arial"/>
          <w:color w:val="000000"/>
          <w:sz w:val="20"/>
        </w:rPr>
        <w:t>The LAP fees were not the only financial issue Guess encountered at St. Martinus. In July 2016, Guess signed an "acknowledgement of debt" agreeing that he owed the school an outstanding balance of roughly $20,000, setting a payment schedule, and declaring (among other things), "My transcripts will be withheld until the full payment [is] made." R. 30-8. Guess did not make the payments laid out in the acknowledgement of debt.</w:t>
      </w:r>
    </w:p>
    <w:p w:rsidR="00022B47" w:rsidRDefault="00000000">
      <w:pPr>
        <w:pStyle w:val="Normal26"/>
        <w:widowControl w:val="0"/>
        <w:spacing w:before="200" w:line="260" w:lineRule="atLeast"/>
        <w:jc w:val="both"/>
      </w:pPr>
      <w:bookmarkStart w:id="4926" w:name="Bookmark_para_12_24"/>
      <w:bookmarkEnd w:id="4926"/>
      <w:r>
        <w:rPr>
          <w:rFonts w:ascii="Arial" w:eastAsia="Arial" w:hAnsi="Arial" w:cs="Arial"/>
          <w:color w:val="000000"/>
          <w:sz w:val="20"/>
        </w:rPr>
        <w:t>In May 2019, prior to [*6]  Guess taking the Prometric exam in June, Guess left St. Martinus and enrolled at Washington University of Health and Science in Belize. Guess claims that he was only partially accepted into Washington University because St. Martinus did not release his official transcripts, so he applied using only an unofficial transcript. St. Martinus released Guess's official transcript in November 2020, during this litigation.</w:t>
      </w:r>
    </w:p>
    <w:p w:rsidR="00022B47" w:rsidRDefault="00000000">
      <w:pPr>
        <w:pStyle w:val="Normal26"/>
        <w:widowControl w:val="0"/>
        <w:spacing w:before="240" w:line="260" w:lineRule="atLeast"/>
      </w:pPr>
      <w:r>
        <w:br/>
      </w:r>
      <w:r>
        <w:rPr>
          <w:rFonts w:ascii="Arial" w:eastAsia="Arial" w:hAnsi="Arial" w:cs="Arial"/>
          <w:b/>
          <w:color w:val="000000"/>
          <w:sz w:val="20"/>
        </w:rPr>
        <w:t>B. Procedural Background</w:t>
      </w:r>
    </w:p>
    <w:p w:rsidR="00022B47" w:rsidRDefault="00000000">
      <w:pPr>
        <w:pStyle w:val="Normal26"/>
        <w:widowControl w:val="0"/>
        <w:spacing w:before="200" w:line="260" w:lineRule="atLeast"/>
        <w:jc w:val="both"/>
      </w:pPr>
      <w:bookmarkStart w:id="4927" w:name="Bookmark_para_13_24"/>
      <w:bookmarkEnd w:id="4927"/>
      <w:r>
        <w:rPr>
          <w:rFonts w:ascii="Arial" w:eastAsia="Arial" w:hAnsi="Arial" w:cs="Arial"/>
          <w:color w:val="000000"/>
          <w:sz w:val="20"/>
        </w:rPr>
        <w:t>In July 2019, Guess sued St. Martinus and OPMC, asserting claims for violating the ADA and for breach of contract. Guess amended his complaint once in August 2019 and again in January 2020. Guess's second amended complaint alleges that St. Martinus failed to provide him with a reasonable accommodation during his June 2019 Prometric exam. Guess also claims that St. Martinus and OPMC breached a contract by charging him LAP fees and withholding his transcript.</w:t>
      </w:r>
    </w:p>
    <w:p w:rsidR="00022B47" w:rsidRDefault="00000000">
      <w:pPr>
        <w:pStyle w:val="Normal26"/>
        <w:widowControl w:val="0"/>
        <w:spacing w:before="200" w:line="260" w:lineRule="atLeast"/>
        <w:jc w:val="both"/>
      </w:pPr>
      <w:bookmarkStart w:id="4928" w:name="Bookmark_para_14_24"/>
      <w:bookmarkEnd w:id="4928"/>
      <w:r>
        <w:rPr>
          <w:rFonts w:ascii="Arial" w:eastAsia="Arial" w:hAnsi="Arial" w:cs="Arial"/>
          <w:color w:val="000000"/>
          <w:sz w:val="20"/>
        </w:rPr>
        <w:t>Shortly after discovery closed, defendants moved for summary judgment. While the motion for summary judgment remained pending, Guess filed a motion for leave to file a third amended complaint. Guess sought to add St. Martinus Administrative Services as a defendant along with an ADA retaliation claim [*7]  based on "new evidence learned of at the depositions and from document production," including the school's release of his official transcript in November 2020.</w:t>
      </w:r>
    </w:p>
    <w:p w:rsidR="00022B47" w:rsidRDefault="00000000">
      <w:pPr>
        <w:pStyle w:val="Normal26"/>
        <w:widowControl w:val="0"/>
        <w:spacing w:before="200" w:line="260" w:lineRule="atLeast"/>
        <w:jc w:val="both"/>
      </w:pPr>
      <w:bookmarkStart w:id="4929" w:name="Bookmark_para_15_24"/>
      <w:bookmarkEnd w:id="4929"/>
      <w:r>
        <w:rPr>
          <w:rFonts w:ascii="Arial" w:eastAsia="Arial" w:hAnsi="Arial" w:cs="Arial"/>
          <w:color w:val="000000"/>
          <w:sz w:val="20"/>
        </w:rPr>
        <w:t>The district court granted the defendants' motion for summary judgment and denied Guess's motion for leave to file a third amended complaint. In denying the motion for leave to amend, the district court concluded that Guess "acted with undue delay in bringing his claims." The court also held that an amendment would be futile. Guess now appeals.</w:t>
      </w:r>
    </w:p>
    <w:p w:rsidR="00022B47" w:rsidRDefault="00000000">
      <w:pPr>
        <w:pStyle w:val="Normal26"/>
        <w:widowControl w:val="0"/>
        <w:spacing w:before="120" w:line="260" w:lineRule="atLeast"/>
      </w:pPr>
      <w:r>
        <w:rPr>
          <w:rFonts w:ascii="Arial" w:eastAsia="Arial" w:hAnsi="Arial" w:cs="Arial"/>
          <w:color w:val="000000"/>
          <w:sz w:val="20"/>
        </w:rPr>
        <w:t>II.</w:t>
      </w:r>
    </w:p>
    <w:p w:rsidR="00022B47" w:rsidRDefault="00000000">
      <w:pPr>
        <w:pStyle w:val="Normal26"/>
        <w:widowControl w:val="0"/>
        <w:spacing w:before="200" w:line="260" w:lineRule="atLeast"/>
        <w:jc w:val="both"/>
      </w:pPr>
      <w:bookmarkStart w:id="4930" w:name="Bookmark_para_16_24"/>
      <w:bookmarkEnd w:id="4930"/>
      <w:r>
        <w:rPr>
          <w:rFonts w:ascii="Arial" w:eastAsia="Arial" w:hAnsi="Arial" w:cs="Arial"/>
          <w:color w:val="000000"/>
          <w:sz w:val="20"/>
        </w:rPr>
        <w:t>On appeal, Guess only challenges the district court's grant of summary judgment to the defendants on his ADA failure-to-accommodate claim and the district court's denial of his motion for leave to amend to add an ADA retaliation claim.</w:t>
      </w:r>
    </w:p>
    <w:p w:rsidR="00022B47" w:rsidRDefault="00000000">
      <w:pPr>
        <w:pStyle w:val="Normal26"/>
        <w:widowControl w:val="0"/>
        <w:spacing w:before="240" w:line="260" w:lineRule="atLeast"/>
      </w:pPr>
      <w:r>
        <w:br/>
      </w:r>
      <w:r>
        <w:rPr>
          <w:rFonts w:ascii="Arial" w:eastAsia="Arial" w:hAnsi="Arial" w:cs="Arial"/>
          <w:b/>
          <w:color w:val="000000"/>
          <w:sz w:val="20"/>
        </w:rPr>
        <w:t>A. Summary judgment</w:t>
      </w:r>
    </w:p>
    <w:p w:rsidR="00022B47" w:rsidRDefault="00000000">
      <w:pPr>
        <w:pStyle w:val="Normal26"/>
        <w:widowControl w:val="0"/>
        <w:spacing w:before="200" w:line="260" w:lineRule="atLeast"/>
        <w:jc w:val="both"/>
      </w:pPr>
      <w:bookmarkStart w:id="4931" w:name="Bookmark_para_17_23"/>
      <w:bookmarkStart w:id="4932" w:name="Bookmark_I65BY3632D6MSN0020000400"/>
      <w:bookmarkStart w:id="4933" w:name="Bookmark_LNHNREFclscc1_23"/>
      <w:bookmarkEnd w:id="4931"/>
      <w:bookmarkEnd w:id="4932"/>
      <w:bookmarkEnd w:id="4933"/>
      <w:r>
        <w:rPr>
          <w:rFonts w:ascii="Arial" w:eastAsia="Arial" w:hAnsi="Arial" w:cs="Arial"/>
          <w:color w:val="000000"/>
          <w:sz w:val="20"/>
        </w:rPr>
        <w:t xml:space="preserve">We review a district court's grant of summary judgment de novo, viewing the evidence in the light most favorable to the non-movant. </w:t>
      </w:r>
      <w:bookmarkStart w:id="4934" w:name="Bookmark_I65BY3632D6MSN0010000400"/>
      <w:bookmarkEnd w:id="4934"/>
      <w:r>
        <w:rPr>
          <w:rFonts w:ascii="Arial" w:eastAsia="Arial" w:hAnsi="Arial" w:cs="Arial"/>
          <w:i/>
          <w:color w:val="000000"/>
          <w:sz w:val="20"/>
        </w:rPr>
        <w:t>Fisher v. Nissan N. Am., Inc.</w:t>
      </w:r>
      <w:r>
        <w:rPr>
          <w:rFonts w:ascii="Arial" w:eastAsia="Arial" w:hAnsi="Arial" w:cs="Arial"/>
          <w:color w:val="000000"/>
          <w:sz w:val="20"/>
        </w:rPr>
        <w:t xml:space="preserve">, 951 F.3d 409, 416 (6th Cir. 2020) (citing </w:t>
      </w:r>
      <w:bookmarkStart w:id="4935" w:name="Bookmark_I65BY3632D6MSN0030000400"/>
      <w:bookmarkEnd w:id="4935"/>
      <w:r>
        <w:rPr>
          <w:rFonts w:ascii="Arial" w:eastAsia="Arial" w:hAnsi="Arial" w:cs="Arial"/>
          <w:i/>
          <w:color w:val="000000"/>
          <w:sz w:val="20"/>
        </w:rPr>
        <w:t>Anderson v. Liberty Lobby, Inc.</w:t>
      </w:r>
      <w:r>
        <w:rPr>
          <w:rFonts w:ascii="Arial" w:eastAsia="Arial" w:hAnsi="Arial" w:cs="Arial"/>
          <w:color w:val="000000"/>
          <w:sz w:val="20"/>
        </w:rPr>
        <w:t xml:space="preserve">, 477 U.S. 242, 255, 106 S. Ct. 2505, 91 L. Ed. 2d 202 (1986)). Summary judgment is appropriate when there are no genuine issues of material fact and a party must prevail as a matter of law. </w:t>
      </w:r>
      <w:r>
        <w:rPr>
          <w:rFonts w:ascii="Arial" w:eastAsia="Arial" w:hAnsi="Arial" w:cs="Arial"/>
          <w:i/>
          <w:color w:val="000000"/>
          <w:sz w:val="20"/>
        </w:rPr>
        <w:t>Id.</w:t>
      </w:r>
      <w:r>
        <w:rPr>
          <w:rFonts w:ascii="Arial" w:eastAsia="Arial" w:hAnsi="Arial" w:cs="Arial"/>
          <w:color w:val="000000"/>
          <w:sz w:val="20"/>
        </w:rPr>
        <w:t>; Fed. R. Civ. P. 56(a).</w:t>
      </w:r>
    </w:p>
    <w:p w:rsidR="00022B47" w:rsidRDefault="00000000">
      <w:pPr>
        <w:pStyle w:val="Normal26"/>
        <w:widowControl w:val="0"/>
        <w:spacing w:before="200" w:line="260" w:lineRule="atLeast"/>
        <w:jc w:val="both"/>
      </w:pPr>
      <w:bookmarkStart w:id="4936" w:name="Bookmark_para_18_23"/>
      <w:bookmarkEnd w:id="4936"/>
      <w:r>
        <w:rPr>
          <w:rFonts w:ascii="Arial" w:eastAsia="Arial" w:hAnsi="Arial" w:cs="Arial"/>
          <w:color w:val="000000"/>
          <w:sz w:val="20"/>
        </w:rPr>
        <w:t xml:space="preserve">Guess's claim arises under Title III of the ADA. </w:t>
      </w:r>
      <w:bookmarkStart w:id="4937" w:name="Bookmark_LNHNREFclscc2_23"/>
      <w:bookmarkEnd w:id="4937"/>
      <w:r>
        <w:rPr>
          <w:rFonts w:ascii="Arial" w:eastAsia="Arial" w:hAnsi="Arial" w:cs="Arial"/>
          <w:color w:val="000000"/>
          <w:sz w:val="20"/>
        </w:rPr>
        <w:t>Among other things, Title III says that any private entity that "offers examinations . . . related to applications, [*8]  licensing, certification, or credentialing for secondary or postsecondary education, professional, or trade purposes shall offer such examinations or courses in a place and manner accessible to persons with disabilities or offer alternative accessible arrangements for such individuals." 42 U.S.C. § 12189.</w:t>
      </w:r>
    </w:p>
    <w:p w:rsidR="00022B47" w:rsidRDefault="00000000">
      <w:pPr>
        <w:pStyle w:val="Normal26"/>
        <w:widowControl w:val="0"/>
        <w:spacing w:before="200" w:line="260" w:lineRule="atLeast"/>
        <w:jc w:val="both"/>
      </w:pPr>
      <w:bookmarkStart w:id="4938" w:name="Bookmark_para_19_22"/>
      <w:bookmarkStart w:id="4939" w:name="Bookmark_I65BY3632SF8450010000400"/>
      <w:bookmarkEnd w:id="4938"/>
      <w:bookmarkEnd w:id="4939"/>
      <w:r>
        <w:rPr>
          <w:rFonts w:ascii="Arial" w:eastAsia="Arial" w:hAnsi="Arial" w:cs="Arial"/>
          <w:color w:val="000000"/>
          <w:sz w:val="20"/>
        </w:rPr>
        <w:t xml:space="preserve">Guess's case hinges on the denial of an accommodation during the June 2019 NBME prep exam administered by Prometric. He argues that, under Section 309 of Title III, St. Martinus "offer[ed]" the prep exam and failed to provide him with extra time to accommodate his ADHD. </w:t>
      </w:r>
      <w:r>
        <w:rPr>
          <w:rFonts w:ascii="Arial" w:eastAsia="Arial" w:hAnsi="Arial" w:cs="Arial"/>
          <w:i/>
          <w:color w:val="000000"/>
          <w:sz w:val="20"/>
        </w:rPr>
        <w:t>Id.</w:t>
      </w:r>
      <w:r>
        <w:rPr>
          <w:rFonts w:ascii="Arial" w:eastAsia="Arial" w:hAnsi="Arial" w:cs="Arial"/>
          <w:color w:val="000000"/>
          <w:sz w:val="20"/>
        </w:rPr>
        <w:t xml:space="preserve"> The district court, relying on this court's opinion in </w:t>
      </w:r>
      <w:bookmarkStart w:id="4940" w:name="Bookmark_I65BY3632D6MSN0050000400"/>
      <w:bookmarkEnd w:id="4940"/>
      <w:r>
        <w:rPr>
          <w:rFonts w:ascii="Arial" w:eastAsia="Arial" w:hAnsi="Arial" w:cs="Arial"/>
          <w:i/>
          <w:color w:val="000000"/>
          <w:sz w:val="20"/>
        </w:rPr>
        <w:t>Binno v. Am. Bar Assoc.</w:t>
      </w:r>
      <w:r>
        <w:rPr>
          <w:rFonts w:ascii="Arial" w:eastAsia="Arial" w:hAnsi="Arial" w:cs="Arial"/>
          <w:color w:val="000000"/>
          <w:sz w:val="20"/>
        </w:rPr>
        <w:t>, 826 F.3d 338 (6th Cir. 2016), held that Guess's claims failed as a matter of law because the defendants did not "offer[]" the Prometric prep exam and therefore could not be liable under Title III for failure to provide an accommodation during that exam. We agree.</w:t>
      </w:r>
    </w:p>
    <w:p w:rsidR="00022B47" w:rsidRDefault="00000000">
      <w:pPr>
        <w:pStyle w:val="Normal26"/>
        <w:widowControl w:val="0"/>
        <w:spacing w:before="200" w:line="260" w:lineRule="atLeast"/>
        <w:jc w:val="both"/>
      </w:pPr>
      <w:bookmarkStart w:id="4941" w:name="Bookmark_para_20_22"/>
      <w:bookmarkStart w:id="4942" w:name="Bookmark_I65BY3632SF8450030000400"/>
      <w:bookmarkStart w:id="4943" w:name="Bookmark_I65BY3632SF8450050000400"/>
      <w:bookmarkStart w:id="4944" w:name="Bookmark_I65BY3632SF8450020000400"/>
      <w:bookmarkEnd w:id="4941"/>
      <w:bookmarkEnd w:id="4942"/>
      <w:bookmarkEnd w:id="4943"/>
      <w:bookmarkEnd w:id="4944"/>
      <w:r>
        <w:rPr>
          <w:rFonts w:ascii="Arial" w:eastAsia="Arial" w:hAnsi="Arial" w:cs="Arial"/>
          <w:i/>
          <w:color w:val="000000"/>
          <w:sz w:val="20"/>
        </w:rPr>
        <w:t>Binno</w:t>
      </w:r>
      <w:bookmarkStart w:id="4945" w:name="Bookmark_I65BY36328T4330020000400"/>
      <w:bookmarkEnd w:id="4945"/>
      <w:r>
        <w:rPr>
          <w:rFonts w:ascii="Arial" w:eastAsia="Arial" w:hAnsi="Arial" w:cs="Arial"/>
          <w:color w:val="000000"/>
          <w:sz w:val="20"/>
        </w:rPr>
        <w:t xml:space="preserve"> does the heavy lifting here. In that case, a legally blind law student sued the American Bar Association (ABA) under Title III of the ADA, claiming that the logic games section of the Law School Admissions Test (LSAT) was discriminatory against blind students. </w:t>
      </w:r>
      <w:bookmarkStart w:id="4946" w:name="Bookmark_I65BY3632SF8450040000400"/>
      <w:bookmarkEnd w:id="4946"/>
      <w:r>
        <w:rPr>
          <w:rFonts w:ascii="Arial" w:eastAsia="Arial" w:hAnsi="Arial" w:cs="Arial"/>
          <w:i/>
          <w:color w:val="000000"/>
          <w:sz w:val="20"/>
        </w:rPr>
        <w:t>Id.</w:t>
      </w:r>
      <w:r>
        <w:rPr>
          <w:rFonts w:ascii="Arial" w:eastAsia="Arial" w:hAnsi="Arial" w:cs="Arial"/>
          <w:color w:val="000000"/>
          <w:sz w:val="20"/>
        </w:rPr>
        <w:t xml:space="preserve"> at 342-43. </w:t>
      </w:r>
      <w:bookmarkStart w:id="4947" w:name="Bookmark_I65BY36328T4330020000400_2"/>
      <w:bookmarkStart w:id="4948" w:name="Bookmark_I65BY36328T4330040000400"/>
      <w:bookmarkEnd w:id="4947"/>
      <w:bookmarkEnd w:id="4948"/>
      <w:r>
        <w:rPr>
          <w:rFonts w:ascii="Arial" w:eastAsia="Arial" w:hAnsi="Arial" w:cs="Arial"/>
          <w:color w:val="000000"/>
          <w:sz w:val="20"/>
        </w:rPr>
        <w:t xml:space="preserve">But the LSAT is "not an ABA product." </w:t>
      </w:r>
      <w:bookmarkStart w:id="4949" w:name="Bookmark_I65BY36328T4330010000400"/>
      <w:bookmarkEnd w:id="4949"/>
      <w:r>
        <w:rPr>
          <w:rFonts w:ascii="Arial" w:eastAsia="Arial" w:hAnsi="Arial" w:cs="Arial"/>
          <w:i/>
          <w:color w:val="000000"/>
          <w:sz w:val="20"/>
        </w:rPr>
        <w:t>Id.</w:t>
      </w:r>
      <w:r>
        <w:rPr>
          <w:rFonts w:ascii="Arial" w:eastAsia="Arial" w:hAnsi="Arial" w:cs="Arial"/>
          <w:color w:val="000000"/>
          <w:sz w:val="20"/>
        </w:rPr>
        <w:t xml:space="preserve"> at 343. </w:t>
      </w:r>
      <w:bookmarkStart w:id="4950" w:name="Bookmark_I65BY36328T4330040000400_2"/>
      <w:bookmarkStart w:id="4951" w:name="Bookmark_I65BY3632N1PV10010000400"/>
      <w:bookmarkEnd w:id="4950"/>
      <w:bookmarkEnd w:id="4951"/>
      <w:r>
        <w:rPr>
          <w:rFonts w:ascii="Arial" w:eastAsia="Arial" w:hAnsi="Arial" w:cs="Arial"/>
          <w:color w:val="000000"/>
          <w:sz w:val="20"/>
        </w:rPr>
        <w:t xml:space="preserve">Instead, it "is written, administered, and scored by [*9]  the Law School Admission Council (LSAC), an entity that is not part of the ABA." </w:t>
      </w:r>
      <w:r>
        <w:rPr>
          <w:rFonts w:ascii="Arial" w:eastAsia="Arial" w:hAnsi="Arial" w:cs="Arial"/>
          <w:i/>
          <w:color w:val="000000"/>
          <w:sz w:val="20"/>
        </w:rPr>
        <w:t>Id.</w:t>
      </w:r>
      <w:r>
        <w:rPr>
          <w:rFonts w:ascii="Arial" w:eastAsia="Arial" w:hAnsi="Arial" w:cs="Arial"/>
          <w:color w:val="000000"/>
          <w:sz w:val="20"/>
        </w:rPr>
        <w:t xml:space="preserve"> Thus, because it was "the LSAC, and not the ABA, that develops and administers the LSAT and grants accommodations in the testing format[,]" we held that the ABA did not "offer" the LSAT within the meaning of 42 U.S.C. § 12189. </w:t>
      </w:r>
      <w:bookmarkStart w:id="4952" w:name="Bookmark_I65BY3632N1PV10030000400"/>
      <w:bookmarkStart w:id="4953" w:name="Bookmark_I65BY36328T4330030000400"/>
      <w:bookmarkEnd w:id="4952"/>
      <w:bookmarkEnd w:id="4953"/>
      <w:r>
        <w:rPr>
          <w:rFonts w:ascii="Arial" w:eastAsia="Arial" w:hAnsi="Arial" w:cs="Arial"/>
          <w:i/>
          <w:color w:val="000000"/>
          <w:sz w:val="20"/>
        </w:rPr>
        <w:t>Id.</w:t>
      </w:r>
      <w:r>
        <w:rPr>
          <w:rFonts w:ascii="Arial" w:eastAsia="Arial" w:hAnsi="Arial" w:cs="Arial"/>
          <w:color w:val="000000"/>
          <w:sz w:val="20"/>
        </w:rPr>
        <w:t xml:space="preserve"> at 348-49. </w:t>
      </w:r>
      <w:bookmarkStart w:id="4954" w:name="Bookmark_I65BY3632N1PV10030000400_2"/>
      <w:bookmarkStart w:id="4955" w:name="Bookmark_I65BY3632N1PV10010000400_2"/>
      <w:bookmarkStart w:id="4956" w:name="Bookmark_LNHNREFclscc3_23"/>
      <w:bookmarkEnd w:id="4954"/>
      <w:bookmarkEnd w:id="4955"/>
      <w:bookmarkEnd w:id="4956"/>
      <w:r>
        <w:rPr>
          <w:rFonts w:ascii="Arial" w:eastAsia="Arial" w:hAnsi="Arial" w:cs="Arial"/>
          <w:color w:val="000000"/>
          <w:sz w:val="20"/>
        </w:rPr>
        <w:t xml:space="preserve">While the term "offer" is not defined in the statute, the statute's context "indicates that an entity that 'offers examinations' under this provision must be able to provide an accessible 'place and manner' for administration of the tests, or arrange for alternative, accessible accommodations." </w:t>
      </w:r>
      <w:bookmarkStart w:id="4957" w:name="Bookmark_I65BY36328T4330050000400"/>
      <w:bookmarkEnd w:id="4957"/>
      <w:r>
        <w:rPr>
          <w:rFonts w:ascii="Arial" w:eastAsia="Arial" w:hAnsi="Arial" w:cs="Arial"/>
          <w:i/>
          <w:color w:val="000000"/>
          <w:sz w:val="20"/>
        </w:rPr>
        <w:t>Id.</w:t>
      </w:r>
      <w:r>
        <w:rPr>
          <w:rFonts w:ascii="Arial" w:eastAsia="Arial" w:hAnsi="Arial" w:cs="Arial"/>
          <w:color w:val="000000"/>
          <w:sz w:val="20"/>
        </w:rPr>
        <w:t xml:space="preserve"> at 346. We further reasoned in </w:t>
      </w:r>
      <w:bookmarkStart w:id="4958" w:name="Bookmark_I65BY3632N1PV10030000400_3"/>
      <w:bookmarkStart w:id="4959" w:name="Bookmark_I65BY3632N1PV10020000400"/>
      <w:bookmarkEnd w:id="4958"/>
      <w:bookmarkEnd w:id="4959"/>
      <w:r>
        <w:rPr>
          <w:rFonts w:ascii="Arial" w:eastAsia="Arial" w:hAnsi="Arial" w:cs="Arial"/>
          <w:i/>
          <w:color w:val="000000"/>
          <w:sz w:val="20"/>
        </w:rPr>
        <w:t>Binno</w:t>
      </w:r>
      <w:bookmarkStart w:id="4960" w:name="Bookmark_I65BY3632SF8470020000400"/>
      <w:bookmarkEnd w:id="4960"/>
      <w:r>
        <w:rPr>
          <w:rFonts w:ascii="Arial" w:eastAsia="Arial" w:hAnsi="Arial" w:cs="Arial"/>
          <w:color w:val="000000"/>
          <w:sz w:val="20"/>
        </w:rPr>
        <w:t xml:space="preserve"> that Title III's implementing regulations "support the interpretation that an entity offering the exam must have significant control over its administration or accommodation." </w:t>
      </w:r>
      <w:bookmarkStart w:id="4961" w:name="Bookmark_I65BY3632N1PV10040000400"/>
      <w:bookmarkEnd w:id="4961"/>
      <w:r>
        <w:rPr>
          <w:rFonts w:ascii="Arial" w:eastAsia="Arial" w:hAnsi="Arial" w:cs="Arial"/>
          <w:i/>
          <w:color w:val="000000"/>
          <w:sz w:val="20"/>
        </w:rPr>
        <w:t>Id.</w:t>
      </w:r>
      <w:r>
        <w:rPr>
          <w:rFonts w:ascii="Arial" w:eastAsia="Arial" w:hAnsi="Arial" w:cs="Arial"/>
          <w:color w:val="000000"/>
          <w:sz w:val="20"/>
        </w:rPr>
        <w:t xml:space="preserve"> at 346-47 (citing 28 C.F.R. § 36.309(b)(4)). And because the ABA had no "authority over the manner and administration of the LSAT" and had no "authority to grant accommodations" during the LSAT, the plaintiff's claim under Title III failed. </w:t>
      </w:r>
      <w:bookmarkStart w:id="4962" w:name="Bookmark_I65BY3632SF8470010000400"/>
      <w:bookmarkEnd w:id="4962"/>
      <w:r>
        <w:rPr>
          <w:rFonts w:ascii="Arial" w:eastAsia="Arial" w:hAnsi="Arial" w:cs="Arial"/>
          <w:i/>
          <w:color w:val="000000"/>
          <w:sz w:val="20"/>
        </w:rPr>
        <w:t>Id.</w:t>
      </w:r>
      <w:r>
        <w:rPr>
          <w:rFonts w:ascii="Arial" w:eastAsia="Arial" w:hAnsi="Arial" w:cs="Arial"/>
          <w:color w:val="000000"/>
          <w:sz w:val="20"/>
        </w:rPr>
        <w:t xml:space="preserve"> at 348.</w:t>
      </w:r>
    </w:p>
    <w:p w:rsidR="00022B47" w:rsidRDefault="00000000">
      <w:pPr>
        <w:pStyle w:val="Normal26"/>
        <w:widowControl w:val="0"/>
        <w:spacing w:before="200" w:line="260" w:lineRule="atLeast"/>
        <w:jc w:val="both"/>
      </w:pPr>
      <w:bookmarkStart w:id="4963" w:name="Bookmark_para_21_22"/>
      <w:bookmarkStart w:id="4964" w:name="Bookmark_I2M353BSRSB00005WJ900005"/>
      <w:bookmarkStart w:id="4965" w:name="Bookmark_I65BY3632SF8470040000400"/>
      <w:bookmarkEnd w:id="4963"/>
      <w:bookmarkEnd w:id="4964"/>
      <w:bookmarkEnd w:id="4965"/>
      <w:r>
        <w:rPr>
          <w:rFonts w:ascii="Arial" w:eastAsia="Arial" w:hAnsi="Arial" w:cs="Arial"/>
          <w:color w:val="000000"/>
          <w:sz w:val="20"/>
        </w:rPr>
        <w:t xml:space="preserve">Here, as with the ABA and the LSAT in </w:t>
      </w:r>
      <w:bookmarkStart w:id="4966" w:name="Bookmark_I65BY3632SF8470030000400"/>
      <w:bookmarkEnd w:id="4966"/>
      <w:r>
        <w:rPr>
          <w:rFonts w:ascii="Arial" w:eastAsia="Arial" w:hAnsi="Arial" w:cs="Arial"/>
          <w:i/>
          <w:color w:val="000000"/>
          <w:sz w:val="20"/>
        </w:rPr>
        <w:t>Binno</w:t>
      </w:r>
      <w:r>
        <w:rPr>
          <w:rFonts w:ascii="Arial" w:eastAsia="Arial" w:hAnsi="Arial" w:cs="Arial"/>
          <w:color w:val="000000"/>
          <w:sz w:val="20"/>
        </w:rPr>
        <w:t xml:space="preserve">, St. Martinus does not exercise any "authority over the manner and administration of the" NBME prep exams administered by Prometric. </w:t>
      </w:r>
      <w:bookmarkStart w:id="4967" w:name="Bookmark_I2M353BS8TR00005WJ900002"/>
      <w:bookmarkStart w:id="4968" w:name="Bookmark_I65BY36328T4340010000400"/>
      <w:bookmarkEnd w:id="4967"/>
      <w:bookmarkEnd w:id="4968"/>
      <w:r>
        <w:rPr>
          <w:rFonts w:ascii="Arial" w:eastAsia="Arial" w:hAnsi="Arial" w:cs="Arial"/>
          <w:i/>
          <w:color w:val="000000"/>
          <w:sz w:val="20"/>
        </w:rPr>
        <w:t>Id.</w:t>
      </w:r>
      <w:r>
        <w:rPr>
          <w:rFonts w:ascii="Arial" w:eastAsia="Arial" w:hAnsi="Arial" w:cs="Arial"/>
          <w:color w:val="000000"/>
          <w:sz w:val="20"/>
        </w:rPr>
        <w:t xml:space="preserve"> And Guess has presented [*10]  no evidence that St. Martinus or any other named party has any "authority to grant accommodations" for that exam. </w:t>
      </w:r>
      <w:r>
        <w:rPr>
          <w:rFonts w:ascii="Arial" w:eastAsia="Arial" w:hAnsi="Arial" w:cs="Arial"/>
          <w:i/>
          <w:color w:val="000000"/>
          <w:sz w:val="20"/>
        </w:rPr>
        <w:t>Id.</w:t>
      </w:r>
      <w:r>
        <w:rPr>
          <w:rFonts w:ascii="Arial" w:eastAsia="Arial" w:hAnsi="Arial" w:cs="Arial"/>
          <w:color w:val="000000"/>
          <w:sz w:val="20"/>
        </w:rPr>
        <w:t xml:space="preserve"> At most, Guess produced a series of emails with Marc Poulin of St. Martinus Administrative Services showing that Poulin had scheduled Guess's 2019 prep exams at Prometric and that Guess had asked Poulin for an accommodation. </w:t>
      </w:r>
      <w:bookmarkStart w:id="4969" w:name="Bookmark_I65BY36328T4340010000400_2"/>
      <w:bookmarkEnd w:id="4969"/>
      <w:r>
        <w:rPr>
          <w:rFonts w:ascii="Arial" w:eastAsia="Arial" w:hAnsi="Arial" w:cs="Arial"/>
          <w:color w:val="000000"/>
          <w:sz w:val="20"/>
        </w:rPr>
        <w:t xml:space="preserve">But there is no evidence that the defendants, St. Martinus or OPMC, had any authority to grant or deny an accommodation during the exam. Guess's own testimony established that the NBME developed the June 2019 prep exam and that Prometric administered it at a Prometric testing site in Michigan. Giving the term "offer" the same construction as we did in </w:t>
      </w:r>
      <w:bookmarkStart w:id="4970" w:name="Bookmark_I65BY36328T4340010000400_3"/>
      <w:bookmarkStart w:id="4971" w:name="Bookmark_I65BY3632SF8470050000400"/>
      <w:bookmarkEnd w:id="4970"/>
      <w:bookmarkEnd w:id="4971"/>
      <w:r>
        <w:rPr>
          <w:rFonts w:ascii="Arial" w:eastAsia="Arial" w:hAnsi="Arial" w:cs="Arial"/>
          <w:i/>
          <w:color w:val="000000"/>
          <w:sz w:val="20"/>
        </w:rPr>
        <w:t>Binno</w:t>
      </w:r>
      <w:r>
        <w:rPr>
          <w:rFonts w:ascii="Arial" w:eastAsia="Arial" w:hAnsi="Arial" w:cs="Arial"/>
          <w:color w:val="000000"/>
          <w:sz w:val="20"/>
        </w:rPr>
        <w:t>, the defendants did not "offer" the June 2019 prep exam for which Guess did not obtain an accommodation. 42 U.S.C. § 12189. And Guess has not sued Prometric, nor has he alleged that the defendants failed to grant him accommodations on any school-administered exam. Thus, the defendants are entitled to summary judgment on Guess's ADA claim.</w:t>
      </w:r>
      <w:r>
        <w:rPr>
          <w:rFonts w:ascii="Arial" w:eastAsia="Arial" w:hAnsi="Arial" w:cs="Arial"/>
          <w:vertAlign w:val="superscript"/>
        </w:rPr>
        <w:footnoteReference w:customMarkFollows="1" w:id="124"/>
        <w:t>1</w:t>
      </w:r>
    </w:p>
    <w:p w:rsidR="00022B47" w:rsidRDefault="00000000">
      <w:pPr>
        <w:pStyle w:val="Normal26"/>
        <w:widowControl w:val="0"/>
        <w:spacing w:before="240" w:line="260" w:lineRule="atLeast"/>
      </w:pPr>
      <w:r>
        <w:br/>
      </w:r>
      <w:r>
        <w:rPr>
          <w:rFonts w:ascii="Arial" w:eastAsia="Arial" w:hAnsi="Arial" w:cs="Arial"/>
          <w:b/>
          <w:color w:val="000000"/>
          <w:sz w:val="20"/>
        </w:rPr>
        <w:t>B. Motion for leave to amend</w:t>
      </w:r>
    </w:p>
    <w:p w:rsidR="00022B47" w:rsidRDefault="00000000">
      <w:pPr>
        <w:pStyle w:val="Normal26"/>
        <w:widowControl w:val="0"/>
        <w:spacing w:before="200" w:line="260" w:lineRule="atLeast"/>
        <w:jc w:val="both"/>
      </w:pPr>
      <w:bookmarkStart w:id="4973" w:name="Bookmark_para_22_21"/>
      <w:bookmarkStart w:id="4974" w:name="Bookmark_I65BY36328T4340030000400"/>
      <w:bookmarkStart w:id="4975" w:name="Bookmark_I65BY36328T4340050000400"/>
      <w:bookmarkEnd w:id="4973"/>
      <w:bookmarkEnd w:id="4974"/>
      <w:bookmarkEnd w:id="4975"/>
      <w:r>
        <w:rPr>
          <w:rFonts w:ascii="Arial" w:eastAsia="Arial" w:hAnsi="Arial" w:cs="Arial"/>
          <w:color w:val="000000"/>
          <w:sz w:val="20"/>
        </w:rPr>
        <w:t xml:space="preserve">Guess also appeals the district court's denial of his motion for leave to file a third amended complaint to add an ADA retaliation claim. </w:t>
      </w:r>
      <w:bookmarkStart w:id="4976" w:name="Bookmark_LNHNREFclscc4_23"/>
      <w:bookmarkEnd w:id="4976"/>
      <w:r>
        <w:rPr>
          <w:rFonts w:ascii="Arial" w:eastAsia="Arial" w:hAnsi="Arial" w:cs="Arial"/>
          <w:color w:val="000000"/>
          <w:sz w:val="20"/>
        </w:rPr>
        <w:t xml:space="preserve">When considering [*11]  a motion for leave to amend under Federal Rule of Civil Procedure 15, leave "should not be denied unless there is evidence of undue delay, bad faith, undue prejudice to the non-movant, or futility." </w:t>
      </w:r>
      <w:bookmarkStart w:id="4977" w:name="Bookmark_I65BY36328T4340020000400"/>
      <w:bookmarkEnd w:id="4977"/>
      <w:r>
        <w:rPr>
          <w:rFonts w:ascii="Arial" w:eastAsia="Arial" w:hAnsi="Arial" w:cs="Arial"/>
          <w:i/>
          <w:color w:val="000000"/>
          <w:sz w:val="20"/>
        </w:rPr>
        <w:t>Ziegler v. IBP Hog Mkt., Inc.</w:t>
      </w:r>
      <w:r>
        <w:rPr>
          <w:rFonts w:ascii="Arial" w:eastAsia="Arial" w:hAnsi="Arial" w:cs="Arial"/>
          <w:color w:val="000000"/>
          <w:sz w:val="20"/>
        </w:rPr>
        <w:t xml:space="preserve">, 249 F.3d 509, 519 (6th Cir. 2001). While the district court denied other efforts by Guess to amend his complaint, Guess only argues on appeal that amending his complaint to add the ADA retaliation claim was not futile, an argument we review de novo. </w:t>
      </w:r>
      <w:bookmarkStart w:id="4978" w:name="Bookmark_I65BY36328T4340040000400"/>
      <w:bookmarkEnd w:id="4978"/>
      <w:r>
        <w:rPr>
          <w:rFonts w:ascii="Arial" w:eastAsia="Arial" w:hAnsi="Arial" w:cs="Arial"/>
          <w:i/>
          <w:color w:val="000000"/>
          <w:sz w:val="20"/>
        </w:rPr>
        <w:t>Boulton v. Swanson</w:t>
      </w:r>
      <w:r>
        <w:rPr>
          <w:rFonts w:ascii="Arial" w:eastAsia="Arial" w:hAnsi="Arial" w:cs="Arial"/>
          <w:color w:val="000000"/>
          <w:sz w:val="20"/>
        </w:rPr>
        <w:t xml:space="preserve">, 795 F.3d 526, 537 (6th Cir. 2015). </w:t>
      </w:r>
      <w:bookmarkStart w:id="4979" w:name="Bookmark_I65BY3642HM69J0020000400"/>
      <w:bookmarkStart w:id="4980" w:name="Bookmark_LNHNREFclscc5_23"/>
      <w:bookmarkEnd w:id="4979"/>
      <w:bookmarkEnd w:id="4980"/>
      <w:r>
        <w:rPr>
          <w:rFonts w:ascii="Arial" w:eastAsia="Arial" w:hAnsi="Arial" w:cs="Arial"/>
          <w:color w:val="000000"/>
          <w:sz w:val="20"/>
        </w:rPr>
        <w:t xml:space="preserve">A proposed claim is futile if it "could not withstand a motion to dismiss." </w:t>
      </w:r>
      <w:r>
        <w:rPr>
          <w:rFonts w:ascii="Arial" w:eastAsia="Arial" w:hAnsi="Arial" w:cs="Arial"/>
          <w:i/>
          <w:color w:val="000000"/>
          <w:sz w:val="20"/>
        </w:rPr>
        <w:t>Id.</w:t>
      </w:r>
      <w:r>
        <w:rPr>
          <w:rFonts w:ascii="Arial" w:eastAsia="Arial" w:hAnsi="Arial" w:cs="Arial"/>
          <w:color w:val="000000"/>
          <w:sz w:val="20"/>
        </w:rPr>
        <w:t xml:space="preserve"> (citation omitted). To survive a motion to dismiss, a complaint must include sufficient factual allegations to state a plausible claim to relief. </w:t>
      </w:r>
      <w:bookmarkStart w:id="4981" w:name="Bookmark_I65BY3642HM69J0010000400"/>
      <w:bookmarkEnd w:id="4981"/>
      <w:r>
        <w:rPr>
          <w:rFonts w:ascii="Arial" w:eastAsia="Arial" w:hAnsi="Arial" w:cs="Arial"/>
          <w:i/>
          <w:color w:val="000000"/>
          <w:sz w:val="20"/>
        </w:rPr>
        <w:t>Saumer v. Cliffs Nat. Res. Inc.</w:t>
      </w:r>
      <w:r>
        <w:rPr>
          <w:rFonts w:ascii="Arial" w:eastAsia="Arial" w:hAnsi="Arial" w:cs="Arial"/>
          <w:color w:val="000000"/>
          <w:sz w:val="20"/>
        </w:rPr>
        <w:t xml:space="preserve">, 853 F.3d 855, 858 (6th Cir. 2017) (citing </w:t>
      </w:r>
      <w:bookmarkStart w:id="4982" w:name="Bookmark_I65BY3642HM69J0030000400"/>
      <w:bookmarkEnd w:id="4982"/>
      <w:r>
        <w:rPr>
          <w:rFonts w:ascii="Arial" w:eastAsia="Arial" w:hAnsi="Arial" w:cs="Arial"/>
          <w:i/>
          <w:color w:val="000000"/>
          <w:sz w:val="20"/>
        </w:rPr>
        <w:t>Ashcroft v. Iqbal</w:t>
      </w:r>
      <w:r>
        <w:rPr>
          <w:rFonts w:ascii="Arial" w:eastAsia="Arial" w:hAnsi="Arial" w:cs="Arial"/>
          <w:color w:val="000000"/>
          <w:sz w:val="20"/>
        </w:rPr>
        <w:t>, 556 U.S. 662, 678, 129 S. Ct. 1937, 173 L. Ed. 2d 868 (2009)).</w:t>
      </w:r>
    </w:p>
    <w:p w:rsidR="00022B47" w:rsidRDefault="00000000">
      <w:pPr>
        <w:pStyle w:val="Normal26"/>
        <w:widowControl w:val="0"/>
        <w:spacing w:before="200" w:line="260" w:lineRule="atLeast"/>
        <w:jc w:val="both"/>
      </w:pPr>
      <w:bookmarkStart w:id="4983" w:name="Bookmark_para_23_20"/>
      <w:bookmarkStart w:id="4984" w:name="Bookmark_I2M353BRVH000005WJ900001"/>
      <w:bookmarkStart w:id="4985" w:name="Bookmark_I65BY3642N1PVD0010000400"/>
      <w:bookmarkStart w:id="4986" w:name="Bookmark_LNHNREFclscc6_20"/>
      <w:bookmarkEnd w:id="4983"/>
      <w:bookmarkEnd w:id="4984"/>
      <w:bookmarkEnd w:id="4985"/>
      <w:bookmarkEnd w:id="4986"/>
      <w:r>
        <w:rPr>
          <w:rFonts w:ascii="Arial" w:eastAsia="Arial" w:hAnsi="Arial" w:cs="Arial"/>
          <w:color w:val="000000"/>
          <w:sz w:val="20"/>
        </w:rPr>
        <w:t xml:space="preserve">Borrowing from the Title II employment context, to state a prima facie case for ADA retaliation, a plaintiff must plausibly allege: (1) that he engaged in a protected activity; (2) that the defendants knew of that activity; and (3) that the defendants took an adverse action against him; and (4) that there was a causal connection between the protected activity and the adverse action. </w:t>
      </w:r>
      <w:bookmarkStart w:id="4987" w:name="Bookmark_I65BY3642HM69J0050000400"/>
      <w:bookmarkEnd w:id="4987"/>
      <w:r>
        <w:rPr>
          <w:rFonts w:ascii="Arial" w:eastAsia="Arial" w:hAnsi="Arial" w:cs="Arial"/>
          <w:i/>
          <w:color w:val="000000"/>
          <w:sz w:val="20"/>
        </w:rPr>
        <w:t>Rorrer v. City of Stow</w:t>
      </w:r>
      <w:r>
        <w:rPr>
          <w:rFonts w:ascii="Arial" w:eastAsia="Arial" w:hAnsi="Arial" w:cs="Arial"/>
          <w:color w:val="000000"/>
          <w:sz w:val="20"/>
        </w:rPr>
        <w:t>, 743 F.3d 1025, 1046 (6th Cir. 2014). Guess alleges that his protected activity was the filing of this lawsuit in July 2019. He alleges that he suffered two adverse actions in retaliation for filing the lawsuit. First, the withholding [*12]  of his official St. Martinus University transcript from May 2019 (when he applied to Washington University in Belize) to November 2020. And second, that his official transcript from St. Martinus showed a GPA of 0.82 while the unofficial transcript he used to apply to Washington University reflected a GPA of 2.1. According to Guess, his "successful repeat" of failed courses should have reflected a GPA between 2.1 and 2.2 on his official transcript.</w:t>
      </w:r>
    </w:p>
    <w:p w:rsidR="00022B47" w:rsidRDefault="00000000">
      <w:pPr>
        <w:pStyle w:val="Normal26"/>
        <w:widowControl w:val="0"/>
        <w:spacing w:before="200" w:line="260" w:lineRule="atLeast"/>
        <w:jc w:val="both"/>
      </w:pPr>
      <w:bookmarkStart w:id="4988" w:name="Bookmark_para_24_19"/>
      <w:bookmarkStart w:id="4989" w:name="Bookmark_I65BY3642N1PVD0030000400"/>
      <w:bookmarkEnd w:id="4988"/>
      <w:bookmarkEnd w:id="4989"/>
      <w:r>
        <w:rPr>
          <w:rFonts w:ascii="Arial" w:eastAsia="Arial" w:hAnsi="Arial" w:cs="Arial"/>
          <w:color w:val="000000"/>
          <w:sz w:val="20"/>
        </w:rPr>
        <w:t xml:space="preserve">Guess's allegations fail to state a plausible claim for ADA retaliation. He sufficiently pleaded that he engaged in a protected activity (the filing of a lawsuit), </w:t>
      </w:r>
      <w:r>
        <w:rPr>
          <w:rFonts w:ascii="Arial" w:eastAsia="Arial" w:hAnsi="Arial" w:cs="Arial"/>
          <w:i/>
          <w:color w:val="000000"/>
          <w:sz w:val="20"/>
        </w:rPr>
        <w:t xml:space="preserve">see </w:t>
      </w:r>
      <w:bookmarkStart w:id="4990" w:name="Bookmark_I65BY3642N1PVD0020000400"/>
      <w:bookmarkEnd w:id="4990"/>
      <w:r>
        <w:rPr>
          <w:rFonts w:ascii="Arial" w:eastAsia="Arial" w:hAnsi="Arial" w:cs="Arial"/>
          <w:i/>
          <w:color w:val="000000"/>
          <w:sz w:val="20"/>
        </w:rPr>
        <w:t>Coulson v. Goodyear Tire &amp; Rubber Co.</w:t>
      </w:r>
      <w:r>
        <w:rPr>
          <w:rFonts w:ascii="Arial" w:eastAsia="Arial" w:hAnsi="Arial" w:cs="Arial"/>
          <w:color w:val="000000"/>
          <w:sz w:val="20"/>
        </w:rPr>
        <w:t>, 31 F. App'x 851, 858-59 (6th Cir. 2002), and that the defendants had knowledge of the suit. But his claim fails on the other elements.</w:t>
      </w:r>
    </w:p>
    <w:p w:rsidR="00022B47" w:rsidRDefault="00000000">
      <w:pPr>
        <w:pStyle w:val="Normal26"/>
        <w:widowControl w:val="0"/>
        <w:spacing w:before="200" w:line="260" w:lineRule="atLeast"/>
        <w:jc w:val="both"/>
      </w:pPr>
      <w:bookmarkStart w:id="4991" w:name="Bookmark_para_25_18"/>
      <w:bookmarkEnd w:id="4991"/>
      <w:r>
        <w:rPr>
          <w:rFonts w:ascii="Arial" w:eastAsia="Arial" w:hAnsi="Arial" w:cs="Arial"/>
          <w:color w:val="000000"/>
          <w:sz w:val="20"/>
        </w:rPr>
        <w:t xml:space="preserve">As to the first alleged incident of retaliation—the withholding of his official transcript—Guess's allegations fail to establish a plausible causal connection between the filing of this lawsuit and the withholding of his official transcript. Guess left St. Martinus in May 2019 and enrolled at Washington University in Belize that same month. Guess did not file this lawsuit until July 2019. </w:t>
      </w:r>
      <w:bookmarkStart w:id="4992" w:name="Bookmark_I65BY3642N1PVD0050000400"/>
      <w:bookmarkEnd w:id="4992"/>
      <w:r>
        <w:rPr>
          <w:rFonts w:ascii="Arial" w:eastAsia="Arial" w:hAnsi="Arial" w:cs="Arial"/>
          <w:color w:val="000000"/>
          <w:sz w:val="20"/>
        </w:rPr>
        <w:t xml:space="preserve">Thus, the alleged adverse action occurred two months before the protected activity. And the mere [*13]  fact that St. Martinus continued to withhold the transcript after the filing of the lawsuit, without more, does not lead to a plausible inference of causation. </w:t>
      </w:r>
      <w:bookmarkStart w:id="4993" w:name="Bookmark_I65BY3652N1PVM0020000400"/>
      <w:bookmarkEnd w:id="4993"/>
      <w:r>
        <w:rPr>
          <w:rFonts w:ascii="Arial" w:eastAsia="Arial" w:hAnsi="Arial" w:cs="Arial"/>
          <w:i/>
          <w:color w:val="000000"/>
          <w:sz w:val="20"/>
        </w:rPr>
        <w:t xml:space="preserve">See </w:t>
      </w:r>
      <w:bookmarkStart w:id="4994" w:name="Bookmark_I65BY3642N1PVD0040000400"/>
      <w:bookmarkEnd w:id="4994"/>
      <w:r>
        <w:rPr>
          <w:rFonts w:ascii="Arial" w:eastAsia="Arial" w:hAnsi="Arial" w:cs="Arial"/>
          <w:i/>
          <w:color w:val="000000"/>
          <w:sz w:val="20"/>
        </w:rPr>
        <w:t>Walborn v. Erie Cnty. Care Facility</w:t>
      </w:r>
      <w:r>
        <w:rPr>
          <w:rFonts w:ascii="Arial" w:eastAsia="Arial" w:hAnsi="Arial" w:cs="Arial"/>
          <w:color w:val="000000"/>
          <w:sz w:val="20"/>
        </w:rPr>
        <w:t xml:space="preserve">, 150 F.3d 584, 589 (6th Cir. 1998) (holding that </w:t>
      </w:r>
      <w:bookmarkStart w:id="4995" w:name="Bookmark_LNHNREFclscc7_19"/>
      <w:bookmarkEnd w:id="4995"/>
      <w:r>
        <w:rPr>
          <w:rFonts w:ascii="Arial" w:eastAsia="Arial" w:hAnsi="Arial" w:cs="Arial"/>
          <w:color w:val="000000"/>
          <w:sz w:val="20"/>
        </w:rPr>
        <w:t xml:space="preserve">"[t]he fact that some of the allegedly retaliatory actions took place" after the protected activity is "insufficient to establish" causation where "retaliatory conduct" largely "preceded" the protected activity). </w:t>
      </w:r>
      <w:bookmarkStart w:id="4996" w:name="Bookmark_I65BY3652N1PVM0020000400_2"/>
      <w:bookmarkEnd w:id="4996"/>
      <w:r>
        <w:rPr>
          <w:rFonts w:ascii="Arial" w:eastAsia="Arial" w:hAnsi="Arial" w:cs="Arial"/>
          <w:color w:val="000000"/>
          <w:sz w:val="20"/>
        </w:rPr>
        <w:t xml:space="preserve">As to the second alleged incident of retaliation—an error in the accuracy of his grades on Guess's official transcript—the proposed complaint fails to plausibly allege how an error occurring a year and a half after the protected activity was the result of that protected activity. </w:t>
      </w:r>
      <w:r>
        <w:rPr>
          <w:rFonts w:ascii="Arial" w:eastAsia="Arial" w:hAnsi="Arial" w:cs="Arial"/>
          <w:i/>
          <w:color w:val="000000"/>
          <w:sz w:val="20"/>
        </w:rPr>
        <w:t xml:space="preserve">See </w:t>
      </w:r>
      <w:bookmarkStart w:id="4997" w:name="Bookmark_I65BY3652N1PVM0010000400"/>
      <w:bookmarkEnd w:id="4997"/>
      <w:r>
        <w:rPr>
          <w:rFonts w:ascii="Arial" w:eastAsia="Arial" w:hAnsi="Arial" w:cs="Arial"/>
          <w:i/>
          <w:color w:val="000000"/>
          <w:sz w:val="20"/>
        </w:rPr>
        <w:t>Vereecke v. Huron Valley Sch. Dist.</w:t>
      </w:r>
      <w:r>
        <w:rPr>
          <w:rFonts w:ascii="Arial" w:eastAsia="Arial" w:hAnsi="Arial" w:cs="Arial"/>
          <w:color w:val="000000"/>
          <w:sz w:val="20"/>
        </w:rPr>
        <w:t xml:space="preserve">, 609 F.3d 392, 400 (6th Cir. 2010) (observing </w:t>
      </w:r>
      <w:bookmarkStart w:id="4998" w:name="Bookmark_LNHNREFclscc8_18"/>
      <w:bookmarkEnd w:id="4998"/>
      <w:r>
        <w:rPr>
          <w:rFonts w:ascii="Arial" w:eastAsia="Arial" w:hAnsi="Arial" w:cs="Arial"/>
          <w:color w:val="000000"/>
          <w:sz w:val="20"/>
        </w:rPr>
        <w:t>the "more time that elapses between the protected activity and the adverse . . . action, the more the plaintiff must supplement his claim[.]"). Permitting Guess to amend his complaint to add an ADA retaliation claim would have been futile.</w:t>
      </w:r>
    </w:p>
    <w:p w:rsidR="00022B47" w:rsidRDefault="00000000">
      <w:pPr>
        <w:pStyle w:val="Normal26"/>
        <w:widowControl w:val="0"/>
        <w:spacing w:before="200" w:line="260" w:lineRule="atLeast"/>
        <w:jc w:val="both"/>
      </w:pPr>
      <w:bookmarkStart w:id="4999" w:name="Bookmark_para_26_17"/>
      <w:bookmarkEnd w:id="4999"/>
      <w:r>
        <w:rPr>
          <w:rFonts w:ascii="Arial" w:eastAsia="Arial" w:hAnsi="Arial" w:cs="Arial"/>
          <w:color w:val="000000"/>
          <w:sz w:val="20"/>
        </w:rPr>
        <w:t>In sum, the district court did not err in denying Guess's motion for leave to file a third amended complaint.</w:t>
      </w:r>
    </w:p>
    <w:p w:rsidR="00022B47" w:rsidRDefault="00000000">
      <w:pPr>
        <w:pStyle w:val="Normal26"/>
        <w:widowControl w:val="0"/>
        <w:spacing w:before="200" w:line="260" w:lineRule="atLeast"/>
        <w:jc w:val="both"/>
      </w:pPr>
      <w:bookmarkStart w:id="5000" w:name="Bookmark_para_27_17"/>
      <w:bookmarkEnd w:id="5000"/>
      <w:r>
        <w:rPr>
          <w:rFonts w:ascii="Arial" w:eastAsia="Arial" w:hAnsi="Arial" w:cs="Arial"/>
          <w:color w:val="000000"/>
          <w:sz w:val="20"/>
        </w:rPr>
        <w:t>* * *</w:t>
      </w:r>
    </w:p>
    <w:p w:rsidR="00022B47" w:rsidRDefault="00000000">
      <w:pPr>
        <w:pStyle w:val="Normal26"/>
        <w:widowControl w:val="0"/>
        <w:spacing w:before="200" w:line="260" w:lineRule="atLeast"/>
        <w:jc w:val="both"/>
      </w:pPr>
      <w:bookmarkStart w:id="5001" w:name="Bookmark_para_28_17"/>
      <w:bookmarkEnd w:id="5001"/>
      <w:r>
        <w:rPr>
          <w:rFonts w:ascii="Arial" w:eastAsia="Arial" w:hAnsi="Arial" w:cs="Arial"/>
          <w:color w:val="000000"/>
          <w:sz w:val="20"/>
        </w:rPr>
        <w:t>We AFFIRM the district court's order granting summary judgment in favor of the defendants and denying Guess's motion for leave to amend.</w:t>
      </w:r>
    </w:p>
    <w:p w:rsidR="00022B47" w:rsidRDefault="00022B47">
      <w:pPr>
        <w:pStyle w:val="Normal26"/>
      </w:pPr>
    </w:p>
    <w:p w:rsidR="00022B47" w:rsidRDefault="00000000">
      <w:pPr>
        <w:pStyle w:val="Normal26"/>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1558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273904519"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9F26B5" id="Line 58"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27"/>
        <w:sectPr w:rsidR="00022B47">
          <w:headerReference w:type="even" r:id="rId169"/>
          <w:headerReference w:type="default" r:id="rId170"/>
          <w:footerReference w:type="even" r:id="rId171"/>
          <w:footerReference w:type="default" r:id="rId172"/>
          <w:headerReference w:type="first" r:id="rId173"/>
          <w:footerReference w:type="first" r:id="rId174"/>
          <w:pgSz w:w="12240" w:h="15840"/>
          <w:pgMar w:top="840" w:right="1000" w:bottom="840" w:left="1000" w:header="400" w:footer="400" w:gutter="0"/>
          <w:cols w:space="720"/>
          <w:titlePg/>
        </w:sectPr>
      </w:pPr>
    </w:p>
    <w:p w:rsidR="00022B47" w:rsidRDefault="00022B47">
      <w:pPr>
        <w:pStyle w:val="Normal27"/>
      </w:pPr>
    </w:p>
    <w:p w:rsidR="00022B47" w:rsidRDefault="00000000">
      <w:pPr>
        <w:pStyle w:val="Heading126"/>
        <w:keepNext w:val="0"/>
        <w:widowControl w:val="0"/>
        <w:spacing w:after="200" w:line="340" w:lineRule="atLeast"/>
        <w:jc w:val="center"/>
      </w:pPr>
      <w:r>
        <w:rPr>
          <w:rFonts w:eastAsia="Arial"/>
          <w:color w:val="000000"/>
          <w:sz w:val="28"/>
        </w:rPr>
        <w:t>Segal v. Metro. Council</w:t>
      </w:r>
    </w:p>
    <w:p w:rsidR="00022B47" w:rsidRDefault="00000000">
      <w:pPr>
        <w:pStyle w:val="Normal27"/>
        <w:widowControl w:val="0"/>
        <w:spacing w:before="120" w:line="260" w:lineRule="atLeast"/>
        <w:jc w:val="center"/>
      </w:pPr>
      <w:r>
        <w:rPr>
          <w:rFonts w:ascii="Arial" w:eastAsia="Arial" w:hAnsi="Arial" w:cs="Arial"/>
          <w:color w:val="000000"/>
          <w:sz w:val="20"/>
        </w:rPr>
        <w:t>United States Court of Appeals for the Eighth Circuit</w:t>
      </w:r>
    </w:p>
    <w:p w:rsidR="00022B47" w:rsidRDefault="00000000">
      <w:pPr>
        <w:pStyle w:val="Normal27"/>
        <w:widowControl w:val="0"/>
        <w:spacing w:before="120" w:line="260" w:lineRule="atLeast"/>
        <w:jc w:val="center"/>
      </w:pPr>
      <w:r>
        <w:rPr>
          <w:rFonts w:ascii="Arial" w:eastAsia="Arial" w:hAnsi="Arial" w:cs="Arial"/>
          <w:color w:val="000000"/>
          <w:sz w:val="20"/>
        </w:rPr>
        <w:t>June 17, 2021, Submitted; March 28, 2022, Filed</w:t>
      </w:r>
    </w:p>
    <w:p w:rsidR="00022B47" w:rsidRDefault="00000000">
      <w:pPr>
        <w:pStyle w:val="Normal27"/>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20-3728</w:t>
      </w:r>
    </w:p>
    <w:p w:rsidR="00022B47" w:rsidRDefault="00022B47">
      <w:pPr>
        <w:pStyle w:val="Normal27"/>
        <w:widowControl w:val="0"/>
        <w:spacing w:line="240" w:lineRule="atLeast"/>
        <w:jc w:val="both"/>
      </w:pPr>
      <w:bookmarkStart w:id="5002" w:name="Bookmark_28"/>
      <w:bookmarkEnd w:id="5002"/>
    </w:p>
    <w:p w:rsidR="00022B47" w:rsidRDefault="00000000">
      <w:pPr>
        <w:pStyle w:val="Normal27"/>
        <w:widowControl w:val="0"/>
        <w:spacing w:before="200" w:line="240" w:lineRule="atLeast"/>
      </w:pPr>
      <w:bookmarkStart w:id="5003" w:name="Reporter_26"/>
      <w:bookmarkEnd w:id="5003"/>
      <w:r>
        <w:rPr>
          <w:rFonts w:ascii="Arial" w:eastAsia="Arial" w:hAnsi="Arial" w:cs="Arial"/>
          <w:b/>
          <w:color w:val="000000"/>
          <w:sz w:val="18"/>
        </w:rPr>
        <w:t>Reporter</w:t>
      </w:r>
    </w:p>
    <w:p w:rsidR="00022B47" w:rsidRDefault="00000000">
      <w:pPr>
        <w:pStyle w:val="Normal27"/>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29 F.4th 399 *; 2022 U.S. App. LEXIS 7971 **; 2022 WL 893007</w:t>
      </w:r>
    </w:p>
    <w:p w:rsidR="00022B47" w:rsidRDefault="00000000">
      <w:pPr>
        <w:pStyle w:val="Normal27"/>
        <w:widowControl w:val="0"/>
        <w:spacing w:before="120" w:line="260" w:lineRule="atLeast"/>
      </w:pPr>
      <w:r>
        <w:rPr>
          <w:rFonts w:ascii="Arial" w:eastAsia="Arial" w:hAnsi="Arial" w:cs="Arial"/>
          <w:color w:val="000000"/>
          <w:sz w:val="20"/>
        </w:rPr>
        <w:t>Barry Segal, Plaintiff - Appellant v. Metropolitan Council, doing business as Metro Transit, Defendant - Appellee; National Association of the Deaf; National Disability Rights Network; National Federation of the Blind; Disability Rights Advocates; Disability Rights Bar Association, Amici on Behalf of Appellant(s)</w:t>
      </w:r>
    </w:p>
    <w:p w:rsidR="00022B47" w:rsidRDefault="00000000">
      <w:pPr>
        <w:pStyle w:val="Normal27"/>
        <w:widowControl w:val="0"/>
        <w:spacing w:before="240" w:line="260" w:lineRule="atLeast"/>
        <w:jc w:val="both"/>
      </w:pPr>
      <w:bookmarkStart w:id="5004" w:name="Prior_History_26"/>
      <w:bookmarkEnd w:id="5004"/>
      <w:r>
        <w:rPr>
          <w:rFonts w:ascii="Arial" w:eastAsia="Arial" w:hAnsi="Arial" w:cs="Arial"/>
          <w:b/>
          <w:color w:val="000000"/>
          <w:sz w:val="20"/>
        </w:rPr>
        <w:t>Prior History:</w:t>
      </w:r>
      <w:r>
        <w:rPr>
          <w:rFonts w:ascii="Arial" w:eastAsia="Arial" w:hAnsi="Arial" w:cs="Arial"/>
          <w:color w:val="000000"/>
          <w:sz w:val="20"/>
        </w:rPr>
        <w:t> </w:t>
      </w:r>
      <w:bookmarkStart w:id="5005" w:name="Bookmark_para_1_26"/>
      <w:bookmarkEnd w:id="5005"/>
      <w:r>
        <w:rPr>
          <w:rFonts w:ascii="Arial" w:eastAsia="Arial" w:hAnsi="Arial" w:cs="Arial"/>
          <w:color w:val="000000"/>
          <w:sz w:val="20"/>
        </w:rPr>
        <w:t> [**1] Appeal from United States District Court for the District of Minnesota.</w:t>
      </w:r>
    </w:p>
    <w:p w:rsidR="00022B47" w:rsidRDefault="00000000">
      <w:pPr>
        <w:pStyle w:val="Normal27"/>
        <w:widowControl w:val="0"/>
        <w:spacing w:before="240" w:line="260" w:lineRule="atLeast"/>
      </w:pPr>
      <w:bookmarkStart w:id="5006" w:name="Counsel_26"/>
      <w:bookmarkEnd w:id="5006"/>
      <w:r>
        <w:rPr>
          <w:rFonts w:ascii="Arial" w:eastAsia="Arial" w:hAnsi="Arial" w:cs="Arial"/>
          <w:b/>
          <w:color w:val="000000"/>
          <w:sz w:val="20"/>
        </w:rPr>
        <w:t>Counsel:</w:t>
      </w:r>
      <w:r>
        <w:rPr>
          <w:rFonts w:ascii="Arial" w:eastAsia="Arial" w:hAnsi="Arial" w:cs="Arial"/>
          <w:color w:val="000000"/>
          <w:sz w:val="20"/>
        </w:rPr>
        <w:t> For Barry Segal, Plaintiff - Appellant: Roderick J. Macpherson, III, MID-MINNESOTA LEGAL AID, Minneapolis, MN.</w:t>
      </w:r>
    </w:p>
    <w:p w:rsidR="00022B47" w:rsidRDefault="00000000">
      <w:pPr>
        <w:pStyle w:val="Normal27"/>
        <w:widowControl w:val="0"/>
        <w:spacing w:before="120" w:line="260" w:lineRule="atLeast"/>
      </w:pPr>
      <w:r>
        <w:rPr>
          <w:rFonts w:ascii="Arial" w:eastAsia="Arial" w:hAnsi="Arial" w:cs="Arial"/>
          <w:color w:val="000000"/>
          <w:sz w:val="20"/>
        </w:rPr>
        <w:t>For Metropolitan Council, doing business as Metro Transit, Defendant - Appellee: Susan E. Ellingstad, Stephen Matthew Owen, LOCKRIDGE &amp; GRINDAL, Minneapolis, MN.</w:t>
      </w:r>
    </w:p>
    <w:p w:rsidR="00022B47" w:rsidRDefault="00000000">
      <w:pPr>
        <w:pStyle w:val="Normal27"/>
        <w:widowControl w:val="0"/>
        <w:spacing w:before="120" w:line="260" w:lineRule="atLeast"/>
      </w:pPr>
      <w:r>
        <w:rPr>
          <w:rFonts w:ascii="Arial" w:eastAsia="Arial" w:hAnsi="Arial" w:cs="Arial"/>
          <w:color w:val="000000"/>
          <w:sz w:val="20"/>
        </w:rPr>
        <w:t>For National Association of the Deaf, National Disability Rights Network, National Federation of the Blind, Disability Rights Advocates, Disability Rights Bar Association, Amicus on Behalf of Appellants: Bridget Anne Clarke, Berkeley, CA; Andrew J. Dhuey, Berkeley, CA.</w:t>
      </w:r>
    </w:p>
    <w:p w:rsidR="00022B47" w:rsidRDefault="00000000">
      <w:pPr>
        <w:pStyle w:val="Normal27"/>
        <w:widowControl w:val="0"/>
        <w:spacing w:before="240" w:line="260" w:lineRule="atLeast"/>
      </w:pPr>
      <w:bookmarkStart w:id="5007" w:name="Judges_26"/>
      <w:bookmarkEnd w:id="5007"/>
      <w:r>
        <w:rPr>
          <w:rFonts w:ascii="Arial" w:eastAsia="Arial" w:hAnsi="Arial" w:cs="Arial"/>
          <w:b/>
          <w:color w:val="000000"/>
          <w:sz w:val="20"/>
        </w:rPr>
        <w:t>Judges:</w:t>
      </w:r>
      <w:r>
        <w:rPr>
          <w:rFonts w:ascii="Arial" w:eastAsia="Arial" w:hAnsi="Arial" w:cs="Arial"/>
          <w:color w:val="000000"/>
          <w:sz w:val="20"/>
        </w:rPr>
        <w:t> Before LOKEN, KELLY, and ERICKSON, Circuit Judges.</w:t>
      </w:r>
    </w:p>
    <w:p w:rsidR="00022B47" w:rsidRDefault="00000000">
      <w:pPr>
        <w:pStyle w:val="Normal27"/>
        <w:widowControl w:val="0"/>
        <w:spacing w:before="240" w:line="260" w:lineRule="atLeast"/>
      </w:pPr>
      <w:bookmarkStart w:id="5008" w:name="Opinion_by_16"/>
      <w:bookmarkEnd w:id="5008"/>
      <w:r>
        <w:rPr>
          <w:rFonts w:ascii="Arial" w:eastAsia="Arial" w:hAnsi="Arial" w:cs="Arial"/>
          <w:b/>
          <w:color w:val="000000"/>
          <w:sz w:val="20"/>
        </w:rPr>
        <w:t>Opinion by:</w:t>
      </w:r>
      <w:r>
        <w:rPr>
          <w:rFonts w:ascii="Arial" w:eastAsia="Arial" w:hAnsi="Arial" w:cs="Arial"/>
          <w:color w:val="000000"/>
          <w:sz w:val="20"/>
        </w:rPr>
        <w:t> ERICKSON</w:t>
      </w:r>
    </w:p>
    <w:p w:rsidR="00022B47" w:rsidRDefault="00000000">
      <w:pPr>
        <w:pStyle w:val="Normal27"/>
        <w:keepNext/>
        <w:widowControl w:val="0"/>
        <w:spacing w:before="240" w:line="340" w:lineRule="atLeast"/>
      </w:pPr>
      <w:bookmarkStart w:id="5009" w:name="Opinion_26"/>
      <w:bookmarkEnd w:id="5009"/>
      <w:r>
        <w:rPr>
          <w:rFonts w:ascii="Arial" w:eastAsia="Arial" w:hAnsi="Arial" w:cs="Arial"/>
          <w:b/>
          <w:color w:val="000000"/>
          <w:sz w:val="28"/>
        </w:rPr>
        <w:t>Opinion</w:t>
      </w:r>
    </w:p>
    <w:p w:rsidR="00022B47" w:rsidRDefault="0025213E">
      <w:pPr>
        <w:pStyle w:val="Normal27"/>
        <w:spacing w:line="60" w:lineRule="exact"/>
      </w:pPr>
      <w:r>
        <w:rPr>
          <w:noProof/>
        </w:rPr>
        <mc:AlternateContent>
          <mc:Choice Requires="wps">
            <w:drawing>
              <wp:anchor distT="0" distB="0" distL="114300" distR="114300" simplePos="0" relativeHeight="25171660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963495871"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0B291C" id="Line 59"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27"/>
      </w:pPr>
    </w:p>
    <w:p w:rsidR="00022B47" w:rsidRDefault="00000000">
      <w:pPr>
        <w:pStyle w:val="Normal27"/>
        <w:widowControl w:val="0"/>
        <w:spacing w:before="200" w:line="260" w:lineRule="atLeast"/>
        <w:jc w:val="both"/>
      </w:pPr>
      <w:bookmarkStart w:id="5010" w:name="Bookmark_para_2_26"/>
      <w:bookmarkEnd w:id="5010"/>
      <w:r>
        <w:rPr>
          <w:rFonts w:ascii="Arial" w:eastAsia="Arial" w:hAnsi="Arial" w:cs="Arial"/>
          <w:color w:val="000000"/>
          <w:sz w:val="20"/>
        </w:rPr>
        <w:t> [*401]  ERICKSON, Circuit Judge.</w:t>
      </w:r>
    </w:p>
    <w:p w:rsidR="00022B47" w:rsidRDefault="00000000">
      <w:pPr>
        <w:pStyle w:val="Normal27"/>
        <w:widowControl w:val="0"/>
        <w:spacing w:before="200" w:line="260" w:lineRule="atLeast"/>
        <w:jc w:val="both"/>
      </w:pPr>
      <w:bookmarkStart w:id="5011" w:name="Bookmark_para_3_26"/>
      <w:bookmarkEnd w:id="5011"/>
      <w:r>
        <w:rPr>
          <w:rFonts w:ascii="Arial" w:eastAsia="Arial" w:hAnsi="Arial" w:cs="Arial"/>
          <w:color w:val="000000"/>
          <w:sz w:val="20"/>
        </w:rPr>
        <w:t>Barry Segal appeals the district court's adverse grant of summary judgment in favor of Metropolitan Council ("Metro Transit") in this suit involving allegations  [*402]  under the Americans with Disabilities Act ("ADA"), 42 U.S.C. § 12132, the Rehabilitation Act, 29 U.S.C. § 794, and the Minnesota Human Rights Act ("MHRA"), Minn. Stat. §363A.12. Because the record contains evidence sufficient to raise a genuine issue of material fact as to whether Metro Transit provided meaningful access to disabled bus riders, we reverse and remand.</w:t>
      </w:r>
    </w:p>
    <w:p w:rsidR="00022B47" w:rsidRDefault="00000000">
      <w:pPr>
        <w:pStyle w:val="Normal27"/>
        <w:widowControl w:val="0"/>
        <w:spacing w:before="240" w:line="260" w:lineRule="atLeast"/>
      </w:pPr>
      <w:r>
        <w:br/>
      </w:r>
      <w:r>
        <w:rPr>
          <w:rFonts w:ascii="Arial" w:eastAsia="Arial" w:hAnsi="Arial" w:cs="Arial"/>
          <w:b/>
          <w:color w:val="000000"/>
          <w:sz w:val="20"/>
        </w:rPr>
        <w:t>I. BACKGROUND</w:t>
      </w:r>
    </w:p>
    <w:p w:rsidR="00022B47" w:rsidRDefault="00000000">
      <w:pPr>
        <w:pStyle w:val="Normal27"/>
        <w:widowControl w:val="0"/>
        <w:spacing w:before="200" w:line="260" w:lineRule="atLeast"/>
        <w:jc w:val="both"/>
      </w:pPr>
      <w:bookmarkStart w:id="5012" w:name="Bookmark_para_4_26"/>
      <w:bookmarkEnd w:id="5012"/>
      <w:r>
        <w:rPr>
          <w:rFonts w:ascii="Arial" w:eastAsia="Arial" w:hAnsi="Arial" w:cs="Arial"/>
          <w:color w:val="000000"/>
          <w:sz w:val="20"/>
        </w:rPr>
        <w:t>Segal identifies himself as DeafBlind. Deaf-blindness is a condition involving both hearing and vision loss, which [**2]  results in an individual having limited access to both auditory and visual information. Segal suffers from two medical conditions that cause poor vision (20/600). He can see some shapes and objects but cannot see the objects clearly. Segal describes himself as "profoundly deaf." Despite his condition, Segal is able to maintain employment as an accounting systems specialist. He navigates life with the assistance of his service dog, Daisy.</w:t>
      </w:r>
    </w:p>
    <w:p w:rsidR="00022B47" w:rsidRDefault="00000000">
      <w:pPr>
        <w:pStyle w:val="Normal27"/>
        <w:widowControl w:val="0"/>
        <w:spacing w:before="200" w:line="260" w:lineRule="atLeast"/>
        <w:jc w:val="both"/>
      </w:pPr>
      <w:bookmarkStart w:id="5013" w:name="Bookmark_para_5_26"/>
      <w:bookmarkEnd w:id="5013"/>
      <w:r>
        <w:rPr>
          <w:rFonts w:ascii="Arial" w:eastAsia="Arial" w:hAnsi="Arial" w:cs="Arial"/>
          <w:color w:val="000000"/>
          <w:sz w:val="20"/>
        </w:rPr>
        <w:t>During the warmer months, Segal relies on bus service provided by Metro Transit to travel from his home in Minneapolis to his workplace in St. Paul and other locations in the Twin Cities area. Segal's commute typically requires him to ride two buses in each direction, often transferring at the University of Minnesota West Bank bus stop in Minneapolis. Segal often will use Metro Transit's paratransit provider, Metro Mobility, to travel during colder months or when his route is unfamiliar.</w:t>
      </w:r>
    </w:p>
    <w:p w:rsidR="00022B47" w:rsidRDefault="00000000">
      <w:pPr>
        <w:pStyle w:val="Normal27"/>
        <w:widowControl w:val="0"/>
        <w:spacing w:before="200" w:line="260" w:lineRule="atLeast"/>
        <w:jc w:val="both"/>
      </w:pPr>
      <w:bookmarkStart w:id="5014" w:name="Bookmark_para_6_26"/>
      <w:bookmarkEnd w:id="5014"/>
      <w:r>
        <w:rPr>
          <w:rFonts w:ascii="Arial" w:eastAsia="Arial" w:hAnsi="Arial" w:cs="Arial"/>
          <w:color w:val="000000"/>
          <w:sz w:val="20"/>
        </w:rPr>
        <w:t>Like other blind and DeafBlind passengers, Segal was trained by Metro Transit's orientation and mobility specialists on how to use the bus system safely and independently. As instructed, Segal waits at designated bus signs, or "T-signs," where Metro Transit drivers have [**3]  been trained to stop. Segal is able to see outlines of the shape and size of the T-sign, but he cannot read the electronic sign on the front of the bus that identifies the bus route. To identify the route, Segal boards the bus and communicates to the driver the bus route that he needs through hand signals or using his voice. If he has boarded the correct bus, Segal finds a seat. If not, he disembarks and waits for the next bus to arrive.</w:t>
      </w:r>
    </w:p>
    <w:p w:rsidR="00022B47" w:rsidRDefault="00000000">
      <w:pPr>
        <w:pStyle w:val="Normal27"/>
        <w:widowControl w:val="0"/>
        <w:spacing w:before="200" w:line="260" w:lineRule="atLeast"/>
        <w:jc w:val="both"/>
      </w:pPr>
      <w:bookmarkStart w:id="5015" w:name="Bookmark_para_7_26"/>
      <w:bookmarkEnd w:id="5015"/>
      <w:r>
        <w:rPr>
          <w:rFonts w:ascii="Arial" w:eastAsia="Arial" w:hAnsi="Arial" w:cs="Arial"/>
          <w:color w:val="000000"/>
          <w:sz w:val="20"/>
        </w:rPr>
        <w:t>Between September 2016 and December 2019, Segal complained 150 times to Metro Transit about bus operators failing to stop at T-Signs and announce the bus route. During this period, Segal rode a Metro Transit fixed route bus approximately 1,791</w:t>
      </w:r>
      <w:r>
        <w:rPr>
          <w:rFonts w:ascii="Arial" w:eastAsia="Arial" w:hAnsi="Arial" w:cs="Arial"/>
          <w:vertAlign w:val="superscript"/>
        </w:rPr>
        <w:footnoteReference w:customMarkFollows="1" w:id="125"/>
        <w:t>1</w:t>
      </w:r>
      <w:r>
        <w:rPr>
          <w:rFonts w:ascii="Arial" w:eastAsia="Arial" w:hAnsi="Arial" w:cs="Arial"/>
          <w:color w:val="000000"/>
          <w:sz w:val="20"/>
        </w:rPr>
        <w:t xml:space="preserve"> times. Segal filed two types of complaints: (1) single bus incidents, where the bus operator did not stop close enough to the T-Sign to allow Segal to board the bus safely and independently, and (2) second bus incidents, where a second driver pulled around the first bus without stopping at the T-sign, instead of waiting and pulling forward to the T-sign after the first bus had departed. Metro Transit's Director of Bus Operations, Christy Bailly, personally investigated each of Segal's complaints. Bailly reviewed [**4]  video footage and determined that 74 "verified" complaints were committed by 61 different bus drivers. Bailly considered a complaint to be verified if the driver did not stop close enough to the T-sign for Segal to be visible through the bus entry doors, or if the second bus departed without pulling forward to the T-sign. Importantly, for purposes of the summary judgment motion, Metro Transit conceded that each of Segal's 150 complaints were in fact violations.  [*403]  As a result of those violations, Segal estimates that he was late to work between 5 to 10 times and missed approximately 3 appointments.</w:t>
      </w:r>
    </w:p>
    <w:p w:rsidR="00022B47" w:rsidRDefault="00000000">
      <w:pPr>
        <w:pStyle w:val="Normal27"/>
        <w:widowControl w:val="0"/>
        <w:spacing w:before="200" w:line="260" w:lineRule="atLeast"/>
        <w:jc w:val="both"/>
      </w:pPr>
      <w:bookmarkStart w:id="5017" w:name="Bookmark_para_8_25"/>
      <w:bookmarkEnd w:id="5017"/>
      <w:r>
        <w:rPr>
          <w:rFonts w:ascii="Arial" w:eastAsia="Arial" w:hAnsi="Arial" w:cs="Arial"/>
          <w:color w:val="000000"/>
          <w:sz w:val="20"/>
        </w:rPr>
        <w:t>Segal filed his first complaint on September 22, 2016. Prior to that time, Metro Transit trained full-and part-time drivers on stopping at the T-signs, and it otherwise required drivers to pull forward to where a disabled individual may be waiting. After Segal's first complaint, Metro Transit undertook steps to remedy the problems, which included circulating route information bulletins that reinforced existing policies, training and coaching after a violation, directing drivers along Segal's route to stop at T-signs, and updating signage.</w:t>
      </w:r>
    </w:p>
    <w:p w:rsidR="00022B47" w:rsidRDefault="00000000">
      <w:pPr>
        <w:pStyle w:val="Normal27"/>
        <w:widowControl w:val="0"/>
        <w:spacing w:before="200" w:line="260" w:lineRule="atLeast"/>
        <w:jc w:val="both"/>
      </w:pPr>
      <w:bookmarkStart w:id="5018" w:name="Bookmark_para_9_25"/>
      <w:bookmarkEnd w:id="5018"/>
      <w:r>
        <w:rPr>
          <w:rFonts w:ascii="Arial" w:eastAsia="Arial" w:hAnsi="Arial" w:cs="Arial"/>
          <w:color w:val="000000"/>
          <w:sz w:val="20"/>
        </w:rPr>
        <w:t>From 2015 to 2019, Metro Transit received 153 ADA-related [**5]  complaints from other individuals involving bus drivers failing to stop for passengers with disabilities. During this same period, Metro Transit reportedly provided approximately 278 million rides and received 8,474 complaints from all passengers (disabled and non-disabled) regarding service at the bus stops.</w:t>
      </w:r>
    </w:p>
    <w:p w:rsidR="00022B47" w:rsidRDefault="00000000">
      <w:pPr>
        <w:pStyle w:val="Normal27"/>
        <w:widowControl w:val="0"/>
        <w:spacing w:before="200" w:line="260" w:lineRule="atLeast"/>
        <w:jc w:val="both"/>
      </w:pPr>
      <w:bookmarkStart w:id="5019" w:name="Bookmark_para_10_25"/>
      <w:bookmarkEnd w:id="5019"/>
      <w:r>
        <w:rPr>
          <w:rFonts w:ascii="Arial" w:eastAsia="Arial" w:hAnsi="Arial" w:cs="Arial"/>
          <w:color w:val="000000"/>
          <w:sz w:val="20"/>
        </w:rPr>
        <w:t>Segal filed suit against Metro Transit in August 2018, alleging violations under the ADA, the Rehabilitation Act, and the MHRA, seeking both monetary damages and equitable relief. Metro Transit moved for summary judgment. Segal moved for partial summary judgment on the question of liability, arguing the question was foreclosed because Metro Transit violated two Department of Transportation ("DOT") regulations: 49 C.F.R. § 37.167(c), which requires a stop and announce policy, and 49 C.F.R. § 37.173, which requires drivers to be trained to proficiency. The district court granted summary judgment in favor of Metro Transit and denied Segal's motion, finding that Metro Transit provided Segal with "meaningful access" to its services. Segal appeals only the district court's adverse grant of summary judgment.</w:t>
      </w:r>
    </w:p>
    <w:p w:rsidR="00022B47" w:rsidRDefault="00000000">
      <w:pPr>
        <w:pStyle w:val="Normal27"/>
        <w:widowControl w:val="0"/>
        <w:spacing w:before="240" w:line="260" w:lineRule="atLeast"/>
      </w:pPr>
      <w:r>
        <w:br/>
      </w:r>
      <w:r>
        <w:rPr>
          <w:rFonts w:ascii="Arial" w:eastAsia="Arial" w:hAnsi="Arial" w:cs="Arial"/>
          <w:b/>
          <w:color w:val="000000"/>
          <w:sz w:val="20"/>
        </w:rPr>
        <w:t>II. DISCUSSION</w:t>
      </w:r>
    </w:p>
    <w:p w:rsidR="00022B47" w:rsidRDefault="00000000">
      <w:pPr>
        <w:pStyle w:val="Normal27"/>
        <w:widowControl w:val="0"/>
        <w:spacing w:before="200" w:line="260" w:lineRule="atLeast"/>
        <w:jc w:val="both"/>
      </w:pPr>
      <w:bookmarkStart w:id="5020" w:name="Bookmark_para_11_25"/>
      <w:bookmarkStart w:id="5021" w:name="Bookmark_I65442BH2D6NWK0020000400"/>
      <w:bookmarkStart w:id="5022" w:name="Bookmark_LNHNREFclscc1_24"/>
      <w:bookmarkEnd w:id="5020"/>
      <w:bookmarkEnd w:id="5021"/>
      <w:bookmarkEnd w:id="5022"/>
      <w:r>
        <w:rPr>
          <w:rFonts w:ascii="Arial" w:eastAsia="Arial" w:hAnsi="Arial" w:cs="Arial"/>
          <w:color w:val="000000"/>
          <w:sz w:val="20"/>
        </w:rPr>
        <w:t xml:space="preserve">We review a district court's decision granting summary judgment </w:t>
      </w:r>
      <w:r>
        <w:rPr>
          <w:rFonts w:ascii="Arial" w:eastAsia="Arial" w:hAnsi="Arial" w:cs="Arial"/>
          <w:i/>
          <w:color w:val="000000"/>
          <w:sz w:val="20"/>
        </w:rPr>
        <w:t>de novo</w:t>
      </w:r>
      <w:r>
        <w:rPr>
          <w:rFonts w:ascii="Arial" w:eastAsia="Arial" w:hAnsi="Arial" w:cs="Arial"/>
          <w:color w:val="000000"/>
          <w:sz w:val="20"/>
        </w:rPr>
        <w:t xml:space="preserve">, viewing the evidence in the light [**6]  most favorable to the non-moving party and resolving all reasonable inferences in its favor. </w:t>
      </w:r>
      <w:bookmarkStart w:id="5023" w:name="Bookmark_I2DK7WH1DN8000001R90000S"/>
      <w:bookmarkStart w:id="5024" w:name="Bookmark_I2DK7WH1JJX000001R90000V"/>
      <w:bookmarkStart w:id="5025" w:name="Bookmark_I65442BH2D6NWK0040000400"/>
      <w:bookmarkStart w:id="5026" w:name="Bookmark_I65442BH2D6NWK0010000400"/>
      <w:bookmarkEnd w:id="5023"/>
      <w:bookmarkEnd w:id="5024"/>
      <w:bookmarkEnd w:id="5025"/>
      <w:bookmarkEnd w:id="5026"/>
      <w:r>
        <w:rPr>
          <w:rFonts w:ascii="Arial" w:eastAsia="Arial" w:hAnsi="Arial" w:cs="Arial"/>
          <w:color w:val="000000"/>
          <w:sz w:val="20"/>
          <w:u w:val="single"/>
        </w:rPr>
        <w:t>Argenyi v. Creighton Univ.</w:t>
      </w:r>
      <w:r>
        <w:rPr>
          <w:rFonts w:ascii="Arial" w:eastAsia="Arial" w:hAnsi="Arial" w:cs="Arial"/>
          <w:color w:val="000000"/>
          <w:sz w:val="20"/>
        </w:rPr>
        <w:t xml:space="preserve">, 703 F.3d 441, 446 (8th Cir. 2013). Summary judgment is appropriate "if the movant shows that there is no genuine dispute as to any material fact and the movant is entitled to judgment as a matter of law." Fed. R. Civ. P. 56(a). </w:t>
      </w:r>
      <w:bookmarkStart w:id="5027" w:name="Bookmark_I65442BH2D6NWK0040000400_2"/>
      <w:bookmarkEnd w:id="5027"/>
      <w:r>
        <w:rPr>
          <w:rFonts w:ascii="Arial" w:eastAsia="Arial" w:hAnsi="Arial" w:cs="Arial"/>
          <w:color w:val="000000"/>
          <w:sz w:val="20"/>
        </w:rPr>
        <w:t xml:space="preserve">To establish a genuine issue of material fact, Segal "may not 'merely point to self-serving allegations, but must substantiate allegations with sufficient probative evidence that would permit a finding in [his] favor.'" </w:t>
      </w:r>
      <w:bookmarkStart w:id="5028" w:name="Bookmark_I65442BH2D6NWK0030000400"/>
      <w:bookmarkEnd w:id="5028"/>
      <w:r>
        <w:rPr>
          <w:rFonts w:ascii="Arial" w:eastAsia="Arial" w:hAnsi="Arial" w:cs="Arial"/>
          <w:color w:val="000000"/>
          <w:sz w:val="20"/>
          <w:u w:val="single"/>
        </w:rPr>
        <w:t>Argenyi</w:t>
      </w:r>
      <w:r>
        <w:rPr>
          <w:rFonts w:ascii="Arial" w:eastAsia="Arial" w:hAnsi="Arial" w:cs="Arial"/>
          <w:color w:val="000000"/>
          <w:sz w:val="20"/>
        </w:rPr>
        <w:t xml:space="preserve">, 703 F.3d at 446 (quoting </w:t>
      </w:r>
      <w:bookmarkStart w:id="5029" w:name="Bookmark_I65442BH2D6NWK0050000400"/>
      <w:bookmarkEnd w:id="5029"/>
      <w:r>
        <w:rPr>
          <w:rFonts w:ascii="Arial" w:eastAsia="Arial" w:hAnsi="Arial" w:cs="Arial"/>
          <w:color w:val="000000"/>
          <w:sz w:val="20"/>
          <w:u w:val="single"/>
        </w:rPr>
        <w:t>Davidson &amp; Assocs. v. Jung</w:t>
      </w:r>
      <w:r>
        <w:rPr>
          <w:rFonts w:ascii="Arial" w:eastAsia="Arial" w:hAnsi="Arial" w:cs="Arial"/>
          <w:color w:val="000000"/>
          <w:sz w:val="20"/>
        </w:rPr>
        <w:t>, 422 F.3d 630, 638 (8th Cir. 2005)).</w:t>
      </w:r>
    </w:p>
    <w:p w:rsidR="00022B47" w:rsidRDefault="00000000">
      <w:pPr>
        <w:pStyle w:val="Normal27"/>
        <w:widowControl w:val="0"/>
        <w:spacing w:before="200" w:line="260" w:lineRule="atLeast"/>
        <w:jc w:val="both"/>
      </w:pPr>
      <w:bookmarkStart w:id="5030" w:name="Bookmark_para_12_25"/>
      <w:bookmarkStart w:id="5031" w:name="Bookmark_I65442BH2SF7Y50030000400"/>
      <w:bookmarkStart w:id="5032" w:name="Bookmark_LNHNREFclscc2_24"/>
      <w:bookmarkEnd w:id="5030"/>
      <w:bookmarkEnd w:id="5031"/>
      <w:bookmarkEnd w:id="5032"/>
      <w:r>
        <w:rPr>
          <w:rFonts w:ascii="Arial" w:eastAsia="Arial" w:hAnsi="Arial" w:cs="Arial"/>
          <w:color w:val="000000"/>
          <w:sz w:val="20"/>
        </w:rPr>
        <w:t xml:space="preserve">Under the ADA, public entities are prohibited from discriminating against individuals with disabilities by excluding them from participation in, or denying them the benefits of, services, programs or activities provided by the entity. 42 U.S.C. § 12132. The same prohibition applies under the Rehabilitation Act to entities like Metro Transit that receive federal funding. 29 U.S.C. § 794(a). </w:t>
      </w:r>
      <w:bookmarkStart w:id="5033" w:name="Bookmark_I65442BH2SF7Y50050000400"/>
      <w:bookmarkEnd w:id="5033"/>
      <w:r>
        <w:rPr>
          <w:rFonts w:ascii="Arial" w:eastAsia="Arial" w:hAnsi="Arial" w:cs="Arial"/>
          <w:color w:val="000000"/>
          <w:sz w:val="20"/>
        </w:rPr>
        <w:t xml:space="preserve">"These statutes provide the same rights, procedures, and remedies against discrimination." </w:t>
      </w:r>
      <w:bookmarkStart w:id="5034" w:name="Bookmark_I65442BH2SF7Y50020000400"/>
      <w:bookmarkEnd w:id="5034"/>
      <w:r>
        <w:rPr>
          <w:rFonts w:ascii="Arial" w:eastAsia="Arial" w:hAnsi="Arial" w:cs="Arial"/>
          <w:color w:val="000000"/>
          <w:sz w:val="20"/>
          <w:u w:val="single"/>
        </w:rPr>
        <w:t>I.Z.M. v. Rosemount-Apple Valley-Eagan Pub. Sch.</w:t>
      </w:r>
      <w:r>
        <w:rPr>
          <w:rFonts w:ascii="Arial" w:eastAsia="Arial" w:hAnsi="Arial" w:cs="Arial"/>
          <w:color w:val="000000"/>
          <w:sz w:val="20"/>
        </w:rPr>
        <w:t xml:space="preserve">, 863 F.3d 966, 972 (8th Cir. 2017) (quotation omitted). </w:t>
      </w:r>
      <w:bookmarkStart w:id="5035" w:name="Bookmark_I65442BH2SF7Y50050000400_2"/>
      <w:bookmarkEnd w:id="5035"/>
      <w:r>
        <w:rPr>
          <w:rFonts w:ascii="Arial" w:eastAsia="Arial" w:hAnsi="Arial" w:cs="Arial"/>
          <w:color w:val="000000"/>
          <w:sz w:val="20"/>
        </w:rPr>
        <w:t xml:space="preserve">The MHRA similarly prohibits discrimination "against any person in the access to, admission to, full utilization of or benefit from any public service" because of a disability, and it requires covered entities to "ensure physical and program access [**7]  for disabled persons." Minn. Stat. § 363A.12. "Because '[c]laims arising under the MHRA are analyzed using the same  [*404]  standard applied to ADA claims,' we review the claims simultaneously." </w:t>
      </w:r>
      <w:bookmarkStart w:id="5036" w:name="Bookmark_I65442BH2SF7Y50040000400"/>
      <w:bookmarkEnd w:id="5036"/>
      <w:r>
        <w:rPr>
          <w:rFonts w:ascii="Arial" w:eastAsia="Arial" w:hAnsi="Arial" w:cs="Arial"/>
          <w:color w:val="000000"/>
          <w:sz w:val="20"/>
          <w:u w:val="single"/>
        </w:rPr>
        <w:t>Brunckhorst v. City of Oak Park Heights</w:t>
      </w:r>
      <w:r>
        <w:rPr>
          <w:rFonts w:ascii="Arial" w:eastAsia="Arial" w:hAnsi="Arial" w:cs="Arial"/>
          <w:color w:val="000000"/>
          <w:sz w:val="20"/>
        </w:rPr>
        <w:t xml:space="preserve">, 914 F.3d 1177, 1182 (8th Cir. 2019) (quoting </w:t>
      </w:r>
      <w:bookmarkStart w:id="5037" w:name="Bookmark_I65442BJ28T3X90010000400"/>
      <w:bookmarkEnd w:id="5037"/>
      <w:r>
        <w:rPr>
          <w:rFonts w:ascii="Arial" w:eastAsia="Arial" w:hAnsi="Arial" w:cs="Arial"/>
          <w:color w:val="000000"/>
          <w:sz w:val="20"/>
          <w:u w:val="single"/>
        </w:rPr>
        <w:t>Philip v. Ford Motor Co.</w:t>
      </w:r>
      <w:r>
        <w:rPr>
          <w:rFonts w:ascii="Arial" w:eastAsia="Arial" w:hAnsi="Arial" w:cs="Arial"/>
          <w:color w:val="000000"/>
          <w:sz w:val="20"/>
        </w:rPr>
        <w:t>, 328 F.3d 1020, 1023 n.3 (8th Cir. 2003)).</w:t>
      </w:r>
    </w:p>
    <w:p w:rsidR="00022B47" w:rsidRDefault="00000000">
      <w:pPr>
        <w:pStyle w:val="Normal27"/>
        <w:widowControl w:val="0"/>
        <w:spacing w:before="200" w:line="260" w:lineRule="atLeast"/>
        <w:jc w:val="both"/>
      </w:pPr>
      <w:bookmarkStart w:id="5038" w:name="Bookmark_para_13_25"/>
      <w:bookmarkStart w:id="5039" w:name="Bookmark_I65442BJ28T3X90040000400"/>
      <w:bookmarkStart w:id="5040" w:name="Bookmark_LNHNREFclscc3_24"/>
      <w:bookmarkEnd w:id="5038"/>
      <w:bookmarkEnd w:id="5039"/>
      <w:bookmarkEnd w:id="5040"/>
      <w:r>
        <w:rPr>
          <w:rFonts w:ascii="Arial" w:eastAsia="Arial" w:hAnsi="Arial" w:cs="Arial"/>
          <w:color w:val="000000"/>
          <w:sz w:val="20"/>
        </w:rPr>
        <w:t xml:space="preserve">In enacting the ADA, Congress recognized that "individuals with disabilities continually encounter various forms of discrimination, including . . . the discriminatory effects of . . . transportation." 42 U.S.C. § 12101(a)(5). </w:t>
      </w:r>
      <w:bookmarkStart w:id="5041" w:name="Bookmark_I65442BJ2HM64S0030000400"/>
      <w:bookmarkEnd w:id="5041"/>
      <w:r>
        <w:rPr>
          <w:rFonts w:ascii="Arial" w:eastAsia="Arial" w:hAnsi="Arial" w:cs="Arial"/>
          <w:color w:val="000000"/>
          <w:sz w:val="20"/>
        </w:rPr>
        <w:t xml:space="preserve">We have long held the ADA requires meaningful access to the public entity's services and that mere limited participation does not satisfy this requirement. </w:t>
      </w:r>
      <w:bookmarkStart w:id="5042" w:name="Bookmark_I65442BJ28T3X90030000400"/>
      <w:bookmarkEnd w:id="5042"/>
      <w:r>
        <w:rPr>
          <w:rFonts w:ascii="Arial" w:eastAsia="Arial" w:hAnsi="Arial" w:cs="Arial"/>
          <w:color w:val="000000"/>
          <w:sz w:val="20"/>
          <w:u w:val="single"/>
        </w:rPr>
        <w:t>Loye v. County of Dakota</w:t>
      </w:r>
      <w:r>
        <w:rPr>
          <w:rFonts w:ascii="Arial" w:eastAsia="Arial" w:hAnsi="Arial" w:cs="Arial"/>
          <w:color w:val="000000"/>
          <w:sz w:val="20"/>
        </w:rPr>
        <w:t xml:space="preserve">, 625 F.3d 494, 496 (8th Cir. 2010); </w:t>
      </w:r>
      <w:r>
        <w:rPr>
          <w:rFonts w:ascii="Arial" w:eastAsia="Arial" w:hAnsi="Arial" w:cs="Arial"/>
          <w:color w:val="000000"/>
          <w:sz w:val="20"/>
          <w:u w:val="single"/>
        </w:rPr>
        <w:t xml:space="preserve">see </w:t>
      </w:r>
      <w:bookmarkStart w:id="5043" w:name="Bookmark_I65442BJ28T3X90050000400"/>
      <w:bookmarkEnd w:id="5043"/>
      <w:r>
        <w:rPr>
          <w:rFonts w:ascii="Arial" w:eastAsia="Arial" w:hAnsi="Arial" w:cs="Arial"/>
          <w:color w:val="000000"/>
          <w:sz w:val="20"/>
          <w:u w:val="single"/>
        </w:rPr>
        <w:t>Randolph v. Rodgers</w:t>
      </w:r>
      <w:r>
        <w:rPr>
          <w:rFonts w:ascii="Arial" w:eastAsia="Arial" w:hAnsi="Arial" w:cs="Arial"/>
          <w:color w:val="000000"/>
          <w:sz w:val="20"/>
        </w:rPr>
        <w:t xml:space="preserve">, 170 F.3d 850, 858 (8th Cir. 1999). </w:t>
      </w:r>
      <w:bookmarkStart w:id="5044" w:name="Bookmark_I65442BJ2HM64S0030000400_2"/>
      <w:bookmarkEnd w:id="5044"/>
      <w:r>
        <w:rPr>
          <w:rFonts w:ascii="Arial" w:eastAsia="Arial" w:hAnsi="Arial" w:cs="Arial"/>
          <w:color w:val="000000"/>
          <w:sz w:val="20"/>
        </w:rPr>
        <w:t xml:space="preserve">To meet the meaningful access standard, public entities like Metro Transit "are not required to produce the identical result or level of achievement for handicapped and nonhandicapped persons, but must afford handicapped persons equal opportunity to . . . gain the same benefit." </w:t>
      </w:r>
      <w:bookmarkStart w:id="5045" w:name="Bookmark_I65442BJ2HM64S0020000400"/>
      <w:bookmarkEnd w:id="5045"/>
      <w:r>
        <w:rPr>
          <w:rFonts w:ascii="Arial" w:eastAsia="Arial" w:hAnsi="Arial" w:cs="Arial"/>
          <w:color w:val="000000"/>
          <w:sz w:val="20"/>
          <w:u w:val="single"/>
        </w:rPr>
        <w:t>Id.</w:t>
      </w:r>
      <w:r>
        <w:rPr>
          <w:rFonts w:ascii="Arial" w:eastAsia="Arial" w:hAnsi="Arial" w:cs="Arial"/>
          <w:color w:val="000000"/>
          <w:sz w:val="20"/>
        </w:rPr>
        <w:t xml:space="preserve"> at 499 (quoting </w:t>
      </w:r>
      <w:bookmarkStart w:id="5046" w:name="Bookmark_I65442BJ2HM64S0040000400"/>
      <w:bookmarkEnd w:id="5046"/>
      <w:r>
        <w:rPr>
          <w:rFonts w:ascii="Arial" w:eastAsia="Arial" w:hAnsi="Arial" w:cs="Arial"/>
          <w:color w:val="000000"/>
          <w:sz w:val="20"/>
          <w:u w:val="single"/>
        </w:rPr>
        <w:t>Alexander v. Choate</w:t>
      </w:r>
      <w:r>
        <w:rPr>
          <w:rFonts w:ascii="Arial" w:eastAsia="Arial" w:hAnsi="Arial" w:cs="Arial"/>
          <w:color w:val="000000"/>
          <w:sz w:val="20"/>
        </w:rPr>
        <w:t>, 469 U.S. 287, 305, 105 S. Ct. 712, 83 L. Ed. 2d 661 (1985)).</w:t>
      </w:r>
    </w:p>
    <w:p w:rsidR="00022B47" w:rsidRDefault="00000000">
      <w:pPr>
        <w:pStyle w:val="Normal27"/>
        <w:widowControl w:val="0"/>
        <w:spacing w:before="200" w:line="260" w:lineRule="atLeast"/>
        <w:jc w:val="both"/>
      </w:pPr>
      <w:bookmarkStart w:id="5047" w:name="Bookmark_para_14_25"/>
      <w:bookmarkStart w:id="5048" w:name="Bookmark_I65442BJ2SF7YG0020000400"/>
      <w:bookmarkStart w:id="5049" w:name="Bookmark_I65442BJ2SF7YG0040000400"/>
      <w:bookmarkStart w:id="5050" w:name="Bookmark_I65442BJ2D6NX00020000400"/>
      <w:bookmarkEnd w:id="5047"/>
      <w:bookmarkEnd w:id="5048"/>
      <w:bookmarkEnd w:id="5049"/>
      <w:bookmarkEnd w:id="5050"/>
      <w:r>
        <w:rPr>
          <w:rFonts w:ascii="Arial" w:eastAsia="Arial" w:hAnsi="Arial" w:cs="Arial"/>
          <w:color w:val="000000"/>
          <w:sz w:val="20"/>
        </w:rPr>
        <w:t xml:space="preserve">As an initial matter, we are unconvinced by Segal's argument that a violation of the DOT regulations amounts to a </w:t>
      </w:r>
      <w:r>
        <w:rPr>
          <w:rFonts w:ascii="Arial" w:eastAsia="Arial" w:hAnsi="Arial" w:cs="Arial"/>
          <w:i/>
          <w:color w:val="000000"/>
          <w:sz w:val="20"/>
        </w:rPr>
        <w:t>per se</w:t>
      </w:r>
      <w:r>
        <w:rPr>
          <w:rFonts w:ascii="Arial" w:eastAsia="Arial" w:hAnsi="Arial" w:cs="Arial"/>
          <w:color w:val="000000"/>
          <w:sz w:val="20"/>
        </w:rPr>
        <w:t xml:space="preserve"> violation of the ADA.</w:t>
      </w:r>
      <w:r>
        <w:rPr>
          <w:rFonts w:ascii="Arial" w:eastAsia="Arial" w:hAnsi="Arial" w:cs="Arial"/>
          <w:vertAlign w:val="superscript"/>
        </w:rPr>
        <w:footnoteReference w:customMarkFollows="1" w:id="126"/>
        <w:t>2</w:t>
      </w:r>
      <w:r>
        <w:rPr>
          <w:rFonts w:ascii="Arial" w:eastAsia="Arial" w:hAnsi="Arial" w:cs="Arial"/>
          <w:color w:val="000000"/>
          <w:sz w:val="20"/>
        </w:rPr>
        <w:t xml:space="preserve"> We considered a similar argument in </w:t>
      </w:r>
      <w:bookmarkStart w:id="5054" w:name="Bookmark_I65442BJ2SF7YG0010000400"/>
      <w:bookmarkEnd w:id="5054"/>
      <w:r>
        <w:rPr>
          <w:rFonts w:ascii="Arial" w:eastAsia="Arial" w:hAnsi="Arial" w:cs="Arial"/>
          <w:color w:val="000000"/>
          <w:sz w:val="20"/>
          <w:u w:val="single"/>
        </w:rPr>
        <w:t>Loye</w:t>
      </w:r>
      <w:r>
        <w:rPr>
          <w:rFonts w:ascii="Arial" w:eastAsia="Arial" w:hAnsi="Arial" w:cs="Arial"/>
          <w:color w:val="000000"/>
          <w:sz w:val="20"/>
        </w:rPr>
        <w:t xml:space="preserve">, which involved a suit brought under the ADA, the Rehabilitation Act, and the MHRA after a mercury contamination led to an environmental cleanup effort affecting disabled county residents. [**8]  </w:t>
      </w:r>
      <w:bookmarkStart w:id="5055" w:name="Bookmark_I2DK7WH18WT000001R90000P"/>
      <w:bookmarkStart w:id="5056" w:name="Bookmark_I2DK7WH1P6Y000001R90000X"/>
      <w:bookmarkStart w:id="5057" w:name="Bookmark_I65442BJ28T3XG0030000400"/>
      <w:bookmarkEnd w:id="5055"/>
      <w:bookmarkEnd w:id="5056"/>
      <w:bookmarkEnd w:id="5057"/>
      <w:r>
        <w:rPr>
          <w:rFonts w:ascii="Arial" w:eastAsia="Arial" w:hAnsi="Arial" w:cs="Arial"/>
          <w:color w:val="000000"/>
          <w:sz w:val="20"/>
        </w:rPr>
        <w:t xml:space="preserve">On appeal, the </w:t>
      </w:r>
      <w:bookmarkStart w:id="5058" w:name="Bookmark_I65442BJ28T3XG0030000400_2"/>
      <w:bookmarkStart w:id="5059" w:name="Bookmark_I65442BJ2D6NX00020000400_2"/>
      <w:bookmarkStart w:id="5060" w:name="Bookmark_I65442BJ2SF7YG0040000400_2"/>
      <w:bookmarkStart w:id="5061" w:name="Bookmark_I65442BJ2SF7YG0020000400_2"/>
      <w:bookmarkStart w:id="5062" w:name="Bookmark_I65442BJ2SF7YG0030000400"/>
      <w:bookmarkEnd w:id="5058"/>
      <w:bookmarkEnd w:id="5059"/>
      <w:bookmarkEnd w:id="5060"/>
      <w:bookmarkEnd w:id="5061"/>
      <w:bookmarkEnd w:id="5062"/>
      <w:r>
        <w:rPr>
          <w:rFonts w:ascii="Arial" w:eastAsia="Arial" w:hAnsi="Arial" w:cs="Arial"/>
          <w:color w:val="000000"/>
          <w:sz w:val="20"/>
          <w:u w:val="single"/>
        </w:rPr>
        <w:t>Loye</w:t>
      </w:r>
      <w:r>
        <w:rPr>
          <w:rFonts w:ascii="Arial" w:eastAsia="Arial" w:hAnsi="Arial" w:cs="Arial"/>
          <w:color w:val="000000"/>
          <w:sz w:val="20"/>
        </w:rPr>
        <w:t xml:space="preserve"> plaintiffs argued that DOJ regulations requiring the county to "ensure that communications with [Plaintiffs] are </w:t>
      </w:r>
      <w:r>
        <w:rPr>
          <w:rFonts w:ascii="Arial" w:eastAsia="Arial" w:hAnsi="Arial" w:cs="Arial"/>
          <w:i/>
          <w:color w:val="000000"/>
          <w:sz w:val="20"/>
        </w:rPr>
        <w:t>as effective as</w:t>
      </w:r>
      <w:r>
        <w:rPr>
          <w:rFonts w:ascii="Arial" w:eastAsia="Arial" w:hAnsi="Arial" w:cs="Arial"/>
          <w:color w:val="000000"/>
          <w:sz w:val="20"/>
        </w:rPr>
        <w:t xml:space="preserve"> communications with others," should be read strictly to require county liability. </w:t>
      </w:r>
      <w:bookmarkStart w:id="5063" w:name="Bookmark_I65442BJ2SF7YG0050000400"/>
      <w:bookmarkEnd w:id="5063"/>
      <w:r>
        <w:rPr>
          <w:rFonts w:ascii="Arial" w:eastAsia="Arial" w:hAnsi="Arial" w:cs="Arial"/>
          <w:color w:val="000000"/>
          <w:sz w:val="20"/>
        </w:rPr>
        <w:t xml:space="preserve">625 F.3d at 499 (quoting 28 C.F.R. § 35.160). The Court declined to adopt such a "literal reading" of the regulation because </w:t>
      </w:r>
      <w:bookmarkStart w:id="5064" w:name="Bookmark_LNHNREFclscc4_24"/>
      <w:bookmarkEnd w:id="5064"/>
      <w:r>
        <w:rPr>
          <w:rFonts w:ascii="Arial" w:eastAsia="Arial" w:hAnsi="Arial" w:cs="Arial"/>
          <w:color w:val="000000"/>
          <w:sz w:val="20"/>
        </w:rPr>
        <w:t xml:space="preserve">the regulations that implement Title II of the ADA must be interpreted in a way that balances "the need to give effect to the statutory objectives" with the desire to keep the result "within manageable bounds." </w:t>
      </w:r>
      <w:bookmarkStart w:id="5065" w:name="Bookmark_I65442BJ28T3XG0020000400"/>
      <w:bookmarkEnd w:id="5065"/>
      <w:r>
        <w:rPr>
          <w:rFonts w:ascii="Arial" w:eastAsia="Arial" w:hAnsi="Arial" w:cs="Arial"/>
          <w:color w:val="000000"/>
          <w:sz w:val="20"/>
          <w:u w:val="single"/>
        </w:rPr>
        <w:t>Id.</w:t>
      </w:r>
      <w:r>
        <w:rPr>
          <w:rFonts w:ascii="Arial" w:eastAsia="Arial" w:hAnsi="Arial" w:cs="Arial"/>
          <w:color w:val="000000"/>
          <w:sz w:val="20"/>
        </w:rPr>
        <w:t xml:space="preserve"> (quoting </w:t>
      </w:r>
      <w:bookmarkStart w:id="5066" w:name="Bookmark_I65442BJ28T3XG0040000400"/>
      <w:bookmarkEnd w:id="5066"/>
      <w:r>
        <w:rPr>
          <w:rFonts w:ascii="Arial" w:eastAsia="Arial" w:hAnsi="Arial" w:cs="Arial"/>
          <w:color w:val="000000"/>
          <w:sz w:val="20"/>
          <w:u w:val="single"/>
        </w:rPr>
        <w:t>Alexander</w:t>
      </w:r>
      <w:r>
        <w:rPr>
          <w:rFonts w:ascii="Arial" w:eastAsia="Arial" w:hAnsi="Arial" w:cs="Arial"/>
          <w:color w:val="000000"/>
          <w:sz w:val="20"/>
        </w:rPr>
        <w:t>, 469 U.S. at 299). We likewise decline to adopt such a strict reading of the regulations at issue here.</w:t>
      </w:r>
    </w:p>
    <w:p w:rsidR="00022B47" w:rsidRDefault="00000000">
      <w:pPr>
        <w:pStyle w:val="Normal27"/>
        <w:widowControl w:val="0"/>
        <w:spacing w:before="200" w:line="260" w:lineRule="atLeast"/>
        <w:jc w:val="both"/>
      </w:pPr>
      <w:bookmarkStart w:id="5067" w:name="Bookmark_para_15_25"/>
      <w:bookmarkStart w:id="5068" w:name="Bookmark_I65442BJ2D6NX00040000400"/>
      <w:bookmarkStart w:id="5069" w:name="Bookmark_LNHNREFclscc6_21"/>
      <w:bookmarkEnd w:id="5067"/>
      <w:bookmarkEnd w:id="5068"/>
      <w:bookmarkEnd w:id="5069"/>
      <w:r>
        <w:rPr>
          <w:rFonts w:ascii="Arial" w:eastAsia="Arial" w:hAnsi="Arial" w:cs="Arial"/>
          <w:color w:val="000000"/>
          <w:sz w:val="20"/>
        </w:rPr>
        <w:t xml:space="preserve">In the public accommodation context, at the summary judgment stage, courts examine whether meaningful access was provided to a disabled individual by comparing the service provided to non-disabled individuals. </w:t>
      </w:r>
      <w:bookmarkStart w:id="5070" w:name="Bookmark_I65442BK2D6NX30050000400"/>
      <w:bookmarkEnd w:id="5070"/>
      <w:r>
        <w:rPr>
          <w:rFonts w:ascii="Arial" w:eastAsia="Arial" w:hAnsi="Arial" w:cs="Arial"/>
          <w:color w:val="000000"/>
          <w:sz w:val="20"/>
          <w:u w:val="single"/>
        </w:rPr>
        <w:t xml:space="preserve">See </w:t>
      </w:r>
      <w:bookmarkStart w:id="5071" w:name="Bookmark_I65442BJ2D6NX00030000400"/>
      <w:bookmarkEnd w:id="5071"/>
      <w:r>
        <w:rPr>
          <w:rFonts w:ascii="Arial" w:eastAsia="Arial" w:hAnsi="Arial" w:cs="Arial"/>
          <w:color w:val="000000"/>
          <w:sz w:val="20"/>
          <w:u w:val="single"/>
        </w:rPr>
        <w:t>Childress v. Fox Assocs., LLC</w:t>
      </w:r>
      <w:r>
        <w:rPr>
          <w:rFonts w:ascii="Arial" w:eastAsia="Arial" w:hAnsi="Arial" w:cs="Arial"/>
          <w:color w:val="000000"/>
          <w:sz w:val="20"/>
        </w:rPr>
        <w:t xml:space="preserve">, 932 F.3d 1165, 1171 (8th Cir. 2019) (hearing-impaired persons denied meaningful access as compared to those without hearing impediments when theater only provided one captioned performance per show); </w:t>
      </w:r>
      <w:bookmarkStart w:id="5072" w:name="Bookmark_I65442BJ2D6NX00050000400"/>
      <w:bookmarkEnd w:id="5072"/>
      <w:r>
        <w:rPr>
          <w:rFonts w:ascii="Arial" w:eastAsia="Arial" w:hAnsi="Arial" w:cs="Arial"/>
          <w:color w:val="000000"/>
          <w:sz w:val="20"/>
          <w:u w:val="single"/>
        </w:rPr>
        <w:t>Loye</w:t>
      </w:r>
      <w:r>
        <w:rPr>
          <w:rFonts w:ascii="Arial" w:eastAsia="Arial" w:hAnsi="Arial" w:cs="Arial"/>
          <w:color w:val="000000"/>
          <w:sz w:val="20"/>
        </w:rPr>
        <w:t xml:space="preserve">, 625 F.3d at 499 (no material facts in dispute because the record established meaningful access as compared to all evacuees of environmental disaster); </w:t>
      </w:r>
      <w:bookmarkStart w:id="5073" w:name="Bookmark_I65442BK2D6NX30020000400"/>
      <w:bookmarkEnd w:id="5073"/>
      <w:r>
        <w:rPr>
          <w:rFonts w:ascii="Arial" w:eastAsia="Arial" w:hAnsi="Arial" w:cs="Arial"/>
          <w:color w:val="000000"/>
          <w:sz w:val="20"/>
          <w:u w:val="single"/>
        </w:rPr>
        <w:t>Argenyi</w:t>
      </w:r>
      <w:r>
        <w:rPr>
          <w:rFonts w:ascii="Arial" w:eastAsia="Arial" w:hAnsi="Arial" w:cs="Arial"/>
          <w:color w:val="000000"/>
          <w:sz w:val="20"/>
        </w:rPr>
        <w:t xml:space="preserve">, 703 F.3d at 451 (considering whether deaf plaintiff was denied an [**9]  opportunity to benefit from medical school equal to that of non-disabled classmates). While recognizing that this assessment is naturally fact-intensive and consideration should be given to context, the comparison is straightforward—it involves identification of the non-disabled peer group and a determination of whether it can be concluded as a matter of law that disabled individuals were or were not provided an  [*405]  equal opportunity to access the same benefit. </w:t>
      </w:r>
      <w:bookmarkStart w:id="5074" w:name="Bookmark_I65442BK2D6NX30050000400_2"/>
      <w:bookmarkEnd w:id="5074"/>
      <w:r>
        <w:rPr>
          <w:rFonts w:ascii="Arial" w:eastAsia="Arial" w:hAnsi="Arial" w:cs="Arial"/>
          <w:color w:val="000000"/>
          <w:sz w:val="20"/>
          <w:u w:val="single"/>
        </w:rPr>
        <w:t xml:space="preserve">See e.g. </w:t>
      </w:r>
      <w:bookmarkStart w:id="5075" w:name="Bookmark_I65442BK2D6NX30040000400"/>
      <w:bookmarkEnd w:id="5075"/>
      <w:r>
        <w:rPr>
          <w:rFonts w:ascii="Arial" w:eastAsia="Arial" w:hAnsi="Arial" w:cs="Arial"/>
          <w:color w:val="000000"/>
          <w:sz w:val="20"/>
          <w:u w:val="single"/>
        </w:rPr>
        <w:t>Durand v. Fairview Health Servs.</w:t>
      </w:r>
      <w:r>
        <w:rPr>
          <w:rFonts w:ascii="Arial" w:eastAsia="Arial" w:hAnsi="Arial" w:cs="Arial"/>
          <w:color w:val="000000"/>
          <w:sz w:val="20"/>
        </w:rPr>
        <w:t>, 902 F.3d 836, 842 (8th Cir. 2018) ("[C]ourts must identify the hearing-abled peer group, as well as the context of the hospital visit, in order to determine whether the hearing-impaired individuals were provided an equal opportunity to access the same benefits.").</w:t>
      </w:r>
    </w:p>
    <w:p w:rsidR="00022B47" w:rsidRDefault="00000000">
      <w:pPr>
        <w:pStyle w:val="Normal27"/>
        <w:widowControl w:val="0"/>
        <w:spacing w:before="200" w:line="260" w:lineRule="atLeast"/>
        <w:jc w:val="both"/>
      </w:pPr>
      <w:bookmarkStart w:id="5076" w:name="Bookmark_para_16_25"/>
      <w:bookmarkEnd w:id="5076"/>
      <w:r>
        <w:rPr>
          <w:rFonts w:ascii="Arial" w:eastAsia="Arial" w:hAnsi="Arial" w:cs="Arial"/>
          <w:color w:val="000000"/>
          <w:sz w:val="20"/>
        </w:rPr>
        <w:t>Viewing the evidence in the light most favorable to Segal, as we must, the record here contains evidence sufficient to raise a genuine issue of material fact as to whether Metro Transit provided meaningful access. For purposes of the summary judgment motion, Metro Transit concedes that Segal's 150 complaints are in fact violations. These complaints comprise approximately 8.4% of Segal's 1,791 Metro Transit rides. From March 2015 through the end of 2019, Metro Transit's data shows an additional [**10]  153 ADA complaints filed by other disabled riders. Of the 278 million rides provided by Metro Transit, non-ADA complaints were filed at the rate of .003% of rides—a tiny fraction when compared to complaints from disabled riders.</w:t>
      </w:r>
    </w:p>
    <w:p w:rsidR="00022B47" w:rsidRDefault="00000000">
      <w:pPr>
        <w:pStyle w:val="Normal27"/>
        <w:widowControl w:val="0"/>
        <w:spacing w:before="200" w:line="260" w:lineRule="atLeast"/>
        <w:jc w:val="both"/>
      </w:pPr>
      <w:bookmarkStart w:id="5077" w:name="Bookmark_para_17_24"/>
      <w:bookmarkEnd w:id="5077"/>
      <w:r>
        <w:rPr>
          <w:rFonts w:ascii="Arial" w:eastAsia="Arial" w:hAnsi="Arial" w:cs="Arial"/>
          <w:color w:val="000000"/>
          <w:sz w:val="20"/>
        </w:rPr>
        <w:t xml:space="preserve">Given his number of Metro Transit rides during the relevant time period, it remains in dispute whether Segal (or any similarly situated, disabled rider) was more likely to experience poor service than a non-disabled rider. </w:t>
      </w:r>
      <w:bookmarkStart w:id="5078" w:name="Bookmark_I65442BK2HM6510020000400"/>
      <w:bookmarkEnd w:id="5078"/>
      <w:r>
        <w:rPr>
          <w:rFonts w:ascii="Arial" w:eastAsia="Arial" w:hAnsi="Arial" w:cs="Arial"/>
          <w:color w:val="000000"/>
          <w:sz w:val="20"/>
        </w:rPr>
        <w:t xml:space="preserve">While Segal was late to work 5 to 10 times and missed only 3 appointments because of issues with Metro Transit's service, the question before us is not Segal's ability to successfully navigate the Metro Transit system despite its shortcomings, but whether Metro Transit was meeting ADA requirements. While we recognize that perfect service is not the standard, on the evidence before us, viewed in a light most favorable to Segal, Segal has met his burden of demonstrating the existence of a genuine issue of material fact at this stage in the litigation. </w:t>
      </w:r>
      <w:r>
        <w:rPr>
          <w:rFonts w:ascii="Arial" w:eastAsia="Arial" w:hAnsi="Arial" w:cs="Arial"/>
          <w:color w:val="000000"/>
          <w:sz w:val="20"/>
          <w:u w:val="single"/>
        </w:rPr>
        <w:t xml:space="preserve">See </w:t>
      </w:r>
      <w:bookmarkStart w:id="5079" w:name="Bookmark_I65442BK2HM6510010000400"/>
      <w:bookmarkEnd w:id="5079"/>
      <w:r>
        <w:rPr>
          <w:rFonts w:ascii="Arial" w:eastAsia="Arial" w:hAnsi="Arial" w:cs="Arial"/>
          <w:color w:val="000000"/>
          <w:sz w:val="20"/>
          <w:u w:val="single"/>
        </w:rPr>
        <w:t>Argenyi</w:t>
      </w:r>
      <w:r>
        <w:rPr>
          <w:rFonts w:ascii="Arial" w:eastAsia="Arial" w:hAnsi="Arial" w:cs="Arial"/>
          <w:color w:val="000000"/>
          <w:sz w:val="20"/>
        </w:rPr>
        <w:t>, 703 F.3d at 446.</w:t>
      </w:r>
    </w:p>
    <w:p w:rsidR="00022B47" w:rsidRDefault="00000000">
      <w:pPr>
        <w:pStyle w:val="Normal27"/>
        <w:widowControl w:val="0"/>
        <w:spacing w:before="200" w:line="260" w:lineRule="atLeast"/>
        <w:jc w:val="both"/>
      </w:pPr>
      <w:bookmarkStart w:id="5080" w:name="Bookmark_para_18_24"/>
      <w:bookmarkEnd w:id="5080"/>
      <w:r>
        <w:rPr>
          <w:rFonts w:ascii="Arial" w:eastAsia="Arial" w:hAnsi="Arial" w:cs="Arial"/>
          <w:color w:val="000000"/>
          <w:sz w:val="20"/>
        </w:rPr>
        <w:t xml:space="preserve">Overcoming summary judgment is merely the first hurdle for Segal. Scant guidance exists as to how trial should proceed on remand in a case involving meaningful access to public accommodations. [**11]  </w:t>
      </w:r>
      <w:bookmarkStart w:id="5081" w:name="Bookmark_LNHNREFclscc7_20"/>
      <w:bookmarkEnd w:id="5081"/>
      <w:r>
        <w:rPr>
          <w:rFonts w:ascii="Arial" w:eastAsia="Arial" w:hAnsi="Arial" w:cs="Arial"/>
          <w:color w:val="000000"/>
          <w:sz w:val="20"/>
        </w:rPr>
        <w:t xml:space="preserve">The Seventh Amendment unequivocally extends the right to a trial by jury in civil cases. U.S Const. amend. VII. We conclude that the question of whether Segal was provided meaningful access within the context of state or federal law is a fact-intensive issue, and one that is to be determined by a jury. Relevant to the meaningful access analysis may be a few different factors. Although we declined to conclude that a violation of the DOT regulations amounts to a </w:t>
      </w:r>
      <w:r>
        <w:rPr>
          <w:rFonts w:ascii="Arial" w:eastAsia="Arial" w:hAnsi="Arial" w:cs="Arial"/>
          <w:i/>
          <w:color w:val="000000"/>
          <w:sz w:val="20"/>
        </w:rPr>
        <w:t>per se</w:t>
      </w:r>
      <w:r>
        <w:rPr>
          <w:rFonts w:ascii="Arial" w:eastAsia="Arial" w:hAnsi="Arial" w:cs="Arial"/>
          <w:color w:val="000000"/>
          <w:sz w:val="20"/>
        </w:rPr>
        <w:t xml:space="preserve"> violation of the ADA or to address Segal's claim that the DOT regulations give rise to a private cause of action, this does not mean that the regulations are entirely devoid of significance at trial. Here, Segal has pointed to two regulations that he alleges were violated: (1) that Metro Transit "shall provide" a stop and announce policy (49 C.F.R. § 37.167(c)), and (2) that Metro Transit "shall ensure" training to proficiency (49 C.F.R. § 37.173). </w:t>
      </w:r>
      <w:bookmarkStart w:id="5082" w:name="Bookmark_LNHNREFclscc8_19"/>
      <w:bookmarkEnd w:id="5082"/>
      <w:r>
        <w:rPr>
          <w:rFonts w:ascii="Arial" w:eastAsia="Arial" w:hAnsi="Arial" w:cs="Arial"/>
          <w:color w:val="000000"/>
          <w:sz w:val="20"/>
        </w:rPr>
        <w:t xml:space="preserve">Courts have often allowed the admission of evidence regarding a violation of a statute or regulation in negligence cases—not to establish negligence </w:t>
      </w:r>
      <w:r>
        <w:rPr>
          <w:rFonts w:ascii="Arial" w:eastAsia="Arial" w:hAnsi="Arial" w:cs="Arial"/>
          <w:i/>
          <w:color w:val="000000"/>
          <w:sz w:val="20"/>
        </w:rPr>
        <w:t>per se</w:t>
      </w:r>
      <w:r>
        <w:rPr>
          <w:rFonts w:ascii="Arial" w:eastAsia="Arial" w:hAnsi="Arial" w:cs="Arial"/>
          <w:color w:val="000000"/>
          <w:sz w:val="20"/>
        </w:rPr>
        <w:t>, but as evidence to be weighed by the jury in determining the ultimate question of a party's negligence. In a similar vein, we conclude that evidence of a potential violation of a DOT regulation is [**12]  a factor to be weighed by the jury tasked with deciding whether an entity or business provided disabled individuals meaningful access to its services.</w:t>
      </w:r>
    </w:p>
    <w:p w:rsidR="00022B47" w:rsidRDefault="00000000">
      <w:pPr>
        <w:pStyle w:val="Normal27"/>
        <w:widowControl w:val="0"/>
        <w:spacing w:before="200" w:line="260" w:lineRule="atLeast"/>
        <w:jc w:val="both"/>
      </w:pPr>
      <w:bookmarkStart w:id="5083" w:name="Bookmark_para_19_23"/>
      <w:bookmarkEnd w:id="5083"/>
      <w:r>
        <w:rPr>
          <w:rFonts w:ascii="Arial" w:eastAsia="Arial" w:hAnsi="Arial" w:cs="Arial"/>
          <w:color w:val="000000"/>
          <w:sz w:val="20"/>
        </w:rPr>
        <w:t>In summary, Segal has raised a genuine issue of material fact on whether Metro Transit provided him meaningful access sufficient to survive summary judgment. At trial, the DOT regulations cited  [*406]  by Segal are admissible as evidence that the jury may consider and weigh when determining whether Segal has met his burden of demonstrating that he was denied meaningful access to Metro Transit's services. In this context, the term "meaningful access" has its common and ordinary understanding, signifying access to services by disabled individuals that is substantially equal to the services provided to non-disabled persons. After weighing all the evidence, meaningful access is the ultimate finding that jurors must make—a decision resting exclusively within their province.</w:t>
      </w:r>
    </w:p>
    <w:p w:rsidR="00022B47" w:rsidRDefault="00000000">
      <w:pPr>
        <w:pStyle w:val="Normal27"/>
        <w:widowControl w:val="0"/>
        <w:spacing w:before="240" w:line="260" w:lineRule="atLeast"/>
      </w:pPr>
      <w:r>
        <w:br/>
      </w:r>
      <w:r>
        <w:rPr>
          <w:rFonts w:ascii="Arial" w:eastAsia="Arial" w:hAnsi="Arial" w:cs="Arial"/>
          <w:b/>
          <w:color w:val="000000"/>
          <w:sz w:val="20"/>
        </w:rPr>
        <w:t>III. CONCLUSION</w:t>
      </w:r>
    </w:p>
    <w:p w:rsidR="00022B47" w:rsidRDefault="00000000">
      <w:pPr>
        <w:pStyle w:val="Normal27"/>
        <w:widowControl w:val="0"/>
        <w:spacing w:before="200" w:line="260" w:lineRule="atLeast"/>
        <w:jc w:val="both"/>
      </w:pPr>
      <w:bookmarkStart w:id="5084" w:name="Bookmark_para_20_23"/>
      <w:bookmarkEnd w:id="5084"/>
      <w:r>
        <w:rPr>
          <w:rFonts w:ascii="Arial" w:eastAsia="Arial" w:hAnsi="Arial" w:cs="Arial"/>
          <w:color w:val="000000"/>
          <w:sz w:val="20"/>
        </w:rPr>
        <w:t>The district court erred when it determined Metro Transit provided Segal with meaningful access to bus service, despite evidence in the record demonstrating the question remains in dispute. We reverse and remand for proceedings consistent with this opinion.</w:t>
      </w:r>
    </w:p>
    <w:p w:rsidR="00022B47" w:rsidRDefault="00022B47">
      <w:pPr>
        <w:pStyle w:val="Normal27"/>
      </w:pPr>
    </w:p>
    <w:p w:rsidR="00022B47" w:rsidRDefault="00000000">
      <w:pPr>
        <w:pStyle w:val="Normal27"/>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17632"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360374077"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3A68E8" id="Line 60"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28"/>
        <w:sectPr w:rsidR="00022B47">
          <w:headerReference w:type="even" r:id="rId175"/>
          <w:headerReference w:type="default" r:id="rId176"/>
          <w:footerReference w:type="even" r:id="rId177"/>
          <w:footerReference w:type="default" r:id="rId178"/>
          <w:headerReference w:type="first" r:id="rId179"/>
          <w:footerReference w:type="first" r:id="rId180"/>
          <w:pgSz w:w="12240" w:h="15840"/>
          <w:pgMar w:top="840" w:right="1000" w:bottom="840" w:left="1000" w:header="400" w:footer="400" w:gutter="0"/>
          <w:cols w:space="720"/>
          <w:titlePg/>
        </w:sectPr>
      </w:pPr>
    </w:p>
    <w:p w:rsidR="00022B47" w:rsidRDefault="00022B47">
      <w:pPr>
        <w:pStyle w:val="Normal28"/>
      </w:pPr>
    </w:p>
    <w:p w:rsidR="00022B47" w:rsidRDefault="00000000">
      <w:pPr>
        <w:pStyle w:val="Heading127"/>
        <w:keepNext w:val="0"/>
        <w:widowControl w:val="0"/>
        <w:spacing w:after="200" w:line="340" w:lineRule="atLeast"/>
        <w:jc w:val="center"/>
      </w:pPr>
      <w:r>
        <w:rPr>
          <w:rFonts w:eastAsia="Arial"/>
          <w:color w:val="000000"/>
          <w:sz w:val="28"/>
        </w:rPr>
        <w:t>Laguerre v. Nat'l Grid USA</w:t>
      </w:r>
    </w:p>
    <w:p w:rsidR="00022B47" w:rsidRDefault="00000000">
      <w:pPr>
        <w:pStyle w:val="Normal28"/>
        <w:widowControl w:val="0"/>
        <w:spacing w:before="120" w:line="260" w:lineRule="atLeast"/>
        <w:jc w:val="center"/>
      </w:pPr>
      <w:r>
        <w:rPr>
          <w:rFonts w:ascii="Arial" w:eastAsia="Arial" w:hAnsi="Arial" w:cs="Arial"/>
          <w:color w:val="000000"/>
          <w:sz w:val="20"/>
        </w:rPr>
        <w:t>United States Court of Appeals for the Second Circuit</w:t>
      </w:r>
    </w:p>
    <w:p w:rsidR="00022B47" w:rsidRDefault="00000000">
      <w:pPr>
        <w:pStyle w:val="Normal28"/>
        <w:widowControl w:val="0"/>
        <w:spacing w:before="120" w:line="260" w:lineRule="atLeast"/>
        <w:jc w:val="center"/>
      </w:pPr>
      <w:r>
        <w:rPr>
          <w:rFonts w:ascii="Arial" w:eastAsia="Arial" w:hAnsi="Arial" w:cs="Arial"/>
          <w:color w:val="000000"/>
          <w:sz w:val="20"/>
        </w:rPr>
        <w:t>March 11, 2022, Decided</w:t>
      </w:r>
    </w:p>
    <w:p w:rsidR="00022B47" w:rsidRDefault="00000000">
      <w:pPr>
        <w:pStyle w:val="Normal28"/>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20-3901-cv</w:t>
      </w:r>
    </w:p>
    <w:p w:rsidR="00022B47" w:rsidRDefault="00022B47">
      <w:pPr>
        <w:pStyle w:val="Normal28"/>
        <w:widowControl w:val="0"/>
        <w:spacing w:line="240" w:lineRule="atLeast"/>
        <w:jc w:val="both"/>
      </w:pPr>
      <w:bookmarkStart w:id="5085" w:name="Bookmark_29"/>
      <w:bookmarkEnd w:id="5085"/>
    </w:p>
    <w:p w:rsidR="00022B47" w:rsidRDefault="00000000">
      <w:pPr>
        <w:pStyle w:val="Normal28"/>
        <w:widowControl w:val="0"/>
        <w:spacing w:before="200" w:line="240" w:lineRule="atLeast"/>
      </w:pPr>
      <w:bookmarkStart w:id="5086" w:name="Reporter_27"/>
      <w:bookmarkEnd w:id="5086"/>
      <w:r>
        <w:rPr>
          <w:rFonts w:ascii="Arial" w:eastAsia="Arial" w:hAnsi="Arial" w:cs="Arial"/>
          <w:b/>
          <w:color w:val="000000"/>
          <w:sz w:val="18"/>
        </w:rPr>
        <w:t>Reporter</w:t>
      </w:r>
    </w:p>
    <w:p w:rsidR="00022B47" w:rsidRDefault="00000000">
      <w:pPr>
        <w:pStyle w:val="Normal28"/>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2022 U.S. App. LEXIS 6328 *; 2022 WL 728819</w:t>
      </w:r>
    </w:p>
    <w:p w:rsidR="00022B47" w:rsidRDefault="00000000">
      <w:pPr>
        <w:pStyle w:val="Normal28"/>
        <w:widowControl w:val="0"/>
        <w:spacing w:before="120" w:line="260" w:lineRule="atLeast"/>
      </w:pPr>
      <w:r>
        <w:rPr>
          <w:rFonts w:ascii="Arial" w:eastAsia="Arial" w:hAnsi="Arial" w:cs="Arial"/>
          <w:color w:val="000000"/>
          <w:sz w:val="20"/>
        </w:rPr>
        <w:t>JANINA LAGUERRE, Plaintiff-Appellant, v. NATIONAL GRID USA, Defendant-Appellee.</w:t>
      </w:r>
    </w:p>
    <w:p w:rsidR="00022B47" w:rsidRDefault="00000000">
      <w:pPr>
        <w:pStyle w:val="Normal28"/>
        <w:widowControl w:val="0"/>
        <w:spacing w:before="240" w:line="260" w:lineRule="atLeast"/>
        <w:jc w:val="both"/>
      </w:pPr>
      <w:bookmarkStart w:id="5087" w:name="Notice_12"/>
      <w:bookmarkEnd w:id="5087"/>
      <w:r>
        <w:rPr>
          <w:rFonts w:ascii="Arial" w:eastAsia="Arial" w:hAnsi="Arial" w:cs="Arial"/>
          <w:b/>
          <w:color w:val="000000"/>
          <w:sz w:val="20"/>
        </w:rPr>
        <w:t>Notice:</w:t>
      </w:r>
      <w:r>
        <w:rPr>
          <w:rFonts w:ascii="Arial" w:eastAsia="Arial" w:hAnsi="Arial" w:cs="Arial"/>
          <w:color w:val="000000"/>
          <w:sz w:val="20"/>
        </w:rPr>
        <w:t> </w:t>
      </w:r>
      <w:bookmarkStart w:id="5088" w:name="Bookmark_para_1_27"/>
      <w:bookmarkEnd w:id="5088"/>
      <w:r>
        <w:rPr>
          <w:rFonts w:ascii="Arial" w:eastAsia="Arial" w:hAnsi="Arial" w:cs="Arial"/>
          <w:color w:val="000000"/>
          <w:sz w:val="20"/>
        </w:rPr>
        <w:t>PLEASE REFER TO FEDERAL RULES OF APPELLATE PROCEDURE RULE 32.1 GOVERNING THE CITATION TO UNPUBLISHED OPINIONS.</w:t>
      </w:r>
    </w:p>
    <w:p w:rsidR="00022B47" w:rsidRDefault="00000000">
      <w:pPr>
        <w:pStyle w:val="Normal28"/>
        <w:widowControl w:val="0"/>
        <w:spacing w:before="240" w:line="260" w:lineRule="atLeast"/>
        <w:jc w:val="both"/>
      </w:pPr>
      <w:bookmarkStart w:id="5089" w:name="Prior_History_27"/>
      <w:bookmarkEnd w:id="5089"/>
      <w:r>
        <w:rPr>
          <w:rFonts w:ascii="Arial" w:eastAsia="Arial" w:hAnsi="Arial" w:cs="Arial"/>
          <w:b/>
          <w:color w:val="000000"/>
          <w:sz w:val="20"/>
        </w:rPr>
        <w:t>Prior History:</w:t>
      </w:r>
      <w:r>
        <w:rPr>
          <w:rFonts w:ascii="Arial" w:eastAsia="Arial" w:hAnsi="Arial" w:cs="Arial"/>
          <w:color w:val="000000"/>
          <w:sz w:val="20"/>
        </w:rPr>
        <w:t> </w:t>
      </w:r>
      <w:bookmarkStart w:id="5090" w:name="Bookmark_para_2_27"/>
      <w:bookmarkEnd w:id="5090"/>
      <w:r>
        <w:rPr>
          <w:rFonts w:ascii="Arial" w:eastAsia="Arial" w:hAnsi="Arial" w:cs="Arial"/>
          <w:color w:val="000000"/>
          <w:sz w:val="20"/>
        </w:rPr>
        <w:t> [*1] Appeal from a judgment of the United States District Court for the Eastern District of New York (Gershon, J.).</w:t>
      </w:r>
    </w:p>
    <w:p w:rsidR="00022B47" w:rsidRDefault="00000000">
      <w:pPr>
        <w:pStyle w:val="Normal28"/>
        <w:widowControl w:val="0"/>
        <w:spacing w:before="120" w:line="260" w:lineRule="atLeast"/>
      </w:pPr>
      <w:r>
        <w:rPr>
          <w:rFonts w:ascii="Arial" w:eastAsia="Arial" w:hAnsi="Arial" w:cs="Arial"/>
          <w:color w:val="000000"/>
          <w:sz w:val="20"/>
        </w:rPr>
        <w:t>Laguerre v. Nat'l Grid United States, 2021 U.S. Dist. LEXIS 168202 (E.D.N.Y., Sept. 3, 2021)</w:t>
      </w:r>
    </w:p>
    <w:p w:rsidR="00022B47" w:rsidRDefault="00000000">
      <w:pPr>
        <w:pStyle w:val="Normal28"/>
        <w:widowControl w:val="0"/>
        <w:spacing w:before="240" w:line="260" w:lineRule="atLeast"/>
      </w:pPr>
      <w:bookmarkStart w:id="5091" w:name="Counsel_27"/>
      <w:bookmarkEnd w:id="5091"/>
      <w:r>
        <w:rPr>
          <w:rFonts w:ascii="Arial" w:eastAsia="Arial" w:hAnsi="Arial" w:cs="Arial"/>
          <w:b/>
          <w:color w:val="000000"/>
          <w:sz w:val="20"/>
        </w:rPr>
        <w:t>Counsel:</w:t>
      </w:r>
      <w:r>
        <w:rPr>
          <w:rFonts w:ascii="Arial" w:eastAsia="Arial" w:hAnsi="Arial" w:cs="Arial"/>
          <w:color w:val="000000"/>
          <w:sz w:val="20"/>
        </w:rPr>
        <w:t> FOR APPELLANT: ARTHUR Z. SCHWARTZ, Advocates for Justice, Chartered Attorneys, New York, NY.</w:t>
      </w:r>
    </w:p>
    <w:p w:rsidR="00022B47" w:rsidRDefault="00000000">
      <w:pPr>
        <w:pStyle w:val="Normal28"/>
        <w:widowControl w:val="0"/>
        <w:spacing w:before="120" w:line="260" w:lineRule="atLeast"/>
      </w:pPr>
      <w:r>
        <w:rPr>
          <w:rFonts w:ascii="Arial" w:eastAsia="Arial" w:hAnsi="Arial" w:cs="Arial"/>
          <w:color w:val="000000"/>
          <w:sz w:val="20"/>
        </w:rPr>
        <w:t>FOR APPELLEE: PATRICK M. COLLINS, Ogletree, Deakins, Nash, Smoak &amp; Stewart, P.C., New York, NY.</w:t>
      </w:r>
    </w:p>
    <w:p w:rsidR="00022B47" w:rsidRDefault="00000000">
      <w:pPr>
        <w:pStyle w:val="Normal28"/>
        <w:widowControl w:val="0"/>
        <w:spacing w:before="240" w:line="260" w:lineRule="atLeast"/>
      </w:pPr>
      <w:bookmarkStart w:id="5092" w:name="Judges_27"/>
      <w:bookmarkEnd w:id="5092"/>
      <w:r>
        <w:rPr>
          <w:rFonts w:ascii="Arial" w:eastAsia="Arial" w:hAnsi="Arial" w:cs="Arial"/>
          <w:b/>
          <w:color w:val="000000"/>
          <w:sz w:val="20"/>
        </w:rPr>
        <w:t>Judges:</w:t>
      </w:r>
      <w:r>
        <w:rPr>
          <w:rFonts w:ascii="Arial" w:eastAsia="Arial" w:hAnsi="Arial" w:cs="Arial"/>
          <w:color w:val="000000"/>
          <w:sz w:val="20"/>
        </w:rPr>
        <w:t> PRESENT: MICHAEL H. PARK, BETH ROBINSON, Circuit Judges, JED S. RAKOFF, District Judge.</w:t>
      </w:r>
      <w:r>
        <w:rPr>
          <w:rFonts w:ascii="Arial" w:eastAsia="Arial" w:hAnsi="Arial" w:cs="Arial"/>
          <w:vertAlign w:val="superscript"/>
        </w:rPr>
        <w:footnoteReference w:customMarkFollows="1" w:id="127"/>
        <w:t>*</w:t>
      </w:r>
      <w:r>
        <w:rPr>
          <w:rFonts w:ascii="Arial" w:eastAsia="Arial" w:hAnsi="Arial" w:cs="Arial"/>
          <w:color w:val="000000"/>
          <w:sz w:val="20"/>
        </w:rPr>
        <w:t>.</w:t>
      </w:r>
    </w:p>
    <w:p w:rsidR="00022B47" w:rsidRDefault="00000000">
      <w:pPr>
        <w:pStyle w:val="Normal28"/>
        <w:keepNext/>
        <w:widowControl w:val="0"/>
        <w:spacing w:before="240" w:line="340" w:lineRule="atLeast"/>
      </w:pPr>
      <w:bookmarkStart w:id="5094" w:name="Opinion_27"/>
      <w:bookmarkEnd w:id="5094"/>
      <w:r>
        <w:rPr>
          <w:rFonts w:ascii="Arial" w:eastAsia="Arial" w:hAnsi="Arial" w:cs="Arial"/>
          <w:b/>
          <w:color w:val="000000"/>
          <w:sz w:val="28"/>
        </w:rPr>
        <w:t>Opinion</w:t>
      </w:r>
    </w:p>
    <w:p w:rsidR="00022B47" w:rsidRDefault="0025213E">
      <w:pPr>
        <w:pStyle w:val="Normal28"/>
        <w:spacing w:line="60" w:lineRule="exact"/>
      </w:pPr>
      <w:r>
        <w:rPr>
          <w:noProof/>
        </w:rPr>
        <mc:AlternateContent>
          <mc:Choice Requires="wps">
            <w:drawing>
              <wp:anchor distT="0" distB="0" distL="114300" distR="114300" simplePos="0" relativeHeight="251718656"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040881035"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CE1AAF" id="Line 61"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28"/>
        <w:spacing w:line="120" w:lineRule="exact"/>
      </w:pPr>
    </w:p>
    <w:p w:rsidR="00022B47" w:rsidRDefault="00000000">
      <w:pPr>
        <w:pStyle w:val="Normal28"/>
        <w:widowControl w:val="0"/>
        <w:spacing w:before="240" w:line="260" w:lineRule="atLeast"/>
      </w:pPr>
      <w:r>
        <w:br/>
      </w:r>
      <w:r>
        <w:rPr>
          <w:rFonts w:ascii="Arial" w:eastAsia="Arial" w:hAnsi="Arial" w:cs="Arial"/>
          <w:b/>
          <w:color w:val="000000"/>
          <w:sz w:val="20"/>
          <w:u w:val="single"/>
        </w:rPr>
        <w:t>SUMMARY ORDER</w:t>
      </w:r>
    </w:p>
    <w:p w:rsidR="00022B47" w:rsidRDefault="00000000">
      <w:pPr>
        <w:pStyle w:val="Normal28"/>
        <w:widowControl w:val="0"/>
        <w:spacing w:before="200" w:line="260" w:lineRule="atLeast"/>
        <w:jc w:val="both"/>
      </w:pPr>
      <w:bookmarkStart w:id="5095" w:name="Bookmark_para_3_27"/>
      <w:bookmarkEnd w:id="5095"/>
      <w:r>
        <w:rPr>
          <w:rFonts w:ascii="Arial" w:eastAsia="Arial" w:hAnsi="Arial" w:cs="Arial"/>
          <w:b/>
          <w:color w:val="000000"/>
          <w:sz w:val="20"/>
        </w:rPr>
        <w:t>UPON DUE CONSIDERATION WHEREOF, IT IS HEREBY ORDERED, ADJUDGED, AND DECREED</w:t>
      </w:r>
      <w:r>
        <w:rPr>
          <w:rFonts w:ascii="Arial" w:eastAsia="Arial" w:hAnsi="Arial" w:cs="Arial"/>
          <w:color w:val="000000"/>
          <w:sz w:val="20"/>
        </w:rPr>
        <w:t xml:space="preserve"> that the judgment appealed from entered on October 23, 2020, is </w:t>
      </w:r>
      <w:r>
        <w:rPr>
          <w:rFonts w:ascii="Arial" w:eastAsia="Arial" w:hAnsi="Arial" w:cs="Arial"/>
          <w:b/>
          <w:color w:val="000000"/>
          <w:sz w:val="20"/>
        </w:rPr>
        <w:t>AFFIRMED</w:t>
      </w:r>
      <w:r>
        <w:rPr>
          <w:rFonts w:ascii="Arial" w:eastAsia="Arial" w:hAnsi="Arial" w:cs="Arial"/>
          <w:color w:val="000000"/>
          <w:sz w:val="20"/>
        </w:rPr>
        <w:t xml:space="preserve"> in part, </w:t>
      </w:r>
      <w:r>
        <w:rPr>
          <w:rFonts w:ascii="Arial" w:eastAsia="Arial" w:hAnsi="Arial" w:cs="Arial"/>
          <w:b/>
          <w:color w:val="000000"/>
          <w:sz w:val="20"/>
        </w:rPr>
        <w:t>REVERSED</w:t>
      </w:r>
      <w:r>
        <w:rPr>
          <w:rFonts w:ascii="Arial" w:eastAsia="Arial" w:hAnsi="Arial" w:cs="Arial"/>
          <w:color w:val="000000"/>
          <w:sz w:val="20"/>
        </w:rPr>
        <w:t xml:space="preserve"> in part, and </w:t>
      </w:r>
      <w:r>
        <w:rPr>
          <w:rFonts w:ascii="Arial" w:eastAsia="Arial" w:hAnsi="Arial" w:cs="Arial"/>
          <w:b/>
          <w:color w:val="000000"/>
          <w:sz w:val="20"/>
        </w:rPr>
        <w:t>REMANDED</w:t>
      </w:r>
      <w:r>
        <w:rPr>
          <w:rFonts w:ascii="Arial" w:eastAsia="Arial" w:hAnsi="Arial" w:cs="Arial"/>
          <w:color w:val="000000"/>
          <w:sz w:val="20"/>
        </w:rPr>
        <w:t xml:space="preserve"> for proceedings consistent with this order.</w:t>
      </w:r>
    </w:p>
    <w:p w:rsidR="00022B47" w:rsidRDefault="00000000">
      <w:pPr>
        <w:pStyle w:val="Normal28"/>
        <w:widowControl w:val="0"/>
        <w:spacing w:before="200" w:line="260" w:lineRule="atLeast"/>
        <w:jc w:val="both"/>
      </w:pPr>
      <w:bookmarkStart w:id="5096" w:name="Bookmark_para_4_27"/>
      <w:bookmarkEnd w:id="5096"/>
      <w:r>
        <w:rPr>
          <w:rFonts w:ascii="Arial" w:eastAsia="Arial" w:hAnsi="Arial" w:cs="Arial"/>
          <w:color w:val="000000"/>
          <w:sz w:val="20"/>
        </w:rPr>
        <w:t xml:space="preserve">Plaintiff-Appellant Janina Laguerre worked as a Customer Service Representative ("CSR") receiving inbound calls for her employer, Defendant-Appellee National Grid USA. Laguerre, who has lupus, alleged that National Grid unlawfully discriminated against her on the basis of her disability when it failed to accommodate her work-from-home request or transfer her to a different position within the company, in violation of the Americans with Disabilities Act of 1990, 42 U.S.C. § 12101, </w:t>
      </w:r>
      <w:r>
        <w:rPr>
          <w:rFonts w:ascii="Arial" w:eastAsia="Arial" w:hAnsi="Arial" w:cs="Arial"/>
          <w:i/>
          <w:color w:val="000000"/>
          <w:sz w:val="20"/>
        </w:rPr>
        <w:t>et seq.</w:t>
      </w:r>
      <w:r>
        <w:rPr>
          <w:rFonts w:ascii="Arial" w:eastAsia="Arial" w:hAnsi="Arial" w:cs="Arial"/>
          <w:color w:val="000000"/>
          <w:sz w:val="20"/>
        </w:rPr>
        <w:t xml:space="preserve"> ("ADA"); Section 504 of the Rehabilitation Act of 1973, 29 U.S.C. § 794 ("Section 504"); the New York State Human Rights Law, N.Y. Exec. L. § 290, </w:t>
      </w:r>
      <w:r>
        <w:rPr>
          <w:rFonts w:ascii="Arial" w:eastAsia="Arial" w:hAnsi="Arial" w:cs="Arial"/>
          <w:i/>
          <w:color w:val="000000"/>
          <w:sz w:val="20"/>
        </w:rPr>
        <w:t>et seq.</w:t>
      </w:r>
      <w:r>
        <w:rPr>
          <w:rFonts w:ascii="Arial" w:eastAsia="Arial" w:hAnsi="Arial" w:cs="Arial"/>
          <w:color w:val="000000"/>
          <w:sz w:val="20"/>
        </w:rPr>
        <w:t xml:space="preserve"> ("NYSHRL"); and the New York City Human Rights Law, N.Y.C. Admin. Code § 8-101, </w:t>
      </w:r>
      <w:r>
        <w:rPr>
          <w:rFonts w:ascii="Arial" w:eastAsia="Arial" w:hAnsi="Arial" w:cs="Arial"/>
          <w:i/>
          <w:color w:val="000000"/>
          <w:sz w:val="20"/>
        </w:rPr>
        <w:t>et seq.</w:t>
      </w:r>
      <w:r>
        <w:rPr>
          <w:rFonts w:ascii="Arial" w:eastAsia="Arial" w:hAnsi="Arial" w:cs="Arial"/>
          <w:color w:val="000000"/>
          <w:sz w:val="20"/>
        </w:rPr>
        <w:t xml:space="preserve"> ("NYCHRL"). Laguerre appeals the district [*2]  court's grant of summary judgment in favor of National Grid with respect to Laguerre's ADA claim and its pre-judgment order denying her motion to re-open the summary judgment record for further fact finding regarding National Grid's post-pandemic shift to remote work.</w:t>
      </w:r>
      <w:r>
        <w:rPr>
          <w:rFonts w:ascii="Arial" w:eastAsia="Arial" w:hAnsi="Arial" w:cs="Arial"/>
          <w:vertAlign w:val="superscript"/>
        </w:rPr>
        <w:footnoteReference w:customMarkFollows="1" w:id="128"/>
        <w:t>1</w:t>
      </w:r>
    </w:p>
    <w:p w:rsidR="00022B47" w:rsidRDefault="00000000">
      <w:pPr>
        <w:pStyle w:val="Normal28"/>
        <w:widowControl w:val="0"/>
        <w:spacing w:before="200" w:line="260" w:lineRule="atLeast"/>
        <w:jc w:val="both"/>
      </w:pPr>
      <w:bookmarkStart w:id="5100" w:name="Bookmark_para_5_27"/>
      <w:bookmarkStart w:id="5101" w:name="Bookmark_I650PH3G2N1R9S0040000400"/>
      <w:bookmarkEnd w:id="5100"/>
      <w:bookmarkEnd w:id="5101"/>
      <w:r>
        <w:rPr>
          <w:rFonts w:ascii="Arial" w:eastAsia="Arial" w:hAnsi="Arial" w:cs="Arial"/>
          <w:color w:val="000000"/>
          <w:sz w:val="20"/>
        </w:rPr>
        <w:t xml:space="preserve">We assume the parties' familiarity with the underlying facts, procedural history, and arguments on appeal, to which we refer only as necessary to explain our decision to </w:t>
      </w:r>
      <w:r>
        <w:rPr>
          <w:rFonts w:ascii="Arial" w:eastAsia="Arial" w:hAnsi="Arial" w:cs="Arial"/>
          <w:b/>
          <w:color w:val="000000"/>
          <w:sz w:val="20"/>
        </w:rPr>
        <w:t>AFFIRM</w:t>
      </w:r>
      <w:r>
        <w:rPr>
          <w:rFonts w:ascii="Arial" w:eastAsia="Arial" w:hAnsi="Arial" w:cs="Arial"/>
          <w:color w:val="000000"/>
          <w:sz w:val="20"/>
        </w:rPr>
        <w:t xml:space="preserve"> in part, </w:t>
      </w:r>
      <w:r>
        <w:rPr>
          <w:rFonts w:ascii="Arial" w:eastAsia="Arial" w:hAnsi="Arial" w:cs="Arial"/>
          <w:b/>
          <w:color w:val="000000"/>
          <w:sz w:val="20"/>
        </w:rPr>
        <w:t>REVERSE</w:t>
      </w:r>
      <w:r>
        <w:rPr>
          <w:rFonts w:ascii="Arial" w:eastAsia="Arial" w:hAnsi="Arial" w:cs="Arial"/>
          <w:color w:val="000000"/>
          <w:sz w:val="20"/>
        </w:rPr>
        <w:t xml:space="preserve"> in part, and </w:t>
      </w:r>
      <w:r>
        <w:rPr>
          <w:rFonts w:ascii="Arial" w:eastAsia="Arial" w:hAnsi="Arial" w:cs="Arial"/>
          <w:b/>
          <w:color w:val="000000"/>
          <w:sz w:val="20"/>
        </w:rPr>
        <w:t>REMAND</w:t>
      </w:r>
      <w:r>
        <w:rPr>
          <w:rFonts w:ascii="Arial" w:eastAsia="Arial" w:hAnsi="Arial" w:cs="Arial"/>
          <w:color w:val="000000"/>
          <w:sz w:val="20"/>
        </w:rPr>
        <w:t xml:space="preserve"> the matter to the district court. </w:t>
      </w:r>
      <w:bookmarkStart w:id="5102" w:name="Bookmark_I650PH3H2N1RB00010000400"/>
      <w:bookmarkStart w:id="5103" w:name="Bookmark_LNHNREFclscc1_25"/>
      <w:bookmarkEnd w:id="5102"/>
      <w:bookmarkEnd w:id="5103"/>
      <w:r>
        <w:rPr>
          <w:rFonts w:ascii="Arial" w:eastAsia="Arial" w:hAnsi="Arial" w:cs="Arial"/>
          <w:color w:val="000000"/>
          <w:sz w:val="20"/>
        </w:rPr>
        <w:t xml:space="preserve">We review an order granting a motion for summary judgment de novo, meaning without deference to the district court. </w:t>
      </w:r>
      <w:bookmarkStart w:id="5104" w:name="Bookmark_I650PH3G2N1R9S0030000400"/>
      <w:bookmarkEnd w:id="5104"/>
      <w:r>
        <w:rPr>
          <w:rFonts w:ascii="Arial" w:eastAsia="Arial" w:hAnsi="Arial" w:cs="Arial"/>
          <w:i/>
          <w:color w:val="000000"/>
          <w:sz w:val="20"/>
        </w:rPr>
        <w:t>Sotomayor v. City of New York</w:t>
      </w:r>
      <w:r>
        <w:rPr>
          <w:rFonts w:ascii="Arial" w:eastAsia="Arial" w:hAnsi="Arial" w:cs="Arial"/>
          <w:color w:val="000000"/>
          <w:sz w:val="20"/>
        </w:rPr>
        <w:t xml:space="preserve">, 713 F.3d 163, 164 (2d Cir. 2013). </w:t>
      </w:r>
      <w:bookmarkStart w:id="5105" w:name="Bookmark_I650PH3H2N1RB00010000400_2"/>
      <w:bookmarkEnd w:id="5105"/>
      <w:r>
        <w:rPr>
          <w:rFonts w:ascii="Arial" w:eastAsia="Arial" w:hAnsi="Arial" w:cs="Arial"/>
          <w:color w:val="000000"/>
          <w:sz w:val="20"/>
        </w:rPr>
        <w:t xml:space="preserve">"Summary judgment is proper only when, construing the evidence in the light most favorable to the non-movant, 'there is no genuine dispute as to any material fact and the movant is entitled to judgment as a matter of law.'" </w:t>
      </w:r>
      <w:bookmarkStart w:id="5106" w:name="Bookmark_I650PH3G2N1R9S0050000400"/>
      <w:bookmarkEnd w:id="5106"/>
      <w:r>
        <w:rPr>
          <w:rFonts w:ascii="Arial" w:eastAsia="Arial" w:hAnsi="Arial" w:cs="Arial"/>
          <w:i/>
          <w:color w:val="000000"/>
          <w:sz w:val="20"/>
        </w:rPr>
        <w:t>Doninger v. Niehoff</w:t>
      </w:r>
      <w:r>
        <w:rPr>
          <w:rFonts w:ascii="Arial" w:eastAsia="Arial" w:hAnsi="Arial" w:cs="Arial"/>
          <w:color w:val="000000"/>
          <w:sz w:val="20"/>
        </w:rPr>
        <w:t>, 642 F.3d 334, 344 (2d Cir. 2011) (quoting Fed. R. Civ. P. 56(a)).</w:t>
      </w:r>
      <w:r>
        <w:rPr>
          <w:rFonts w:ascii="Arial" w:eastAsia="Arial" w:hAnsi="Arial" w:cs="Arial"/>
          <w:vertAlign w:val="superscript"/>
        </w:rPr>
        <w:footnoteReference w:customMarkFollows="1" w:id="129"/>
        <w:t>2</w:t>
      </w:r>
    </w:p>
    <w:p w:rsidR="00022B47" w:rsidRDefault="00000000">
      <w:pPr>
        <w:pStyle w:val="Normal28"/>
        <w:widowControl w:val="0"/>
        <w:spacing w:before="120" w:line="260" w:lineRule="atLeast"/>
      </w:pPr>
      <w:r>
        <w:rPr>
          <w:rFonts w:ascii="Arial" w:eastAsia="Arial" w:hAnsi="Arial" w:cs="Arial"/>
          <w:color w:val="000000"/>
          <w:sz w:val="20"/>
        </w:rPr>
        <w:t>1. Laguerre's ADA Claim</w:t>
      </w:r>
    </w:p>
    <w:p w:rsidR="00022B47" w:rsidRDefault="00000000">
      <w:pPr>
        <w:pStyle w:val="Normal28"/>
        <w:widowControl w:val="0"/>
        <w:spacing w:before="200" w:line="260" w:lineRule="atLeast"/>
        <w:jc w:val="both"/>
      </w:pPr>
      <w:bookmarkStart w:id="5108" w:name="Bookmark_para_6_27"/>
      <w:bookmarkStart w:id="5109" w:name="Bookmark_I44F42MWBC90000F8JJ0001S"/>
      <w:bookmarkStart w:id="5110" w:name="Bookmark_I650PH3H2N1RB00030000400"/>
      <w:bookmarkStart w:id="5111" w:name="Bookmark_LNHNREFclscc2_25"/>
      <w:bookmarkEnd w:id="5108"/>
      <w:bookmarkEnd w:id="5109"/>
      <w:bookmarkEnd w:id="5110"/>
      <w:bookmarkEnd w:id="5111"/>
      <w:r>
        <w:rPr>
          <w:rFonts w:ascii="Arial" w:eastAsia="Arial" w:hAnsi="Arial" w:cs="Arial"/>
          <w:color w:val="000000"/>
          <w:sz w:val="20"/>
        </w:rPr>
        <w:t xml:space="preserve">To establish a failure to accommodate claim under the ADA, a plaintiff must demonstrate: (1) the plaintiff is a person with a disability for purposes of the ADA; (2) an employer covered by the statute had notice of the plaintiff's disability; (3) with reasonable accommodation, the plaintiff could perform [*3]  the essential functions of the job at issue; and (4) the employer has refused to make such an accommodation. </w:t>
      </w:r>
      <w:r>
        <w:rPr>
          <w:rFonts w:ascii="Arial" w:eastAsia="Arial" w:hAnsi="Arial" w:cs="Arial"/>
          <w:i/>
          <w:color w:val="000000"/>
          <w:sz w:val="20"/>
        </w:rPr>
        <w:t xml:space="preserve">See, e.g., </w:t>
      </w:r>
      <w:bookmarkStart w:id="5112" w:name="Bookmark_I650PH3H2N1RB00020000400"/>
      <w:bookmarkEnd w:id="5112"/>
      <w:r>
        <w:rPr>
          <w:rFonts w:ascii="Arial" w:eastAsia="Arial" w:hAnsi="Arial" w:cs="Arial"/>
          <w:i/>
          <w:color w:val="000000"/>
          <w:sz w:val="20"/>
        </w:rPr>
        <w:t>McMillan v. City of New York</w:t>
      </w:r>
      <w:r>
        <w:rPr>
          <w:rFonts w:ascii="Arial" w:eastAsia="Arial" w:hAnsi="Arial" w:cs="Arial"/>
          <w:color w:val="000000"/>
          <w:sz w:val="20"/>
        </w:rPr>
        <w:t xml:space="preserve">, 711 F.3d 120, 125-26 (2d Cir. 2013). </w:t>
      </w:r>
      <w:bookmarkStart w:id="5113" w:name="Bookmark_I650PH3H2N1RB00050000400"/>
      <w:bookmarkEnd w:id="5113"/>
      <w:r>
        <w:rPr>
          <w:rFonts w:ascii="Arial" w:eastAsia="Arial" w:hAnsi="Arial" w:cs="Arial"/>
          <w:color w:val="000000"/>
          <w:sz w:val="20"/>
        </w:rPr>
        <w:t xml:space="preserve">The parties do not dispute that Laguerre has produced sufficient evidence to establish the first and second elements. </w:t>
      </w:r>
      <w:bookmarkStart w:id="5114" w:name="Bookmark_I650PH3H2N1RB00050000400_2"/>
      <w:bookmarkEnd w:id="5114"/>
      <w:r>
        <w:rPr>
          <w:rFonts w:ascii="Arial" w:eastAsia="Arial" w:hAnsi="Arial" w:cs="Arial"/>
          <w:color w:val="000000"/>
          <w:sz w:val="20"/>
        </w:rPr>
        <w:t xml:space="preserve">Our inquiry concerns the third and fourth prongs—whether Laguerre made a sufficient showing that, with reasonable accommodation, she could perform the essential functions of her position and that National Grid failed to make the appropriate accommodation. </w:t>
      </w:r>
      <w:r>
        <w:rPr>
          <w:rFonts w:ascii="Arial" w:eastAsia="Arial" w:hAnsi="Arial" w:cs="Arial"/>
          <w:i/>
          <w:color w:val="000000"/>
          <w:sz w:val="20"/>
        </w:rPr>
        <w:t xml:space="preserve">See </w:t>
      </w:r>
      <w:bookmarkStart w:id="5115" w:name="Bookmark_I650PH3H2N1RB00040000400"/>
      <w:bookmarkEnd w:id="5115"/>
      <w:r>
        <w:rPr>
          <w:rFonts w:ascii="Arial" w:eastAsia="Arial" w:hAnsi="Arial" w:cs="Arial"/>
          <w:i/>
          <w:color w:val="000000"/>
          <w:sz w:val="20"/>
        </w:rPr>
        <w:t>McBride v. BIC Consumer Prods. Mfg. Co.</w:t>
      </w:r>
      <w:r>
        <w:rPr>
          <w:rFonts w:ascii="Arial" w:eastAsia="Arial" w:hAnsi="Arial" w:cs="Arial"/>
          <w:color w:val="000000"/>
          <w:sz w:val="20"/>
        </w:rPr>
        <w:t>, 583 F.3d 92, 97 (2d Cir. 2009).</w:t>
      </w:r>
    </w:p>
    <w:p w:rsidR="00022B47" w:rsidRDefault="00000000">
      <w:pPr>
        <w:pStyle w:val="Normal28"/>
        <w:widowControl w:val="0"/>
        <w:spacing w:before="200" w:line="260" w:lineRule="atLeast"/>
        <w:jc w:val="both"/>
      </w:pPr>
      <w:bookmarkStart w:id="5116" w:name="Bookmark_para_7_27"/>
      <w:bookmarkStart w:id="5117" w:name="Bookmark_I650PH3J2HM6TM0020000400"/>
      <w:bookmarkStart w:id="5118" w:name="Bookmark_I650PH3J2HM6TM0040000400"/>
      <w:bookmarkStart w:id="5119" w:name="Bookmark_LNHNREFclscc3_25"/>
      <w:bookmarkEnd w:id="5116"/>
      <w:bookmarkEnd w:id="5117"/>
      <w:bookmarkEnd w:id="5118"/>
      <w:bookmarkEnd w:id="5119"/>
      <w:r>
        <w:rPr>
          <w:rFonts w:ascii="Arial" w:eastAsia="Arial" w:hAnsi="Arial" w:cs="Arial"/>
          <w:color w:val="000000"/>
          <w:sz w:val="20"/>
        </w:rPr>
        <w:t xml:space="preserve">This Court uses "a two-step process to evaluate whether the failure to provide a proposed accommodation constitutes a violation of the ADA." </w:t>
      </w:r>
      <w:bookmarkStart w:id="5120" w:name="Bookmark_I650PH3J2HM6TM0010000400"/>
      <w:bookmarkEnd w:id="5120"/>
      <w:r>
        <w:rPr>
          <w:rFonts w:ascii="Arial" w:eastAsia="Arial" w:hAnsi="Arial" w:cs="Arial"/>
          <w:i/>
          <w:color w:val="000000"/>
          <w:sz w:val="20"/>
        </w:rPr>
        <w:t>Jackan v. New York State DOL</w:t>
      </w:r>
      <w:r>
        <w:rPr>
          <w:rFonts w:ascii="Arial" w:eastAsia="Arial" w:hAnsi="Arial" w:cs="Arial"/>
          <w:color w:val="000000"/>
          <w:sz w:val="20"/>
        </w:rPr>
        <w:t xml:space="preserve">, 205 F.3d 562, 566 (2d Cir. 2000) (discussing allocation of burdens with respect to accommodations in ADA and Rehabilitation Act cases). </w:t>
      </w:r>
      <w:bookmarkStart w:id="5121" w:name="Bookmark_I650PH3J2N1RB30010000400"/>
      <w:bookmarkEnd w:id="5121"/>
      <w:r>
        <w:rPr>
          <w:rFonts w:ascii="Arial" w:eastAsia="Arial" w:hAnsi="Arial" w:cs="Arial"/>
          <w:color w:val="000000"/>
          <w:sz w:val="20"/>
        </w:rPr>
        <w:t xml:space="preserve">The plaintiff bears the initial "burdens of both production and persuasion as to the existence of some accommodation" that would allow the plaintiff to perform the essential functions of the employment position, "including the existence of a vacant position for which [the plaintiff] is qualified." </w:t>
      </w:r>
      <w:bookmarkStart w:id="5122" w:name="Bookmark_I650PH3J2HM6TM0030000400"/>
      <w:bookmarkEnd w:id="5122"/>
      <w:r>
        <w:rPr>
          <w:rFonts w:ascii="Arial" w:eastAsia="Arial" w:hAnsi="Arial" w:cs="Arial"/>
          <w:i/>
          <w:color w:val="000000"/>
          <w:sz w:val="20"/>
        </w:rPr>
        <w:t>McBride</w:t>
      </w:r>
      <w:r>
        <w:rPr>
          <w:rFonts w:ascii="Arial" w:eastAsia="Arial" w:hAnsi="Arial" w:cs="Arial"/>
          <w:color w:val="000000"/>
          <w:sz w:val="20"/>
        </w:rPr>
        <w:t xml:space="preserve">, 583 F.3d at 97. If the plaintiff meets this burden, then the analysis shifts to the second inquiry: whether the proposed accommodation is reasonable. </w:t>
      </w:r>
      <w:bookmarkStart w:id="5123" w:name="Bookmark_I650PH3J2N1RB30010000400_2"/>
      <w:bookmarkEnd w:id="5123"/>
      <w:r>
        <w:rPr>
          <w:rFonts w:ascii="Arial" w:eastAsia="Arial" w:hAnsi="Arial" w:cs="Arial"/>
          <w:color w:val="000000"/>
          <w:sz w:val="20"/>
        </w:rPr>
        <w:t xml:space="preserve">"As to the requirement [*4]  that an accommodation be reasonable, we have held that the plaintiff bears only a burden of production." </w:t>
      </w:r>
      <w:bookmarkStart w:id="5124" w:name="Bookmark_I650PH3J2HM6TM0050000400"/>
      <w:bookmarkEnd w:id="5124"/>
      <w:r>
        <w:rPr>
          <w:rFonts w:ascii="Arial" w:eastAsia="Arial" w:hAnsi="Arial" w:cs="Arial"/>
          <w:i/>
          <w:color w:val="000000"/>
          <w:sz w:val="20"/>
        </w:rPr>
        <w:t>Borkowski v. Valley Cent. Sch. Dist.</w:t>
      </w:r>
      <w:r>
        <w:rPr>
          <w:rFonts w:ascii="Arial" w:eastAsia="Arial" w:hAnsi="Arial" w:cs="Arial"/>
          <w:color w:val="000000"/>
          <w:sz w:val="20"/>
        </w:rPr>
        <w:t xml:space="preserve">, 63 F.3d 131, 138 (2d Cir. 1995). Once done, the plaintiff "has made out a </w:t>
      </w:r>
      <w:r>
        <w:rPr>
          <w:rFonts w:ascii="Arial" w:eastAsia="Arial" w:hAnsi="Arial" w:cs="Arial"/>
          <w:i/>
          <w:color w:val="000000"/>
          <w:sz w:val="20"/>
        </w:rPr>
        <w:t>prima facie</w:t>
      </w:r>
      <w:r>
        <w:rPr>
          <w:rFonts w:ascii="Arial" w:eastAsia="Arial" w:hAnsi="Arial" w:cs="Arial"/>
          <w:color w:val="000000"/>
          <w:sz w:val="20"/>
        </w:rPr>
        <w:t xml:space="preserve"> showing that a reasonable accommodation is available, and the risk of nonpersuasion falls on the defendant." </w:t>
      </w:r>
      <w:r>
        <w:rPr>
          <w:rFonts w:ascii="Arial" w:eastAsia="Arial" w:hAnsi="Arial" w:cs="Arial"/>
          <w:i/>
          <w:color w:val="000000"/>
          <w:sz w:val="20"/>
        </w:rPr>
        <w:t>Id.</w:t>
      </w:r>
    </w:p>
    <w:p w:rsidR="00022B47" w:rsidRDefault="00000000">
      <w:pPr>
        <w:pStyle w:val="Normal28"/>
        <w:widowControl w:val="0"/>
        <w:spacing w:before="200" w:line="260" w:lineRule="atLeast"/>
        <w:jc w:val="both"/>
      </w:pPr>
      <w:bookmarkStart w:id="5125" w:name="Bookmark_para_8_26"/>
      <w:bookmarkEnd w:id="5125"/>
      <w:r>
        <w:rPr>
          <w:rFonts w:ascii="Arial" w:eastAsia="Arial" w:hAnsi="Arial" w:cs="Arial"/>
          <w:color w:val="000000"/>
          <w:sz w:val="20"/>
        </w:rPr>
        <w:t xml:space="preserve">Laguerre alleges that National Grid discriminated against her by failing to reasonably accommodate her disability. </w:t>
      </w:r>
      <w:r>
        <w:rPr>
          <w:rFonts w:ascii="Arial" w:eastAsia="Arial" w:hAnsi="Arial" w:cs="Arial"/>
          <w:i/>
          <w:color w:val="000000"/>
          <w:sz w:val="20"/>
        </w:rPr>
        <w:t>See</w:t>
      </w:r>
      <w:r>
        <w:rPr>
          <w:rFonts w:ascii="Arial" w:eastAsia="Arial" w:hAnsi="Arial" w:cs="Arial"/>
          <w:color w:val="000000"/>
          <w:sz w:val="20"/>
        </w:rPr>
        <w:t xml:space="preserve"> 42 U.S.C. § 12112(b)(5)(A) (defining "discriminat[ion] against a qualified individual on the basis of disability" under the ADA to include "not making reasonable accommodations to the known physical or mental limitations of an otherwise qualified individual with a disability who is an applicant or employee, unless such covered entity can demonstrate that the accommodation would impose an undue hardship on the operation of the business of such covered entity"). In particular, Laguerre made two distinct accommodation requests: first, to be transferred from her position as a CSR receiving inbound calls</w:t>
      </w:r>
      <w:r>
        <w:rPr>
          <w:rFonts w:ascii="Arial" w:eastAsia="Arial" w:hAnsi="Arial" w:cs="Arial"/>
          <w:vertAlign w:val="superscript"/>
        </w:rPr>
        <w:footnoteReference w:customMarkFollows="1" w:id="130"/>
        <w:t>3</w:t>
      </w:r>
      <w:r>
        <w:rPr>
          <w:rFonts w:ascii="Arial" w:eastAsia="Arial" w:hAnsi="Arial" w:cs="Arial"/>
          <w:color w:val="000000"/>
          <w:sz w:val="20"/>
        </w:rPr>
        <w:t xml:space="preserve"> to a different, less stressful job at National Grid; and second, to work from home.</w:t>
      </w:r>
    </w:p>
    <w:p w:rsidR="00022B47" w:rsidRDefault="00000000">
      <w:pPr>
        <w:pStyle w:val="Normal28"/>
        <w:widowControl w:val="0"/>
        <w:spacing w:before="200" w:line="260" w:lineRule="atLeast"/>
        <w:jc w:val="both"/>
      </w:pPr>
      <w:bookmarkStart w:id="5129" w:name="Bookmark_para_9_26"/>
      <w:bookmarkStart w:id="5130" w:name="Bookmark_I650PH3J2N1RB30050000400"/>
      <w:bookmarkEnd w:id="5129"/>
      <w:bookmarkEnd w:id="5130"/>
      <w:r>
        <w:rPr>
          <w:rFonts w:ascii="Arial" w:eastAsia="Arial" w:hAnsi="Arial" w:cs="Arial"/>
          <w:color w:val="000000"/>
          <w:sz w:val="20"/>
        </w:rPr>
        <w:t xml:space="preserve">Construing the record evidence in the light most favorable to Laguerre, she did not meet her burden of production with respect to her request [*5]  to transfer to a different position. </w:t>
      </w:r>
      <w:bookmarkStart w:id="5131" w:name="Bookmark_LNHNREFclscc4_25"/>
      <w:bookmarkEnd w:id="5131"/>
      <w:r>
        <w:rPr>
          <w:rFonts w:ascii="Arial" w:eastAsia="Arial" w:hAnsi="Arial" w:cs="Arial"/>
          <w:color w:val="000000"/>
          <w:sz w:val="20"/>
        </w:rPr>
        <w:t xml:space="preserve">Laguerre bears the burden to identify the existence, at or around the time when she sought her accommodation, of an existing vacant position to which she could have been reassigned. </w:t>
      </w:r>
      <w:bookmarkStart w:id="5132" w:name="Bookmark_I650PH3K2SF8M70040000400"/>
      <w:bookmarkEnd w:id="5132"/>
      <w:r>
        <w:rPr>
          <w:rFonts w:ascii="Arial" w:eastAsia="Arial" w:hAnsi="Arial" w:cs="Arial"/>
          <w:i/>
          <w:color w:val="000000"/>
          <w:sz w:val="20"/>
        </w:rPr>
        <w:t xml:space="preserve">See </w:t>
      </w:r>
      <w:bookmarkStart w:id="5133" w:name="Bookmark_I650PH3J2N1RB30040000400"/>
      <w:bookmarkEnd w:id="5133"/>
      <w:r>
        <w:rPr>
          <w:rFonts w:ascii="Arial" w:eastAsia="Arial" w:hAnsi="Arial" w:cs="Arial"/>
          <w:i/>
          <w:color w:val="000000"/>
          <w:sz w:val="20"/>
        </w:rPr>
        <w:t>McBride</w:t>
      </w:r>
      <w:r>
        <w:rPr>
          <w:rFonts w:ascii="Arial" w:eastAsia="Arial" w:hAnsi="Arial" w:cs="Arial"/>
          <w:color w:val="000000"/>
          <w:sz w:val="20"/>
        </w:rPr>
        <w:t xml:space="preserve">, 583 F.3d at 97-98; </w:t>
      </w:r>
      <w:r>
        <w:rPr>
          <w:rFonts w:ascii="Arial" w:eastAsia="Arial" w:hAnsi="Arial" w:cs="Arial"/>
          <w:i/>
          <w:color w:val="000000"/>
          <w:sz w:val="20"/>
        </w:rPr>
        <w:t xml:space="preserve">see also </w:t>
      </w:r>
      <w:bookmarkStart w:id="5134" w:name="Bookmark_I650PH3K2SF8M70010000400"/>
      <w:bookmarkEnd w:id="5134"/>
      <w:r>
        <w:rPr>
          <w:rFonts w:ascii="Arial" w:eastAsia="Arial" w:hAnsi="Arial" w:cs="Arial"/>
          <w:i/>
          <w:color w:val="000000"/>
          <w:sz w:val="20"/>
        </w:rPr>
        <w:t>Molina v. City of Rochester</w:t>
      </w:r>
      <w:r>
        <w:rPr>
          <w:rFonts w:ascii="Arial" w:eastAsia="Arial" w:hAnsi="Arial" w:cs="Arial"/>
          <w:color w:val="000000"/>
          <w:sz w:val="20"/>
        </w:rPr>
        <w:t xml:space="preserve">, 764 F. App'x 49, 50-51 (2d Cir. 2019). </w:t>
      </w:r>
      <w:bookmarkStart w:id="5135" w:name="Bookmark_I650PH3K2SF8M70040000400_2"/>
      <w:bookmarkEnd w:id="5135"/>
      <w:r>
        <w:rPr>
          <w:rFonts w:ascii="Arial" w:eastAsia="Arial" w:hAnsi="Arial" w:cs="Arial"/>
          <w:color w:val="000000"/>
          <w:sz w:val="20"/>
        </w:rPr>
        <w:t xml:space="preserve">Mere speculation that such a position existed, or that National Grid could have created such a position, is insufficient. </w:t>
      </w:r>
      <w:r>
        <w:rPr>
          <w:rFonts w:ascii="Arial" w:eastAsia="Arial" w:hAnsi="Arial" w:cs="Arial"/>
          <w:i/>
          <w:color w:val="000000"/>
          <w:sz w:val="20"/>
        </w:rPr>
        <w:t xml:space="preserve">See </w:t>
      </w:r>
      <w:bookmarkStart w:id="5136" w:name="Bookmark_I650PH3K2SF8M70030000400"/>
      <w:bookmarkEnd w:id="5136"/>
      <w:r>
        <w:rPr>
          <w:rFonts w:ascii="Arial" w:eastAsia="Arial" w:hAnsi="Arial" w:cs="Arial"/>
          <w:i/>
          <w:color w:val="000000"/>
          <w:sz w:val="20"/>
        </w:rPr>
        <w:t>Hicks v. Baines</w:t>
      </w:r>
      <w:r>
        <w:rPr>
          <w:rFonts w:ascii="Arial" w:eastAsia="Arial" w:hAnsi="Arial" w:cs="Arial"/>
          <w:color w:val="000000"/>
          <w:sz w:val="20"/>
        </w:rPr>
        <w:t xml:space="preserve">, 593 F.3d 159, 166 (2d Cir. 2010) ("A party may not rely on mere speculation or conjecture as to the true nature of the facts to overcome a motion for summary judgment."); </w:t>
      </w:r>
      <w:r>
        <w:rPr>
          <w:rFonts w:ascii="Arial" w:eastAsia="Arial" w:hAnsi="Arial" w:cs="Arial"/>
          <w:i/>
          <w:color w:val="000000"/>
          <w:sz w:val="20"/>
        </w:rPr>
        <w:t xml:space="preserve">see also </w:t>
      </w:r>
      <w:bookmarkStart w:id="5137" w:name="Bookmark_I650PH3K2SF8M70050000400"/>
      <w:bookmarkEnd w:id="5137"/>
      <w:r>
        <w:rPr>
          <w:rFonts w:ascii="Arial" w:eastAsia="Arial" w:hAnsi="Arial" w:cs="Arial"/>
          <w:i/>
          <w:color w:val="000000"/>
          <w:sz w:val="20"/>
        </w:rPr>
        <w:t>Norville v. Staten Island Univ. Hosp.</w:t>
      </w:r>
      <w:r>
        <w:rPr>
          <w:rFonts w:ascii="Arial" w:eastAsia="Arial" w:hAnsi="Arial" w:cs="Arial"/>
          <w:color w:val="000000"/>
          <w:sz w:val="20"/>
        </w:rPr>
        <w:t>, 196 F.3d 89, 99 (2d Cir. 1999) ("[A]n employer need not reassign an employee if no position is vacant. Nor is the employer obliged to create a new position to accommodate the employee."). Because Laguerre identifies no position at National Grid that was both "less stressful" and vacant during the relevant period, the district court did not err in awarding National Grid summary judgment with respect to this accommodation request. App'x at 324.</w:t>
      </w:r>
    </w:p>
    <w:p w:rsidR="00022B47" w:rsidRDefault="00000000">
      <w:pPr>
        <w:pStyle w:val="Normal28"/>
        <w:widowControl w:val="0"/>
        <w:spacing w:before="200" w:line="260" w:lineRule="atLeast"/>
        <w:jc w:val="both"/>
      </w:pPr>
      <w:bookmarkStart w:id="5138" w:name="Bookmark_para_10_26"/>
      <w:bookmarkEnd w:id="5138"/>
      <w:r>
        <w:rPr>
          <w:rFonts w:ascii="Arial" w:eastAsia="Arial" w:hAnsi="Arial" w:cs="Arial"/>
          <w:color w:val="000000"/>
          <w:sz w:val="20"/>
        </w:rPr>
        <w:t>Laguerre's request to work from home is a closer question. Construing the evidence in the light most favorable to Laguerre, we conclude that she satisfied her burden of proposing a reasonable accommodation that would allow her to continue performing the essential functions [*6]  of her position (taking inbound calls) from home.</w:t>
      </w:r>
      <w:r>
        <w:rPr>
          <w:rFonts w:ascii="Arial" w:eastAsia="Arial" w:hAnsi="Arial" w:cs="Arial"/>
          <w:vertAlign w:val="superscript"/>
        </w:rPr>
        <w:footnoteReference w:customMarkFollows="1" w:id="131"/>
        <w:t>4</w:t>
      </w:r>
    </w:p>
    <w:p w:rsidR="00022B47" w:rsidRDefault="00000000">
      <w:pPr>
        <w:pStyle w:val="Normal28"/>
        <w:widowControl w:val="0"/>
        <w:spacing w:before="200" w:line="260" w:lineRule="atLeast"/>
        <w:jc w:val="both"/>
      </w:pPr>
      <w:bookmarkStart w:id="5143" w:name="Bookmark_para_11_26"/>
      <w:bookmarkStart w:id="5144" w:name="Bookmark_I650PH3K2N1RB90020000400"/>
      <w:bookmarkStart w:id="5145" w:name="Bookmark_I650PH3K2N1RB90040000400"/>
      <w:bookmarkStart w:id="5146" w:name="Bookmark_LNHNREFclscc5_25"/>
      <w:bookmarkEnd w:id="5143"/>
      <w:bookmarkEnd w:id="5144"/>
      <w:bookmarkEnd w:id="5145"/>
      <w:bookmarkEnd w:id="5146"/>
      <w:r>
        <w:rPr>
          <w:rFonts w:ascii="Arial" w:eastAsia="Arial" w:hAnsi="Arial" w:cs="Arial"/>
          <w:color w:val="000000"/>
          <w:sz w:val="20"/>
        </w:rPr>
        <w:t xml:space="preserve">In discrimination claims based on an employer's alleged failure to accommodate, the plaintiff bears the initial burdens of both production and persuasion as to the existence of some accommodation that would allow the plaintiff to perform the essential functions of the job. </w:t>
      </w:r>
      <w:r>
        <w:rPr>
          <w:rFonts w:ascii="Arial" w:eastAsia="Arial" w:hAnsi="Arial" w:cs="Arial"/>
          <w:i/>
          <w:color w:val="000000"/>
          <w:sz w:val="20"/>
        </w:rPr>
        <w:t xml:space="preserve">See </w:t>
      </w:r>
      <w:bookmarkStart w:id="5147" w:name="Bookmark_I650PH3K2N1RB90010000400"/>
      <w:bookmarkEnd w:id="5147"/>
      <w:r>
        <w:rPr>
          <w:rFonts w:ascii="Arial" w:eastAsia="Arial" w:hAnsi="Arial" w:cs="Arial"/>
          <w:i/>
          <w:color w:val="000000"/>
          <w:sz w:val="20"/>
        </w:rPr>
        <w:t>McMillan</w:t>
      </w:r>
      <w:r>
        <w:rPr>
          <w:rFonts w:ascii="Arial" w:eastAsia="Arial" w:hAnsi="Arial" w:cs="Arial"/>
          <w:color w:val="000000"/>
          <w:sz w:val="20"/>
        </w:rPr>
        <w:t xml:space="preserve">, 711 F.3d at 126. </w:t>
      </w:r>
      <w:bookmarkStart w:id="5148" w:name="Bookmark_I650PH3K2D6N980010000400"/>
      <w:bookmarkEnd w:id="5148"/>
      <w:r>
        <w:rPr>
          <w:rFonts w:ascii="Arial" w:eastAsia="Arial" w:hAnsi="Arial" w:cs="Arial"/>
          <w:color w:val="000000"/>
          <w:sz w:val="20"/>
        </w:rPr>
        <w:t xml:space="preserve">In clarifying the standard for plaintiffs seeking to prove employment discrimination claims under the ADA, we have explained: First, plaintiffs bear the burden of proving they are otherwise qualified; if an accommodation is needed, then plaintiffs must show, as part of their burden of persuasion, that an effective accommodation exists that would render them otherwise qualified. </w:t>
      </w:r>
      <w:bookmarkStart w:id="5149" w:name="Bookmark_I650PH3K2N1RB90030000400"/>
      <w:bookmarkEnd w:id="5149"/>
      <w:r>
        <w:rPr>
          <w:rFonts w:ascii="Arial" w:eastAsia="Arial" w:hAnsi="Arial" w:cs="Arial"/>
          <w:i/>
          <w:color w:val="000000"/>
          <w:sz w:val="20"/>
        </w:rPr>
        <w:t>Borkowski</w:t>
      </w:r>
      <w:r>
        <w:rPr>
          <w:rFonts w:ascii="Arial" w:eastAsia="Arial" w:hAnsi="Arial" w:cs="Arial"/>
          <w:color w:val="000000"/>
          <w:sz w:val="20"/>
        </w:rPr>
        <w:t xml:space="preserve">, 63 F.3d at 139. </w:t>
      </w:r>
      <w:bookmarkStart w:id="5150" w:name="Bookmark_I650PH3K2D6N980010000400_2"/>
      <w:bookmarkStart w:id="5151" w:name="Bookmark_I650PH3K2D6N980030000400"/>
      <w:bookmarkEnd w:id="5150"/>
      <w:bookmarkEnd w:id="5151"/>
      <w:r>
        <w:rPr>
          <w:rFonts w:ascii="Arial" w:eastAsia="Arial" w:hAnsi="Arial" w:cs="Arial"/>
          <w:color w:val="000000"/>
          <w:sz w:val="20"/>
        </w:rPr>
        <w:t xml:space="preserve">Second, "[a]s to the requirement that an accommodation be reasonable, we have held that the plaintiff bears only a burden of production." </w:t>
      </w:r>
      <w:bookmarkStart w:id="5152" w:name="Bookmark_I650PH3K2N1RB90050000400"/>
      <w:bookmarkEnd w:id="5152"/>
      <w:r>
        <w:rPr>
          <w:rFonts w:ascii="Arial" w:eastAsia="Arial" w:hAnsi="Arial" w:cs="Arial"/>
          <w:i/>
          <w:color w:val="000000"/>
          <w:sz w:val="20"/>
        </w:rPr>
        <w:t>Id.</w:t>
      </w:r>
      <w:r>
        <w:rPr>
          <w:rFonts w:ascii="Arial" w:eastAsia="Arial" w:hAnsi="Arial" w:cs="Arial"/>
          <w:color w:val="000000"/>
          <w:sz w:val="20"/>
        </w:rPr>
        <w:t xml:space="preserve"> at 138. </w:t>
      </w:r>
      <w:bookmarkStart w:id="5153" w:name="Bookmark_I650PH3K2D6N980030000400_2"/>
      <w:bookmarkStart w:id="5154" w:name="Bookmark_I650PH3K2D6N980050000400"/>
      <w:bookmarkEnd w:id="5153"/>
      <w:bookmarkEnd w:id="5154"/>
      <w:r>
        <w:rPr>
          <w:rFonts w:ascii="Arial" w:eastAsia="Arial" w:hAnsi="Arial" w:cs="Arial"/>
          <w:color w:val="000000"/>
          <w:sz w:val="20"/>
        </w:rPr>
        <w:t xml:space="preserve">Notably, "[t]his burden . . . is not a heavy one." </w:t>
      </w:r>
      <w:r>
        <w:rPr>
          <w:rFonts w:ascii="Arial" w:eastAsia="Arial" w:hAnsi="Arial" w:cs="Arial"/>
          <w:i/>
          <w:color w:val="000000"/>
          <w:sz w:val="20"/>
        </w:rPr>
        <w:t>Id.</w:t>
      </w:r>
      <w:r>
        <w:rPr>
          <w:rFonts w:ascii="Arial" w:eastAsia="Arial" w:hAnsi="Arial" w:cs="Arial"/>
          <w:color w:val="000000"/>
          <w:sz w:val="20"/>
        </w:rPr>
        <w:t xml:space="preserve"> Rather, "[i]t is enough for the plaintiff to suggest the existence of a </w:t>
      </w:r>
      <w:r>
        <w:rPr>
          <w:rFonts w:ascii="Arial" w:eastAsia="Arial" w:hAnsi="Arial" w:cs="Arial"/>
          <w:i/>
          <w:color w:val="000000"/>
          <w:sz w:val="20"/>
        </w:rPr>
        <w:t>plausible</w:t>
      </w:r>
      <w:r>
        <w:rPr>
          <w:rFonts w:ascii="Arial" w:eastAsia="Arial" w:hAnsi="Arial" w:cs="Arial"/>
          <w:color w:val="000000"/>
          <w:sz w:val="20"/>
        </w:rPr>
        <w:t xml:space="preserve"> accommodation, the costs of which, facially, do not clearly exceed its benefits." </w:t>
      </w:r>
      <w:r>
        <w:rPr>
          <w:rFonts w:ascii="Arial" w:eastAsia="Arial" w:hAnsi="Arial" w:cs="Arial"/>
          <w:i/>
          <w:color w:val="000000"/>
          <w:sz w:val="20"/>
        </w:rPr>
        <w:t>Id.</w:t>
      </w:r>
      <w:r>
        <w:rPr>
          <w:rFonts w:ascii="Arial" w:eastAsia="Arial" w:hAnsi="Arial" w:cs="Arial"/>
          <w:color w:val="000000"/>
          <w:sz w:val="20"/>
        </w:rPr>
        <w:t xml:space="preserve"> (emphasis added). In other words, the plaintiff need only show that an accommodation "seems reasonable on [*7]  its face, </w:t>
      </w:r>
      <w:r>
        <w:rPr>
          <w:rFonts w:ascii="Arial" w:eastAsia="Arial" w:hAnsi="Arial" w:cs="Arial"/>
          <w:i/>
          <w:color w:val="000000"/>
          <w:sz w:val="20"/>
        </w:rPr>
        <w:t>i.e.</w:t>
      </w:r>
      <w:r>
        <w:rPr>
          <w:rFonts w:ascii="Arial" w:eastAsia="Arial" w:hAnsi="Arial" w:cs="Arial"/>
          <w:color w:val="000000"/>
          <w:sz w:val="20"/>
        </w:rPr>
        <w:t xml:space="preserve">, ordinarily or in the run of cases." </w:t>
      </w:r>
      <w:bookmarkStart w:id="5155" w:name="Bookmark_I650PH3K2D6N980020000400"/>
      <w:bookmarkEnd w:id="5155"/>
      <w:r>
        <w:rPr>
          <w:rFonts w:ascii="Arial" w:eastAsia="Arial" w:hAnsi="Arial" w:cs="Arial"/>
          <w:i/>
          <w:color w:val="000000"/>
          <w:sz w:val="20"/>
        </w:rPr>
        <w:t>US Airways, Inc. v. Barnett</w:t>
      </w:r>
      <w:r>
        <w:rPr>
          <w:rFonts w:ascii="Arial" w:eastAsia="Arial" w:hAnsi="Arial" w:cs="Arial"/>
          <w:color w:val="000000"/>
          <w:sz w:val="20"/>
        </w:rPr>
        <w:t xml:space="preserve">, 535 U.S. 391, 401, 122 S. Ct. 1516, 152 L. Ed. 2d 589 (2002). </w:t>
      </w:r>
      <w:bookmarkStart w:id="5156" w:name="Bookmark_I650PH3K2D6N980050000400_2"/>
      <w:bookmarkEnd w:id="5156"/>
      <w:r>
        <w:rPr>
          <w:rFonts w:ascii="Arial" w:eastAsia="Arial" w:hAnsi="Arial" w:cs="Arial"/>
          <w:color w:val="000000"/>
          <w:sz w:val="20"/>
        </w:rPr>
        <w:t xml:space="preserve">In sum, "[t]hese two requirements placed on the plaintiff will permit district courts to grant summary judgments for defendants in cases in which the plaintiff's proposal is either clearly ineffective or outlandishly costly." </w:t>
      </w:r>
      <w:bookmarkStart w:id="5157" w:name="Bookmark_I650PH3K2D6N980040000400"/>
      <w:bookmarkEnd w:id="5157"/>
      <w:r>
        <w:rPr>
          <w:rFonts w:ascii="Arial" w:eastAsia="Arial" w:hAnsi="Arial" w:cs="Arial"/>
          <w:i/>
          <w:color w:val="000000"/>
          <w:sz w:val="20"/>
        </w:rPr>
        <w:t>Borkowski</w:t>
      </w:r>
      <w:r>
        <w:rPr>
          <w:rFonts w:ascii="Arial" w:eastAsia="Arial" w:hAnsi="Arial" w:cs="Arial"/>
          <w:color w:val="000000"/>
          <w:sz w:val="20"/>
        </w:rPr>
        <w:t>, 63 F.3d at 139.</w:t>
      </w:r>
    </w:p>
    <w:p w:rsidR="00022B47" w:rsidRDefault="00000000">
      <w:pPr>
        <w:pStyle w:val="Normal28"/>
        <w:widowControl w:val="0"/>
        <w:spacing w:before="200" w:line="260" w:lineRule="atLeast"/>
        <w:jc w:val="both"/>
      </w:pPr>
      <w:bookmarkStart w:id="5158" w:name="Bookmark_para_12_26"/>
      <w:bookmarkEnd w:id="5158"/>
      <w:r>
        <w:rPr>
          <w:rFonts w:ascii="Arial" w:eastAsia="Arial" w:hAnsi="Arial" w:cs="Arial"/>
          <w:color w:val="000000"/>
          <w:sz w:val="20"/>
        </w:rPr>
        <w:t>The record evidence supports Laguerre's position that an effective accommodation (remote work) existed, it was plausible for CSRs to work from home, and the technology to enable a work-from-home arrangement was not, on its face, unobtainable for National Grid.</w:t>
      </w:r>
    </w:p>
    <w:p w:rsidR="00022B47" w:rsidRDefault="00000000">
      <w:pPr>
        <w:pStyle w:val="Normal28"/>
        <w:widowControl w:val="0"/>
        <w:spacing w:before="200" w:line="260" w:lineRule="atLeast"/>
        <w:jc w:val="both"/>
      </w:pPr>
      <w:bookmarkStart w:id="5159" w:name="Bookmark_para_13_26"/>
      <w:bookmarkEnd w:id="5159"/>
      <w:r>
        <w:rPr>
          <w:rFonts w:ascii="Arial" w:eastAsia="Arial" w:hAnsi="Arial" w:cs="Arial"/>
          <w:color w:val="000000"/>
          <w:sz w:val="20"/>
        </w:rPr>
        <w:t>Specifically, the evidence demonstrates that CSRs at National Grid who perform functions other than receiving inbound customer calls have worked remotely, National Grid has piloted remote work positions in the past, and inbound calls can be routed to other call centers. The president of the union, who worked as a CSR in the call center for 25 years, also stated her belief that it was possible to route calls to other locations, and based on her experience, she did not see why calls could not be routed to a CSR's home:</w:t>
      </w:r>
    </w:p>
    <w:p w:rsidR="00022B47" w:rsidRDefault="00000000">
      <w:pPr>
        <w:pStyle w:val="Normal28"/>
        <w:widowControl w:val="0"/>
        <w:spacing w:before="200" w:line="260" w:lineRule="atLeast"/>
        <w:ind w:left="400"/>
        <w:jc w:val="both"/>
      </w:pPr>
      <w:bookmarkStart w:id="5160" w:name="Bookmark_para_14_26"/>
      <w:bookmarkEnd w:id="5160"/>
      <w:r>
        <w:rPr>
          <w:rFonts w:ascii="Arial" w:eastAsia="Arial" w:hAnsi="Arial" w:cs="Arial"/>
          <w:color w:val="000000"/>
          <w:sz w:val="20"/>
        </w:rPr>
        <w:t>In my opinion, and I was a CSR who worked on inbound calls for over 20 years, there is no reason why inbound calls cannot be routed to a [*8]  [CSR's] home. [National Grid's] system reroutes calls to other Call Centers, sometimes to Syracuse, sometimes to Massachusetts, when there is an overload. The computer system, called CRIS, can be accessed [online]. Rerouted calls can easily be recorded. No confidential information is given during the course of such calls, such as Social Security numbers. At no time in discussions about Ms. Laguerre has [National Grid] explained why it could not allow her to do incoming call work at home.</w:t>
      </w:r>
    </w:p>
    <w:p w:rsidR="00022B47" w:rsidRDefault="00000000">
      <w:pPr>
        <w:pStyle w:val="Normal28"/>
        <w:widowControl w:val="0"/>
        <w:spacing w:line="260" w:lineRule="atLeast"/>
        <w:jc w:val="both"/>
      </w:pPr>
      <w:r>
        <w:rPr>
          <w:rFonts w:ascii="Arial" w:eastAsia="Arial" w:hAnsi="Arial" w:cs="Arial"/>
          <w:color w:val="000000"/>
          <w:sz w:val="20"/>
        </w:rPr>
        <w:t>App'x at 433.</w:t>
      </w:r>
    </w:p>
    <w:p w:rsidR="00022B47" w:rsidRDefault="00000000">
      <w:pPr>
        <w:pStyle w:val="Normal28"/>
        <w:widowControl w:val="0"/>
        <w:spacing w:before="200" w:line="260" w:lineRule="atLeast"/>
        <w:jc w:val="both"/>
      </w:pPr>
      <w:bookmarkStart w:id="5161" w:name="Bookmark_para_15_26"/>
      <w:bookmarkEnd w:id="5161"/>
      <w:r>
        <w:rPr>
          <w:rFonts w:ascii="Arial" w:eastAsia="Arial" w:hAnsi="Arial" w:cs="Arial"/>
          <w:color w:val="000000"/>
          <w:sz w:val="20"/>
        </w:rPr>
        <w:t>Even if this evidence does not conclusively establish the reasonableness of the accommodation, viewing the evidence in Laguerre's favor, Laguerre met her modest burden of proposing a plausible accommodation, the cost of which, on its face, did not exceed its benefits.</w:t>
      </w:r>
    </w:p>
    <w:p w:rsidR="00022B47" w:rsidRDefault="00000000">
      <w:pPr>
        <w:pStyle w:val="Normal28"/>
        <w:widowControl w:val="0"/>
        <w:spacing w:before="200" w:line="260" w:lineRule="atLeast"/>
        <w:jc w:val="both"/>
      </w:pPr>
      <w:bookmarkStart w:id="5162" w:name="Bookmark_para_16_26"/>
      <w:bookmarkStart w:id="5163" w:name="Bookmark_I650PH3K2N1RBB0020000400"/>
      <w:bookmarkEnd w:id="5162"/>
      <w:bookmarkEnd w:id="5163"/>
      <w:r>
        <w:rPr>
          <w:rFonts w:ascii="Arial" w:eastAsia="Arial" w:hAnsi="Arial" w:cs="Arial"/>
          <w:color w:val="000000"/>
          <w:sz w:val="20"/>
        </w:rPr>
        <w:t xml:space="preserve">Upon receiving Laguerre's request for accommodation, the burden shifted to National Grid to demonstrate that such accommodation was unreasonable or unduly burdensome. </w:t>
      </w:r>
      <w:bookmarkStart w:id="5164" w:name="Bookmark_I650PH3K2N1RBB0010000400"/>
      <w:bookmarkEnd w:id="5164"/>
      <w:r>
        <w:rPr>
          <w:rFonts w:ascii="Arial" w:eastAsia="Arial" w:hAnsi="Arial" w:cs="Arial"/>
          <w:i/>
          <w:color w:val="000000"/>
          <w:sz w:val="20"/>
        </w:rPr>
        <w:t>McMillan</w:t>
      </w:r>
      <w:r>
        <w:rPr>
          <w:rFonts w:ascii="Arial" w:eastAsia="Arial" w:hAnsi="Arial" w:cs="Arial"/>
          <w:color w:val="000000"/>
          <w:sz w:val="20"/>
        </w:rPr>
        <w:t xml:space="preserve">, 711 F.3d at 128 ("If a plaintiff suggests plausible accommodations, the burden of proof shifts to the defendant to demonstrate that such accommodations would present undue hardships and would therefore be unreasonable."). </w:t>
      </w:r>
      <w:bookmarkStart w:id="5165" w:name="Bookmark_I650PH3K2N1RBB0040000400"/>
      <w:bookmarkStart w:id="5166" w:name="Bookmark_LNHNREFclscc6_22"/>
      <w:bookmarkEnd w:id="5165"/>
      <w:bookmarkEnd w:id="5166"/>
      <w:r>
        <w:rPr>
          <w:rFonts w:ascii="Arial" w:eastAsia="Arial" w:hAnsi="Arial" w:cs="Arial"/>
          <w:color w:val="000000"/>
          <w:sz w:val="20"/>
        </w:rPr>
        <w:t xml:space="preserve">An "undue hardship" is "an action requiring significant [*9]  difficulty or expense." </w:t>
      </w:r>
      <w:r>
        <w:rPr>
          <w:rFonts w:ascii="Arial" w:eastAsia="Arial" w:hAnsi="Arial" w:cs="Arial"/>
          <w:i/>
          <w:color w:val="000000"/>
          <w:sz w:val="20"/>
        </w:rPr>
        <w:t>Id.</w:t>
      </w:r>
      <w:r>
        <w:rPr>
          <w:rFonts w:ascii="Arial" w:eastAsia="Arial" w:hAnsi="Arial" w:cs="Arial"/>
          <w:color w:val="000000"/>
          <w:sz w:val="20"/>
        </w:rPr>
        <w:t xml:space="preserve"> (quoting 42 U.S.C. § 12111(10)(A)). </w:t>
      </w:r>
      <w:bookmarkStart w:id="5167" w:name="Bookmark_I650PH3K2N1RBB0040000400_2"/>
      <w:bookmarkEnd w:id="5167"/>
      <w:r>
        <w:rPr>
          <w:rFonts w:ascii="Arial" w:eastAsia="Arial" w:hAnsi="Arial" w:cs="Arial"/>
          <w:color w:val="000000"/>
          <w:sz w:val="20"/>
        </w:rPr>
        <w:t xml:space="preserve">These inquiries are inherently fact specific. </w:t>
      </w:r>
      <w:bookmarkStart w:id="5168" w:name="Bookmark_I650PH3M2HM6TY0030000400"/>
      <w:bookmarkStart w:id="5169" w:name="Bookmark_I650PH3K2N1RBB0030000400"/>
      <w:bookmarkEnd w:id="5168"/>
      <w:bookmarkEnd w:id="5169"/>
      <w:r>
        <w:rPr>
          <w:rFonts w:ascii="Arial" w:eastAsia="Arial" w:hAnsi="Arial" w:cs="Arial"/>
          <w:i/>
          <w:color w:val="000000"/>
          <w:sz w:val="20"/>
        </w:rPr>
        <w:t>Noll v. IBM</w:t>
      </w:r>
      <w:r>
        <w:rPr>
          <w:rFonts w:ascii="Arial" w:eastAsia="Arial" w:hAnsi="Arial" w:cs="Arial"/>
          <w:color w:val="000000"/>
          <w:sz w:val="20"/>
        </w:rPr>
        <w:t xml:space="preserve">, 787 F.3d 89, 94 (2d Cir. 2015) ("The reasonableness of an employer's accommodation is a fact-specific question that often must be resolved by a factfinder."); </w:t>
      </w:r>
      <w:bookmarkStart w:id="5170" w:name="Bookmark_I650PH3K2N1RBB0050000400"/>
      <w:bookmarkEnd w:id="5170"/>
      <w:r>
        <w:rPr>
          <w:rFonts w:ascii="Arial" w:eastAsia="Arial" w:hAnsi="Arial" w:cs="Arial"/>
          <w:i/>
          <w:color w:val="000000"/>
          <w:sz w:val="20"/>
        </w:rPr>
        <w:t>Wernick v. Fed. Rsrv. Bank of N.Y.</w:t>
      </w:r>
      <w:r>
        <w:rPr>
          <w:rFonts w:ascii="Arial" w:eastAsia="Arial" w:hAnsi="Arial" w:cs="Arial"/>
          <w:color w:val="000000"/>
          <w:sz w:val="20"/>
        </w:rPr>
        <w:t xml:space="preserve">, 91 F.3d 379, 385 (2d Cir. 1996) ("Whether or not something constitutes a reasonable accommodation is necessarily fact-specific. </w:t>
      </w:r>
      <w:bookmarkStart w:id="5171" w:name="Bookmark_I650PH3M2HM6TY0030000400_2"/>
      <w:bookmarkEnd w:id="5171"/>
      <w:r>
        <w:rPr>
          <w:rFonts w:ascii="Arial" w:eastAsia="Arial" w:hAnsi="Arial" w:cs="Arial"/>
          <w:color w:val="000000"/>
          <w:sz w:val="20"/>
        </w:rPr>
        <w:t xml:space="preserve">Therefore, determinations on this issue must be made on a case-by-case basis."). An employer "must show special (typically case-specific) circumstances that demonstrate undue hardship in the particular circumstances." </w:t>
      </w:r>
      <w:bookmarkStart w:id="5172" w:name="Bookmark_I650PH3M2HM6TY0020000400"/>
      <w:bookmarkEnd w:id="5172"/>
      <w:r>
        <w:rPr>
          <w:rFonts w:ascii="Arial" w:eastAsia="Arial" w:hAnsi="Arial" w:cs="Arial"/>
          <w:i/>
          <w:color w:val="000000"/>
          <w:sz w:val="20"/>
        </w:rPr>
        <w:t>US Airways, Inc.</w:t>
      </w:r>
      <w:r>
        <w:rPr>
          <w:rFonts w:ascii="Arial" w:eastAsia="Arial" w:hAnsi="Arial" w:cs="Arial"/>
          <w:color w:val="000000"/>
          <w:sz w:val="20"/>
        </w:rPr>
        <w:t>, 535 U.S. at 402.</w:t>
      </w:r>
    </w:p>
    <w:p w:rsidR="00022B47" w:rsidRDefault="00000000">
      <w:pPr>
        <w:pStyle w:val="Normal28"/>
        <w:widowControl w:val="0"/>
        <w:spacing w:before="200" w:line="260" w:lineRule="atLeast"/>
        <w:jc w:val="both"/>
      </w:pPr>
      <w:bookmarkStart w:id="5173" w:name="Bookmark_para_17_25"/>
      <w:bookmarkEnd w:id="5173"/>
      <w:r>
        <w:rPr>
          <w:rFonts w:ascii="Arial" w:eastAsia="Arial" w:hAnsi="Arial" w:cs="Arial"/>
          <w:color w:val="000000"/>
          <w:sz w:val="20"/>
        </w:rPr>
        <w:t xml:space="preserve">The only evidence that National Grid provided to satisfy this burden is conclusory testimony that Laguerre could not work from home because the company did not possess the requisite technology at the time of her request. </w:t>
      </w:r>
      <w:bookmarkStart w:id="5174" w:name="Bookmark_LNHNREFclscc7_21"/>
      <w:bookmarkEnd w:id="5174"/>
      <w:r>
        <w:rPr>
          <w:rFonts w:ascii="Arial" w:eastAsia="Arial" w:hAnsi="Arial" w:cs="Arial"/>
          <w:color w:val="000000"/>
          <w:sz w:val="20"/>
        </w:rPr>
        <w:t xml:space="preserve">But "reasonable accommodation" may include "acquisition or modification of equipment or devices" and "other similar accommodations." 42 U.S.C. § 12111(9)(B). National Grid did </w:t>
      </w:r>
      <w:r>
        <w:rPr>
          <w:rFonts w:ascii="Arial" w:eastAsia="Arial" w:hAnsi="Arial" w:cs="Arial"/>
          <w:i/>
          <w:color w:val="000000"/>
          <w:sz w:val="20"/>
        </w:rPr>
        <w:t>not</w:t>
      </w:r>
      <w:r>
        <w:rPr>
          <w:rFonts w:ascii="Arial" w:eastAsia="Arial" w:hAnsi="Arial" w:cs="Arial"/>
          <w:color w:val="000000"/>
          <w:sz w:val="20"/>
        </w:rPr>
        <w:t xml:space="preserve"> state that the technology was unavailable or was unreasonably expensive, and it did not claim even to have investigated the feasibility of procuring such technology in response to Laguerre's request for accommodation. </w:t>
      </w:r>
      <w:bookmarkStart w:id="5175" w:name="Bookmark_I650PH3M2HM6TY0050000400"/>
      <w:bookmarkEnd w:id="5175"/>
      <w:r>
        <w:rPr>
          <w:rFonts w:ascii="Arial" w:eastAsia="Arial" w:hAnsi="Arial" w:cs="Arial"/>
          <w:color w:val="000000"/>
          <w:sz w:val="20"/>
        </w:rPr>
        <w:t xml:space="preserve">Nor did National Grid provide any evidence regarding the costs of acquiring [*10]  technology that would enable Laguerre to work at home, much less an analysis to demonstrate that the cost of such an endeavor would exceed its benefits. Under our case law, it is incumbent upon the employer to provide a more robust defense of its position. </w:t>
      </w:r>
      <w:r>
        <w:rPr>
          <w:rFonts w:ascii="Arial" w:eastAsia="Arial" w:hAnsi="Arial" w:cs="Arial"/>
          <w:i/>
          <w:color w:val="000000"/>
          <w:sz w:val="20"/>
        </w:rPr>
        <w:t xml:space="preserve">See, e.g., </w:t>
      </w:r>
      <w:bookmarkStart w:id="5176" w:name="Bookmark_I650PH3M2HM6TY0040000400"/>
      <w:bookmarkEnd w:id="5176"/>
      <w:r>
        <w:rPr>
          <w:rFonts w:ascii="Arial" w:eastAsia="Arial" w:hAnsi="Arial" w:cs="Arial"/>
          <w:i/>
          <w:color w:val="000000"/>
          <w:sz w:val="20"/>
        </w:rPr>
        <w:t>Borkowski</w:t>
      </w:r>
      <w:r>
        <w:rPr>
          <w:rFonts w:ascii="Arial" w:eastAsia="Arial" w:hAnsi="Arial" w:cs="Arial"/>
          <w:color w:val="000000"/>
          <w:sz w:val="20"/>
        </w:rPr>
        <w:t>, 63 F.3d at 139 ("[W]hile the plaintiff could meet her burden of production by identifying an accommodation that facially achieves a rough proportionality between costs and benefits, an employer seeking to meet its burden of persuasion on reasonable accommodation and undue hardship must undertake a more refined analysis.").</w:t>
      </w:r>
    </w:p>
    <w:p w:rsidR="00022B47" w:rsidRDefault="00000000">
      <w:pPr>
        <w:pStyle w:val="Normal28"/>
        <w:widowControl w:val="0"/>
        <w:spacing w:before="200" w:line="260" w:lineRule="atLeast"/>
        <w:jc w:val="both"/>
      </w:pPr>
      <w:bookmarkStart w:id="5177" w:name="Bookmark_para_18_25"/>
      <w:bookmarkEnd w:id="5177"/>
      <w:r>
        <w:rPr>
          <w:rFonts w:ascii="Arial" w:eastAsia="Arial" w:hAnsi="Arial" w:cs="Arial"/>
          <w:color w:val="000000"/>
          <w:sz w:val="20"/>
        </w:rPr>
        <w:t>Thus, the reasonableness of Laguerre's accommodation request, and whether it would impose an undue hardship on National Grid, is a material fact in dispute and one best left to the factfinder on remand.</w:t>
      </w:r>
      <w:r>
        <w:rPr>
          <w:rFonts w:ascii="Arial" w:eastAsia="Arial" w:hAnsi="Arial" w:cs="Arial"/>
          <w:vertAlign w:val="superscript"/>
        </w:rPr>
        <w:footnoteReference w:customMarkFollows="1" w:id="132"/>
        <w:t>5</w:t>
      </w:r>
    </w:p>
    <w:p w:rsidR="00022B47" w:rsidRDefault="00000000">
      <w:pPr>
        <w:pStyle w:val="Normal28"/>
        <w:widowControl w:val="0"/>
        <w:spacing w:before="120" w:line="260" w:lineRule="atLeast"/>
      </w:pPr>
      <w:r>
        <w:rPr>
          <w:rFonts w:ascii="Arial" w:eastAsia="Arial" w:hAnsi="Arial" w:cs="Arial"/>
          <w:color w:val="000000"/>
          <w:sz w:val="20"/>
        </w:rPr>
        <w:t>2. Laguerre's Motion to Reopen the Evidence Post-COVID-19</w:t>
      </w:r>
    </w:p>
    <w:p w:rsidR="00022B47" w:rsidRDefault="00000000">
      <w:pPr>
        <w:pStyle w:val="Normal28"/>
        <w:widowControl w:val="0"/>
        <w:spacing w:before="200" w:line="260" w:lineRule="atLeast"/>
        <w:jc w:val="both"/>
      </w:pPr>
      <w:bookmarkStart w:id="5182" w:name="Bookmark_para_19_24"/>
      <w:bookmarkEnd w:id="5182"/>
      <w:r>
        <w:rPr>
          <w:rFonts w:ascii="Arial" w:eastAsia="Arial" w:hAnsi="Arial" w:cs="Arial"/>
          <w:color w:val="000000"/>
          <w:sz w:val="20"/>
        </w:rPr>
        <w:t>Laguerre contends that the district court abused its discretion by denying her motion to reopen the summary judgment record to permit the trial court to consider National Grid's prompt transition to remote work in response to the COVID-19 pandemic.</w:t>
      </w:r>
      <w:r>
        <w:rPr>
          <w:rFonts w:ascii="Arial" w:eastAsia="Arial" w:hAnsi="Arial" w:cs="Arial"/>
          <w:vertAlign w:val="superscript"/>
        </w:rPr>
        <w:footnoteReference w:customMarkFollows="1" w:id="133"/>
        <w:t>6</w:t>
      </w:r>
    </w:p>
    <w:p w:rsidR="00022B47" w:rsidRDefault="00000000">
      <w:pPr>
        <w:pStyle w:val="Normal28"/>
        <w:widowControl w:val="0"/>
        <w:spacing w:before="200" w:line="260" w:lineRule="atLeast"/>
        <w:jc w:val="both"/>
      </w:pPr>
      <w:bookmarkStart w:id="5186" w:name="Bookmark_para_20_24"/>
      <w:bookmarkStart w:id="5187" w:name="Bookmark_I650PH3M2HM6V10010000400"/>
      <w:bookmarkStart w:id="5188" w:name="Bookmark_I44F42MW8340000F8JJ0001R"/>
      <w:bookmarkStart w:id="5189" w:name="Bookmark_I650PH3M2HM6V10030000400"/>
      <w:bookmarkStart w:id="5190" w:name="Bookmark_LNHNREFclscc8_20"/>
      <w:bookmarkEnd w:id="5186"/>
      <w:bookmarkEnd w:id="5187"/>
      <w:bookmarkEnd w:id="5188"/>
      <w:bookmarkEnd w:id="5189"/>
      <w:bookmarkEnd w:id="5190"/>
      <w:r>
        <w:rPr>
          <w:rFonts w:ascii="Arial" w:eastAsia="Arial" w:hAnsi="Arial" w:cs="Arial"/>
          <w:color w:val="000000"/>
          <w:sz w:val="20"/>
        </w:rPr>
        <w:t xml:space="preserve">We review the district court's ruling under an "abuse of discretion" standard. </w:t>
      </w:r>
      <w:bookmarkStart w:id="5191" w:name="Bookmark_I650PH3M2HM6V00050000400"/>
      <w:bookmarkEnd w:id="5191"/>
      <w:r>
        <w:rPr>
          <w:rFonts w:ascii="Arial" w:eastAsia="Arial" w:hAnsi="Arial" w:cs="Arial"/>
          <w:i/>
          <w:color w:val="000000"/>
          <w:sz w:val="20"/>
        </w:rPr>
        <w:t>Wills v. Amerada Hess Corp.</w:t>
      </w:r>
      <w:r>
        <w:rPr>
          <w:rFonts w:ascii="Arial" w:eastAsia="Arial" w:hAnsi="Arial" w:cs="Arial"/>
          <w:color w:val="000000"/>
          <w:sz w:val="20"/>
        </w:rPr>
        <w:t xml:space="preserve">, 379 F.3d 32, 41 (2d Cir. 2004). "A district court abuses [*11]  its discretion when (1) its decision rests on an error of law . . . or a clearly erroneous factual finding, or (2) its decision—though not necessarily the product of a legal error or a clearly erroneous factual finding—cannot be located within the range of permissible decisions." </w:t>
      </w:r>
      <w:bookmarkStart w:id="5192" w:name="Bookmark_I650PH3M2HM6V10020000400"/>
      <w:bookmarkEnd w:id="5192"/>
      <w:r>
        <w:rPr>
          <w:rFonts w:ascii="Arial" w:eastAsia="Arial" w:hAnsi="Arial" w:cs="Arial"/>
          <w:i/>
          <w:color w:val="000000"/>
          <w:sz w:val="20"/>
        </w:rPr>
        <w:t>In re Fitch, Inc.</w:t>
      </w:r>
      <w:r>
        <w:rPr>
          <w:rFonts w:ascii="Arial" w:eastAsia="Arial" w:hAnsi="Arial" w:cs="Arial"/>
          <w:color w:val="000000"/>
          <w:sz w:val="20"/>
        </w:rPr>
        <w:t>, 330 F.3d 104, 108 (2d Cir. 2003).</w:t>
      </w:r>
    </w:p>
    <w:p w:rsidR="00022B47" w:rsidRDefault="00000000">
      <w:pPr>
        <w:pStyle w:val="Normal28"/>
        <w:widowControl w:val="0"/>
        <w:spacing w:before="200" w:line="260" w:lineRule="atLeast"/>
        <w:jc w:val="both"/>
      </w:pPr>
      <w:bookmarkStart w:id="5193" w:name="Bookmark_para_21_23"/>
      <w:bookmarkStart w:id="5194" w:name="Bookmark_I650PH3M2HM6V10050000400"/>
      <w:bookmarkEnd w:id="5193"/>
      <w:bookmarkEnd w:id="5194"/>
      <w:r>
        <w:rPr>
          <w:rFonts w:ascii="Arial" w:eastAsia="Arial" w:hAnsi="Arial" w:cs="Arial"/>
          <w:color w:val="000000"/>
          <w:sz w:val="20"/>
        </w:rPr>
        <w:t>Here, the district court reasonably concluded that National Grid's post-pandemic actions were not relevant to the reasonableness of the requested accommodation at the time of Laguerre's pre-pandemic accommodation request. Therefore, we conclude that the district court did not abuse its discretion by denying Laguerre's motion to reopen the record.</w:t>
      </w:r>
      <w:r>
        <w:rPr>
          <w:rFonts w:ascii="Arial" w:eastAsia="Arial" w:hAnsi="Arial" w:cs="Arial"/>
          <w:vertAlign w:val="superscript"/>
        </w:rPr>
        <w:footnoteReference w:customMarkFollows="1" w:id="134"/>
        <w:t>7</w:t>
      </w:r>
    </w:p>
    <w:p w:rsidR="00022B47" w:rsidRDefault="00000000">
      <w:pPr>
        <w:pStyle w:val="Normal28"/>
        <w:widowControl w:val="0"/>
        <w:spacing w:before="200" w:line="260" w:lineRule="atLeast"/>
        <w:jc w:val="both"/>
      </w:pPr>
      <w:bookmarkStart w:id="5197" w:name="Bookmark_para_22_22"/>
      <w:bookmarkEnd w:id="5197"/>
      <w:r>
        <w:rPr>
          <w:rFonts w:ascii="Arial" w:eastAsia="Arial" w:hAnsi="Arial" w:cs="Arial"/>
          <w:color w:val="000000"/>
          <w:sz w:val="20"/>
        </w:rPr>
        <w:t>* * *</w:t>
      </w:r>
    </w:p>
    <w:p w:rsidR="00022B47" w:rsidRDefault="00000000">
      <w:pPr>
        <w:pStyle w:val="Normal28"/>
        <w:widowControl w:val="0"/>
        <w:spacing w:before="200" w:line="260" w:lineRule="atLeast"/>
        <w:jc w:val="both"/>
      </w:pPr>
      <w:bookmarkStart w:id="5198" w:name="Bookmark_para_23_21"/>
      <w:bookmarkEnd w:id="5198"/>
      <w:r>
        <w:rPr>
          <w:rFonts w:ascii="Arial" w:eastAsia="Arial" w:hAnsi="Arial" w:cs="Arial"/>
          <w:color w:val="000000"/>
          <w:sz w:val="20"/>
        </w:rPr>
        <w:t xml:space="preserve">For the reasons set forth above, the district court's judgment is </w:t>
      </w:r>
      <w:r>
        <w:rPr>
          <w:rFonts w:ascii="Arial" w:eastAsia="Arial" w:hAnsi="Arial" w:cs="Arial"/>
          <w:b/>
          <w:color w:val="000000"/>
          <w:sz w:val="20"/>
        </w:rPr>
        <w:t>AFFIRMED</w:t>
      </w:r>
      <w:r>
        <w:rPr>
          <w:rFonts w:ascii="Arial" w:eastAsia="Arial" w:hAnsi="Arial" w:cs="Arial"/>
          <w:color w:val="000000"/>
          <w:sz w:val="20"/>
        </w:rPr>
        <w:t xml:space="preserve"> regarding the dismissal of Laguerre's Section 504 claim, </w:t>
      </w:r>
      <w:r>
        <w:rPr>
          <w:rFonts w:ascii="Arial" w:eastAsia="Arial" w:hAnsi="Arial" w:cs="Arial"/>
          <w:b/>
          <w:color w:val="000000"/>
          <w:sz w:val="20"/>
        </w:rPr>
        <w:t>REVERSED</w:t>
      </w:r>
      <w:r>
        <w:rPr>
          <w:rFonts w:ascii="Arial" w:eastAsia="Arial" w:hAnsi="Arial" w:cs="Arial"/>
          <w:color w:val="000000"/>
          <w:sz w:val="20"/>
        </w:rPr>
        <w:t xml:space="preserve"> regarding the dismissal of Laguerre's ADA, NYSHRL, and NYCHRL claims, and </w:t>
      </w:r>
      <w:r>
        <w:rPr>
          <w:rFonts w:ascii="Arial" w:eastAsia="Arial" w:hAnsi="Arial" w:cs="Arial"/>
          <w:b/>
          <w:color w:val="000000"/>
          <w:sz w:val="20"/>
        </w:rPr>
        <w:t>REMANDED</w:t>
      </w:r>
      <w:r>
        <w:rPr>
          <w:rFonts w:ascii="Arial" w:eastAsia="Arial" w:hAnsi="Arial" w:cs="Arial"/>
          <w:color w:val="000000"/>
          <w:sz w:val="20"/>
        </w:rPr>
        <w:t xml:space="preserve"> to the district court for further proceedings consistent with this Order.</w:t>
      </w:r>
    </w:p>
    <w:p w:rsidR="00022B47" w:rsidRDefault="00022B47">
      <w:pPr>
        <w:pStyle w:val="Normal28"/>
      </w:pPr>
    </w:p>
    <w:p w:rsidR="00022B47" w:rsidRDefault="00000000">
      <w:pPr>
        <w:pStyle w:val="Normal28"/>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19680"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2005027598"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AB1E1E" id="Line 62"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29"/>
        <w:sectPr w:rsidR="00022B47">
          <w:headerReference w:type="even" r:id="rId181"/>
          <w:headerReference w:type="default" r:id="rId182"/>
          <w:footerReference w:type="even" r:id="rId183"/>
          <w:footerReference w:type="default" r:id="rId184"/>
          <w:headerReference w:type="first" r:id="rId185"/>
          <w:footerReference w:type="first" r:id="rId186"/>
          <w:pgSz w:w="12240" w:h="15840"/>
          <w:pgMar w:top="840" w:right="1000" w:bottom="840" w:left="1000" w:header="400" w:footer="400" w:gutter="0"/>
          <w:cols w:space="720"/>
          <w:titlePg/>
        </w:sectPr>
      </w:pPr>
    </w:p>
    <w:p w:rsidR="00022B47" w:rsidRDefault="00022B47">
      <w:pPr>
        <w:pStyle w:val="Normal29"/>
      </w:pPr>
    </w:p>
    <w:p w:rsidR="00022B47" w:rsidRDefault="00000000">
      <w:pPr>
        <w:pStyle w:val="Heading128"/>
        <w:keepNext w:val="0"/>
        <w:widowControl w:val="0"/>
        <w:spacing w:after="200" w:line="340" w:lineRule="atLeast"/>
        <w:jc w:val="center"/>
      </w:pPr>
      <w:r>
        <w:rPr>
          <w:rFonts w:eastAsia="Arial"/>
          <w:color w:val="000000"/>
          <w:sz w:val="28"/>
        </w:rPr>
        <w:t>Allen v. Adams</w:t>
      </w:r>
    </w:p>
    <w:p w:rsidR="00022B47" w:rsidRDefault="00000000">
      <w:pPr>
        <w:pStyle w:val="Normal29"/>
        <w:widowControl w:val="0"/>
        <w:spacing w:before="120" w:line="260" w:lineRule="atLeast"/>
        <w:jc w:val="center"/>
      </w:pPr>
      <w:r>
        <w:rPr>
          <w:rFonts w:ascii="Arial" w:eastAsia="Arial" w:hAnsi="Arial" w:cs="Arial"/>
          <w:color w:val="000000"/>
          <w:sz w:val="20"/>
        </w:rPr>
        <w:t>United States Court of Appeals for the Tenth Circuit</w:t>
      </w:r>
    </w:p>
    <w:p w:rsidR="00022B47" w:rsidRDefault="00000000">
      <w:pPr>
        <w:pStyle w:val="Normal29"/>
        <w:widowControl w:val="0"/>
        <w:spacing w:before="120" w:line="260" w:lineRule="atLeast"/>
        <w:jc w:val="center"/>
      </w:pPr>
      <w:r>
        <w:rPr>
          <w:rFonts w:ascii="Arial" w:eastAsia="Arial" w:hAnsi="Arial" w:cs="Arial"/>
          <w:color w:val="000000"/>
          <w:sz w:val="20"/>
        </w:rPr>
        <w:t>March 8, 2022, Filed</w:t>
      </w:r>
    </w:p>
    <w:p w:rsidR="00022B47" w:rsidRDefault="00000000">
      <w:pPr>
        <w:pStyle w:val="Normal29"/>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21-3208</w:t>
      </w:r>
    </w:p>
    <w:p w:rsidR="00022B47" w:rsidRDefault="00022B47">
      <w:pPr>
        <w:pStyle w:val="Normal29"/>
        <w:widowControl w:val="0"/>
        <w:spacing w:line="240" w:lineRule="atLeast"/>
        <w:jc w:val="both"/>
      </w:pPr>
      <w:bookmarkStart w:id="5199" w:name="Bookmark_30"/>
      <w:bookmarkEnd w:id="5199"/>
    </w:p>
    <w:p w:rsidR="00022B47" w:rsidRDefault="00000000">
      <w:pPr>
        <w:pStyle w:val="Normal29"/>
        <w:widowControl w:val="0"/>
        <w:spacing w:before="200" w:line="240" w:lineRule="atLeast"/>
      </w:pPr>
      <w:bookmarkStart w:id="5200" w:name="Reporter_28"/>
      <w:bookmarkEnd w:id="5200"/>
      <w:r>
        <w:rPr>
          <w:rFonts w:ascii="Arial" w:eastAsia="Arial" w:hAnsi="Arial" w:cs="Arial"/>
          <w:b/>
          <w:color w:val="000000"/>
          <w:sz w:val="18"/>
        </w:rPr>
        <w:t>Reporter</w:t>
      </w:r>
    </w:p>
    <w:p w:rsidR="00022B47" w:rsidRDefault="00000000">
      <w:pPr>
        <w:pStyle w:val="Normal29"/>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2022 U.S. App. LEXIS 6001 *; 129 A.F.T.R.2d (RIA) 2022-958; 2022 WL 680336</w:t>
      </w:r>
    </w:p>
    <w:p w:rsidR="00022B47" w:rsidRDefault="00000000">
      <w:pPr>
        <w:pStyle w:val="Normal29"/>
        <w:widowControl w:val="0"/>
        <w:spacing w:before="120" w:line="260" w:lineRule="atLeast"/>
      </w:pPr>
      <w:r>
        <w:rPr>
          <w:rFonts w:ascii="Arial" w:eastAsia="Arial" w:hAnsi="Arial" w:cs="Arial"/>
          <w:color w:val="000000"/>
          <w:sz w:val="20"/>
        </w:rPr>
        <w:t>MIKE ALLEN, Plaintiff - Appellant, v. KADEN ADAMS, Defendant - Appellee.</w:t>
      </w:r>
    </w:p>
    <w:p w:rsidR="00022B47" w:rsidRDefault="00000000">
      <w:pPr>
        <w:pStyle w:val="Normal29"/>
        <w:widowControl w:val="0"/>
        <w:spacing w:before="240" w:line="260" w:lineRule="atLeast"/>
        <w:jc w:val="both"/>
      </w:pPr>
      <w:bookmarkStart w:id="5201" w:name="Notice_13"/>
      <w:bookmarkEnd w:id="5201"/>
      <w:r>
        <w:rPr>
          <w:rFonts w:ascii="Arial" w:eastAsia="Arial" w:hAnsi="Arial" w:cs="Arial"/>
          <w:b/>
          <w:color w:val="000000"/>
          <w:sz w:val="20"/>
        </w:rPr>
        <w:t>Notice:</w:t>
      </w:r>
      <w:r>
        <w:rPr>
          <w:rFonts w:ascii="Arial" w:eastAsia="Arial" w:hAnsi="Arial" w:cs="Arial"/>
          <w:color w:val="000000"/>
          <w:sz w:val="20"/>
        </w:rPr>
        <w:t> </w:t>
      </w:r>
      <w:bookmarkStart w:id="5202" w:name="Bookmark_para_1_28"/>
      <w:bookmarkEnd w:id="5202"/>
      <w:r>
        <w:rPr>
          <w:rFonts w:ascii="Arial" w:eastAsia="Arial" w:hAnsi="Arial" w:cs="Arial"/>
          <w:color w:val="000000"/>
          <w:sz w:val="20"/>
        </w:rPr>
        <w:t>PLEASE REFER TO FEDERAL RULES OF APPELLATE PROCEDURE RULE 32.1 GOVERNING THE CITATION TO UNPUBLISHED OPINIONS.</w:t>
      </w:r>
    </w:p>
    <w:p w:rsidR="00022B47" w:rsidRDefault="00000000">
      <w:pPr>
        <w:pStyle w:val="Normal29"/>
        <w:widowControl w:val="0"/>
        <w:spacing w:before="240" w:line="260" w:lineRule="atLeast"/>
      </w:pPr>
      <w:bookmarkStart w:id="5203" w:name="Subsequent_History_4"/>
      <w:bookmarkEnd w:id="5203"/>
      <w:r>
        <w:rPr>
          <w:rFonts w:ascii="Arial" w:eastAsia="Arial" w:hAnsi="Arial" w:cs="Arial"/>
          <w:b/>
          <w:color w:val="000000"/>
          <w:sz w:val="20"/>
        </w:rPr>
        <w:t>Subsequent History:</w:t>
      </w:r>
      <w:r>
        <w:rPr>
          <w:rFonts w:ascii="Arial" w:eastAsia="Arial" w:hAnsi="Arial" w:cs="Arial"/>
          <w:color w:val="000000"/>
          <w:sz w:val="20"/>
        </w:rPr>
        <w:t> US Supreme Court certiorari denied by Allen, Mike v. Adams, Kaden, 2022 U.S. LEXIS 3074 (U.S., June 27, 2022)</w:t>
      </w:r>
    </w:p>
    <w:p w:rsidR="00022B47" w:rsidRDefault="00000000">
      <w:pPr>
        <w:pStyle w:val="Normal29"/>
        <w:widowControl w:val="0"/>
        <w:spacing w:before="240" w:line="260" w:lineRule="atLeast"/>
        <w:jc w:val="both"/>
      </w:pPr>
      <w:bookmarkStart w:id="5204" w:name="Prior_History_28"/>
      <w:bookmarkEnd w:id="5204"/>
      <w:r>
        <w:rPr>
          <w:rFonts w:ascii="Arial" w:eastAsia="Arial" w:hAnsi="Arial" w:cs="Arial"/>
          <w:b/>
          <w:color w:val="000000"/>
          <w:sz w:val="20"/>
        </w:rPr>
        <w:t>Prior History:</w:t>
      </w:r>
      <w:r>
        <w:rPr>
          <w:rFonts w:ascii="Arial" w:eastAsia="Arial" w:hAnsi="Arial" w:cs="Arial"/>
          <w:color w:val="000000"/>
          <w:sz w:val="20"/>
        </w:rPr>
        <w:t> </w:t>
      </w:r>
      <w:bookmarkStart w:id="5205" w:name="Bookmark_para_2_28"/>
      <w:bookmarkEnd w:id="5205"/>
      <w:r>
        <w:rPr>
          <w:rFonts w:ascii="Arial" w:eastAsia="Arial" w:hAnsi="Arial" w:cs="Arial"/>
          <w:color w:val="000000"/>
          <w:sz w:val="20"/>
        </w:rPr>
        <w:t> [*1] (D.C. No. 6:21-CV-01221-JAR-KGG). (D. Kan.).</w:t>
      </w:r>
    </w:p>
    <w:p w:rsidR="00022B47" w:rsidRDefault="00000000">
      <w:pPr>
        <w:pStyle w:val="Normal29"/>
        <w:widowControl w:val="0"/>
        <w:spacing w:before="120" w:line="260" w:lineRule="atLeast"/>
      </w:pPr>
      <w:r>
        <w:rPr>
          <w:rFonts w:ascii="Arial" w:eastAsia="Arial" w:hAnsi="Arial" w:cs="Arial"/>
          <w:color w:val="000000"/>
          <w:sz w:val="20"/>
        </w:rPr>
        <w:t>Allen v. Adams, 2021 U.S. Dist. LEXIS 218789, 2021 WL 5279642 (D. Kan., Nov. 12, 2021)</w:t>
      </w:r>
    </w:p>
    <w:p w:rsidR="00022B47" w:rsidRDefault="00000000">
      <w:pPr>
        <w:pStyle w:val="Normal29"/>
        <w:widowControl w:val="0"/>
        <w:spacing w:before="240" w:line="260" w:lineRule="atLeast"/>
      </w:pPr>
      <w:bookmarkStart w:id="5206" w:name="Counsel_28"/>
      <w:bookmarkEnd w:id="5206"/>
      <w:r>
        <w:rPr>
          <w:rFonts w:ascii="Arial" w:eastAsia="Arial" w:hAnsi="Arial" w:cs="Arial"/>
          <w:b/>
          <w:color w:val="000000"/>
          <w:sz w:val="20"/>
        </w:rPr>
        <w:t>Counsel:</w:t>
      </w:r>
      <w:r>
        <w:rPr>
          <w:rFonts w:ascii="Arial" w:eastAsia="Arial" w:hAnsi="Arial" w:cs="Arial"/>
          <w:color w:val="000000"/>
          <w:sz w:val="20"/>
        </w:rPr>
        <w:t> MIKE ALLEN, Plaintiff - Appellant, Pro se, Wichita, KS.</w:t>
      </w:r>
    </w:p>
    <w:p w:rsidR="00022B47" w:rsidRDefault="00000000">
      <w:pPr>
        <w:pStyle w:val="Normal29"/>
        <w:widowControl w:val="0"/>
        <w:spacing w:before="120" w:line="260" w:lineRule="atLeast"/>
      </w:pPr>
      <w:r>
        <w:rPr>
          <w:rFonts w:ascii="Arial" w:eastAsia="Arial" w:hAnsi="Arial" w:cs="Arial"/>
          <w:color w:val="000000"/>
          <w:sz w:val="20"/>
        </w:rPr>
        <w:t>For KADEN ADAMS, Defendant - Appellee: Emily K. Arida, Ryan Meyer, Fleeson, Gooing, Coulson &amp; Kitch, Wichita, KS.</w:t>
      </w:r>
    </w:p>
    <w:p w:rsidR="00022B47" w:rsidRDefault="00000000">
      <w:pPr>
        <w:pStyle w:val="Normal29"/>
        <w:widowControl w:val="0"/>
        <w:spacing w:before="240" w:line="260" w:lineRule="atLeast"/>
      </w:pPr>
      <w:bookmarkStart w:id="5207" w:name="Judges_28"/>
      <w:bookmarkEnd w:id="5207"/>
      <w:r>
        <w:rPr>
          <w:rFonts w:ascii="Arial" w:eastAsia="Arial" w:hAnsi="Arial" w:cs="Arial"/>
          <w:b/>
          <w:color w:val="000000"/>
          <w:sz w:val="20"/>
        </w:rPr>
        <w:t>Judges:</w:t>
      </w:r>
      <w:r>
        <w:rPr>
          <w:rFonts w:ascii="Arial" w:eastAsia="Arial" w:hAnsi="Arial" w:cs="Arial"/>
          <w:color w:val="000000"/>
          <w:sz w:val="20"/>
        </w:rPr>
        <w:t> Before MORITZ, BRISCOE, and CARSON, Circuit Judges.</w:t>
      </w:r>
    </w:p>
    <w:p w:rsidR="00022B47" w:rsidRDefault="00000000">
      <w:pPr>
        <w:pStyle w:val="Normal29"/>
        <w:widowControl w:val="0"/>
        <w:spacing w:before="240" w:line="260" w:lineRule="atLeast"/>
      </w:pPr>
      <w:bookmarkStart w:id="5208" w:name="Opinion_by_17"/>
      <w:bookmarkEnd w:id="5208"/>
      <w:r>
        <w:rPr>
          <w:rFonts w:ascii="Arial" w:eastAsia="Arial" w:hAnsi="Arial" w:cs="Arial"/>
          <w:b/>
          <w:color w:val="000000"/>
          <w:sz w:val="20"/>
        </w:rPr>
        <w:t>Opinion by:</w:t>
      </w:r>
      <w:r>
        <w:rPr>
          <w:rFonts w:ascii="Arial" w:eastAsia="Arial" w:hAnsi="Arial" w:cs="Arial"/>
          <w:color w:val="000000"/>
          <w:sz w:val="20"/>
        </w:rPr>
        <w:t> Mary Beck Briscoe</w:t>
      </w:r>
    </w:p>
    <w:p w:rsidR="00022B47" w:rsidRDefault="00000000">
      <w:pPr>
        <w:pStyle w:val="Normal29"/>
        <w:keepNext/>
        <w:widowControl w:val="0"/>
        <w:spacing w:before="240" w:line="340" w:lineRule="atLeast"/>
      </w:pPr>
      <w:bookmarkStart w:id="5209" w:name="Opinion_28"/>
      <w:bookmarkEnd w:id="5209"/>
      <w:r>
        <w:rPr>
          <w:rFonts w:ascii="Arial" w:eastAsia="Arial" w:hAnsi="Arial" w:cs="Arial"/>
          <w:b/>
          <w:color w:val="000000"/>
          <w:sz w:val="28"/>
        </w:rPr>
        <w:t>Opinion</w:t>
      </w:r>
    </w:p>
    <w:p w:rsidR="00022B47" w:rsidRDefault="0025213E">
      <w:pPr>
        <w:pStyle w:val="Normal29"/>
        <w:spacing w:line="60" w:lineRule="exact"/>
      </w:pPr>
      <w:r>
        <w:rPr>
          <w:noProof/>
        </w:rPr>
        <mc:AlternateContent>
          <mc:Choice Requires="wps">
            <w:drawing>
              <wp:anchor distT="0" distB="0" distL="114300" distR="114300" simplePos="0" relativeHeight="251720704"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557229138"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72CD27" id="Line 63"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29"/>
        <w:spacing w:line="120" w:lineRule="exact"/>
      </w:pPr>
    </w:p>
    <w:p w:rsidR="00022B47" w:rsidRDefault="00000000">
      <w:pPr>
        <w:pStyle w:val="Normal29"/>
        <w:widowControl w:val="0"/>
        <w:spacing w:before="240" w:line="260" w:lineRule="atLeast"/>
      </w:pPr>
      <w:r>
        <w:br/>
      </w:r>
      <w:r>
        <w:rPr>
          <w:rFonts w:ascii="Arial" w:eastAsia="Arial" w:hAnsi="Arial" w:cs="Arial"/>
          <w:b/>
          <w:color w:val="000000"/>
          <w:sz w:val="20"/>
        </w:rPr>
        <w:t>ORDER AND JUDGMENT</w:t>
      </w:r>
      <w:r>
        <w:rPr>
          <w:rFonts w:ascii="Arial" w:eastAsia="Arial" w:hAnsi="Arial" w:cs="Arial"/>
          <w:vertAlign w:val="superscript"/>
        </w:rPr>
        <w:footnoteReference w:customMarkFollows="1" w:id="135"/>
        <w:t>*</w:t>
      </w:r>
    </w:p>
    <w:p w:rsidR="00022B47" w:rsidRDefault="00000000">
      <w:pPr>
        <w:pStyle w:val="Normal29"/>
        <w:widowControl w:val="0"/>
        <w:spacing w:before="200" w:line="260" w:lineRule="atLeast"/>
        <w:jc w:val="both"/>
      </w:pPr>
      <w:bookmarkStart w:id="5211" w:name="Bookmark_para_3_28"/>
      <w:bookmarkEnd w:id="5211"/>
      <w:r>
        <w:rPr>
          <w:rFonts w:ascii="Arial" w:eastAsia="Arial" w:hAnsi="Arial" w:cs="Arial"/>
          <w:color w:val="000000"/>
          <w:sz w:val="20"/>
        </w:rPr>
        <w:t>Mike Allen appeals the district court's grant of Kaden Adams's motion to dismiss for failure to state a claim and entry of judgment with prejudice. Exercising jurisdiction under 28 U.S.C. § 1291, we AFFIRM.</w:t>
      </w:r>
    </w:p>
    <w:p w:rsidR="00022B47" w:rsidRDefault="00000000">
      <w:pPr>
        <w:pStyle w:val="Normal29"/>
        <w:widowControl w:val="0"/>
        <w:spacing w:before="240" w:line="260" w:lineRule="atLeast"/>
      </w:pPr>
      <w:r>
        <w:br/>
      </w:r>
      <w:r>
        <w:rPr>
          <w:rFonts w:ascii="Arial" w:eastAsia="Arial" w:hAnsi="Arial" w:cs="Arial"/>
          <w:b/>
          <w:color w:val="000000"/>
          <w:sz w:val="20"/>
        </w:rPr>
        <w:t>I. Background</w:t>
      </w:r>
    </w:p>
    <w:p w:rsidR="00022B47" w:rsidRDefault="00000000">
      <w:pPr>
        <w:pStyle w:val="Normal29"/>
        <w:widowControl w:val="0"/>
        <w:spacing w:before="200" w:line="260" w:lineRule="atLeast"/>
        <w:jc w:val="both"/>
      </w:pPr>
      <w:bookmarkStart w:id="5212" w:name="Bookmark_para_4_28"/>
      <w:bookmarkEnd w:id="5212"/>
      <w:r>
        <w:rPr>
          <w:rFonts w:ascii="Arial" w:eastAsia="Arial" w:hAnsi="Arial" w:cs="Arial"/>
          <w:color w:val="000000"/>
          <w:sz w:val="20"/>
        </w:rPr>
        <w:t>Allen is disabled. In or around August of 2021, the Martin Pringle law firm in Wichita, Kansas, referred Allen to Kaden Adams, an accountant at Adams &amp; Associates (referred to by Allen as "Dave Adams and Associates"). While the parties never had a written agreement, Adams agreed to assist Allen recover withheld taxes from 2016. Allen mailed a 1040 tax return and W-2 for 2016 to Adams, as well as a "Social Security disability document, and a copy of another attorney's document." ROA at 9.</w:t>
      </w:r>
    </w:p>
    <w:p w:rsidR="00022B47" w:rsidRDefault="00000000">
      <w:pPr>
        <w:pStyle w:val="Normal29"/>
        <w:widowControl w:val="0"/>
        <w:spacing w:before="200" w:line="260" w:lineRule="atLeast"/>
        <w:jc w:val="both"/>
      </w:pPr>
      <w:bookmarkStart w:id="5213" w:name="Bookmark_para_5_28"/>
      <w:bookmarkEnd w:id="5213"/>
      <w:r>
        <w:rPr>
          <w:rFonts w:ascii="Arial" w:eastAsia="Arial" w:hAnsi="Arial" w:cs="Arial"/>
          <w:color w:val="000000"/>
          <w:sz w:val="20"/>
        </w:rPr>
        <w:t>On August 31, 2021, Allen called Adams seeking an update. Adams told Allen the statute of limitations for a 2016 tax refund had run. The next day, Allen called Adams's office and spoke to an unidentified woman. [*2]  He requested his documents be mailed back to him. Allen called Adams's office again with the same request on September 5, and again on September 7. On the September 7 call, Adams told Allen he would mail the documents back that day. As of the filing of Allen's complaint on September 12, 2021, he had not received his documents.</w:t>
      </w:r>
      <w:r>
        <w:rPr>
          <w:rFonts w:ascii="Arial" w:eastAsia="Arial" w:hAnsi="Arial" w:cs="Arial"/>
          <w:vertAlign w:val="superscript"/>
        </w:rPr>
        <w:footnoteReference w:customMarkFollows="1" w:id="136"/>
        <w:t>1</w:t>
      </w:r>
    </w:p>
    <w:p w:rsidR="00022B47" w:rsidRDefault="00000000">
      <w:pPr>
        <w:pStyle w:val="Normal29"/>
        <w:widowControl w:val="0"/>
        <w:spacing w:before="200" w:line="260" w:lineRule="atLeast"/>
        <w:jc w:val="both"/>
      </w:pPr>
      <w:bookmarkStart w:id="5215" w:name="Bookmark_para_6_28"/>
      <w:bookmarkEnd w:id="5215"/>
      <w:r>
        <w:rPr>
          <w:rFonts w:ascii="Arial" w:eastAsia="Arial" w:hAnsi="Arial" w:cs="Arial"/>
          <w:color w:val="000000"/>
          <w:sz w:val="20"/>
        </w:rPr>
        <w:t xml:space="preserve">Allen's complaint asserted claims under the Americans with Disabilities Act ("ADA"), 42 U.S.C. § 12101 </w:t>
      </w:r>
      <w:r>
        <w:rPr>
          <w:rFonts w:ascii="Arial" w:eastAsia="Arial" w:hAnsi="Arial" w:cs="Arial"/>
          <w:i/>
          <w:color w:val="000000"/>
          <w:sz w:val="20"/>
        </w:rPr>
        <w:t>et seq.</w:t>
      </w:r>
      <w:r>
        <w:rPr>
          <w:rFonts w:ascii="Arial" w:eastAsia="Arial" w:hAnsi="Arial" w:cs="Arial"/>
          <w:color w:val="000000"/>
          <w:sz w:val="20"/>
        </w:rPr>
        <w:t>, and a provision of the United States Criminal Code, 18 U.S.C. § 1028. He stated that he wished to recover "[a]ll future expenses arising from this petition" and that the relief sought was "[t]o protect the plaintiff from discrimination against the disabled." ROA at 7. He checked boxes on a form complaint indicating he claims both actual and punitive damages. Where the form indicated he should state the amounts claimed and reasons for entitlement to money damages, Allen wrote: "Any monetary damages arising from this petition." ROA at 11. He also asked for an order directing Adams to return the documents.</w:t>
      </w:r>
    </w:p>
    <w:p w:rsidR="00022B47" w:rsidRDefault="00000000">
      <w:pPr>
        <w:pStyle w:val="Normal29"/>
        <w:widowControl w:val="0"/>
        <w:spacing w:before="200" w:line="260" w:lineRule="atLeast"/>
        <w:jc w:val="both"/>
      </w:pPr>
      <w:bookmarkStart w:id="5216" w:name="Bookmark_para_7_28"/>
      <w:bookmarkEnd w:id="5216"/>
      <w:r>
        <w:rPr>
          <w:rFonts w:ascii="Arial" w:eastAsia="Arial" w:hAnsi="Arial" w:cs="Arial"/>
          <w:color w:val="000000"/>
          <w:sz w:val="20"/>
        </w:rPr>
        <w:t>On October 8, 2021, Adams filed a Rule 12(b)(6) motion to dismiss for failure to state a claim for which relief can be granted. In response, Allen filed a document captioned "Motion to Deny Defendant's Request to Dismiss Plaintiff's Complaint Before [*3]  Returning Plaintiff's Documents to Plaintiff" and attached a document captioned "Objection to Dismiss Plaintiff's Complaint Before Returning Plaintiff's Documents to Plaintiff," both of which asserted that, if the court determined Allen had no remedy under the ADA, two provisions of the United States Tax Code, 26 U.S.C. §§ 6694 and 6695, would compel Adams to return the documents. ROA at 27-30. Allen then filed a document captioned "Objection to Dismiss Plaintiff's Complaint with Prejudice." ROA at 35.</w:t>
      </w:r>
    </w:p>
    <w:p w:rsidR="00022B47" w:rsidRDefault="00000000">
      <w:pPr>
        <w:pStyle w:val="Normal29"/>
        <w:widowControl w:val="0"/>
        <w:spacing w:before="200" w:line="260" w:lineRule="atLeast"/>
        <w:jc w:val="both"/>
      </w:pPr>
      <w:bookmarkStart w:id="5217" w:name="Bookmark_para_8_27"/>
      <w:bookmarkEnd w:id="5217"/>
      <w:r>
        <w:rPr>
          <w:rFonts w:ascii="Arial" w:eastAsia="Arial" w:hAnsi="Arial" w:cs="Arial"/>
          <w:color w:val="000000"/>
          <w:sz w:val="20"/>
        </w:rPr>
        <w:t>On November 12, 2021, the district court granted Adams's motion to dismiss and dismissed the case without prejudice. Allen filed a notice of appeal, but we abated the appeal when Adams filed a motion to alter or amend the judgment, requesting the district court correct its dismissal without prejudice to a dismissal with prejudice. Allen requested that counsel be appointed, but the district court denied his motion. Allen did not otherwise respond to the motion to alter or amend the judgment. The district court then granted Adams's motion and dismissed the case with prejudice. We lifted the abatement and now affirm.</w:t>
      </w:r>
    </w:p>
    <w:p w:rsidR="00022B47" w:rsidRDefault="00000000">
      <w:pPr>
        <w:pStyle w:val="Normal29"/>
        <w:widowControl w:val="0"/>
        <w:spacing w:before="240" w:line="260" w:lineRule="atLeast"/>
      </w:pPr>
      <w:r>
        <w:br/>
      </w:r>
      <w:r>
        <w:rPr>
          <w:rFonts w:ascii="Arial" w:eastAsia="Arial" w:hAnsi="Arial" w:cs="Arial"/>
          <w:b/>
          <w:color w:val="000000"/>
          <w:sz w:val="20"/>
        </w:rPr>
        <w:t>II. Standard of Review</w:t>
      </w:r>
    </w:p>
    <w:p w:rsidR="00022B47" w:rsidRDefault="00000000">
      <w:pPr>
        <w:pStyle w:val="Normal29"/>
        <w:widowControl w:val="0"/>
        <w:spacing w:before="200" w:line="260" w:lineRule="atLeast"/>
        <w:jc w:val="both"/>
      </w:pPr>
      <w:bookmarkStart w:id="5218" w:name="Bookmark_para_9_27"/>
      <w:bookmarkStart w:id="5219" w:name="Bookmark_I650XFMF28T5080020000400"/>
      <w:bookmarkStart w:id="5220" w:name="Bookmark_I650XFMF28T5080040000400"/>
      <w:bookmarkStart w:id="5221" w:name="Bookmark_LNHNREFclscc1_26"/>
      <w:bookmarkEnd w:id="5218"/>
      <w:bookmarkEnd w:id="5219"/>
      <w:bookmarkEnd w:id="5220"/>
      <w:bookmarkEnd w:id="5221"/>
      <w:r>
        <w:rPr>
          <w:rFonts w:ascii="Arial" w:eastAsia="Arial" w:hAnsi="Arial" w:cs="Arial"/>
          <w:color w:val="000000"/>
          <w:sz w:val="20"/>
        </w:rPr>
        <w:t xml:space="preserve">We review de novo a district court's decision to dismiss a complaint pursuant [*4]  to Rule 12(b)(6) for failure to state a claim. </w:t>
      </w:r>
      <w:bookmarkStart w:id="5222" w:name="Bookmark_I650XFMG2N1RRC0030000400"/>
      <w:bookmarkStart w:id="5223" w:name="Bookmark_I650XFMF28T5080010000400"/>
      <w:bookmarkEnd w:id="5222"/>
      <w:bookmarkEnd w:id="5223"/>
      <w:r>
        <w:rPr>
          <w:rFonts w:ascii="Arial" w:eastAsia="Arial" w:hAnsi="Arial" w:cs="Arial"/>
          <w:i/>
          <w:color w:val="000000"/>
          <w:sz w:val="20"/>
        </w:rPr>
        <w:t>Smallen v. The Western Union Co.</w:t>
      </w:r>
      <w:r>
        <w:rPr>
          <w:rFonts w:ascii="Arial" w:eastAsia="Arial" w:hAnsi="Arial" w:cs="Arial"/>
          <w:color w:val="000000"/>
          <w:sz w:val="20"/>
        </w:rPr>
        <w:t xml:space="preserve">, 950 F.3d 1297, 1305 (10th Cir. 2020). "To survive a motion to dismiss, a complaint must contain sufficient factual matter, accepted as true, to 'state a claim to relief that is plausible on its face.'" </w:t>
      </w:r>
      <w:bookmarkStart w:id="5224" w:name="Bookmark_I650XFMF28T5080030000400"/>
      <w:bookmarkEnd w:id="5224"/>
      <w:r>
        <w:rPr>
          <w:rFonts w:ascii="Arial" w:eastAsia="Arial" w:hAnsi="Arial" w:cs="Arial"/>
          <w:i/>
          <w:color w:val="000000"/>
          <w:sz w:val="20"/>
        </w:rPr>
        <w:t>Ashcroft v. Iqbal</w:t>
      </w:r>
      <w:r>
        <w:rPr>
          <w:rFonts w:ascii="Arial" w:eastAsia="Arial" w:hAnsi="Arial" w:cs="Arial"/>
          <w:color w:val="000000"/>
          <w:sz w:val="20"/>
        </w:rPr>
        <w:t xml:space="preserve">, 556 U.S. 662, 678, 129 S. Ct. 1937, 173 L. Ed. 2d 868 (2009) (quoting </w:t>
      </w:r>
      <w:bookmarkStart w:id="5225" w:name="Bookmark_I650XFMF28T5080050000400"/>
      <w:bookmarkEnd w:id="5225"/>
      <w:r>
        <w:rPr>
          <w:rFonts w:ascii="Arial" w:eastAsia="Arial" w:hAnsi="Arial" w:cs="Arial"/>
          <w:i/>
          <w:color w:val="000000"/>
          <w:sz w:val="20"/>
        </w:rPr>
        <w:t>Bell Atlantic Corp. v. Twombly</w:t>
      </w:r>
      <w:r>
        <w:rPr>
          <w:rFonts w:ascii="Arial" w:eastAsia="Arial" w:hAnsi="Arial" w:cs="Arial"/>
          <w:color w:val="000000"/>
          <w:sz w:val="20"/>
        </w:rPr>
        <w:t xml:space="preserve">, 550 U.S. 544, 570, 127 S. Ct. 1955, 167 L. Ed. 2d 929 (2007)). </w:t>
      </w:r>
      <w:bookmarkStart w:id="5226" w:name="Bookmark_I650XFMG2N1RRC0030000400_2"/>
      <w:bookmarkEnd w:id="5226"/>
      <w:r>
        <w:rPr>
          <w:rFonts w:ascii="Arial" w:eastAsia="Arial" w:hAnsi="Arial" w:cs="Arial"/>
          <w:color w:val="000000"/>
          <w:sz w:val="20"/>
        </w:rPr>
        <w:t xml:space="preserve">"A claim has facial plausibility when the plaintiff pleads factual content that allows the court to draw the reasonable inference that the defendant is liable for the misconduct alleged." </w:t>
      </w:r>
      <w:r>
        <w:rPr>
          <w:rFonts w:ascii="Arial" w:eastAsia="Arial" w:hAnsi="Arial" w:cs="Arial"/>
          <w:i/>
          <w:color w:val="000000"/>
          <w:sz w:val="20"/>
        </w:rPr>
        <w:t>Id.</w:t>
      </w:r>
      <w:r>
        <w:rPr>
          <w:rFonts w:ascii="Arial" w:eastAsia="Arial" w:hAnsi="Arial" w:cs="Arial"/>
          <w:color w:val="000000"/>
          <w:sz w:val="20"/>
        </w:rPr>
        <w:t xml:space="preserve"> "The plausibility standard is not akin to a 'probability requirement,' but it asks for more than a sheer possibility that a defendant has acted unlawfully." </w:t>
      </w:r>
      <w:r>
        <w:rPr>
          <w:rFonts w:ascii="Arial" w:eastAsia="Arial" w:hAnsi="Arial" w:cs="Arial"/>
          <w:i/>
          <w:color w:val="000000"/>
          <w:sz w:val="20"/>
        </w:rPr>
        <w:t>Id.</w:t>
      </w:r>
      <w:r>
        <w:rPr>
          <w:rFonts w:ascii="Arial" w:eastAsia="Arial" w:hAnsi="Arial" w:cs="Arial"/>
          <w:color w:val="000000"/>
          <w:sz w:val="20"/>
        </w:rPr>
        <w:t xml:space="preserve"> (quoting </w:t>
      </w:r>
      <w:bookmarkStart w:id="5227" w:name="Bookmark_I650XFMG2N1RRC0020000400"/>
      <w:bookmarkEnd w:id="5227"/>
      <w:r>
        <w:rPr>
          <w:rFonts w:ascii="Arial" w:eastAsia="Arial" w:hAnsi="Arial" w:cs="Arial"/>
          <w:i/>
          <w:color w:val="000000"/>
          <w:sz w:val="20"/>
        </w:rPr>
        <w:t>Twombly</w:t>
      </w:r>
      <w:r>
        <w:rPr>
          <w:rFonts w:ascii="Arial" w:eastAsia="Arial" w:hAnsi="Arial" w:cs="Arial"/>
          <w:color w:val="000000"/>
          <w:sz w:val="20"/>
        </w:rPr>
        <w:t xml:space="preserve">, 550 U.S. at 556). "Where a complaint pleads facts that are merely consistent with a defendant's liability, it stops short of the line between possibility and plausibility of entitlement to relief." </w:t>
      </w:r>
      <w:r>
        <w:rPr>
          <w:rFonts w:ascii="Arial" w:eastAsia="Arial" w:hAnsi="Arial" w:cs="Arial"/>
          <w:i/>
          <w:color w:val="000000"/>
          <w:sz w:val="20"/>
        </w:rPr>
        <w:t>Id.</w:t>
      </w:r>
      <w:r>
        <w:rPr>
          <w:rFonts w:ascii="Arial" w:eastAsia="Arial" w:hAnsi="Arial" w:cs="Arial"/>
          <w:color w:val="000000"/>
          <w:sz w:val="20"/>
        </w:rPr>
        <w:t xml:space="preserve"> (quotation marks omitted).</w:t>
      </w:r>
    </w:p>
    <w:p w:rsidR="00022B47" w:rsidRDefault="00000000">
      <w:pPr>
        <w:pStyle w:val="Normal29"/>
        <w:widowControl w:val="0"/>
        <w:spacing w:before="200" w:line="260" w:lineRule="atLeast"/>
        <w:jc w:val="both"/>
      </w:pPr>
      <w:bookmarkStart w:id="5228" w:name="Bookmark_para_10_27"/>
      <w:bookmarkStart w:id="5229" w:name="Bookmark_I650XFMG2N1RRC0050000400"/>
      <w:bookmarkStart w:id="5230" w:name="Bookmark_I650XFMH2SF7RW0020000400"/>
      <w:bookmarkStart w:id="5231" w:name="Bookmark_LNHNREFclscc2_26"/>
      <w:bookmarkEnd w:id="5228"/>
      <w:bookmarkEnd w:id="5229"/>
      <w:bookmarkEnd w:id="5230"/>
      <w:bookmarkEnd w:id="5231"/>
      <w:r>
        <w:rPr>
          <w:rFonts w:ascii="Arial" w:eastAsia="Arial" w:hAnsi="Arial" w:cs="Arial"/>
          <w:color w:val="000000"/>
          <w:sz w:val="20"/>
        </w:rPr>
        <w:t xml:space="preserve">We review a district court's denial of leave to amend for abuse of discretion. </w:t>
      </w:r>
      <w:bookmarkStart w:id="5232" w:name="Bookmark_I650XFMG2N1RRC0040000400"/>
      <w:bookmarkEnd w:id="5232"/>
      <w:r>
        <w:rPr>
          <w:rFonts w:ascii="Arial" w:eastAsia="Arial" w:hAnsi="Arial" w:cs="Arial"/>
          <w:i/>
          <w:color w:val="000000"/>
          <w:sz w:val="20"/>
        </w:rPr>
        <w:t>Carroll v. Lawton Indep. Sch. Dist. No. 8</w:t>
      </w:r>
      <w:r>
        <w:rPr>
          <w:rFonts w:ascii="Arial" w:eastAsia="Arial" w:hAnsi="Arial" w:cs="Arial"/>
          <w:color w:val="000000"/>
          <w:sz w:val="20"/>
        </w:rPr>
        <w:t xml:space="preserve">, 805 F.3d 1222, 1231 (10th Cir. 2015). This review "includes de novo review of the legal basis for the finding of futility" of a proposed amendment." </w:t>
      </w:r>
      <w:bookmarkStart w:id="5233" w:name="Bookmark_I650XFMH2SF7RW0010000400"/>
      <w:bookmarkEnd w:id="5233"/>
      <w:r>
        <w:rPr>
          <w:rFonts w:ascii="Arial" w:eastAsia="Arial" w:hAnsi="Arial" w:cs="Arial"/>
          <w:i/>
          <w:color w:val="000000"/>
          <w:sz w:val="20"/>
        </w:rPr>
        <w:t>Adams v. C3 Pipeline Constr. Inc.</w:t>
      </w:r>
      <w:r>
        <w:rPr>
          <w:rFonts w:ascii="Arial" w:eastAsia="Arial" w:hAnsi="Arial" w:cs="Arial"/>
          <w:color w:val="000000"/>
          <w:sz w:val="20"/>
        </w:rPr>
        <w:t>, 17 F.4th 40, 69 (10th Cir. 2021).</w:t>
      </w:r>
    </w:p>
    <w:p w:rsidR="00022B47" w:rsidRDefault="00000000">
      <w:pPr>
        <w:pStyle w:val="Normal29"/>
        <w:widowControl w:val="0"/>
        <w:spacing w:before="240" w:line="260" w:lineRule="atLeast"/>
      </w:pPr>
      <w:r>
        <w:br/>
      </w:r>
      <w:r>
        <w:rPr>
          <w:rFonts w:ascii="Arial" w:eastAsia="Arial" w:hAnsi="Arial" w:cs="Arial"/>
          <w:b/>
          <w:color w:val="000000"/>
          <w:sz w:val="20"/>
        </w:rPr>
        <w:t>III. The District Court Did Not Err</w:t>
      </w:r>
      <w:r>
        <w:rPr>
          <w:rFonts w:ascii="Arial" w:eastAsia="Arial" w:hAnsi="Arial" w:cs="Arial"/>
          <w:color w:val="000000"/>
          <w:sz w:val="20"/>
        </w:rPr>
        <w:t>.</w:t>
      </w:r>
    </w:p>
    <w:p w:rsidR="00022B47" w:rsidRDefault="00000000">
      <w:pPr>
        <w:pStyle w:val="Normal29"/>
        <w:widowControl w:val="0"/>
        <w:spacing w:before="200" w:line="260" w:lineRule="atLeast"/>
        <w:jc w:val="both"/>
      </w:pPr>
      <w:bookmarkStart w:id="5234" w:name="Bookmark_para_11_27"/>
      <w:bookmarkEnd w:id="5234"/>
      <w:r>
        <w:rPr>
          <w:rFonts w:ascii="Arial" w:eastAsia="Arial" w:hAnsi="Arial" w:cs="Arial"/>
          <w:color w:val="000000"/>
          <w:sz w:val="20"/>
        </w:rPr>
        <w:t>Allen's opening and reply briefs do not clearly state the issues on appeal. Adams frames the issues as:</w:t>
      </w:r>
    </w:p>
    <w:p w:rsidR="00022B47" w:rsidRDefault="00000000">
      <w:pPr>
        <w:pStyle w:val="Normal29"/>
        <w:widowControl w:val="0"/>
        <w:spacing w:before="200" w:line="260" w:lineRule="atLeast"/>
        <w:ind w:left="400"/>
        <w:jc w:val="both"/>
      </w:pPr>
      <w:bookmarkStart w:id="5235" w:name="Bookmark_para_12_27"/>
      <w:bookmarkEnd w:id="5235"/>
      <w:r>
        <w:rPr>
          <w:rFonts w:ascii="Arial" w:eastAsia="Arial" w:hAnsi="Arial" w:cs="Arial"/>
          <w:color w:val="000000"/>
          <w:sz w:val="20"/>
        </w:rPr>
        <w:t>1. Was the district court correct in granting Mr. Adams' motion to dismiss Mr. Allen's [*5]  complaint for failure to state a claim upon which relief can be granted?</w:t>
      </w:r>
    </w:p>
    <w:p w:rsidR="00022B47" w:rsidRDefault="00000000">
      <w:pPr>
        <w:pStyle w:val="Normal29"/>
        <w:widowControl w:val="0"/>
        <w:spacing w:line="260" w:lineRule="atLeast"/>
        <w:ind w:left="400"/>
        <w:jc w:val="both"/>
      </w:pPr>
      <w:bookmarkStart w:id="5236" w:name="Bookmark_para_13_27"/>
      <w:bookmarkEnd w:id="5236"/>
      <w:r>
        <w:rPr>
          <w:rFonts w:ascii="Arial" w:eastAsia="Arial" w:hAnsi="Arial" w:cs="Arial"/>
          <w:color w:val="000000"/>
          <w:sz w:val="20"/>
        </w:rPr>
        <w:t>2. Did the district court correctly deny Mr. Allen's motion for leave to amend as futile?</w:t>
      </w:r>
    </w:p>
    <w:p w:rsidR="00022B47" w:rsidRDefault="00000000">
      <w:pPr>
        <w:pStyle w:val="Normal29"/>
        <w:widowControl w:val="0"/>
        <w:spacing w:line="260" w:lineRule="atLeast"/>
        <w:jc w:val="both"/>
      </w:pPr>
      <w:r>
        <w:rPr>
          <w:rFonts w:ascii="Arial" w:eastAsia="Arial" w:hAnsi="Arial" w:cs="Arial"/>
          <w:color w:val="000000"/>
          <w:sz w:val="20"/>
        </w:rPr>
        <w:t>Aple. Br. at 3.</w:t>
      </w:r>
    </w:p>
    <w:p w:rsidR="00022B47" w:rsidRDefault="00000000">
      <w:pPr>
        <w:pStyle w:val="Normal29"/>
        <w:widowControl w:val="0"/>
        <w:spacing w:before="200" w:line="260" w:lineRule="atLeast"/>
        <w:jc w:val="both"/>
      </w:pPr>
      <w:bookmarkStart w:id="5237" w:name="Bookmark_para_14_27"/>
      <w:bookmarkStart w:id="5238" w:name="Bookmark_I650XFMH2SF7RW0040000400"/>
      <w:bookmarkStart w:id="5239" w:name="Bookmark_LNHNREFclscc3_26"/>
      <w:bookmarkEnd w:id="5237"/>
      <w:bookmarkEnd w:id="5238"/>
      <w:bookmarkEnd w:id="5239"/>
      <w:r>
        <w:rPr>
          <w:rFonts w:ascii="Arial" w:eastAsia="Arial" w:hAnsi="Arial" w:cs="Arial"/>
          <w:color w:val="000000"/>
          <w:sz w:val="20"/>
        </w:rPr>
        <w:t xml:space="preserve">We liberally construe pro se filings, but we "will not supply additional factual allegations to round out a plaintiff's complaint or construct a legal theory on a plaintiff's behalf." </w:t>
      </w:r>
      <w:bookmarkStart w:id="5240" w:name="Bookmark_I650XFMH2SF7RW0030000400"/>
      <w:bookmarkEnd w:id="5240"/>
      <w:r>
        <w:rPr>
          <w:rFonts w:ascii="Arial" w:eastAsia="Arial" w:hAnsi="Arial" w:cs="Arial"/>
          <w:i/>
          <w:color w:val="000000"/>
          <w:sz w:val="20"/>
        </w:rPr>
        <w:t>Whitney v. New Mexico</w:t>
      </w:r>
      <w:r>
        <w:rPr>
          <w:rFonts w:ascii="Arial" w:eastAsia="Arial" w:hAnsi="Arial" w:cs="Arial"/>
          <w:color w:val="000000"/>
          <w:sz w:val="20"/>
        </w:rPr>
        <w:t>, 113 F.3d 1170, 1173-74 (10th Cir. 1997). Liberally construing Allen's filings, we review the district court's dismissal of Allen's claim for violation of the ADA, dismissal of a claim under the United States Criminal Code, and refusal to grant leave to amend to add claims under the United States Tax Code.</w:t>
      </w:r>
      <w:r>
        <w:rPr>
          <w:rFonts w:ascii="Arial" w:eastAsia="Arial" w:hAnsi="Arial" w:cs="Arial"/>
          <w:vertAlign w:val="superscript"/>
        </w:rPr>
        <w:footnoteReference w:customMarkFollows="1" w:id="137"/>
        <w:t>2</w:t>
      </w:r>
    </w:p>
    <w:p w:rsidR="00022B47" w:rsidRDefault="00000000">
      <w:pPr>
        <w:pStyle w:val="Normal29"/>
        <w:widowControl w:val="0"/>
        <w:spacing w:before="120" w:line="260" w:lineRule="atLeast"/>
      </w:pPr>
      <w:r>
        <w:rPr>
          <w:rFonts w:ascii="Arial" w:eastAsia="Arial" w:hAnsi="Arial" w:cs="Arial"/>
          <w:color w:val="000000"/>
          <w:sz w:val="20"/>
        </w:rPr>
        <w:t xml:space="preserve">A. </w:t>
      </w:r>
      <w:r>
        <w:rPr>
          <w:rFonts w:ascii="Arial" w:eastAsia="Arial" w:hAnsi="Arial" w:cs="Arial"/>
          <w:color w:val="000000"/>
          <w:sz w:val="20"/>
          <w:u w:val="single"/>
        </w:rPr>
        <w:t>ADA Claims</w:t>
      </w:r>
    </w:p>
    <w:p w:rsidR="00022B47" w:rsidRDefault="00000000">
      <w:pPr>
        <w:pStyle w:val="Normal29"/>
        <w:widowControl w:val="0"/>
        <w:spacing w:before="200" w:line="260" w:lineRule="atLeast"/>
        <w:jc w:val="both"/>
      </w:pPr>
      <w:bookmarkStart w:id="5242" w:name="Bookmark_para_15_27"/>
      <w:bookmarkStart w:id="5243" w:name="Bookmark_LNHNREFclscc4_26"/>
      <w:bookmarkEnd w:id="5242"/>
      <w:bookmarkEnd w:id="5243"/>
      <w:r>
        <w:rPr>
          <w:rFonts w:ascii="Arial" w:eastAsia="Arial" w:hAnsi="Arial" w:cs="Arial"/>
          <w:color w:val="000000"/>
          <w:sz w:val="20"/>
        </w:rPr>
        <w:t xml:space="preserve">The ADA protects against discrimination on the basis of disability. Title I protects against employment discrimination; Title II protects against discrimination by public entities; and Title III protects against discrimination by owners or operators of public accommodations. </w:t>
      </w:r>
      <w:r>
        <w:rPr>
          <w:rFonts w:ascii="Arial" w:eastAsia="Arial" w:hAnsi="Arial" w:cs="Arial"/>
          <w:i/>
          <w:color w:val="000000"/>
          <w:sz w:val="20"/>
        </w:rPr>
        <w:t>See</w:t>
      </w:r>
      <w:r>
        <w:rPr>
          <w:rFonts w:ascii="Arial" w:eastAsia="Arial" w:hAnsi="Arial" w:cs="Arial"/>
          <w:color w:val="000000"/>
          <w:sz w:val="20"/>
        </w:rPr>
        <w:t xml:space="preserve"> 42 U.S.C. §§ 12112(a), 12132, &amp; 12182(a). Allen never specified which title of the ADA he claims Adams has violated. The district court assumed he meant to assert a claim under Title III, and we agree. The facts Allen alleged are inconsistent with a Title I or Title II claim because Allen does not claim Adams [*6]  employed him or that Adams is a public entity.</w:t>
      </w:r>
    </w:p>
    <w:p w:rsidR="00022B47" w:rsidRDefault="00000000">
      <w:pPr>
        <w:pStyle w:val="Normal29"/>
        <w:widowControl w:val="0"/>
        <w:spacing w:before="200" w:line="260" w:lineRule="atLeast"/>
        <w:jc w:val="both"/>
      </w:pPr>
      <w:bookmarkStart w:id="5244" w:name="Bookmark_para_16_27"/>
      <w:bookmarkStart w:id="5245" w:name="Bookmark_I650XFMH2D6NPH0010000400"/>
      <w:bookmarkStart w:id="5246" w:name="Bookmark_LNHNREFclscc5_26"/>
      <w:bookmarkEnd w:id="5244"/>
      <w:bookmarkEnd w:id="5245"/>
      <w:bookmarkEnd w:id="5246"/>
      <w:r>
        <w:rPr>
          <w:rFonts w:ascii="Arial" w:eastAsia="Arial" w:hAnsi="Arial" w:cs="Arial"/>
          <w:color w:val="000000"/>
          <w:sz w:val="20"/>
        </w:rPr>
        <w:t xml:space="preserve">To state a claim under Title III of the ADA, Allen must allege: (1) that he is disabled under the ADA; (2) that Adams owns, leases, or operates a place of public accommodation; and (3) that Adams discriminated against Allen on the basis of his disability. </w:t>
      </w:r>
      <w:r>
        <w:rPr>
          <w:rFonts w:ascii="Arial" w:eastAsia="Arial" w:hAnsi="Arial" w:cs="Arial"/>
          <w:i/>
          <w:color w:val="000000"/>
          <w:sz w:val="20"/>
        </w:rPr>
        <w:t>See</w:t>
      </w:r>
      <w:r>
        <w:rPr>
          <w:rFonts w:ascii="Arial" w:eastAsia="Arial" w:hAnsi="Arial" w:cs="Arial"/>
          <w:color w:val="000000"/>
          <w:sz w:val="20"/>
        </w:rPr>
        <w:t xml:space="preserve"> 42 U.S.C. § 12182; </w:t>
      </w:r>
      <w:bookmarkStart w:id="5247" w:name="Bookmark_I650XFMH2SF7RW0050000400"/>
      <w:bookmarkEnd w:id="5247"/>
      <w:r>
        <w:rPr>
          <w:rFonts w:ascii="Arial" w:eastAsia="Arial" w:hAnsi="Arial" w:cs="Arial"/>
          <w:i/>
          <w:color w:val="000000"/>
          <w:sz w:val="20"/>
        </w:rPr>
        <w:t>Roberts v. Royal Atlantic Corp.</w:t>
      </w:r>
      <w:r>
        <w:rPr>
          <w:rFonts w:ascii="Arial" w:eastAsia="Arial" w:hAnsi="Arial" w:cs="Arial"/>
          <w:color w:val="000000"/>
          <w:sz w:val="20"/>
        </w:rPr>
        <w:t>, 542 F.3d 363, 368 (2d Cir. 2008).</w:t>
      </w:r>
    </w:p>
    <w:p w:rsidR="00022B47" w:rsidRDefault="00000000">
      <w:pPr>
        <w:pStyle w:val="Normal29"/>
        <w:widowControl w:val="0"/>
        <w:spacing w:before="200" w:line="260" w:lineRule="atLeast"/>
        <w:jc w:val="both"/>
      </w:pPr>
      <w:bookmarkStart w:id="5248" w:name="Bookmark_para_17_26"/>
      <w:bookmarkEnd w:id="5248"/>
      <w:r>
        <w:rPr>
          <w:rFonts w:ascii="Arial" w:eastAsia="Arial" w:hAnsi="Arial" w:cs="Arial"/>
          <w:color w:val="000000"/>
          <w:sz w:val="20"/>
        </w:rPr>
        <w:t>Adams does not contest that Allen alleged that he is disabled, nor that an accounting firm is a public accommodation. Rather, Adams asserts that Allen never alleged that Adams owns, leases, or operates the public accommodation at issue and that Allen does not plausibly allege that Adams discriminated against Allen on the basis of a disability.</w:t>
      </w:r>
    </w:p>
    <w:p w:rsidR="00022B47" w:rsidRDefault="00000000">
      <w:pPr>
        <w:pStyle w:val="Normal29"/>
        <w:widowControl w:val="0"/>
        <w:spacing w:before="200" w:line="260" w:lineRule="atLeast"/>
        <w:jc w:val="both"/>
      </w:pPr>
      <w:bookmarkStart w:id="5249" w:name="Bookmark_para_18_26"/>
      <w:bookmarkEnd w:id="5249"/>
      <w:r>
        <w:rPr>
          <w:rFonts w:ascii="Arial" w:eastAsia="Arial" w:hAnsi="Arial" w:cs="Arial"/>
          <w:color w:val="000000"/>
          <w:sz w:val="20"/>
        </w:rPr>
        <w:t>Allen's complaint names the defendant as "Kaden Adams aka (Dave Adams and Associates)," but we need not decide whether this is sufficient when liberally construed to assert that Adams owns or operates a public accommodation. Rather, we agree with the district court that Allen failed to allege Adams discriminated against him on the basis of a disability.</w:t>
      </w:r>
    </w:p>
    <w:p w:rsidR="00022B47" w:rsidRDefault="00000000">
      <w:pPr>
        <w:pStyle w:val="Normal29"/>
        <w:widowControl w:val="0"/>
        <w:spacing w:before="200" w:line="260" w:lineRule="atLeast"/>
        <w:jc w:val="both"/>
      </w:pPr>
      <w:bookmarkStart w:id="5250" w:name="Bookmark_para_19_25"/>
      <w:bookmarkEnd w:id="5250"/>
      <w:r>
        <w:rPr>
          <w:rFonts w:ascii="Arial" w:eastAsia="Arial" w:hAnsi="Arial" w:cs="Arial"/>
          <w:color w:val="000000"/>
          <w:sz w:val="20"/>
        </w:rPr>
        <w:t xml:space="preserve">Allen does not plausibly allege that Adams refused to return Allen's documents </w:t>
      </w:r>
      <w:r>
        <w:rPr>
          <w:rFonts w:ascii="Arial" w:eastAsia="Arial" w:hAnsi="Arial" w:cs="Arial"/>
          <w:i/>
          <w:color w:val="000000"/>
          <w:sz w:val="20"/>
        </w:rPr>
        <w:t>because</w:t>
      </w:r>
      <w:r>
        <w:rPr>
          <w:rFonts w:ascii="Arial" w:eastAsia="Arial" w:hAnsi="Arial" w:cs="Arial"/>
          <w:color w:val="000000"/>
          <w:sz w:val="20"/>
        </w:rPr>
        <w:t xml:space="preserve"> Allen is disabled. He does not allege Adams used discriminatory language or committed other forms of overt [*7]  discrimination. </w:t>
      </w:r>
      <w:bookmarkStart w:id="5251" w:name="Bookmark_I650XFMH2D6NPH0030000400"/>
      <w:bookmarkEnd w:id="5251"/>
      <w:r>
        <w:rPr>
          <w:rFonts w:ascii="Arial" w:eastAsia="Arial" w:hAnsi="Arial" w:cs="Arial"/>
          <w:color w:val="000000"/>
          <w:sz w:val="20"/>
        </w:rPr>
        <w:t xml:space="preserve">Aside from a passing statement that "Kaden obviously reserved professional courtesy for some, and then declined service to a disabled person," which is an unsupported assumption, he does not allege that he was subject to disparate treatment. This is the kind of speculation that fails to meet Rule 8's pleading standard. </w:t>
      </w:r>
      <w:r>
        <w:rPr>
          <w:rFonts w:ascii="Arial" w:eastAsia="Arial" w:hAnsi="Arial" w:cs="Arial"/>
          <w:i/>
          <w:color w:val="000000"/>
          <w:sz w:val="20"/>
        </w:rPr>
        <w:t xml:space="preserve">See </w:t>
      </w:r>
      <w:bookmarkStart w:id="5252" w:name="Bookmark_I650XFMH2D6NPH0020000400"/>
      <w:bookmarkEnd w:id="5252"/>
      <w:r>
        <w:rPr>
          <w:rFonts w:ascii="Arial" w:eastAsia="Arial" w:hAnsi="Arial" w:cs="Arial"/>
          <w:i/>
          <w:color w:val="000000"/>
          <w:sz w:val="20"/>
        </w:rPr>
        <w:t>Iqbal</w:t>
      </w:r>
      <w:r>
        <w:rPr>
          <w:rFonts w:ascii="Arial" w:eastAsia="Arial" w:hAnsi="Arial" w:cs="Arial"/>
          <w:color w:val="000000"/>
          <w:sz w:val="20"/>
        </w:rPr>
        <w:t>, 556 U.S. at 678.</w:t>
      </w:r>
    </w:p>
    <w:p w:rsidR="00022B47" w:rsidRDefault="00000000">
      <w:pPr>
        <w:pStyle w:val="Normal29"/>
        <w:widowControl w:val="0"/>
        <w:spacing w:before="120" w:line="260" w:lineRule="atLeast"/>
      </w:pPr>
      <w:r>
        <w:rPr>
          <w:rFonts w:ascii="Arial" w:eastAsia="Arial" w:hAnsi="Arial" w:cs="Arial"/>
          <w:color w:val="000000"/>
          <w:sz w:val="20"/>
        </w:rPr>
        <w:t xml:space="preserve">B. </w:t>
      </w:r>
      <w:r>
        <w:rPr>
          <w:rFonts w:ascii="Arial" w:eastAsia="Arial" w:hAnsi="Arial" w:cs="Arial"/>
          <w:color w:val="000000"/>
          <w:sz w:val="20"/>
          <w:u w:val="single"/>
        </w:rPr>
        <w:t>Criminal Code Claim</w:t>
      </w:r>
    </w:p>
    <w:p w:rsidR="00022B47" w:rsidRDefault="00000000">
      <w:pPr>
        <w:pStyle w:val="Normal29"/>
        <w:widowControl w:val="0"/>
        <w:spacing w:before="200" w:line="260" w:lineRule="atLeast"/>
        <w:jc w:val="both"/>
      </w:pPr>
      <w:bookmarkStart w:id="5253" w:name="Bookmark_para_20_25"/>
      <w:bookmarkStart w:id="5254" w:name="Bookmark_I650XFMH2D6NPH0050000400"/>
      <w:bookmarkEnd w:id="5253"/>
      <w:bookmarkEnd w:id="5254"/>
      <w:r>
        <w:rPr>
          <w:rFonts w:ascii="Arial" w:eastAsia="Arial" w:hAnsi="Arial" w:cs="Arial"/>
          <w:color w:val="000000"/>
          <w:sz w:val="20"/>
        </w:rPr>
        <w:t xml:space="preserve">Allen attempts to assert a claim under </w:t>
      </w:r>
      <w:bookmarkStart w:id="5255" w:name="Bookmark_LNHNREFclscc6_23"/>
      <w:bookmarkEnd w:id="5255"/>
      <w:r>
        <w:rPr>
          <w:rFonts w:ascii="Arial" w:eastAsia="Arial" w:hAnsi="Arial" w:cs="Arial"/>
          <w:color w:val="000000"/>
          <w:sz w:val="20"/>
        </w:rPr>
        <w:t xml:space="preserve">18 U.S.C. § 1028, which criminalizes fraudulent and other activities relating to identification documents. As this statute does not provide a private right of action, the district court correctly dismissed Allen's claim under the United States Criminal Code. </w:t>
      </w:r>
      <w:r>
        <w:rPr>
          <w:rFonts w:ascii="Arial" w:eastAsia="Arial" w:hAnsi="Arial" w:cs="Arial"/>
          <w:i/>
          <w:color w:val="000000"/>
          <w:sz w:val="20"/>
        </w:rPr>
        <w:t xml:space="preserve">See </w:t>
      </w:r>
      <w:bookmarkStart w:id="5256" w:name="Bookmark_I650XFMH2D6NPH0040000400"/>
      <w:bookmarkEnd w:id="5256"/>
      <w:r>
        <w:rPr>
          <w:rFonts w:ascii="Arial" w:eastAsia="Arial" w:hAnsi="Arial" w:cs="Arial"/>
          <w:i/>
          <w:color w:val="000000"/>
          <w:sz w:val="20"/>
        </w:rPr>
        <w:t>Andrews v. Heaton</w:t>
      </w:r>
      <w:r>
        <w:rPr>
          <w:rFonts w:ascii="Arial" w:eastAsia="Arial" w:hAnsi="Arial" w:cs="Arial"/>
          <w:color w:val="000000"/>
          <w:sz w:val="20"/>
        </w:rPr>
        <w:t>, 483 F.3d 1070, 1076 (10th Cir. 2007) ("[D]ismissal . . . was proper because these are criminal statutes that do not provide for a private right of action and are thus not enforceable through a civil action.").</w:t>
      </w:r>
    </w:p>
    <w:p w:rsidR="00022B47" w:rsidRDefault="00000000">
      <w:pPr>
        <w:pStyle w:val="Normal29"/>
        <w:widowControl w:val="0"/>
        <w:spacing w:before="120" w:line="260" w:lineRule="atLeast"/>
      </w:pPr>
      <w:r>
        <w:rPr>
          <w:rFonts w:ascii="Arial" w:eastAsia="Arial" w:hAnsi="Arial" w:cs="Arial"/>
          <w:color w:val="000000"/>
          <w:sz w:val="20"/>
        </w:rPr>
        <w:t xml:space="preserve">C. </w:t>
      </w:r>
      <w:r>
        <w:rPr>
          <w:rFonts w:ascii="Arial" w:eastAsia="Arial" w:hAnsi="Arial" w:cs="Arial"/>
          <w:color w:val="000000"/>
          <w:sz w:val="20"/>
          <w:u w:val="single"/>
        </w:rPr>
        <w:t>Tax Code Claims</w:t>
      </w:r>
    </w:p>
    <w:p w:rsidR="00022B47" w:rsidRDefault="00000000">
      <w:pPr>
        <w:pStyle w:val="Normal29"/>
        <w:widowControl w:val="0"/>
        <w:spacing w:before="200" w:line="260" w:lineRule="atLeast"/>
        <w:jc w:val="both"/>
      </w:pPr>
      <w:bookmarkStart w:id="5257" w:name="Bookmark_para_21_24"/>
      <w:bookmarkEnd w:id="5257"/>
      <w:r>
        <w:rPr>
          <w:rFonts w:ascii="Arial" w:eastAsia="Arial" w:hAnsi="Arial" w:cs="Arial"/>
          <w:color w:val="000000"/>
          <w:sz w:val="20"/>
        </w:rPr>
        <w:t xml:space="preserve">The district court construed Allen's invocation of 26 U.S.C. §§ 6694 and 6695 as a request for leave to amend his complaint to assert claims under those statutes. The district court did not abuse its discretion in denying that motion because </w:t>
      </w:r>
      <w:bookmarkStart w:id="5258" w:name="Bookmark_LNHNREFclscc7_22"/>
      <w:bookmarkEnd w:id="5258"/>
      <w:r>
        <w:rPr>
          <w:rFonts w:ascii="Arial" w:eastAsia="Arial" w:hAnsi="Arial" w:cs="Arial"/>
          <w:color w:val="000000"/>
          <w:sz w:val="20"/>
        </w:rPr>
        <w:t>these statutes are only enforceable by the Secretary of the Internal Revenue Service, and any penalties under those provisions "shall be assessed [*8]  and collected in the same manner as taxes." 26 U.S.C. § 6671. To the extent Allen argues that these provisions are applicable beyond providing a cause of action, he does not explain or develop that argument and it is unclear how these provisions could compel a court to consider Allen's ADA claim differently.</w:t>
      </w:r>
    </w:p>
    <w:p w:rsidR="00022B47" w:rsidRDefault="00000000">
      <w:pPr>
        <w:pStyle w:val="Normal29"/>
        <w:widowControl w:val="0"/>
        <w:spacing w:before="240" w:line="260" w:lineRule="atLeast"/>
      </w:pPr>
      <w:r>
        <w:br/>
      </w:r>
      <w:r>
        <w:rPr>
          <w:rFonts w:ascii="Arial" w:eastAsia="Arial" w:hAnsi="Arial" w:cs="Arial"/>
          <w:b/>
          <w:color w:val="000000"/>
          <w:sz w:val="20"/>
        </w:rPr>
        <w:t>IV. Conclusion</w:t>
      </w:r>
    </w:p>
    <w:p w:rsidR="00022B47" w:rsidRDefault="00000000">
      <w:pPr>
        <w:pStyle w:val="Normal29"/>
        <w:widowControl w:val="0"/>
        <w:spacing w:before="200" w:line="260" w:lineRule="atLeast"/>
        <w:jc w:val="both"/>
      </w:pPr>
      <w:bookmarkStart w:id="5259" w:name="Bookmark_para_22_23"/>
      <w:bookmarkEnd w:id="5259"/>
      <w:r>
        <w:rPr>
          <w:rFonts w:ascii="Arial" w:eastAsia="Arial" w:hAnsi="Arial" w:cs="Arial"/>
          <w:color w:val="000000"/>
          <w:sz w:val="20"/>
        </w:rPr>
        <w:t>Because the district court did not err in dismissing Allen's complaint for failure to state a claim, we AFFIRM.</w:t>
      </w:r>
    </w:p>
    <w:p w:rsidR="00022B47" w:rsidRDefault="00000000">
      <w:pPr>
        <w:pStyle w:val="Normal29"/>
        <w:widowControl w:val="0"/>
        <w:spacing w:before="200" w:line="260" w:lineRule="atLeast"/>
        <w:jc w:val="both"/>
      </w:pPr>
      <w:bookmarkStart w:id="5260" w:name="Bookmark_para_23_22"/>
      <w:bookmarkEnd w:id="5260"/>
      <w:r>
        <w:rPr>
          <w:rFonts w:ascii="Arial" w:eastAsia="Arial" w:hAnsi="Arial" w:cs="Arial"/>
          <w:color w:val="000000"/>
          <w:sz w:val="20"/>
        </w:rPr>
        <w:t>Entered for the Court</w:t>
      </w:r>
    </w:p>
    <w:p w:rsidR="00022B47" w:rsidRDefault="00000000">
      <w:pPr>
        <w:pStyle w:val="Normal29"/>
        <w:widowControl w:val="0"/>
        <w:spacing w:before="200" w:line="260" w:lineRule="atLeast"/>
        <w:jc w:val="both"/>
      </w:pPr>
      <w:bookmarkStart w:id="5261" w:name="Bookmark_para_24_20"/>
      <w:bookmarkEnd w:id="5261"/>
      <w:r>
        <w:rPr>
          <w:rFonts w:ascii="Arial" w:eastAsia="Arial" w:hAnsi="Arial" w:cs="Arial"/>
          <w:color w:val="000000"/>
          <w:sz w:val="20"/>
        </w:rPr>
        <w:t>Mary Beck Briscoe</w:t>
      </w:r>
    </w:p>
    <w:p w:rsidR="00022B47" w:rsidRDefault="00000000">
      <w:pPr>
        <w:pStyle w:val="Normal29"/>
        <w:widowControl w:val="0"/>
        <w:spacing w:before="200" w:line="260" w:lineRule="atLeast"/>
        <w:jc w:val="both"/>
      </w:pPr>
      <w:bookmarkStart w:id="5262" w:name="Bookmark_para_25_19"/>
      <w:bookmarkEnd w:id="5262"/>
      <w:r>
        <w:rPr>
          <w:rFonts w:ascii="Arial" w:eastAsia="Arial" w:hAnsi="Arial" w:cs="Arial"/>
          <w:color w:val="000000"/>
          <w:sz w:val="20"/>
        </w:rPr>
        <w:t>Circuit Judge</w:t>
      </w:r>
    </w:p>
    <w:p w:rsidR="00022B47" w:rsidRDefault="00022B47">
      <w:pPr>
        <w:pStyle w:val="Normal29"/>
      </w:pPr>
    </w:p>
    <w:p w:rsidR="00022B47" w:rsidRDefault="00000000">
      <w:pPr>
        <w:pStyle w:val="Normal29"/>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21728"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712831097"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D6FDF" id="Line 64"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30"/>
        <w:sectPr w:rsidR="00022B47">
          <w:headerReference w:type="even" r:id="rId187"/>
          <w:headerReference w:type="default" r:id="rId188"/>
          <w:footerReference w:type="even" r:id="rId189"/>
          <w:footerReference w:type="default" r:id="rId190"/>
          <w:headerReference w:type="first" r:id="rId191"/>
          <w:footerReference w:type="first" r:id="rId192"/>
          <w:pgSz w:w="12240" w:h="15840"/>
          <w:pgMar w:top="840" w:right="1000" w:bottom="840" w:left="1000" w:header="400" w:footer="400" w:gutter="0"/>
          <w:cols w:space="720"/>
          <w:titlePg/>
        </w:sectPr>
      </w:pPr>
    </w:p>
    <w:p w:rsidR="00022B47" w:rsidRDefault="00022B47">
      <w:pPr>
        <w:pStyle w:val="Normal30"/>
      </w:pPr>
    </w:p>
    <w:p w:rsidR="00022B47" w:rsidRDefault="00000000">
      <w:pPr>
        <w:pStyle w:val="Heading129"/>
        <w:keepNext w:val="0"/>
        <w:widowControl w:val="0"/>
        <w:spacing w:after="200" w:line="340" w:lineRule="atLeast"/>
        <w:jc w:val="center"/>
      </w:pPr>
      <w:r>
        <w:rPr>
          <w:rFonts w:eastAsia="Arial"/>
          <w:color w:val="000000"/>
          <w:sz w:val="28"/>
        </w:rPr>
        <w:t>Laufer v. Looper</w:t>
      </w:r>
    </w:p>
    <w:p w:rsidR="00022B47" w:rsidRDefault="00000000">
      <w:pPr>
        <w:pStyle w:val="Normal30"/>
        <w:widowControl w:val="0"/>
        <w:spacing w:before="120" w:line="260" w:lineRule="atLeast"/>
        <w:jc w:val="center"/>
      </w:pPr>
      <w:r>
        <w:rPr>
          <w:rFonts w:ascii="Arial" w:eastAsia="Arial" w:hAnsi="Arial" w:cs="Arial"/>
          <w:color w:val="000000"/>
          <w:sz w:val="20"/>
        </w:rPr>
        <w:t>United States Court of Appeals for the Tenth Circuit</w:t>
      </w:r>
    </w:p>
    <w:p w:rsidR="00022B47" w:rsidRDefault="00000000">
      <w:pPr>
        <w:pStyle w:val="Normal30"/>
        <w:widowControl w:val="0"/>
        <w:spacing w:before="120" w:line="260" w:lineRule="atLeast"/>
        <w:jc w:val="center"/>
      </w:pPr>
      <w:r>
        <w:rPr>
          <w:rFonts w:ascii="Arial" w:eastAsia="Arial" w:hAnsi="Arial" w:cs="Arial"/>
          <w:color w:val="000000"/>
          <w:sz w:val="20"/>
        </w:rPr>
        <w:t>January 5, 2022, Filed</w:t>
      </w:r>
    </w:p>
    <w:p w:rsidR="00022B47" w:rsidRDefault="00000000">
      <w:pPr>
        <w:pStyle w:val="Normal30"/>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21-1031</w:t>
      </w:r>
    </w:p>
    <w:p w:rsidR="00022B47" w:rsidRDefault="00022B47">
      <w:pPr>
        <w:pStyle w:val="Normal30"/>
        <w:widowControl w:val="0"/>
        <w:spacing w:line="240" w:lineRule="atLeast"/>
        <w:jc w:val="both"/>
      </w:pPr>
      <w:bookmarkStart w:id="5263" w:name="Bookmark_31"/>
      <w:bookmarkEnd w:id="5263"/>
    </w:p>
    <w:p w:rsidR="00022B47" w:rsidRDefault="00000000">
      <w:pPr>
        <w:pStyle w:val="Normal30"/>
        <w:widowControl w:val="0"/>
        <w:spacing w:before="200" w:line="240" w:lineRule="atLeast"/>
      </w:pPr>
      <w:bookmarkStart w:id="5264" w:name="Reporter_29"/>
      <w:bookmarkEnd w:id="5264"/>
      <w:r>
        <w:rPr>
          <w:rFonts w:ascii="Arial" w:eastAsia="Arial" w:hAnsi="Arial" w:cs="Arial"/>
          <w:b/>
          <w:color w:val="000000"/>
          <w:sz w:val="18"/>
        </w:rPr>
        <w:t>Reporter</w:t>
      </w:r>
    </w:p>
    <w:p w:rsidR="00022B47" w:rsidRDefault="00000000">
      <w:pPr>
        <w:pStyle w:val="Normal30"/>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22 F.4th 871 *; 2022 U.S. App. LEXIS 288 **; 2022 WL 39072</w:t>
      </w:r>
    </w:p>
    <w:p w:rsidR="00022B47" w:rsidRDefault="00000000">
      <w:pPr>
        <w:pStyle w:val="Normal30"/>
        <w:widowControl w:val="0"/>
        <w:spacing w:before="120" w:line="260" w:lineRule="atLeast"/>
      </w:pPr>
      <w:r>
        <w:rPr>
          <w:rFonts w:ascii="Arial" w:eastAsia="Arial" w:hAnsi="Arial" w:cs="Arial"/>
          <w:color w:val="000000"/>
          <w:sz w:val="20"/>
        </w:rPr>
        <w:t>DEBORAH LAUFER, Plaintiff - Appellant, v. RANDALL J. LOOPER; CYNTHIA C. LOOPER, d/b/a Elk Run Inn, Defendants - Appellees.</w:t>
      </w:r>
    </w:p>
    <w:p w:rsidR="00022B47" w:rsidRDefault="00000000">
      <w:pPr>
        <w:pStyle w:val="Normal30"/>
        <w:widowControl w:val="0"/>
        <w:spacing w:before="240" w:line="260" w:lineRule="atLeast"/>
        <w:jc w:val="both"/>
      </w:pPr>
      <w:bookmarkStart w:id="5265" w:name="Prior_History_29"/>
      <w:bookmarkEnd w:id="5265"/>
      <w:r>
        <w:rPr>
          <w:rFonts w:ascii="Arial" w:eastAsia="Arial" w:hAnsi="Arial" w:cs="Arial"/>
          <w:b/>
          <w:color w:val="000000"/>
          <w:sz w:val="20"/>
        </w:rPr>
        <w:t>Prior History:</w:t>
      </w:r>
      <w:r>
        <w:rPr>
          <w:rFonts w:ascii="Arial" w:eastAsia="Arial" w:hAnsi="Arial" w:cs="Arial"/>
          <w:color w:val="000000"/>
          <w:sz w:val="20"/>
        </w:rPr>
        <w:t> </w:t>
      </w:r>
      <w:bookmarkStart w:id="5266" w:name="Bookmark_para_1_29"/>
      <w:bookmarkEnd w:id="5266"/>
      <w:r>
        <w:rPr>
          <w:rFonts w:ascii="Arial" w:eastAsia="Arial" w:hAnsi="Arial" w:cs="Arial"/>
          <w:color w:val="000000"/>
          <w:sz w:val="20"/>
        </w:rPr>
        <w:t> [**1] Appeal from the United States District Court for the District of Colorado. (D.C. No. 1:20-CV-02475-NYW).</w:t>
      </w:r>
    </w:p>
    <w:p w:rsidR="00022B47" w:rsidRDefault="00000000">
      <w:pPr>
        <w:pStyle w:val="Normal30"/>
        <w:widowControl w:val="0"/>
        <w:spacing w:before="120" w:line="260" w:lineRule="atLeast"/>
      </w:pPr>
      <w:r>
        <w:rPr>
          <w:rFonts w:ascii="Arial" w:eastAsia="Arial" w:hAnsi="Arial" w:cs="Arial"/>
          <w:color w:val="000000"/>
          <w:sz w:val="20"/>
        </w:rPr>
        <w:t>Laufer v. Looper, 2021 U.S. Dist. LEXIS 20267, 2021 WL 330566 (D. Colo., Jan. 11, 2021)</w:t>
      </w:r>
    </w:p>
    <w:p w:rsidR="00022B47" w:rsidRDefault="00000000">
      <w:pPr>
        <w:pStyle w:val="Normal30"/>
        <w:widowControl w:val="0"/>
        <w:spacing w:before="240" w:line="260" w:lineRule="atLeast"/>
      </w:pPr>
      <w:bookmarkStart w:id="5267" w:name="Counsel_29"/>
      <w:bookmarkEnd w:id="5267"/>
      <w:r>
        <w:rPr>
          <w:rFonts w:ascii="Arial" w:eastAsia="Arial" w:hAnsi="Arial" w:cs="Arial"/>
          <w:b/>
          <w:color w:val="000000"/>
          <w:sz w:val="20"/>
        </w:rPr>
        <w:t>Counsel:</w:t>
      </w:r>
      <w:r>
        <w:rPr>
          <w:rFonts w:ascii="Arial" w:eastAsia="Arial" w:hAnsi="Arial" w:cs="Arial"/>
          <w:color w:val="000000"/>
          <w:sz w:val="20"/>
        </w:rPr>
        <w:t> Thomas B. Bacon, Thomas B. Bacon Law Office, Mount Dora, Florida, for Plaintiff-Appellant.</w:t>
      </w:r>
    </w:p>
    <w:p w:rsidR="00022B47" w:rsidRDefault="00000000">
      <w:pPr>
        <w:pStyle w:val="Normal30"/>
        <w:widowControl w:val="0"/>
        <w:spacing w:before="120" w:line="260" w:lineRule="atLeast"/>
      </w:pPr>
      <w:r>
        <w:rPr>
          <w:rFonts w:ascii="Arial" w:eastAsia="Arial" w:hAnsi="Arial" w:cs="Arial"/>
          <w:color w:val="000000"/>
          <w:sz w:val="20"/>
        </w:rPr>
        <w:t>Stephen B. Rotter (Jennifer L. Gokenbach, with him on the brief), The Workplace Counsel, Denver, Colorado, for Defendant-Appellee.</w:t>
      </w:r>
    </w:p>
    <w:p w:rsidR="00022B47" w:rsidRDefault="00000000">
      <w:pPr>
        <w:pStyle w:val="Normal30"/>
        <w:widowControl w:val="0"/>
        <w:spacing w:before="240" w:line="260" w:lineRule="atLeast"/>
      </w:pPr>
      <w:bookmarkStart w:id="5268" w:name="Judges_29"/>
      <w:bookmarkEnd w:id="5268"/>
      <w:r>
        <w:rPr>
          <w:rFonts w:ascii="Arial" w:eastAsia="Arial" w:hAnsi="Arial" w:cs="Arial"/>
          <w:b/>
          <w:color w:val="000000"/>
          <w:sz w:val="20"/>
        </w:rPr>
        <w:t>Judges:</w:t>
      </w:r>
      <w:r>
        <w:rPr>
          <w:rFonts w:ascii="Arial" w:eastAsia="Arial" w:hAnsi="Arial" w:cs="Arial"/>
          <w:color w:val="000000"/>
          <w:sz w:val="20"/>
        </w:rPr>
        <w:t> Before TYMKOVICH, Chief Judge, HARTZ, and MATHESON, Circuit Judges.</w:t>
      </w:r>
    </w:p>
    <w:p w:rsidR="00022B47" w:rsidRDefault="00000000">
      <w:pPr>
        <w:pStyle w:val="Normal30"/>
        <w:widowControl w:val="0"/>
        <w:spacing w:before="240" w:line="260" w:lineRule="atLeast"/>
      </w:pPr>
      <w:bookmarkStart w:id="5269" w:name="Opinion_by_18"/>
      <w:bookmarkEnd w:id="5269"/>
      <w:r>
        <w:rPr>
          <w:rFonts w:ascii="Arial" w:eastAsia="Arial" w:hAnsi="Arial" w:cs="Arial"/>
          <w:b/>
          <w:color w:val="000000"/>
          <w:sz w:val="20"/>
        </w:rPr>
        <w:t>Opinion by:</w:t>
      </w:r>
      <w:r>
        <w:rPr>
          <w:rFonts w:ascii="Arial" w:eastAsia="Arial" w:hAnsi="Arial" w:cs="Arial"/>
          <w:color w:val="000000"/>
          <w:sz w:val="20"/>
        </w:rPr>
        <w:t> MATHESON</w:t>
      </w:r>
    </w:p>
    <w:p w:rsidR="00022B47" w:rsidRDefault="00000000">
      <w:pPr>
        <w:pStyle w:val="Normal30"/>
        <w:keepNext/>
        <w:widowControl w:val="0"/>
        <w:spacing w:before="240" w:line="340" w:lineRule="atLeast"/>
      </w:pPr>
      <w:bookmarkStart w:id="5270" w:name="Opinion_29"/>
      <w:bookmarkEnd w:id="5270"/>
      <w:r>
        <w:rPr>
          <w:rFonts w:ascii="Arial" w:eastAsia="Arial" w:hAnsi="Arial" w:cs="Arial"/>
          <w:b/>
          <w:color w:val="000000"/>
          <w:sz w:val="28"/>
        </w:rPr>
        <w:t>Opinion</w:t>
      </w:r>
    </w:p>
    <w:p w:rsidR="00022B47" w:rsidRDefault="0025213E">
      <w:pPr>
        <w:pStyle w:val="Normal30"/>
        <w:spacing w:line="60" w:lineRule="exact"/>
      </w:pPr>
      <w:r>
        <w:rPr>
          <w:noProof/>
        </w:rPr>
        <mc:AlternateContent>
          <mc:Choice Requires="wps">
            <w:drawing>
              <wp:anchor distT="0" distB="0" distL="114300" distR="114300" simplePos="0" relativeHeight="251722752"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95899109"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99B139" id="Line 65"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30"/>
      </w:pPr>
    </w:p>
    <w:p w:rsidR="00022B47" w:rsidRDefault="00000000">
      <w:pPr>
        <w:pStyle w:val="Normal30"/>
        <w:widowControl w:val="0"/>
        <w:spacing w:before="200" w:line="260" w:lineRule="atLeast"/>
        <w:jc w:val="both"/>
      </w:pPr>
      <w:bookmarkStart w:id="5271" w:name="Bookmark_para_2_29"/>
      <w:bookmarkEnd w:id="5271"/>
      <w:r>
        <w:rPr>
          <w:rFonts w:ascii="Arial" w:eastAsia="Arial" w:hAnsi="Arial" w:cs="Arial"/>
          <w:color w:val="000000"/>
          <w:sz w:val="20"/>
        </w:rPr>
        <w:t xml:space="preserve"> [*873]  </w:t>
      </w:r>
      <w:r>
        <w:rPr>
          <w:rFonts w:ascii="Arial" w:eastAsia="Arial" w:hAnsi="Arial" w:cs="Arial"/>
          <w:b/>
          <w:color w:val="000000"/>
          <w:sz w:val="20"/>
        </w:rPr>
        <w:t>MATHESON</w:t>
      </w:r>
      <w:r>
        <w:rPr>
          <w:rFonts w:ascii="Arial" w:eastAsia="Arial" w:hAnsi="Arial" w:cs="Arial"/>
          <w:color w:val="000000"/>
          <w:sz w:val="20"/>
        </w:rPr>
        <w:t>, Circuit Judge.</w:t>
      </w:r>
    </w:p>
    <w:p w:rsidR="00022B47" w:rsidRDefault="00000000">
      <w:pPr>
        <w:pStyle w:val="Normal30"/>
        <w:widowControl w:val="0"/>
        <w:spacing w:before="200" w:line="260" w:lineRule="atLeast"/>
        <w:jc w:val="both"/>
      </w:pPr>
      <w:bookmarkStart w:id="5272" w:name="Bookmark_para_3_29"/>
      <w:bookmarkEnd w:id="5272"/>
      <w:r>
        <w:rPr>
          <w:rFonts w:ascii="Arial" w:eastAsia="Arial" w:hAnsi="Arial" w:cs="Arial"/>
          <w:color w:val="000000"/>
          <w:sz w:val="20"/>
        </w:rPr>
        <w:t> [*874]  Deborah Laufer is qualified as disabled under the Americans with Disabilities Act ("ADA") and is a self-described ADA "tester." In that capacity, she visited the Elk Run Inn's online reservation system ("ORS") to determine whether it complied with the ADA, though she has no intention to stay there.</w:t>
      </w:r>
    </w:p>
    <w:p w:rsidR="00022B47" w:rsidRDefault="00000000">
      <w:pPr>
        <w:pStyle w:val="Normal30"/>
        <w:widowControl w:val="0"/>
        <w:spacing w:before="200" w:line="260" w:lineRule="atLeast"/>
        <w:jc w:val="both"/>
      </w:pPr>
      <w:bookmarkStart w:id="5273" w:name="Bookmark_para_4_29"/>
      <w:bookmarkEnd w:id="5273"/>
      <w:r>
        <w:rPr>
          <w:rFonts w:ascii="Arial" w:eastAsia="Arial" w:hAnsi="Arial" w:cs="Arial"/>
          <w:color w:val="000000"/>
          <w:sz w:val="20"/>
        </w:rPr>
        <w:t>Ms. Laufer sued Randall and Cynthia Looper, the owners of the Elk Run Inn, alleging that the ORS lacked information about accessibility in violation of an ADA regulation. The district court dismissed Ms. Laufer's complaint without prejudice for lack of Article III standing because she failed to allege that she had suffered a concrete and particularized injury. Exercising jurisdiction under 28 U.S.C. § 1291, we affirm.</w:t>
      </w:r>
    </w:p>
    <w:p w:rsidR="00022B47" w:rsidRDefault="00000000">
      <w:pPr>
        <w:pStyle w:val="Normal30"/>
        <w:widowControl w:val="0"/>
        <w:spacing w:before="120" w:line="260" w:lineRule="atLeast"/>
      </w:pPr>
      <w:r>
        <w:rPr>
          <w:rFonts w:ascii="Arial" w:eastAsia="Arial" w:hAnsi="Arial" w:cs="Arial"/>
          <w:color w:val="000000"/>
          <w:sz w:val="20"/>
        </w:rPr>
        <w:t xml:space="preserve">I. </w:t>
      </w:r>
      <w:r>
        <w:rPr>
          <w:rFonts w:ascii="Arial" w:eastAsia="Arial" w:hAnsi="Arial" w:cs="Arial"/>
          <w:b/>
          <w:color w:val="000000"/>
          <w:sz w:val="20"/>
        </w:rPr>
        <w:t>BACKGROUND</w:t>
      </w:r>
    </w:p>
    <w:p w:rsidR="00022B47" w:rsidRDefault="00000000">
      <w:pPr>
        <w:pStyle w:val="Normal30"/>
        <w:widowControl w:val="0"/>
        <w:spacing w:before="120" w:line="260" w:lineRule="atLeast"/>
      </w:pPr>
      <w:r>
        <w:rPr>
          <w:rFonts w:ascii="Arial" w:eastAsia="Arial" w:hAnsi="Arial" w:cs="Arial"/>
          <w:color w:val="000000"/>
          <w:sz w:val="20"/>
        </w:rPr>
        <w:t xml:space="preserve">A. </w:t>
      </w:r>
      <w:r>
        <w:rPr>
          <w:rFonts w:ascii="Arial" w:eastAsia="Arial" w:hAnsi="Arial" w:cs="Arial"/>
          <w:b/>
          <w:i/>
          <w:color w:val="000000"/>
          <w:sz w:val="20"/>
        </w:rPr>
        <w:t>ADA Title III</w:t>
      </w:r>
    </w:p>
    <w:p w:rsidR="00022B47" w:rsidRDefault="00000000">
      <w:pPr>
        <w:pStyle w:val="Normal30"/>
        <w:widowControl w:val="0"/>
        <w:spacing w:before="200" w:line="260" w:lineRule="atLeast"/>
        <w:jc w:val="both"/>
      </w:pPr>
      <w:bookmarkStart w:id="5274" w:name="Bookmark_para_5_29"/>
      <w:bookmarkStart w:id="5275" w:name="Bookmark_I64HGFMJ28T4T60020000400"/>
      <w:bookmarkStart w:id="5276" w:name="Bookmark_LNHNREFclscc1_27"/>
      <w:bookmarkEnd w:id="5274"/>
      <w:bookmarkEnd w:id="5275"/>
      <w:bookmarkEnd w:id="5276"/>
      <w:r>
        <w:rPr>
          <w:rFonts w:ascii="Arial" w:eastAsia="Arial" w:hAnsi="Arial" w:cs="Arial"/>
          <w:color w:val="000000"/>
          <w:sz w:val="20"/>
        </w:rPr>
        <w:t xml:space="preserve">Title III of the ADA "generally prohibits public accommodations from discriminating [**2]  against individuals on the basis of disability." </w:t>
      </w:r>
      <w:bookmarkStart w:id="5277" w:name="Bookmark_I64HGFMJ28T4T60010000400"/>
      <w:bookmarkEnd w:id="5277"/>
      <w:r>
        <w:rPr>
          <w:rFonts w:ascii="Arial" w:eastAsia="Arial" w:hAnsi="Arial" w:cs="Arial"/>
          <w:i/>
          <w:color w:val="000000"/>
          <w:sz w:val="20"/>
        </w:rPr>
        <w:t>Levorsen v. Octapharma Plasma, Inc.</w:t>
      </w:r>
      <w:r>
        <w:rPr>
          <w:rFonts w:ascii="Arial" w:eastAsia="Arial" w:hAnsi="Arial" w:cs="Arial"/>
          <w:color w:val="000000"/>
          <w:sz w:val="20"/>
        </w:rPr>
        <w:t>, 828 F.3d 1227, 1229 (10th Cir. 2016). It provides that "[n]o individual shall be discriminated against on the basis of disability in the full and equal enjoyment of the goods, services, facilities, privileges, advantages, or accommodations of any place of public accommodation by any person who owns, leases (or leases to), or operates a place of public accommodation." 42 U.S.C. § 12182(a).</w:t>
      </w:r>
    </w:p>
    <w:p w:rsidR="00022B47" w:rsidRDefault="00000000">
      <w:pPr>
        <w:pStyle w:val="Normal30"/>
        <w:widowControl w:val="0"/>
        <w:spacing w:before="200" w:line="260" w:lineRule="atLeast"/>
        <w:jc w:val="both"/>
      </w:pPr>
      <w:bookmarkStart w:id="5278" w:name="Bookmark_para_6_29"/>
      <w:bookmarkStart w:id="5279" w:name="Bookmark_LNHNREFclscc2_27"/>
      <w:bookmarkEnd w:id="5278"/>
      <w:bookmarkEnd w:id="5279"/>
      <w:r>
        <w:rPr>
          <w:rFonts w:ascii="Arial" w:eastAsia="Arial" w:hAnsi="Arial" w:cs="Arial"/>
          <w:color w:val="000000"/>
          <w:sz w:val="20"/>
        </w:rPr>
        <w:t>The Department of Justice promulgated a regulation under Title III stating that a place of public accommodation ("PPA") operating a "place of lodging" shall, "with respect to reservations made by any means," "[i]dentify and describe accessible features in the hotels and guest rooms offered through its reservations service in enough detail to reasonably permit individuals with disabilities to assess independently whether a given hotel or guest room meets his or her accessibility needs." 28 C.F.R. § 36.302(e)(1)(ii) (the "ORS Regulation").</w:t>
      </w:r>
    </w:p>
    <w:p w:rsidR="00022B47" w:rsidRDefault="00000000">
      <w:pPr>
        <w:pStyle w:val="Normal30"/>
        <w:widowControl w:val="0"/>
        <w:spacing w:before="120" w:line="260" w:lineRule="atLeast"/>
      </w:pPr>
      <w:r>
        <w:rPr>
          <w:rFonts w:ascii="Arial" w:eastAsia="Arial" w:hAnsi="Arial" w:cs="Arial"/>
          <w:color w:val="000000"/>
          <w:sz w:val="20"/>
        </w:rPr>
        <w:t xml:space="preserve">B. </w:t>
      </w:r>
      <w:r>
        <w:rPr>
          <w:rFonts w:ascii="Arial" w:eastAsia="Arial" w:hAnsi="Arial" w:cs="Arial"/>
          <w:b/>
          <w:i/>
          <w:color w:val="000000"/>
          <w:sz w:val="20"/>
        </w:rPr>
        <w:t>Ms. Laufer's Allegations</w:t>
      </w:r>
    </w:p>
    <w:p w:rsidR="00022B47" w:rsidRDefault="00000000">
      <w:pPr>
        <w:pStyle w:val="Normal30"/>
        <w:widowControl w:val="0"/>
        <w:spacing w:before="200" w:line="260" w:lineRule="atLeast"/>
        <w:jc w:val="both"/>
      </w:pPr>
      <w:bookmarkStart w:id="5280" w:name="Bookmark_para_7_29"/>
      <w:bookmarkEnd w:id="5280"/>
      <w:r>
        <w:rPr>
          <w:rFonts w:ascii="Arial" w:eastAsia="Arial" w:hAnsi="Arial" w:cs="Arial"/>
          <w:color w:val="000000"/>
          <w:sz w:val="20"/>
        </w:rPr>
        <w:t>Ms. Laufer, a resident of Pasco County, Florida, uses a wheelchair and requires accommodations due to her disability. In her complaint, she described herself as an "advocate of the rights of similarly situated disabled persons" and a "'tester' for the purpose of asserting her [**3]  civil rights and monitoring, ensuring, and determining whether places of public accommodation and their websites are in compliance with the ADA." App. at 10.</w:t>
      </w:r>
    </w:p>
    <w:p w:rsidR="00022B47" w:rsidRDefault="00000000">
      <w:pPr>
        <w:pStyle w:val="Normal30"/>
        <w:widowControl w:val="0"/>
        <w:spacing w:before="200" w:line="260" w:lineRule="atLeast"/>
        <w:jc w:val="both"/>
      </w:pPr>
      <w:bookmarkStart w:id="5281" w:name="Bookmark_para_8_28"/>
      <w:bookmarkEnd w:id="5281"/>
      <w:r>
        <w:rPr>
          <w:rFonts w:ascii="Arial" w:eastAsia="Arial" w:hAnsi="Arial" w:cs="Arial"/>
          <w:color w:val="000000"/>
          <w:sz w:val="20"/>
        </w:rPr>
        <w:t>The Loopers own the Elk Run Inn, a hotel in Craig, Colorado. Ms. Laufer alleged that the Elk Run Inn is a PPA.</w:t>
      </w:r>
      <w:r>
        <w:rPr>
          <w:rFonts w:ascii="Arial" w:eastAsia="Arial" w:hAnsi="Arial" w:cs="Arial"/>
          <w:vertAlign w:val="superscript"/>
        </w:rPr>
        <w:footnoteReference w:customMarkFollows="1" w:id="138"/>
        <w:t>1</w:t>
      </w:r>
      <w:r>
        <w:rPr>
          <w:rFonts w:ascii="Arial" w:eastAsia="Arial" w:hAnsi="Arial" w:cs="Arial"/>
          <w:color w:val="000000"/>
          <w:sz w:val="20"/>
        </w:rPr>
        <w:t xml:space="preserve"> She averred that the Loopers used an ORS for the Elk Run Inn "so that members of the public may reserve guest accommodations and review information pertaining to the goods, services, features, facilities, benefits, advantages, and accommodations of the Property." </w:t>
      </w:r>
      <w:r>
        <w:rPr>
          <w:rFonts w:ascii="Arial" w:eastAsia="Arial" w:hAnsi="Arial" w:cs="Arial"/>
          <w:i/>
          <w:color w:val="000000"/>
          <w:sz w:val="20"/>
        </w:rPr>
        <w:t>Id.</w:t>
      </w:r>
      <w:r>
        <w:rPr>
          <w:rFonts w:ascii="Arial" w:eastAsia="Arial" w:hAnsi="Arial" w:cs="Arial"/>
          <w:color w:val="000000"/>
          <w:sz w:val="20"/>
        </w:rPr>
        <w:t xml:space="preserve"> at 12.</w:t>
      </w:r>
    </w:p>
    <w:p w:rsidR="00022B47" w:rsidRDefault="00000000">
      <w:pPr>
        <w:pStyle w:val="Normal30"/>
        <w:widowControl w:val="0"/>
        <w:spacing w:before="200" w:line="260" w:lineRule="atLeast"/>
        <w:jc w:val="both"/>
      </w:pPr>
      <w:bookmarkStart w:id="5283" w:name="Bookmark_para_9_28"/>
      <w:bookmarkEnd w:id="5283"/>
      <w:r>
        <w:rPr>
          <w:rFonts w:ascii="Arial" w:eastAsia="Arial" w:hAnsi="Arial" w:cs="Arial"/>
          <w:color w:val="000000"/>
          <w:sz w:val="20"/>
        </w:rPr>
        <w:t xml:space="preserve">Ms. Laufer "visited the ORS for the purpose of reviewing and assessing the accessible features at the Property and ascertain[ing] whether it meets the requirements of 28 C.F.R. Section 36.302(e) and her accessibility needs." </w:t>
      </w:r>
      <w:r>
        <w:rPr>
          <w:rFonts w:ascii="Arial" w:eastAsia="Arial" w:hAnsi="Arial" w:cs="Arial"/>
          <w:i/>
          <w:color w:val="000000"/>
          <w:sz w:val="20"/>
        </w:rPr>
        <w:t>Id.</w:t>
      </w:r>
      <w:r>
        <w:rPr>
          <w:rFonts w:ascii="Arial" w:eastAsia="Arial" w:hAnsi="Arial" w:cs="Arial"/>
          <w:color w:val="000000"/>
          <w:sz w:val="20"/>
        </w:rPr>
        <w:t xml:space="preserve"> She alleged that she was "unable to do so because Defendant failed to comply with the requirements" of that regulation. </w:t>
      </w:r>
      <w:r>
        <w:rPr>
          <w:rFonts w:ascii="Arial" w:eastAsia="Arial" w:hAnsi="Arial" w:cs="Arial"/>
          <w:i/>
          <w:color w:val="000000"/>
          <w:sz w:val="20"/>
        </w:rPr>
        <w:t>Id.</w:t>
      </w:r>
      <w:r>
        <w:rPr>
          <w:rFonts w:ascii="Arial" w:eastAsia="Arial" w:hAnsi="Arial" w:cs="Arial"/>
          <w:color w:val="000000"/>
          <w:sz w:val="20"/>
        </w:rPr>
        <w:t xml:space="preserve"> Specifically, Ms. Laufer said the Elk Run Inn's ORS "did not identify accessible rooms, did not allow for booking of accessible  [*875]  rooms and provided insufficient information as to whether the rooms or features at the hotel are accessible." </w:t>
      </w:r>
      <w:r>
        <w:rPr>
          <w:rFonts w:ascii="Arial" w:eastAsia="Arial" w:hAnsi="Arial" w:cs="Arial"/>
          <w:i/>
          <w:color w:val="000000"/>
          <w:sz w:val="20"/>
        </w:rPr>
        <w:t>Id.</w:t>
      </w:r>
      <w:r>
        <w:rPr>
          <w:rFonts w:ascii="Arial" w:eastAsia="Arial" w:hAnsi="Arial" w:cs="Arial"/>
          <w:color w:val="000000"/>
          <w:sz w:val="20"/>
        </w:rPr>
        <w:t xml:space="preserve"> at 13.</w:t>
      </w:r>
    </w:p>
    <w:p w:rsidR="00022B47" w:rsidRDefault="00000000">
      <w:pPr>
        <w:pStyle w:val="Normal30"/>
        <w:widowControl w:val="0"/>
        <w:spacing w:before="200" w:line="260" w:lineRule="atLeast"/>
        <w:jc w:val="both"/>
      </w:pPr>
      <w:bookmarkStart w:id="5284" w:name="Bookmark_para_10_28"/>
      <w:bookmarkEnd w:id="5284"/>
      <w:r>
        <w:rPr>
          <w:rFonts w:ascii="Arial" w:eastAsia="Arial" w:hAnsi="Arial" w:cs="Arial"/>
          <w:color w:val="000000"/>
          <w:sz w:val="20"/>
        </w:rPr>
        <w:t xml:space="preserve">These violations, Ms. Laufer claimed, infringed her "right to travel free of discrimination [**4]  and deprive her of the information required to make meaningful choices for travel." </w:t>
      </w:r>
      <w:r>
        <w:rPr>
          <w:rFonts w:ascii="Arial" w:eastAsia="Arial" w:hAnsi="Arial" w:cs="Arial"/>
          <w:i/>
          <w:color w:val="000000"/>
          <w:sz w:val="20"/>
        </w:rPr>
        <w:t>Id.</w:t>
      </w:r>
      <w:r>
        <w:rPr>
          <w:rFonts w:ascii="Arial" w:eastAsia="Arial" w:hAnsi="Arial" w:cs="Arial"/>
          <w:color w:val="000000"/>
          <w:sz w:val="20"/>
        </w:rPr>
        <w:t xml:space="preserve"> at 14-15. Because the ORS did not identify accessible rooms, "it is thereby more difficult to book a room at the hotel or make an informed decision as to whether the facilities at the hotel are accessible." </w:t>
      </w:r>
      <w:r>
        <w:rPr>
          <w:rFonts w:ascii="Arial" w:eastAsia="Arial" w:hAnsi="Arial" w:cs="Arial"/>
          <w:i/>
          <w:color w:val="000000"/>
          <w:sz w:val="20"/>
        </w:rPr>
        <w:t>Id.</w:t>
      </w:r>
      <w:r>
        <w:rPr>
          <w:rFonts w:ascii="Arial" w:eastAsia="Arial" w:hAnsi="Arial" w:cs="Arial"/>
          <w:color w:val="000000"/>
          <w:sz w:val="20"/>
        </w:rPr>
        <w:t xml:space="preserve"> at 15.</w:t>
      </w:r>
    </w:p>
    <w:p w:rsidR="00022B47" w:rsidRDefault="00000000">
      <w:pPr>
        <w:pStyle w:val="Normal30"/>
        <w:widowControl w:val="0"/>
        <w:spacing w:before="200" w:line="260" w:lineRule="atLeast"/>
        <w:jc w:val="both"/>
      </w:pPr>
      <w:bookmarkStart w:id="5285" w:name="Bookmark_para_11_28"/>
      <w:bookmarkEnd w:id="5285"/>
      <w:r>
        <w:rPr>
          <w:rFonts w:ascii="Arial" w:eastAsia="Arial" w:hAnsi="Arial" w:cs="Arial"/>
          <w:color w:val="000000"/>
          <w:sz w:val="20"/>
        </w:rPr>
        <w:t xml:space="preserve">Ms. Laufer further alleged that "[i]n the near future" she "intends to revisit Defendants' ORS in order to test it for compliance with 28 C.F.R. Section 36.302(e) and/or to utilize the system to reserve a guest room and otherwise avail herself of the goods, services, features, facilities, benefits, advantages, and accommodations of the Property." </w:t>
      </w:r>
      <w:r>
        <w:rPr>
          <w:rFonts w:ascii="Arial" w:eastAsia="Arial" w:hAnsi="Arial" w:cs="Arial"/>
          <w:i/>
          <w:color w:val="000000"/>
          <w:sz w:val="20"/>
        </w:rPr>
        <w:t>Id.</w:t>
      </w:r>
      <w:r>
        <w:rPr>
          <w:rFonts w:ascii="Arial" w:eastAsia="Arial" w:hAnsi="Arial" w:cs="Arial"/>
          <w:color w:val="000000"/>
          <w:sz w:val="20"/>
        </w:rPr>
        <w:t xml:space="preserve"> at 14.</w:t>
      </w:r>
    </w:p>
    <w:p w:rsidR="00022B47" w:rsidRDefault="00000000">
      <w:pPr>
        <w:pStyle w:val="Normal30"/>
        <w:widowControl w:val="0"/>
        <w:spacing w:before="120" w:line="260" w:lineRule="atLeast"/>
      </w:pPr>
      <w:r>
        <w:rPr>
          <w:rFonts w:ascii="Arial" w:eastAsia="Arial" w:hAnsi="Arial" w:cs="Arial"/>
          <w:color w:val="000000"/>
          <w:sz w:val="20"/>
        </w:rPr>
        <w:t xml:space="preserve">C. </w:t>
      </w:r>
      <w:r>
        <w:rPr>
          <w:rFonts w:ascii="Arial" w:eastAsia="Arial" w:hAnsi="Arial" w:cs="Arial"/>
          <w:b/>
          <w:i/>
          <w:color w:val="000000"/>
          <w:sz w:val="20"/>
        </w:rPr>
        <w:t>Procedural History</w:t>
      </w:r>
    </w:p>
    <w:p w:rsidR="00022B47" w:rsidRDefault="00000000">
      <w:pPr>
        <w:pStyle w:val="Normal30"/>
        <w:widowControl w:val="0"/>
        <w:spacing w:before="200" w:line="260" w:lineRule="atLeast"/>
        <w:jc w:val="both"/>
      </w:pPr>
      <w:bookmarkStart w:id="5286" w:name="Bookmark_para_12_28"/>
      <w:bookmarkEnd w:id="5286"/>
      <w:r>
        <w:rPr>
          <w:rFonts w:ascii="Arial" w:eastAsia="Arial" w:hAnsi="Arial" w:cs="Arial"/>
          <w:color w:val="000000"/>
          <w:sz w:val="20"/>
        </w:rPr>
        <w:t>Ms. Laufer sued the Loopers in federal district court, claiming violations of Title III of the ADA and its Colorado state law counterpart. The Loopers moved to dismiss the complaint under Federal Rules of Civil Procedure 12(b)(1) and 12(b)(6), arguing that Ms. Laufer lacked standing and, alternatively, that she had failed to state a claim.</w:t>
      </w:r>
    </w:p>
    <w:p w:rsidR="00022B47" w:rsidRDefault="00000000">
      <w:pPr>
        <w:pStyle w:val="Normal30"/>
        <w:widowControl w:val="0"/>
        <w:spacing w:before="200" w:line="260" w:lineRule="atLeast"/>
        <w:jc w:val="both"/>
      </w:pPr>
      <w:bookmarkStart w:id="5287" w:name="Bookmark_para_13_28"/>
      <w:bookmarkEnd w:id="5287"/>
      <w:r>
        <w:rPr>
          <w:rFonts w:ascii="Arial" w:eastAsia="Arial" w:hAnsi="Arial" w:cs="Arial"/>
          <w:color w:val="000000"/>
          <w:sz w:val="20"/>
        </w:rPr>
        <w:t xml:space="preserve">In response to the motion, Ms. Laufer submitted a sworn declaration. It largely repeated the allegations of her complaint, but added that her niece lives in Colorado, she visits her there approximately once a year, and she "plans to travel . . . there [**5]  as soon as the Covid crisis is over and it is safe to travel." </w:t>
      </w:r>
      <w:r>
        <w:rPr>
          <w:rFonts w:ascii="Arial" w:eastAsia="Arial" w:hAnsi="Arial" w:cs="Arial"/>
          <w:i/>
          <w:color w:val="000000"/>
          <w:sz w:val="20"/>
        </w:rPr>
        <w:t>Id.</w:t>
      </w:r>
      <w:r>
        <w:rPr>
          <w:rFonts w:ascii="Arial" w:eastAsia="Arial" w:hAnsi="Arial" w:cs="Arial"/>
          <w:color w:val="000000"/>
          <w:sz w:val="20"/>
        </w:rPr>
        <w:t xml:space="preserve"> at 123. When she goes to Colorado, she "intend[s] to travel all throughout the State." </w:t>
      </w:r>
      <w:r>
        <w:rPr>
          <w:rFonts w:ascii="Arial" w:eastAsia="Arial" w:hAnsi="Arial" w:cs="Arial"/>
          <w:i/>
          <w:color w:val="000000"/>
          <w:sz w:val="20"/>
        </w:rPr>
        <w:t>Id.</w:t>
      </w:r>
    </w:p>
    <w:p w:rsidR="00022B47" w:rsidRDefault="00000000">
      <w:pPr>
        <w:pStyle w:val="Normal30"/>
        <w:widowControl w:val="0"/>
        <w:spacing w:before="200" w:line="260" w:lineRule="atLeast"/>
        <w:jc w:val="both"/>
      </w:pPr>
      <w:bookmarkStart w:id="5288" w:name="Bookmark_para_14_28"/>
      <w:bookmarkEnd w:id="5288"/>
      <w:r>
        <w:rPr>
          <w:rFonts w:ascii="Arial" w:eastAsia="Arial" w:hAnsi="Arial" w:cs="Arial"/>
          <w:color w:val="000000"/>
          <w:sz w:val="20"/>
        </w:rPr>
        <w:t xml:space="preserve">The district court dismissed the complaint under Rule 12(b)(1) for lack of Article III standing, concluding that Ms. Laufer's alleged injury was neither concrete nor particularized. The court said Ms. Laufer had not alleged an intent to use the ORS to "book an accessible room for [her] actual use." </w:t>
      </w:r>
      <w:r>
        <w:rPr>
          <w:rFonts w:ascii="Arial" w:eastAsia="Arial" w:hAnsi="Arial" w:cs="Arial"/>
          <w:i/>
          <w:color w:val="000000"/>
          <w:sz w:val="20"/>
        </w:rPr>
        <w:t>Id.</w:t>
      </w:r>
      <w:r>
        <w:rPr>
          <w:rFonts w:ascii="Arial" w:eastAsia="Arial" w:hAnsi="Arial" w:cs="Arial"/>
          <w:color w:val="000000"/>
          <w:sz w:val="20"/>
        </w:rPr>
        <w:t xml:space="preserve"> at 442. Absent such an intent, Ms. Laufer could not establish a concrete injury based solely on her accessing the noncompliant ORS.</w:t>
      </w:r>
    </w:p>
    <w:p w:rsidR="00022B47" w:rsidRDefault="00000000">
      <w:pPr>
        <w:pStyle w:val="Normal30"/>
        <w:widowControl w:val="0"/>
        <w:spacing w:before="120" w:line="260" w:lineRule="atLeast"/>
      </w:pPr>
      <w:r>
        <w:rPr>
          <w:rFonts w:ascii="Arial" w:eastAsia="Arial" w:hAnsi="Arial" w:cs="Arial"/>
          <w:color w:val="000000"/>
          <w:sz w:val="20"/>
        </w:rPr>
        <w:t xml:space="preserve">II. </w:t>
      </w:r>
      <w:r>
        <w:rPr>
          <w:rFonts w:ascii="Arial" w:eastAsia="Arial" w:hAnsi="Arial" w:cs="Arial"/>
          <w:b/>
          <w:color w:val="000000"/>
          <w:sz w:val="20"/>
        </w:rPr>
        <w:t>DISCUSSION</w:t>
      </w:r>
    </w:p>
    <w:p w:rsidR="00022B47" w:rsidRDefault="00000000">
      <w:pPr>
        <w:pStyle w:val="Normal30"/>
        <w:widowControl w:val="0"/>
        <w:spacing w:before="120" w:line="260" w:lineRule="atLeast"/>
      </w:pPr>
      <w:r>
        <w:rPr>
          <w:rFonts w:ascii="Arial" w:eastAsia="Arial" w:hAnsi="Arial" w:cs="Arial"/>
          <w:color w:val="000000"/>
          <w:sz w:val="20"/>
        </w:rPr>
        <w:t xml:space="preserve">A. </w:t>
      </w:r>
      <w:r>
        <w:rPr>
          <w:rFonts w:ascii="Arial" w:eastAsia="Arial" w:hAnsi="Arial" w:cs="Arial"/>
          <w:b/>
          <w:i/>
          <w:color w:val="000000"/>
          <w:sz w:val="20"/>
        </w:rPr>
        <w:t>Standard of Review</w:t>
      </w:r>
    </w:p>
    <w:p w:rsidR="00022B47" w:rsidRDefault="00000000">
      <w:pPr>
        <w:pStyle w:val="Normal30"/>
        <w:widowControl w:val="0"/>
        <w:spacing w:before="200" w:line="260" w:lineRule="atLeast"/>
        <w:jc w:val="both"/>
      </w:pPr>
      <w:bookmarkStart w:id="5289" w:name="Bookmark_para_15_28"/>
      <w:bookmarkStart w:id="5290" w:name="Bookmark_I64HGFMJ28T4T60040000400"/>
      <w:bookmarkStart w:id="5291" w:name="Bookmark_LNHNREFclscc3_27"/>
      <w:bookmarkEnd w:id="5289"/>
      <w:bookmarkEnd w:id="5290"/>
      <w:bookmarkEnd w:id="5291"/>
      <w:r>
        <w:rPr>
          <w:rFonts w:ascii="Arial" w:eastAsia="Arial" w:hAnsi="Arial" w:cs="Arial"/>
          <w:color w:val="000000"/>
          <w:sz w:val="20"/>
        </w:rPr>
        <w:t xml:space="preserve">A party filing a 12(b)(1) motion may challenge the court's subject-matter jurisdiction through a facial or factual attack. </w:t>
      </w:r>
      <w:bookmarkStart w:id="5292" w:name="Bookmark_I64HGFMJ28T4T60030000400"/>
      <w:bookmarkEnd w:id="5292"/>
      <w:r>
        <w:rPr>
          <w:rFonts w:ascii="Arial" w:eastAsia="Arial" w:hAnsi="Arial" w:cs="Arial"/>
          <w:i/>
          <w:color w:val="000000"/>
          <w:sz w:val="20"/>
        </w:rPr>
        <w:t>Baker v. USD 229 Blue Valley</w:t>
      </w:r>
      <w:r>
        <w:rPr>
          <w:rFonts w:ascii="Arial" w:eastAsia="Arial" w:hAnsi="Arial" w:cs="Arial"/>
          <w:color w:val="000000"/>
          <w:sz w:val="20"/>
        </w:rPr>
        <w:t xml:space="preserve">, 979 F.3d 866, 872 (10th Cir. 2020). "A facial attack assumes the allegations in the complaint are true and argues they fail to establish jurisdiction. A factual attack goes beyond the allegations in the complaint and adduces evidence to contest jurisdiction." </w:t>
      </w:r>
      <w:r>
        <w:rPr>
          <w:rFonts w:ascii="Arial" w:eastAsia="Arial" w:hAnsi="Arial" w:cs="Arial"/>
          <w:i/>
          <w:color w:val="000000"/>
          <w:sz w:val="20"/>
        </w:rPr>
        <w:t>Id.</w:t>
      </w:r>
      <w:r>
        <w:rPr>
          <w:rFonts w:ascii="Arial" w:eastAsia="Arial" w:hAnsi="Arial" w:cs="Arial"/>
          <w:color w:val="000000"/>
          <w:sz w:val="20"/>
        </w:rPr>
        <w:t xml:space="preserve"> (citations omitted).</w:t>
      </w:r>
    </w:p>
    <w:p w:rsidR="00022B47" w:rsidRDefault="00000000">
      <w:pPr>
        <w:pStyle w:val="Normal30"/>
        <w:widowControl w:val="0"/>
        <w:spacing w:before="200" w:line="260" w:lineRule="atLeast"/>
        <w:jc w:val="both"/>
      </w:pPr>
      <w:bookmarkStart w:id="5293" w:name="Bookmark_para_16_28"/>
      <w:bookmarkStart w:id="5294" w:name="Bookmark_I64HGFMK2N1RD80010000400"/>
      <w:bookmarkEnd w:id="5293"/>
      <w:bookmarkEnd w:id="5294"/>
      <w:r>
        <w:rPr>
          <w:rFonts w:ascii="Arial" w:eastAsia="Arial" w:hAnsi="Arial" w:cs="Arial"/>
          <w:color w:val="000000"/>
          <w:sz w:val="20"/>
        </w:rPr>
        <w:t xml:space="preserve">The district court noted it was "not clear whether Defendants assert a facial or factual challenge to the court's subject matter jurisdiction." App. at 435 n.2. It analyzed the motion to dismiss "as asserting both [**6]  a facial and a factual challenge." </w:t>
      </w:r>
      <w:r>
        <w:rPr>
          <w:rFonts w:ascii="Arial" w:eastAsia="Arial" w:hAnsi="Arial" w:cs="Arial"/>
          <w:i/>
          <w:color w:val="000000"/>
          <w:sz w:val="20"/>
        </w:rPr>
        <w:t>Id.</w:t>
      </w:r>
      <w:r>
        <w:rPr>
          <w:rFonts w:ascii="Arial" w:eastAsia="Arial" w:hAnsi="Arial" w:cs="Arial"/>
          <w:color w:val="000000"/>
          <w:sz w:val="20"/>
        </w:rPr>
        <w:t xml:space="preserve"> Because the Loopers have not adduced any evidence outside the pleadings to contest jurisdiction, we address this issue as a facial challenge and review de novo. </w:t>
      </w:r>
      <w:bookmarkStart w:id="5295" w:name="Bookmark_I64HGFMJ28T4T60050000400"/>
      <w:bookmarkEnd w:id="5295"/>
      <w:r>
        <w:rPr>
          <w:rFonts w:ascii="Arial" w:eastAsia="Arial" w:hAnsi="Arial" w:cs="Arial"/>
          <w:i/>
          <w:color w:val="000000"/>
          <w:sz w:val="20"/>
        </w:rPr>
        <w:t>Collins v. Daniels</w:t>
      </w:r>
      <w:r>
        <w:rPr>
          <w:rFonts w:ascii="Arial" w:eastAsia="Arial" w:hAnsi="Arial" w:cs="Arial"/>
          <w:color w:val="000000"/>
          <w:sz w:val="20"/>
        </w:rPr>
        <w:t>, 916 F.3d 1302, 1311 (10th Cir. 2019).</w:t>
      </w:r>
    </w:p>
    <w:p w:rsidR="00022B47" w:rsidRDefault="00000000">
      <w:pPr>
        <w:pStyle w:val="Normal30"/>
        <w:widowControl w:val="0"/>
        <w:spacing w:before="120" w:line="260" w:lineRule="atLeast"/>
      </w:pPr>
      <w:r>
        <w:rPr>
          <w:rFonts w:ascii="Arial" w:eastAsia="Arial" w:hAnsi="Arial" w:cs="Arial"/>
          <w:color w:val="000000"/>
          <w:sz w:val="20"/>
        </w:rPr>
        <w:t xml:space="preserve">B. </w:t>
      </w:r>
      <w:r>
        <w:rPr>
          <w:rFonts w:ascii="Arial" w:eastAsia="Arial" w:hAnsi="Arial" w:cs="Arial"/>
          <w:b/>
          <w:i/>
          <w:color w:val="000000"/>
          <w:sz w:val="20"/>
        </w:rPr>
        <w:t>Legal Background</w:t>
      </w:r>
    </w:p>
    <w:p w:rsidR="00022B47" w:rsidRDefault="00000000">
      <w:pPr>
        <w:pStyle w:val="Normal30"/>
        <w:widowControl w:val="0"/>
        <w:spacing w:before="200" w:line="260" w:lineRule="atLeast"/>
        <w:jc w:val="both"/>
      </w:pPr>
      <w:bookmarkStart w:id="5296" w:name="Bookmark_para_17_27"/>
      <w:bookmarkEnd w:id="5296"/>
      <w:r>
        <w:rPr>
          <w:rFonts w:ascii="Arial" w:eastAsia="Arial" w:hAnsi="Arial" w:cs="Arial"/>
          <w:color w:val="000000"/>
          <w:sz w:val="20"/>
        </w:rPr>
        <w:t>The following describes (1) the general legal framework for Article III standing and (2) recent Supreme Court decisions explaining the difference between statutory violations and concrete injuries in fact.</w:t>
      </w:r>
    </w:p>
    <w:p w:rsidR="00022B47" w:rsidRDefault="00000000">
      <w:pPr>
        <w:pStyle w:val="Normal30"/>
        <w:widowControl w:val="0"/>
        <w:spacing w:before="240" w:line="260" w:lineRule="atLeast"/>
      </w:pPr>
      <w:r>
        <w:br/>
      </w:r>
      <w:r>
        <w:rPr>
          <w:rFonts w:ascii="Arial" w:eastAsia="Arial" w:hAnsi="Arial" w:cs="Arial"/>
          <w:color w:val="000000"/>
          <w:sz w:val="20"/>
        </w:rPr>
        <w:t xml:space="preserve"> [*876]  1. </w:t>
      </w:r>
      <w:r>
        <w:rPr>
          <w:rFonts w:ascii="Arial" w:eastAsia="Arial" w:hAnsi="Arial" w:cs="Arial"/>
          <w:b/>
          <w:color w:val="000000"/>
          <w:sz w:val="20"/>
        </w:rPr>
        <w:t>Article III Standing</w:t>
      </w:r>
    </w:p>
    <w:p w:rsidR="00022B47" w:rsidRDefault="00000000">
      <w:pPr>
        <w:pStyle w:val="Normal30"/>
        <w:widowControl w:val="0"/>
        <w:spacing w:before="200" w:line="260" w:lineRule="atLeast"/>
        <w:jc w:val="both"/>
      </w:pPr>
      <w:bookmarkStart w:id="5297" w:name="Bookmark_para_18_27"/>
      <w:bookmarkStart w:id="5298" w:name="Bookmark_I64HGFMK2N1RD80030000400"/>
      <w:bookmarkStart w:id="5299" w:name="Bookmark_I64HGFMK2N1RD80050000400"/>
      <w:bookmarkStart w:id="5300" w:name="Bookmark_LNHNREFclscc4_27"/>
      <w:bookmarkEnd w:id="5297"/>
      <w:bookmarkEnd w:id="5298"/>
      <w:bookmarkEnd w:id="5299"/>
      <w:bookmarkEnd w:id="5300"/>
      <w:r>
        <w:rPr>
          <w:rFonts w:ascii="Arial" w:eastAsia="Arial" w:hAnsi="Arial" w:cs="Arial"/>
          <w:color w:val="000000"/>
          <w:sz w:val="20"/>
        </w:rPr>
        <w:t xml:space="preserve">Article III of the Constitution permits federal courts to decide only "Cases" or "Controversies." U.S. Const. art. III, § 2. </w:t>
      </w:r>
      <w:bookmarkStart w:id="5301" w:name="Bookmark_I64HGFMM28T4TH0020000400"/>
      <w:bookmarkEnd w:id="5301"/>
      <w:r>
        <w:rPr>
          <w:rFonts w:ascii="Arial" w:eastAsia="Arial" w:hAnsi="Arial" w:cs="Arial"/>
          <w:color w:val="000000"/>
          <w:sz w:val="20"/>
        </w:rPr>
        <w:t xml:space="preserve">"To establish a case or controversy, a plaintiff must possess standing to sue." </w:t>
      </w:r>
      <w:bookmarkStart w:id="5302" w:name="Bookmark_I64HGFMK2N1RD80020000400"/>
      <w:bookmarkEnd w:id="5302"/>
      <w:r>
        <w:rPr>
          <w:rFonts w:ascii="Arial" w:eastAsia="Arial" w:hAnsi="Arial" w:cs="Arial"/>
          <w:i/>
          <w:color w:val="000000"/>
          <w:sz w:val="20"/>
        </w:rPr>
        <w:t>S. Furniture Leasing, Inc. v. YRC, Inc.</w:t>
      </w:r>
      <w:r>
        <w:rPr>
          <w:rFonts w:ascii="Arial" w:eastAsia="Arial" w:hAnsi="Arial" w:cs="Arial"/>
          <w:color w:val="000000"/>
          <w:sz w:val="20"/>
        </w:rPr>
        <w:t xml:space="preserve">, 989 F.3d 1141, 1145 (10th Cir. 2021). For Article III standing, a plaintiff must have (1) "suffered an injury in fact," (2) that is "fairly traceable to the challenged action of the defendant," and (3) that is likely to be "redressed by a favorable decision." </w:t>
      </w:r>
      <w:bookmarkStart w:id="5303" w:name="Bookmark_I64HGFMK2N1RD80040000400"/>
      <w:bookmarkEnd w:id="5303"/>
      <w:r>
        <w:rPr>
          <w:rFonts w:ascii="Arial" w:eastAsia="Arial" w:hAnsi="Arial" w:cs="Arial"/>
          <w:i/>
          <w:color w:val="000000"/>
          <w:sz w:val="20"/>
        </w:rPr>
        <w:t>Lujan v. Defs. of Wildlife</w:t>
      </w:r>
      <w:r>
        <w:rPr>
          <w:rFonts w:ascii="Arial" w:eastAsia="Arial" w:hAnsi="Arial" w:cs="Arial"/>
          <w:color w:val="000000"/>
          <w:sz w:val="20"/>
        </w:rPr>
        <w:t xml:space="preserve">, 504 U.S. 555, 560-61, 112 S. Ct. 2130, 119 L. Ed. 2d 351 (1992) (quotations and alterations omitted). </w:t>
      </w:r>
      <w:bookmarkStart w:id="5304" w:name="Bookmark_I64HGFMM28T4TH0020000400_2"/>
      <w:bookmarkEnd w:id="5304"/>
      <w:r>
        <w:rPr>
          <w:rFonts w:ascii="Arial" w:eastAsia="Arial" w:hAnsi="Arial" w:cs="Arial"/>
          <w:color w:val="000000"/>
          <w:sz w:val="20"/>
        </w:rPr>
        <w:t xml:space="preserve">These requirements ensure that "the plaintiff has alleged such a personal stake in the outcome of the controversy as to warrant </w:t>
      </w:r>
      <w:r>
        <w:rPr>
          <w:rFonts w:ascii="Arial" w:eastAsia="Arial" w:hAnsi="Arial" w:cs="Arial"/>
          <w:i/>
          <w:color w:val="000000"/>
          <w:sz w:val="20"/>
        </w:rPr>
        <w:t>his</w:t>
      </w:r>
      <w:r>
        <w:rPr>
          <w:rFonts w:ascii="Arial" w:eastAsia="Arial" w:hAnsi="Arial" w:cs="Arial"/>
          <w:color w:val="000000"/>
          <w:sz w:val="20"/>
        </w:rPr>
        <w:t xml:space="preserve"> invocation of federal-court jurisdiction." </w:t>
      </w:r>
      <w:bookmarkStart w:id="5305" w:name="Bookmark_I64HGFMM28T4TH0010000400"/>
      <w:bookmarkEnd w:id="5305"/>
      <w:r>
        <w:rPr>
          <w:rFonts w:ascii="Arial" w:eastAsia="Arial" w:hAnsi="Arial" w:cs="Arial"/>
          <w:i/>
          <w:color w:val="000000"/>
          <w:sz w:val="20"/>
        </w:rPr>
        <w:t>Summers v. Earth Island Inst.</w:t>
      </w:r>
      <w:r>
        <w:rPr>
          <w:rFonts w:ascii="Arial" w:eastAsia="Arial" w:hAnsi="Arial" w:cs="Arial"/>
          <w:color w:val="000000"/>
          <w:sz w:val="20"/>
        </w:rPr>
        <w:t>, 555 U.S. 488, 493, 129 S. Ct. 1142, 173 L. Ed. 2d 1 (2009) (quotations omitted).</w:t>
      </w:r>
    </w:p>
    <w:p w:rsidR="00022B47" w:rsidRDefault="00000000">
      <w:pPr>
        <w:pStyle w:val="Normal30"/>
        <w:widowControl w:val="0"/>
        <w:spacing w:before="200" w:line="260" w:lineRule="atLeast"/>
        <w:jc w:val="both"/>
      </w:pPr>
      <w:bookmarkStart w:id="5306" w:name="Bookmark_para_19_26"/>
      <w:bookmarkStart w:id="5307" w:name="Bookmark_I64HGFMM28T4TH0040000400"/>
      <w:bookmarkStart w:id="5308" w:name="Bookmark_I64HGFMM28T4TK0010000400"/>
      <w:bookmarkStart w:id="5309" w:name="Bookmark_I64HGFMM28T4TK0030000400"/>
      <w:bookmarkStart w:id="5310" w:name="Bookmark_LNHNREFclscc5_27"/>
      <w:bookmarkEnd w:id="5306"/>
      <w:bookmarkEnd w:id="5307"/>
      <w:bookmarkEnd w:id="5308"/>
      <w:bookmarkEnd w:id="5309"/>
      <w:bookmarkEnd w:id="5310"/>
      <w:r>
        <w:rPr>
          <w:rFonts w:ascii="Arial" w:eastAsia="Arial" w:hAnsi="Arial" w:cs="Arial"/>
          <w:color w:val="000000"/>
          <w:sz w:val="20"/>
        </w:rPr>
        <w:t xml:space="preserve">This appeal turns on injury in fact—"an invasion of a legally protected interest which is (a) concrete and particularized and (b) actual or imminent, not [**7]  conjectural or hypothetical." </w:t>
      </w:r>
      <w:bookmarkStart w:id="5311" w:name="Bookmark_I64HGFMM28T4TH0030000400"/>
      <w:bookmarkEnd w:id="5311"/>
      <w:r>
        <w:rPr>
          <w:rFonts w:ascii="Arial" w:eastAsia="Arial" w:hAnsi="Arial" w:cs="Arial"/>
          <w:i/>
          <w:color w:val="000000"/>
          <w:sz w:val="20"/>
        </w:rPr>
        <w:t>Lujan</w:t>
      </w:r>
      <w:r>
        <w:rPr>
          <w:rFonts w:ascii="Arial" w:eastAsia="Arial" w:hAnsi="Arial" w:cs="Arial"/>
          <w:color w:val="000000"/>
          <w:sz w:val="20"/>
        </w:rPr>
        <w:t xml:space="preserve">, 504 U.S. at 560 (quotations and citations omitted). </w:t>
      </w:r>
      <w:bookmarkStart w:id="5312" w:name="Bookmark_I64HGFMM28T4TK0050000400"/>
      <w:bookmarkEnd w:id="5312"/>
      <w:r>
        <w:rPr>
          <w:rFonts w:ascii="Arial" w:eastAsia="Arial" w:hAnsi="Arial" w:cs="Arial"/>
          <w:color w:val="000000"/>
          <w:sz w:val="20"/>
        </w:rPr>
        <w:t xml:space="preserve">For an injury to be particularized, it "must affect the plaintiff in a personal and individual way." </w:t>
      </w:r>
      <w:bookmarkStart w:id="5313" w:name="Bookmark_I64HGFMM28T4TH0050000400"/>
      <w:bookmarkEnd w:id="5313"/>
      <w:r>
        <w:rPr>
          <w:rFonts w:ascii="Arial" w:eastAsia="Arial" w:hAnsi="Arial" w:cs="Arial"/>
          <w:i/>
          <w:color w:val="000000"/>
          <w:sz w:val="20"/>
        </w:rPr>
        <w:t>Id.</w:t>
      </w:r>
      <w:r>
        <w:rPr>
          <w:rFonts w:ascii="Arial" w:eastAsia="Arial" w:hAnsi="Arial" w:cs="Arial"/>
          <w:color w:val="000000"/>
          <w:sz w:val="20"/>
        </w:rPr>
        <w:t xml:space="preserve"> at 560 n.1. </w:t>
      </w:r>
      <w:bookmarkStart w:id="5314" w:name="Bookmark_I64HGFMM2N1RDF0020000400"/>
      <w:bookmarkEnd w:id="5314"/>
      <w:r>
        <w:rPr>
          <w:rFonts w:ascii="Arial" w:eastAsia="Arial" w:hAnsi="Arial" w:cs="Arial"/>
          <w:color w:val="000000"/>
          <w:sz w:val="20"/>
        </w:rPr>
        <w:t xml:space="preserve">To be "concrete," an injury must be "real" rather than "abstract." </w:t>
      </w:r>
      <w:bookmarkStart w:id="5315" w:name="Bookmark_I64HGFMM28T4TK0020000400"/>
      <w:bookmarkEnd w:id="5315"/>
      <w:r>
        <w:rPr>
          <w:rFonts w:ascii="Arial" w:eastAsia="Arial" w:hAnsi="Arial" w:cs="Arial"/>
          <w:i/>
          <w:color w:val="000000"/>
          <w:sz w:val="20"/>
        </w:rPr>
        <w:t>Lupia v. Medicredit, Inc.</w:t>
      </w:r>
      <w:r>
        <w:rPr>
          <w:rFonts w:ascii="Arial" w:eastAsia="Arial" w:hAnsi="Arial" w:cs="Arial"/>
          <w:color w:val="000000"/>
          <w:sz w:val="20"/>
        </w:rPr>
        <w:t xml:space="preserve">, 8 F.4th 1184, 1190 (10th Cir. 2021). </w:t>
      </w:r>
      <w:bookmarkStart w:id="5316" w:name="Bookmark_I64HGFMM2N1RDF0020000400_2"/>
      <w:bookmarkStart w:id="5317" w:name="Bookmark_I64HGFMM28T4TK0050000400_2"/>
      <w:bookmarkEnd w:id="5316"/>
      <w:bookmarkEnd w:id="5317"/>
      <w:r>
        <w:rPr>
          <w:rFonts w:ascii="Arial" w:eastAsia="Arial" w:hAnsi="Arial" w:cs="Arial"/>
          <w:color w:val="000000"/>
          <w:sz w:val="20"/>
        </w:rPr>
        <w:t xml:space="preserve">But "'concrete' is not necessarily synonymous with 'tangible.'" </w:t>
      </w:r>
      <w:bookmarkStart w:id="5318" w:name="Bookmark_I64HGFMM28T4TK0040000400"/>
      <w:bookmarkEnd w:id="5318"/>
      <w:r>
        <w:rPr>
          <w:rFonts w:ascii="Arial" w:eastAsia="Arial" w:hAnsi="Arial" w:cs="Arial"/>
          <w:i/>
          <w:color w:val="000000"/>
          <w:sz w:val="20"/>
        </w:rPr>
        <w:t>Id.</w:t>
      </w:r>
      <w:r>
        <w:rPr>
          <w:rFonts w:ascii="Arial" w:eastAsia="Arial" w:hAnsi="Arial" w:cs="Arial"/>
          <w:color w:val="000000"/>
          <w:sz w:val="20"/>
        </w:rPr>
        <w:t xml:space="preserve"> at 1191 (quotations and alterations omitted). An alleged future injury is sufficiently imminent "if the threatened injury is certainly impending, or there is a substantial risk that the harm will occur." </w:t>
      </w:r>
      <w:bookmarkStart w:id="5319" w:name="Bookmark_I64HGFMM2N1RDF0010000400"/>
      <w:bookmarkEnd w:id="5319"/>
      <w:r>
        <w:rPr>
          <w:rFonts w:ascii="Arial" w:eastAsia="Arial" w:hAnsi="Arial" w:cs="Arial"/>
          <w:i/>
          <w:color w:val="000000"/>
          <w:sz w:val="20"/>
        </w:rPr>
        <w:t>Susan B. Anthony List v. Driehaus</w:t>
      </w:r>
      <w:r>
        <w:rPr>
          <w:rFonts w:ascii="Arial" w:eastAsia="Arial" w:hAnsi="Arial" w:cs="Arial"/>
          <w:color w:val="000000"/>
          <w:sz w:val="20"/>
        </w:rPr>
        <w:t>, 573 U.S. 149, 158, 134 S. Ct. 2334, 189 L. Ed. 2d 246 (2014) (quotations omitted).</w:t>
      </w:r>
    </w:p>
    <w:p w:rsidR="00022B47" w:rsidRDefault="00000000">
      <w:pPr>
        <w:pStyle w:val="Normal30"/>
        <w:widowControl w:val="0"/>
        <w:spacing w:before="120" w:line="260" w:lineRule="atLeast"/>
      </w:pPr>
      <w:r>
        <w:rPr>
          <w:rFonts w:ascii="Arial" w:eastAsia="Arial" w:hAnsi="Arial" w:cs="Arial"/>
          <w:color w:val="000000"/>
          <w:sz w:val="20"/>
        </w:rPr>
        <w:t xml:space="preserve">2. </w:t>
      </w:r>
      <w:r>
        <w:rPr>
          <w:rFonts w:ascii="Arial" w:eastAsia="Arial" w:hAnsi="Arial" w:cs="Arial"/>
          <w:b/>
          <w:color w:val="000000"/>
          <w:sz w:val="20"/>
        </w:rPr>
        <w:t>Recent Developments</w:t>
      </w:r>
    </w:p>
    <w:p w:rsidR="00022B47" w:rsidRDefault="00000000">
      <w:pPr>
        <w:pStyle w:val="Normal30"/>
        <w:widowControl w:val="0"/>
        <w:spacing w:before="200" w:line="260" w:lineRule="atLeast"/>
        <w:jc w:val="both"/>
      </w:pPr>
      <w:bookmarkStart w:id="5320" w:name="Bookmark_para_20_26"/>
      <w:bookmarkStart w:id="5321" w:name="Bookmark_I64HGFMM2N1RDF0040000400"/>
      <w:bookmarkStart w:id="5322" w:name="Bookmark_LNHNREFclscc6_24"/>
      <w:bookmarkEnd w:id="5320"/>
      <w:bookmarkEnd w:id="5321"/>
      <w:bookmarkEnd w:id="5322"/>
      <w:r>
        <w:rPr>
          <w:rFonts w:ascii="Arial" w:eastAsia="Arial" w:hAnsi="Arial" w:cs="Arial"/>
          <w:color w:val="000000"/>
          <w:sz w:val="20"/>
        </w:rPr>
        <w:t xml:space="preserve">In </w:t>
      </w:r>
      <w:bookmarkStart w:id="5323" w:name="Bookmark_I64HGFMM2N1RDF0030000400"/>
      <w:bookmarkEnd w:id="5323"/>
      <w:r>
        <w:rPr>
          <w:rFonts w:ascii="Arial" w:eastAsia="Arial" w:hAnsi="Arial" w:cs="Arial"/>
          <w:i/>
          <w:color w:val="000000"/>
          <w:sz w:val="20"/>
        </w:rPr>
        <w:t>Spokeo, Inc. v. Robins</w:t>
      </w:r>
      <w:r>
        <w:rPr>
          <w:rFonts w:ascii="Arial" w:eastAsia="Arial" w:hAnsi="Arial" w:cs="Arial"/>
          <w:color w:val="000000"/>
          <w:sz w:val="20"/>
        </w:rPr>
        <w:t xml:space="preserve">, 578 U.S. 330, 136 S. Ct. 1540, 194 L. Ed. 2d 635 (2016), and </w:t>
      </w:r>
      <w:bookmarkStart w:id="5324" w:name="Bookmark_I64HGFMM2N1RDF0050000400"/>
      <w:bookmarkEnd w:id="5324"/>
      <w:r>
        <w:rPr>
          <w:rFonts w:ascii="Arial" w:eastAsia="Arial" w:hAnsi="Arial" w:cs="Arial"/>
          <w:i/>
          <w:color w:val="000000"/>
          <w:sz w:val="20"/>
        </w:rPr>
        <w:t>TransUnion, LLC v. Ramirez</w:t>
      </w:r>
      <w:r>
        <w:rPr>
          <w:rFonts w:ascii="Arial" w:eastAsia="Arial" w:hAnsi="Arial" w:cs="Arial"/>
          <w:color w:val="000000"/>
          <w:sz w:val="20"/>
        </w:rPr>
        <w:t>, 141 S. Ct. 2190, 210 L. Ed. 2d 568 (2021), the Supreme Court explained that a statutory violation does not necessarily establish injury in fact.</w:t>
      </w:r>
    </w:p>
    <w:p w:rsidR="00022B47" w:rsidRDefault="00000000">
      <w:pPr>
        <w:pStyle w:val="Normal30"/>
        <w:widowControl w:val="0"/>
        <w:spacing w:before="120" w:line="260" w:lineRule="atLeast"/>
      </w:pPr>
      <w:r>
        <w:rPr>
          <w:rFonts w:ascii="Arial" w:eastAsia="Arial" w:hAnsi="Arial" w:cs="Arial"/>
          <w:color w:val="000000"/>
          <w:sz w:val="20"/>
        </w:rPr>
        <w:t>a. Spokeo</w:t>
      </w:r>
    </w:p>
    <w:p w:rsidR="00022B47" w:rsidRDefault="00000000">
      <w:pPr>
        <w:pStyle w:val="Normal30"/>
        <w:widowControl w:val="0"/>
        <w:spacing w:before="200" w:line="260" w:lineRule="atLeast"/>
        <w:jc w:val="both"/>
      </w:pPr>
      <w:bookmarkStart w:id="5325" w:name="Bookmark_para_21_25"/>
      <w:bookmarkStart w:id="5326" w:name="Bookmark_I64HGFMN2N1RDH0030000400"/>
      <w:bookmarkStart w:id="5327" w:name="Bookmark_I64HGFMN2D6N360020000400"/>
      <w:bookmarkStart w:id="5328" w:name="Bookmark_I64HGFMN2SF7JV0050000400"/>
      <w:bookmarkStart w:id="5329" w:name="Bookmark_LNHNREFclscc7_23"/>
      <w:bookmarkEnd w:id="5325"/>
      <w:bookmarkEnd w:id="5326"/>
      <w:bookmarkEnd w:id="5327"/>
      <w:bookmarkEnd w:id="5328"/>
      <w:bookmarkEnd w:id="5329"/>
      <w:r>
        <w:rPr>
          <w:rFonts w:ascii="Arial" w:eastAsia="Arial" w:hAnsi="Arial" w:cs="Arial"/>
          <w:color w:val="000000"/>
          <w:sz w:val="20"/>
        </w:rPr>
        <w:t xml:space="preserve">In </w:t>
      </w:r>
      <w:bookmarkStart w:id="5330" w:name="Bookmark_I64HGFMN2N1RDH0020000400"/>
      <w:bookmarkEnd w:id="5330"/>
      <w:r>
        <w:rPr>
          <w:rFonts w:ascii="Arial" w:eastAsia="Arial" w:hAnsi="Arial" w:cs="Arial"/>
          <w:i/>
          <w:color w:val="000000"/>
          <w:sz w:val="20"/>
        </w:rPr>
        <w:t>Spokeo</w:t>
      </w:r>
      <w:bookmarkStart w:id="5331" w:name="Bookmark_I64HGFMN2D6N360040000400"/>
      <w:bookmarkEnd w:id="5331"/>
      <w:r>
        <w:rPr>
          <w:rFonts w:ascii="Arial" w:eastAsia="Arial" w:hAnsi="Arial" w:cs="Arial"/>
          <w:color w:val="000000"/>
          <w:sz w:val="20"/>
        </w:rPr>
        <w:t xml:space="preserve">, the Court explained that "Article III standing requires a concrete injury even in the context of a statutory violation." </w:t>
      </w:r>
      <w:bookmarkStart w:id="5332" w:name="Bookmark_I64HGFMN2N1RDH0040000400"/>
      <w:bookmarkEnd w:id="5332"/>
      <w:r>
        <w:rPr>
          <w:rFonts w:ascii="Arial" w:eastAsia="Arial" w:hAnsi="Arial" w:cs="Arial"/>
          <w:color w:val="000000"/>
          <w:sz w:val="20"/>
        </w:rPr>
        <w:t xml:space="preserve">136 S. Ct. at 1549. </w:t>
      </w:r>
      <w:bookmarkStart w:id="5333" w:name="Bookmark_I64HGFMN2SF7JV0030000400"/>
      <w:bookmarkEnd w:id="5333"/>
      <w:r>
        <w:rPr>
          <w:rFonts w:ascii="Arial" w:eastAsia="Arial" w:hAnsi="Arial" w:cs="Arial"/>
          <w:color w:val="000000"/>
          <w:sz w:val="20"/>
        </w:rPr>
        <w:t>The plaintiff alleged that the defendant's website contained inaccurate biographical information about him in violation of the Fair Credit Reporting Act ("FCRA").</w:t>
      </w:r>
      <w:r>
        <w:rPr>
          <w:rFonts w:ascii="Arial" w:eastAsia="Arial" w:hAnsi="Arial" w:cs="Arial"/>
          <w:vertAlign w:val="superscript"/>
        </w:rPr>
        <w:footnoteReference w:customMarkFollows="1" w:id="139"/>
        <w:t>2</w:t>
      </w:r>
      <w:bookmarkStart w:id="5336" w:name="Bookmark_I64HGFMN2D6N360010000400"/>
      <w:bookmarkEnd w:id="5336"/>
      <w:r>
        <w:rPr>
          <w:rFonts w:ascii="Arial" w:eastAsia="Arial" w:hAnsi="Arial" w:cs="Arial"/>
          <w:i/>
          <w:color w:val="000000"/>
          <w:sz w:val="20"/>
        </w:rPr>
        <w:t>Id.</w:t>
      </w:r>
      <w:r>
        <w:rPr>
          <w:rFonts w:ascii="Arial" w:eastAsia="Arial" w:hAnsi="Arial" w:cs="Arial"/>
          <w:color w:val="000000"/>
          <w:sz w:val="20"/>
        </w:rPr>
        <w:t xml:space="preserve"> at 1546. </w:t>
      </w:r>
      <w:bookmarkStart w:id="5337" w:name="Bookmark_I64HGFMN2SF7JV0030000400_2"/>
      <w:bookmarkStart w:id="5338" w:name="Bookmark_I64HGFMN2D6N360040000400_2"/>
      <w:bookmarkEnd w:id="5337"/>
      <w:bookmarkEnd w:id="5338"/>
      <w:r>
        <w:rPr>
          <w:rFonts w:ascii="Arial" w:eastAsia="Arial" w:hAnsi="Arial" w:cs="Arial"/>
          <w:color w:val="000000"/>
          <w:sz w:val="20"/>
        </w:rPr>
        <w:t xml:space="preserve">On appeal, the Ninth Circuit had concluded the plaintiff had standing because "Spokeo violated </w:t>
      </w:r>
      <w:r>
        <w:rPr>
          <w:rFonts w:ascii="Arial" w:eastAsia="Arial" w:hAnsi="Arial" w:cs="Arial"/>
          <w:i/>
          <w:color w:val="000000"/>
          <w:sz w:val="20"/>
        </w:rPr>
        <w:t>his</w:t>
      </w:r>
      <w:r>
        <w:rPr>
          <w:rFonts w:ascii="Arial" w:eastAsia="Arial" w:hAnsi="Arial" w:cs="Arial"/>
          <w:color w:val="000000"/>
          <w:sz w:val="20"/>
        </w:rPr>
        <w:t xml:space="preserve"> statutory rights, not just the statutory rights of other people." </w:t>
      </w:r>
      <w:bookmarkStart w:id="5339" w:name="Bookmark_I64HGFMN2D6N360030000400"/>
      <w:bookmarkEnd w:id="5339"/>
      <w:r>
        <w:rPr>
          <w:rFonts w:ascii="Arial" w:eastAsia="Arial" w:hAnsi="Arial" w:cs="Arial"/>
          <w:i/>
          <w:color w:val="000000"/>
          <w:sz w:val="20"/>
        </w:rPr>
        <w:t>Id.</w:t>
      </w:r>
      <w:r>
        <w:rPr>
          <w:rFonts w:ascii="Arial" w:eastAsia="Arial" w:hAnsi="Arial" w:cs="Arial"/>
          <w:color w:val="000000"/>
          <w:sz w:val="20"/>
        </w:rPr>
        <w:t xml:space="preserve"> at 1546 (quoting </w:t>
      </w:r>
      <w:bookmarkStart w:id="5340" w:name="Bookmark_I64HGFMN2D6N360050000400"/>
      <w:bookmarkEnd w:id="5340"/>
      <w:r>
        <w:rPr>
          <w:rFonts w:ascii="Arial" w:eastAsia="Arial" w:hAnsi="Arial" w:cs="Arial"/>
          <w:i/>
          <w:color w:val="000000"/>
          <w:sz w:val="20"/>
        </w:rPr>
        <w:t>Robins v. Spokeo, Inc.</w:t>
      </w:r>
      <w:r>
        <w:rPr>
          <w:rFonts w:ascii="Arial" w:eastAsia="Arial" w:hAnsi="Arial" w:cs="Arial"/>
          <w:color w:val="000000"/>
          <w:sz w:val="20"/>
        </w:rPr>
        <w:t xml:space="preserve">, 742 F.3d 409, 413 (9th Cir. 2014)). But that analysis, the Supreme Court said, did not consider "whether the particular procedural violations alleged [**8]  in this case entail a degree of risk sufficient to meet the concreteness requirement." </w:t>
      </w:r>
      <w:bookmarkStart w:id="5341" w:name="Bookmark_I64HGFMN2SF7JV0020000400"/>
      <w:bookmarkEnd w:id="5341"/>
      <w:r>
        <w:rPr>
          <w:rFonts w:ascii="Arial" w:eastAsia="Arial" w:hAnsi="Arial" w:cs="Arial"/>
          <w:i/>
          <w:color w:val="000000"/>
          <w:sz w:val="20"/>
        </w:rPr>
        <w:t>Id.</w:t>
      </w:r>
      <w:r>
        <w:rPr>
          <w:rFonts w:ascii="Arial" w:eastAsia="Arial" w:hAnsi="Arial" w:cs="Arial"/>
          <w:color w:val="000000"/>
          <w:sz w:val="20"/>
        </w:rPr>
        <w:t xml:space="preserve"> at 1550. In other words, the circuit court addressed "particularity" but ignored "concreteness." </w:t>
      </w:r>
      <w:r>
        <w:rPr>
          <w:rFonts w:ascii="Arial" w:eastAsia="Arial" w:hAnsi="Arial" w:cs="Arial"/>
          <w:i/>
          <w:color w:val="000000"/>
          <w:sz w:val="20"/>
        </w:rPr>
        <w:t>Id.</w:t>
      </w:r>
    </w:p>
    <w:p w:rsidR="00022B47" w:rsidRDefault="00000000">
      <w:pPr>
        <w:pStyle w:val="Normal30"/>
        <w:widowControl w:val="0"/>
        <w:spacing w:before="200" w:line="260" w:lineRule="atLeast"/>
        <w:jc w:val="both"/>
      </w:pPr>
      <w:bookmarkStart w:id="5342" w:name="Bookmark_para_22_24"/>
      <w:bookmarkEnd w:id="5342"/>
      <w:r>
        <w:rPr>
          <w:rFonts w:ascii="Arial" w:eastAsia="Arial" w:hAnsi="Arial" w:cs="Arial"/>
          <w:color w:val="000000"/>
          <w:sz w:val="20"/>
        </w:rPr>
        <w:t xml:space="preserve"> [*877]  </w:t>
      </w:r>
      <w:bookmarkStart w:id="5343" w:name="Bookmark_I64HGFMN2N1RDM0020000400"/>
      <w:bookmarkStart w:id="5344" w:name="Bookmark_LNHNREFclscc8_21"/>
      <w:bookmarkEnd w:id="5343"/>
      <w:bookmarkEnd w:id="5344"/>
      <w:r>
        <w:rPr>
          <w:rFonts w:ascii="Arial" w:eastAsia="Arial" w:hAnsi="Arial" w:cs="Arial"/>
          <w:color w:val="000000"/>
          <w:sz w:val="20"/>
        </w:rPr>
        <w:t xml:space="preserve">The Court explained that, "[i]n determining whether an intangible harm constitutes injury in fact, both history and the judgment of Congress play important roles." </w:t>
      </w:r>
      <w:bookmarkStart w:id="5345" w:name="Bookmark_I64HGFMN2N1RDM0010000400"/>
      <w:bookmarkEnd w:id="5345"/>
      <w:r>
        <w:rPr>
          <w:rFonts w:ascii="Arial" w:eastAsia="Arial" w:hAnsi="Arial" w:cs="Arial"/>
          <w:i/>
          <w:color w:val="000000"/>
          <w:sz w:val="20"/>
        </w:rPr>
        <w:t>Id.</w:t>
      </w:r>
      <w:r>
        <w:rPr>
          <w:rFonts w:ascii="Arial" w:eastAsia="Arial" w:hAnsi="Arial" w:cs="Arial"/>
          <w:color w:val="000000"/>
          <w:sz w:val="20"/>
        </w:rPr>
        <w:t xml:space="preserve"> at 1549. First, "it is instructive to consider whether an alleged intangible harm has a close relationship to a harm that has traditionally been regarded as providing a basis for a lawsuit in English or American courts." </w:t>
      </w:r>
      <w:r>
        <w:rPr>
          <w:rFonts w:ascii="Arial" w:eastAsia="Arial" w:hAnsi="Arial" w:cs="Arial"/>
          <w:i/>
          <w:color w:val="000000"/>
          <w:sz w:val="20"/>
        </w:rPr>
        <w:t>Id.</w:t>
      </w:r>
      <w:r>
        <w:rPr>
          <w:rFonts w:ascii="Arial" w:eastAsia="Arial" w:hAnsi="Arial" w:cs="Arial"/>
          <w:color w:val="000000"/>
          <w:sz w:val="20"/>
        </w:rPr>
        <w:t xml:space="preserve"> Second, "because Congress is well positioned to identify intangible harms that meet minimum Article III requirements, its judgment is also instructive and important." </w:t>
      </w:r>
      <w:r>
        <w:rPr>
          <w:rFonts w:ascii="Arial" w:eastAsia="Arial" w:hAnsi="Arial" w:cs="Arial"/>
          <w:i/>
          <w:color w:val="000000"/>
          <w:sz w:val="20"/>
        </w:rPr>
        <w:t>Id.</w:t>
      </w:r>
      <w:r>
        <w:rPr>
          <w:rFonts w:ascii="Arial" w:eastAsia="Arial" w:hAnsi="Arial" w:cs="Arial"/>
          <w:color w:val="000000"/>
          <w:sz w:val="20"/>
        </w:rPr>
        <w:t xml:space="preserve"> Thus, "Congress may elevate to the status of legally cognizable injuries concrete, </w:t>
      </w:r>
      <w:r>
        <w:rPr>
          <w:rFonts w:ascii="Arial" w:eastAsia="Arial" w:hAnsi="Arial" w:cs="Arial"/>
          <w:i/>
          <w:color w:val="000000"/>
          <w:sz w:val="20"/>
        </w:rPr>
        <w:t>de facto</w:t>
      </w:r>
      <w:r>
        <w:rPr>
          <w:rFonts w:ascii="Arial" w:eastAsia="Arial" w:hAnsi="Arial" w:cs="Arial"/>
          <w:color w:val="000000"/>
          <w:sz w:val="20"/>
        </w:rPr>
        <w:t xml:space="preserve"> injuries that were previously inadequate in law." </w:t>
      </w:r>
      <w:r>
        <w:rPr>
          <w:rFonts w:ascii="Arial" w:eastAsia="Arial" w:hAnsi="Arial" w:cs="Arial"/>
          <w:i/>
          <w:color w:val="000000"/>
          <w:sz w:val="20"/>
        </w:rPr>
        <w:t>Id.</w:t>
      </w:r>
      <w:r>
        <w:rPr>
          <w:rFonts w:ascii="Arial" w:eastAsia="Arial" w:hAnsi="Arial" w:cs="Arial"/>
          <w:color w:val="000000"/>
          <w:sz w:val="20"/>
        </w:rPr>
        <w:t xml:space="preserve"> (quotations and alteration omitted). But the Court cautioned that "Congress' role in identifying and elevating intangible harms does not mean that a plaintiff automatically satisfies the injury-infact requirement whenever a statute grants a person a statutory right and purports to authorize that person to sue to vindicate that right." [**9]  </w:t>
      </w:r>
      <w:r>
        <w:rPr>
          <w:rFonts w:ascii="Arial" w:eastAsia="Arial" w:hAnsi="Arial" w:cs="Arial"/>
          <w:i/>
          <w:color w:val="000000"/>
          <w:sz w:val="20"/>
        </w:rPr>
        <w:t>Id.</w:t>
      </w:r>
    </w:p>
    <w:p w:rsidR="00022B47" w:rsidRDefault="00000000">
      <w:pPr>
        <w:pStyle w:val="Normal30"/>
        <w:widowControl w:val="0"/>
        <w:spacing w:before="120" w:line="260" w:lineRule="atLeast"/>
      </w:pPr>
      <w:r>
        <w:rPr>
          <w:rFonts w:ascii="Arial" w:eastAsia="Arial" w:hAnsi="Arial" w:cs="Arial"/>
          <w:color w:val="000000"/>
          <w:sz w:val="20"/>
        </w:rPr>
        <w:t>b. TransUnion</w:t>
      </w:r>
    </w:p>
    <w:p w:rsidR="00022B47" w:rsidRDefault="00000000">
      <w:pPr>
        <w:pStyle w:val="Normal30"/>
        <w:widowControl w:val="0"/>
        <w:spacing w:before="200" w:line="260" w:lineRule="atLeast"/>
        <w:jc w:val="both"/>
      </w:pPr>
      <w:bookmarkStart w:id="5346" w:name="Bookmark_para_23_23"/>
      <w:bookmarkStart w:id="5347" w:name="Bookmark_I64HGFMN2N1RDM0040000400"/>
      <w:bookmarkEnd w:id="5346"/>
      <w:bookmarkEnd w:id="5347"/>
      <w:r>
        <w:rPr>
          <w:rFonts w:ascii="Arial" w:eastAsia="Arial" w:hAnsi="Arial" w:cs="Arial"/>
          <w:color w:val="000000"/>
          <w:sz w:val="20"/>
        </w:rPr>
        <w:t xml:space="preserve">The Supreme Court expanded upon these principles in </w:t>
      </w:r>
      <w:r>
        <w:rPr>
          <w:rFonts w:ascii="Arial" w:eastAsia="Arial" w:hAnsi="Arial" w:cs="Arial"/>
          <w:i/>
          <w:color w:val="000000"/>
          <w:sz w:val="20"/>
        </w:rPr>
        <w:t xml:space="preserve">TransUnion. </w:t>
      </w:r>
      <w:bookmarkStart w:id="5348" w:name="Bookmark_I64HGFMN2SF7JX0030000400"/>
      <w:bookmarkEnd w:id="5348"/>
      <w:r>
        <w:rPr>
          <w:rFonts w:ascii="Arial" w:eastAsia="Arial" w:hAnsi="Arial" w:cs="Arial"/>
          <w:i/>
          <w:color w:val="000000"/>
          <w:sz w:val="20"/>
        </w:rPr>
        <w:t>TransUnion</w:t>
      </w:r>
      <w:bookmarkStart w:id="5349" w:name="Bookmark_I64HGFMN2SF7JX0030000400_2"/>
      <w:bookmarkEnd w:id="5349"/>
      <w:r>
        <w:rPr>
          <w:rFonts w:ascii="Arial" w:eastAsia="Arial" w:hAnsi="Arial" w:cs="Arial"/>
          <w:color w:val="000000"/>
          <w:sz w:val="20"/>
        </w:rPr>
        <w:t xml:space="preserve">, like </w:t>
      </w:r>
      <w:bookmarkStart w:id="5350" w:name="Bookmark_I64HGFMN2N1RDM0030000400"/>
      <w:bookmarkEnd w:id="5350"/>
      <w:r>
        <w:rPr>
          <w:rFonts w:ascii="Arial" w:eastAsia="Arial" w:hAnsi="Arial" w:cs="Arial"/>
          <w:i/>
          <w:color w:val="000000"/>
          <w:sz w:val="20"/>
        </w:rPr>
        <w:t>Spokeo</w:t>
      </w:r>
      <w:r>
        <w:rPr>
          <w:rFonts w:ascii="Arial" w:eastAsia="Arial" w:hAnsi="Arial" w:cs="Arial"/>
          <w:color w:val="000000"/>
          <w:sz w:val="20"/>
        </w:rPr>
        <w:t xml:space="preserve">, involved an alleged violation of the FCRA. The plaintiff could not purchase a car because, according to his TransUnion credit report, his name matched that of an individual on the Treasury Department's Office of Foreign Asset Control ("OFAC") list. </w:t>
      </w:r>
      <w:bookmarkStart w:id="5351" w:name="Bookmark_I64HGFMN2N1RDM0050000400"/>
      <w:bookmarkEnd w:id="5351"/>
      <w:r>
        <w:rPr>
          <w:rFonts w:ascii="Arial" w:eastAsia="Arial" w:hAnsi="Arial" w:cs="Arial"/>
          <w:i/>
          <w:color w:val="000000"/>
          <w:sz w:val="20"/>
        </w:rPr>
        <w:t>TransUnion</w:t>
      </w:r>
      <w:r>
        <w:rPr>
          <w:rFonts w:ascii="Arial" w:eastAsia="Arial" w:hAnsi="Arial" w:cs="Arial"/>
          <w:color w:val="000000"/>
          <w:sz w:val="20"/>
        </w:rPr>
        <w:t xml:space="preserve">, 141 S. Ct. at 2201. </w:t>
      </w:r>
      <w:bookmarkStart w:id="5352" w:name="Bookmark_I64HGFMN2SF7JX0030000400_3"/>
      <w:bookmarkEnd w:id="5352"/>
      <w:r>
        <w:rPr>
          <w:rFonts w:ascii="Arial" w:eastAsia="Arial" w:hAnsi="Arial" w:cs="Arial"/>
          <w:color w:val="000000"/>
          <w:sz w:val="20"/>
        </w:rPr>
        <w:t xml:space="preserve">He brought a class action under the FCRA, alleging that TransUnion failed (1) to follow reasonable procedures to ensure the accuracy of information in his credit file, (2) to provide him with all the information in his credit file upon request, and (3) provide him with a required "summary of rights" "with each written disclosure." </w:t>
      </w:r>
      <w:bookmarkStart w:id="5353" w:name="Bookmark_I64HGFMN2SF7JX0020000400"/>
      <w:bookmarkEnd w:id="5353"/>
      <w:r>
        <w:rPr>
          <w:rFonts w:ascii="Arial" w:eastAsia="Arial" w:hAnsi="Arial" w:cs="Arial"/>
          <w:i/>
          <w:color w:val="000000"/>
          <w:sz w:val="20"/>
        </w:rPr>
        <w:t>Id.</w:t>
      </w:r>
      <w:r>
        <w:rPr>
          <w:rFonts w:ascii="Arial" w:eastAsia="Arial" w:hAnsi="Arial" w:cs="Arial"/>
          <w:color w:val="000000"/>
          <w:sz w:val="20"/>
        </w:rPr>
        <w:t xml:space="preserve"> at 2202.</w:t>
      </w:r>
    </w:p>
    <w:p w:rsidR="00022B47" w:rsidRDefault="00000000">
      <w:pPr>
        <w:pStyle w:val="Normal30"/>
        <w:widowControl w:val="0"/>
        <w:spacing w:before="200" w:line="260" w:lineRule="atLeast"/>
        <w:jc w:val="both"/>
      </w:pPr>
      <w:bookmarkStart w:id="5354" w:name="Bookmark_para_24_21"/>
      <w:bookmarkStart w:id="5355" w:name="Bookmark_I64HGFMN2SF7JX0050000400"/>
      <w:bookmarkStart w:id="5356" w:name="Bookmark_LNHNREFclscc9_18"/>
      <w:bookmarkEnd w:id="5354"/>
      <w:bookmarkEnd w:id="5355"/>
      <w:bookmarkEnd w:id="5356"/>
      <w:r>
        <w:rPr>
          <w:rFonts w:ascii="Arial" w:eastAsia="Arial" w:hAnsi="Arial" w:cs="Arial"/>
          <w:color w:val="000000"/>
          <w:sz w:val="20"/>
        </w:rPr>
        <w:t xml:space="preserve">The Court, building on its </w:t>
      </w:r>
      <w:bookmarkStart w:id="5357" w:name="Bookmark_I64HGFMN2SF7JX0040000400"/>
      <w:bookmarkEnd w:id="5357"/>
      <w:r>
        <w:rPr>
          <w:rFonts w:ascii="Arial" w:eastAsia="Arial" w:hAnsi="Arial" w:cs="Arial"/>
          <w:i/>
          <w:color w:val="000000"/>
          <w:sz w:val="20"/>
        </w:rPr>
        <w:t>Spokeo</w:t>
      </w:r>
      <w:r>
        <w:rPr>
          <w:rFonts w:ascii="Arial" w:eastAsia="Arial" w:hAnsi="Arial" w:cs="Arial"/>
          <w:color w:val="000000"/>
          <w:sz w:val="20"/>
        </w:rPr>
        <w:t xml:space="preserve"> analysis, emphasized that "Congress's creation of a statutory prohibition or obligation and a cause of action does not relieve courts of their responsibility to independently decide whether a plaintiff has suffered a concrete harm under Article III." </w:t>
      </w:r>
      <w:bookmarkStart w:id="5358" w:name="Bookmark_I64HGFMN2HM5SF0010000400"/>
      <w:bookmarkEnd w:id="5358"/>
      <w:r>
        <w:rPr>
          <w:rFonts w:ascii="Arial" w:eastAsia="Arial" w:hAnsi="Arial" w:cs="Arial"/>
          <w:i/>
          <w:color w:val="000000"/>
          <w:sz w:val="20"/>
        </w:rPr>
        <w:t>Id.</w:t>
      </w:r>
      <w:r>
        <w:rPr>
          <w:rFonts w:ascii="Arial" w:eastAsia="Arial" w:hAnsi="Arial" w:cs="Arial"/>
          <w:color w:val="000000"/>
          <w:sz w:val="20"/>
        </w:rPr>
        <w:t xml:space="preserve"> at 2205. "For standing purposes, therefore, an important difference exists between (i) a plaintiff's statutory cause of action to sue a defendant over the defendant's violation of federal law, and (ii) a plaintiff's suffering concrete harm because of the [**10]  defendant's violation of federal law." </w:t>
      </w:r>
      <w:r>
        <w:rPr>
          <w:rFonts w:ascii="Arial" w:eastAsia="Arial" w:hAnsi="Arial" w:cs="Arial"/>
          <w:i/>
          <w:color w:val="000000"/>
          <w:sz w:val="20"/>
        </w:rPr>
        <w:t>Id.</w:t>
      </w:r>
      <w:r>
        <w:rPr>
          <w:rFonts w:ascii="Arial" w:eastAsia="Arial" w:hAnsi="Arial" w:cs="Arial"/>
          <w:color w:val="000000"/>
          <w:sz w:val="20"/>
        </w:rPr>
        <w:t xml:space="preserve"> In other words, "under Article III, an injury in law is not an injury in fact." </w:t>
      </w:r>
      <w:r>
        <w:rPr>
          <w:rFonts w:ascii="Arial" w:eastAsia="Arial" w:hAnsi="Arial" w:cs="Arial"/>
          <w:i/>
          <w:color w:val="000000"/>
          <w:sz w:val="20"/>
        </w:rPr>
        <w:t>Id.</w:t>
      </w:r>
      <w:r>
        <w:rPr>
          <w:rFonts w:ascii="Arial" w:eastAsia="Arial" w:hAnsi="Arial" w:cs="Arial"/>
          <w:color w:val="000000"/>
          <w:sz w:val="20"/>
        </w:rPr>
        <w:t xml:space="preserve"> "Article III grants federal courts the power to redress harms that defendants cause plaintiffs, not a freewheeling power to hold defendants accountable for legal infractions." </w:t>
      </w:r>
      <w:r>
        <w:rPr>
          <w:rFonts w:ascii="Arial" w:eastAsia="Arial" w:hAnsi="Arial" w:cs="Arial"/>
          <w:i/>
          <w:color w:val="000000"/>
          <w:sz w:val="20"/>
        </w:rPr>
        <w:t>Id.</w:t>
      </w:r>
      <w:r>
        <w:rPr>
          <w:rFonts w:ascii="Arial" w:eastAsia="Arial" w:hAnsi="Arial" w:cs="Arial"/>
          <w:color w:val="000000"/>
          <w:sz w:val="20"/>
        </w:rPr>
        <w:t xml:space="preserve"> (quotations omitted). Thus, "[o]nly those plaintiffs who have been </w:t>
      </w:r>
      <w:r>
        <w:rPr>
          <w:rFonts w:ascii="Arial" w:eastAsia="Arial" w:hAnsi="Arial" w:cs="Arial"/>
          <w:i/>
          <w:color w:val="000000"/>
          <w:sz w:val="20"/>
        </w:rPr>
        <w:t>concretely harmed</w:t>
      </w:r>
      <w:r>
        <w:rPr>
          <w:rFonts w:ascii="Arial" w:eastAsia="Arial" w:hAnsi="Arial" w:cs="Arial"/>
          <w:color w:val="000000"/>
          <w:sz w:val="20"/>
        </w:rPr>
        <w:t xml:space="preserve"> by a defendant's statutory violation may sue that private defendant over that violation in federal court." </w:t>
      </w:r>
      <w:r>
        <w:rPr>
          <w:rFonts w:ascii="Arial" w:eastAsia="Arial" w:hAnsi="Arial" w:cs="Arial"/>
          <w:i/>
          <w:color w:val="000000"/>
          <w:sz w:val="20"/>
        </w:rPr>
        <w:t>Id.</w:t>
      </w:r>
    </w:p>
    <w:p w:rsidR="00022B47" w:rsidRDefault="00000000">
      <w:pPr>
        <w:pStyle w:val="Normal30"/>
        <w:widowControl w:val="0"/>
        <w:spacing w:before="120" w:line="260" w:lineRule="atLeast"/>
      </w:pPr>
      <w:r>
        <w:rPr>
          <w:rFonts w:ascii="Arial" w:eastAsia="Arial" w:hAnsi="Arial" w:cs="Arial"/>
          <w:color w:val="000000"/>
          <w:sz w:val="20"/>
        </w:rPr>
        <w:t xml:space="preserve">C. </w:t>
      </w:r>
      <w:r>
        <w:rPr>
          <w:rFonts w:ascii="Arial" w:eastAsia="Arial" w:hAnsi="Arial" w:cs="Arial"/>
          <w:b/>
          <w:i/>
          <w:color w:val="000000"/>
          <w:sz w:val="20"/>
        </w:rPr>
        <w:t>Analysis</w:t>
      </w:r>
    </w:p>
    <w:p w:rsidR="00022B47" w:rsidRDefault="00000000">
      <w:pPr>
        <w:pStyle w:val="Normal30"/>
        <w:widowControl w:val="0"/>
        <w:spacing w:before="200" w:line="260" w:lineRule="atLeast"/>
        <w:jc w:val="both"/>
      </w:pPr>
      <w:bookmarkStart w:id="5359" w:name="Bookmark_para_25_20"/>
      <w:bookmarkStart w:id="5360" w:name="Bookmark_I5CSH2FR52Y000067F50009X"/>
      <w:bookmarkStart w:id="5361" w:name="Bookmark_I5CSH2FR8VY000067F50009Y"/>
      <w:bookmarkStart w:id="5362" w:name="Bookmark_I64HGFMN2HM5SF0040000400"/>
      <w:bookmarkEnd w:id="5359"/>
      <w:bookmarkEnd w:id="5360"/>
      <w:bookmarkEnd w:id="5361"/>
      <w:bookmarkEnd w:id="5362"/>
      <w:r>
        <w:rPr>
          <w:rFonts w:ascii="Arial" w:eastAsia="Arial" w:hAnsi="Arial" w:cs="Arial"/>
          <w:color w:val="000000"/>
          <w:sz w:val="20"/>
        </w:rPr>
        <w:t xml:space="preserve">The following discussion concludes that Ms. Laufer's complaint fails to establish injury in fact under </w:t>
      </w:r>
      <w:bookmarkStart w:id="5363" w:name="Bookmark_I64HGFMN2HM5SF0030000400"/>
      <w:bookmarkEnd w:id="5363"/>
      <w:r>
        <w:rPr>
          <w:rFonts w:ascii="Arial" w:eastAsia="Arial" w:hAnsi="Arial" w:cs="Arial"/>
          <w:i/>
          <w:color w:val="000000"/>
          <w:sz w:val="20"/>
        </w:rPr>
        <w:t>Spokeo</w:t>
      </w:r>
      <w:r>
        <w:rPr>
          <w:rFonts w:ascii="Arial" w:eastAsia="Arial" w:hAnsi="Arial" w:cs="Arial"/>
          <w:color w:val="000000"/>
          <w:sz w:val="20"/>
        </w:rPr>
        <w:t xml:space="preserve"> and </w:t>
      </w:r>
      <w:bookmarkStart w:id="5364" w:name="Bookmark_I64HGFMN2HM5SF0050000400"/>
      <w:bookmarkEnd w:id="5364"/>
      <w:r>
        <w:rPr>
          <w:rFonts w:ascii="Arial" w:eastAsia="Arial" w:hAnsi="Arial" w:cs="Arial"/>
          <w:i/>
          <w:color w:val="000000"/>
          <w:sz w:val="20"/>
        </w:rPr>
        <w:t>TransUnion</w:t>
      </w:r>
      <w:r>
        <w:rPr>
          <w:rFonts w:ascii="Arial" w:eastAsia="Arial" w:hAnsi="Arial" w:cs="Arial"/>
          <w:color w:val="000000"/>
          <w:sz w:val="20"/>
        </w:rPr>
        <w:t>. It also concludes that the cases Ms. Laufer relies upon for standing are distinguishable and fail to rescue her complaint from dismissal for lack of Article III jurisdiction. We therefore affirm the district court.</w:t>
      </w:r>
    </w:p>
    <w:p w:rsidR="00022B47" w:rsidRDefault="00000000">
      <w:pPr>
        <w:pStyle w:val="Normal30"/>
        <w:widowControl w:val="0"/>
        <w:spacing w:before="120" w:line="260" w:lineRule="atLeast"/>
      </w:pPr>
      <w:r>
        <w:rPr>
          <w:rFonts w:ascii="Arial" w:eastAsia="Arial" w:hAnsi="Arial" w:cs="Arial"/>
          <w:color w:val="000000"/>
          <w:sz w:val="20"/>
        </w:rPr>
        <w:t xml:space="preserve">1. </w:t>
      </w:r>
      <w:r>
        <w:rPr>
          <w:rFonts w:ascii="Arial" w:eastAsia="Arial" w:hAnsi="Arial" w:cs="Arial"/>
          <w:b/>
          <w:color w:val="000000"/>
          <w:sz w:val="20"/>
        </w:rPr>
        <w:t xml:space="preserve">No Injury in Fact under </w:t>
      </w:r>
      <w:r>
        <w:rPr>
          <w:rFonts w:ascii="Arial" w:eastAsia="Arial" w:hAnsi="Arial" w:cs="Arial"/>
          <w:b/>
          <w:i/>
          <w:color w:val="000000"/>
          <w:sz w:val="20"/>
        </w:rPr>
        <w:t>Spokeo</w:t>
      </w:r>
      <w:r>
        <w:rPr>
          <w:rFonts w:ascii="Arial" w:eastAsia="Arial" w:hAnsi="Arial" w:cs="Arial"/>
          <w:b/>
          <w:color w:val="000000"/>
          <w:sz w:val="20"/>
        </w:rPr>
        <w:t xml:space="preserve"> and </w:t>
      </w:r>
      <w:r>
        <w:rPr>
          <w:rFonts w:ascii="Arial" w:eastAsia="Arial" w:hAnsi="Arial" w:cs="Arial"/>
          <w:b/>
          <w:i/>
          <w:color w:val="000000"/>
          <w:sz w:val="20"/>
        </w:rPr>
        <w:t>TransUnion</w:t>
      </w:r>
    </w:p>
    <w:p w:rsidR="00022B47" w:rsidRDefault="00000000">
      <w:pPr>
        <w:pStyle w:val="Normal30"/>
        <w:widowControl w:val="0"/>
        <w:spacing w:before="200" w:line="260" w:lineRule="atLeast"/>
        <w:jc w:val="both"/>
      </w:pPr>
      <w:bookmarkStart w:id="5365" w:name="Bookmark_para_26_18"/>
      <w:bookmarkEnd w:id="5365"/>
      <w:r>
        <w:rPr>
          <w:rFonts w:ascii="Arial" w:eastAsia="Arial" w:hAnsi="Arial" w:cs="Arial"/>
          <w:color w:val="000000"/>
          <w:sz w:val="20"/>
        </w:rPr>
        <w:t>Ms. Laufer lacks Article III standing to pursue her claims against the Loopers because she has not suffered a concrete injury in fact. She contends that the ORS failed to provide the information she needed as a disabled person to access  [*878]  the Elk Run Inn.</w:t>
      </w:r>
      <w:r>
        <w:rPr>
          <w:rFonts w:ascii="Arial" w:eastAsia="Arial" w:hAnsi="Arial" w:cs="Arial"/>
          <w:vertAlign w:val="superscript"/>
        </w:rPr>
        <w:footnoteReference w:customMarkFollows="1" w:id="140"/>
        <w:t>3</w:t>
      </w:r>
      <w:r>
        <w:rPr>
          <w:rFonts w:ascii="Arial" w:eastAsia="Arial" w:hAnsi="Arial" w:cs="Arial"/>
          <w:color w:val="000000"/>
          <w:sz w:val="20"/>
        </w:rPr>
        <w:t xml:space="preserve"> Ms. Laufer has conceded, however, that she has no concrete plans to visit Craig, Colorado, or [**11]  to book a room at the Elk Run Inn. She therefore has not alleged any concrete harm resulting from the Loopers' alleged violation of the ORS Regulation.</w:t>
      </w:r>
      <w:r>
        <w:rPr>
          <w:rFonts w:ascii="Arial" w:eastAsia="Arial" w:hAnsi="Arial" w:cs="Arial"/>
          <w:vertAlign w:val="superscript"/>
        </w:rPr>
        <w:footnoteReference w:customMarkFollows="1" w:id="141"/>
        <w:t>4</w:t>
      </w:r>
    </w:p>
    <w:p w:rsidR="00022B47" w:rsidRDefault="00000000">
      <w:pPr>
        <w:pStyle w:val="Normal30"/>
        <w:widowControl w:val="0"/>
        <w:spacing w:before="200" w:line="260" w:lineRule="atLeast"/>
        <w:jc w:val="both"/>
      </w:pPr>
      <w:bookmarkStart w:id="5368" w:name="Bookmark_para_27_18"/>
      <w:bookmarkStart w:id="5369" w:name="Bookmark_I64HGFMN28T4TT0030000400"/>
      <w:bookmarkEnd w:id="5368"/>
      <w:bookmarkEnd w:id="5369"/>
      <w:r>
        <w:rPr>
          <w:rFonts w:ascii="Arial" w:eastAsia="Arial" w:hAnsi="Arial" w:cs="Arial"/>
          <w:color w:val="000000"/>
          <w:sz w:val="20"/>
        </w:rPr>
        <w:t xml:space="preserve">Ms. Laufer counters that she suffered harm when she visited the Elk Run Inn's ORS and discovered it was non-compliant with the ORS Regulation. </w:t>
      </w:r>
      <w:bookmarkStart w:id="5370" w:name="Bookmark_LNHNREFclscc10_16"/>
      <w:bookmarkEnd w:id="5370"/>
      <w:r>
        <w:rPr>
          <w:rFonts w:ascii="Arial" w:eastAsia="Arial" w:hAnsi="Arial" w:cs="Arial"/>
          <w:color w:val="000000"/>
          <w:sz w:val="20"/>
        </w:rPr>
        <w:t xml:space="preserve">But a violation of a legal entitlement alone is insufficient under </w:t>
      </w:r>
      <w:bookmarkStart w:id="5371" w:name="Bookmark_I64HGFMN28T4TT0020000400"/>
      <w:bookmarkEnd w:id="5371"/>
      <w:r>
        <w:rPr>
          <w:rFonts w:ascii="Arial" w:eastAsia="Arial" w:hAnsi="Arial" w:cs="Arial"/>
          <w:i/>
          <w:color w:val="000000"/>
          <w:sz w:val="20"/>
        </w:rPr>
        <w:t>Spokeo</w:t>
      </w:r>
      <w:bookmarkStart w:id="5372" w:name="Bookmark_I64HGFMN2SF7JY0020000400"/>
      <w:bookmarkEnd w:id="5372"/>
      <w:r>
        <w:rPr>
          <w:rFonts w:ascii="Arial" w:eastAsia="Arial" w:hAnsi="Arial" w:cs="Arial"/>
          <w:color w:val="000000"/>
          <w:sz w:val="20"/>
        </w:rPr>
        <w:t xml:space="preserve"> and </w:t>
      </w:r>
      <w:bookmarkStart w:id="5373" w:name="Bookmark_I64HGFMN2SF7JY0020000400_2"/>
      <w:bookmarkStart w:id="5374" w:name="Bookmark_I64HGFMN28T4TT0030000400_2"/>
      <w:bookmarkStart w:id="5375" w:name="Bookmark_I64HGFMN28T4TT0040000400"/>
      <w:bookmarkEnd w:id="5373"/>
      <w:bookmarkEnd w:id="5374"/>
      <w:bookmarkEnd w:id="5375"/>
      <w:r>
        <w:rPr>
          <w:rFonts w:ascii="Arial" w:eastAsia="Arial" w:hAnsi="Arial" w:cs="Arial"/>
          <w:i/>
          <w:color w:val="000000"/>
          <w:sz w:val="20"/>
        </w:rPr>
        <w:t>TransUnion</w:t>
      </w:r>
      <w:bookmarkStart w:id="5376" w:name="Bookmark_I64HGFMN2SF7JY0040000400"/>
      <w:bookmarkEnd w:id="5376"/>
      <w:r>
        <w:rPr>
          <w:rFonts w:ascii="Arial" w:eastAsia="Arial" w:hAnsi="Arial" w:cs="Arial"/>
          <w:color w:val="000000"/>
          <w:sz w:val="20"/>
        </w:rPr>
        <w:t xml:space="preserve"> to establish that Ms. Laufer suffered a concrete injury. "Article III standing requires a concrete injury even in the context of a statutory violation." </w:t>
      </w:r>
      <w:bookmarkStart w:id="5377" w:name="Bookmark_I64HGFMN2SF7JY0010000400"/>
      <w:bookmarkEnd w:id="5377"/>
      <w:r>
        <w:rPr>
          <w:rFonts w:ascii="Arial" w:eastAsia="Arial" w:hAnsi="Arial" w:cs="Arial"/>
          <w:i/>
          <w:color w:val="000000"/>
          <w:sz w:val="20"/>
        </w:rPr>
        <w:t>Spokeo</w:t>
      </w:r>
      <w:r>
        <w:rPr>
          <w:rFonts w:ascii="Arial" w:eastAsia="Arial" w:hAnsi="Arial" w:cs="Arial"/>
          <w:color w:val="000000"/>
          <w:sz w:val="20"/>
        </w:rPr>
        <w:t xml:space="preserve">, 136 S. Ct. at 1549. </w:t>
      </w:r>
      <w:bookmarkStart w:id="5378" w:name="Bookmark_I64HGFMN2SF7JY0040000400_2"/>
      <w:bookmarkEnd w:id="5378"/>
      <w:r>
        <w:rPr>
          <w:rFonts w:ascii="Arial" w:eastAsia="Arial" w:hAnsi="Arial" w:cs="Arial"/>
          <w:color w:val="000000"/>
          <w:sz w:val="20"/>
        </w:rPr>
        <w:t xml:space="preserve">And that concrete injury "must affect the plaintiff in a personal and individual way." </w:t>
      </w:r>
      <w:bookmarkStart w:id="5379" w:name="Bookmark_I64HGFMN2SF7JY0030000400"/>
      <w:bookmarkEnd w:id="5379"/>
      <w:r>
        <w:rPr>
          <w:rFonts w:ascii="Arial" w:eastAsia="Arial" w:hAnsi="Arial" w:cs="Arial"/>
          <w:i/>
          <w:color w:val="000000"/>
          <w:sz w:val="20"/>
        </w:rPr>
        <w:t>Id.</w:t>
      </w:r>
      <w:r>
        <w:rPr>
          <w:rFonts w:ascii="Arial" w:eastAsia="Arial" w:hAnsi="Arial" w:cs="Arial"/>
          <w:color w:val="000000"/>
          <w:sz w:val="20"/>
        </w:rPr>
        <w:t xml:space="preserve"> at 1548 (quotations omitted). Ms. Laufer did not suffer a concrete injury. The district court properly dismissed her action for lack of Article III jurisdiction.</w:t>
      </w:r>
    </w:p>
    <w:p w:rsidR="00022B47" w:rsidRDefault="00000000">
      <w:pPr>
        <w:pStyle w:val="Normal30"/>
        <w:widowControl w:val="0"/>
        <w:spacing w:before="120" w:line="260" w:lineRule="atLeast"/>
      </w:pPr>
      <w:r>
        <w:rPr>
          <w:rFonts w:ascii="Arial" w:eastAsia="Arial" w:hAnsi="Arial" w:cs="Arial"/>
          <w:color w:val="000000"/>
          <w:sz w:val="20"/>
        </w:rPr>
        <w:t xml:space="preserve">2. </w:t>
      </w:r>
      <w:r>
        <w:rPr>
          <w:rFonts w:ascii="Arial" w:eastAsia="Arial" w:hAnsi="Arial" w:cs="Arial"/>
          <w:b/>
          <w:color w:val="000000"/>
          <w:sz w:val="20"/>
        </w:rPr>
        <w:t>Ms. Laufer's Arguments</w:t>
      </w:r>
    </w:p>
    <w:p w:rsidR="00022B47" w:rsidRDefault="00000000">
      <w:pPr>
        <w:pStyle w:val="Normal30"/>
        <w:widowControl w:val="0"/>
        <w:spacing w:before="200" w:line="260" w:lineRule="atLeast"/>
        <w:jc w:val="both"/>
      </w:pPr>
      <w:bookmarkStart w:id="5380" w:name="Bookmark_para_28_18"/>
      <w:bookmarkEnd w:id="5380"/>
      <w:r>
        <w:rPr>
          <w:rFonts w:ascii="Arial" w:eastAsia="Arial" w:hAnsi="Arial" w:cs="Arial"/>
          <w:color w:val="000000"/>
          <w:sz w:val="20"/>
        </w:rPr>
        <w:t>Ms. Laufer relies primarily on three Supreme Court cases and two Tenth Circuit cases to argue she suffered an injury in fact and therefore has standing under Article III. Her reliance is misplaced because each of these cases is distinguishable. We address them below.</w:t>
      </w:r>
    </w:p>
    <w:p w:rsidR="00022B47" w:rsidRDefault="00000000">
      <w:pPr>
        <w:pStyle w:val="Normal30"/>
        <w:widowControl w:val="0"/>
        <w:spacing w:before="120" w:line="260" w:lineRule="atLeast"/>
      </w:pPr>
      <w:r>
        <w:rPr>
          <w:rFonts w:ascii="Arial" w:eastAsia="Arial" w:hAnsi="Arial" w:cs="Arial"/>
          <w:color w:val="000000"/>
          <w:sz w:val="20"/>
        </w:rPr>
        <w:t xml:space="preserve">a. </w:t>
      </w:r>
      <w:r>
        <w:rPr>
          <w:rFonts w:ascii="Arial" w:eastAsia="Arial" w:hAnsi="Arial" w:cs="Arial"/>
          <w:i/>
          <w:color w:val="000000"/>
          <w:sz w:val="20"/>
        </w:rPr>
        <w:t>Fair Housing Act Testers</w:t>
      </w:r>
    </w:p>
    <w:p w:rsidR="00022B47" w:rsidRDefault="00000000">
      <w:pPr>
        <w:pStyle w:val="Normal30"/>
        <w:widowControl w:val="0"/>
        <w:spacing w:before="200" w:line="260" w:lineRule="atLeast"/>
        <w:jc w:val="both"/>
      </w:pPr>
      <w:bookmarkStart w:id="5381" w:name="Bookmark_para_29_16"/>
      <w:bookmarkStart w:id="5382" w:name="Bookmark_I5CSH2FR11D000067F50009W"/>
      <w:bookmarkStart w:id="5383" w:name="Bookmark_I64HGFMN2D6N390010000400"/>
      <w:bookmarkEnd w:id="5381"/>
      <w:bookmarkEnd w:id="5382"/>
      <w:bookmarkEnd w:id="5383"/>
      <w:r>
        <w:rPr>
          <w:rFonts w:ascii="Arial" w:eastAsia="Arial" w:hAnsi="Arial" w:cs="Arial"/>
          <w:color w:val="000000"/>
          <w:sz w:val="20"/>
        </w:rPr>
        <w:t xml:space="preserve">Ms. Laufer argues that she has been injured in much the same way as the Fair Housing Act ("FHA") "tester" in </w:t>
      </w:r>
      <w:bookmarkStart w:id="5384" w:name="Bookmark_I64HGFMN2SF7JY0050000400"/>
      <w:bookmarkEnd w:id="5384"/>
      <w:r>
        <w:rPr>
          <w:rFonts w:ascii="Arial" w:eastAsia="Arial" w:hAnsi="Arial" w:cs="Arial"/>
          <w:i/>
          <w:color w:val="000000"/>
          <w:sz w:val="20"/>
        </w:rPr>
        <w:t>Havens Realty Corp. v. Coleman</w:t>
      </w:r>
      <w:r>
        <w:rPr>
          <w:rFonts w:ascii="Arial" w:eastAsia="Arial" w:hAnsi="Arial" w:cs="Arial"/>
          <w:color w:val="000000"/>
          <w:sz w:val="20"/>
        </w:rPr>
        <w:t>, 455 U.S. 363, 102 S. Ct. 1114, 71 L. Ed. 2d 214 (1982). But the FHA tester in that case was given false information based on [**12]  discrimination and, as we explain below, Ms. Laufer has made no comparable allegations here.</w:t>
      </w:r>
    </w:p>
    <w:p w:rsidR="00022B47" w:rsidRDefault="00000000">
      <w:pPr>
        <w:pStyle w:val="Normal30"/>
        <w:widowControl w:val="0"/>
        <w:spacing w:before="120" w:line="260" w:lineRule="atLeast"/>
      </w:pPr>
      <w:r>
        <w:rPr>
          <w:rFonts w:ascii="Arial" w:eastAsia="Arial" w:hAnsi="Arial" w:cs="Arial"/>
          <w:color w:val="000000"/>
          <w:sz w:val="20"/>
        </w:rPr>
        <w:t xml:space="preserve">i. </w:t>
      </w:r>
      <w:r>
        <w:rPr>
          <w:rFonts w:ascii="Arial" w:eastAsia="Arial" w:hAnsi="Arial" w:cs="Arial"/>
          <w:i/>
          <w:color w:val="000000"/>
          <w:sz w:val="20"/>
          <w:u w:val="single"/>
        </w:rPr>
        <w:t>Havens Realty</w:t>
      </w:r>
    </w:p>
    <w:p w:rsidR="00022B47" w:rsidRDefault="00000000">
      <w:pPr>
        <w:pStyle w:val="Normal30"/>
        <w:widowControl w:val="0"/>
        <w:spacing w:before="200" w:line="260" w:lineRule="atLeast"/>
        <w:jc w:val="both"/>
      </w:pPr>
      <w:bookmarkStart w:id="5385" w:name="Bookmark_para_30_15"/>
      <w:bookmarkStart w:id="5386" w:name="Bookmark_I64HGFMN2D6N390030000400"/>
      <w:bookmarkStart w:id="5387" w:name="Bookmark_I64HGFMP2N1RDR0020000400"/>
      <w:bookmarkEnd w:id="5385"/>
      <w:bookmarkEnd w:id="5386"/>
      <w:bookmarkEnd w:id="5387"/>
      <w:r>
        <w:rPr>
          <w:rFonts w:ascii="Arial" w:eastAsia="Arial" w:hAnsi="Arial" w:cs="Arial"/>
          <w:color w:val="000000"/>
          <w:sz w:val="20"/>
        </w:rPr>
        <w:t xml:space="preserve">In </w:t>
      </w:r>
      <w:bookmarkStart w:id="5388" w:name="Bookmark_I64HGFMN2D6N390020000400"/>
      <w:bookmarkEnd w:id="5388"/>
      <w:r>
        <w:rPr>
          <w:rFonts w:ascii="Arial" w:eastAsia="Arial" w:hAnsi="Arial" w:cs="Arial"/>
          <w:i/>
          <w:color w:val="000000"/>
          <w:sz w:val="20"/>
        </w:rPr>
        <w:t>Havens Realty</w:t>
      </w:r>
      <w:r>
        <w:rPr>
          <w:rFonts w:ascii="Arial" w:eastAsia="Arial" w:hAnsi="Arial" w:cs="Arial"/>
          <w:color w:val="000000"/>
          <w:sz w:val="20"/>
        </w:rPr>
        <w:t xml:space="preserve">, the Supreme Court held that a "tester" could sue under the FHA. </w:t>
      </w:r>
      <w:bookmarkStart w:id="5389" w:name="Bookmark_I64HGFMN2D6N390040000400"/>
      <w:bookmarkEnd w:id="5389"/>
      <w:r>
        <w:rPr>
          <w:rFonts w:ascii="Arial" w:eastAsia="Arial" w:hAnsi="Arial" w:cs="Arial"/>
          <w:color w:val="000000"/>
          <w:sz w:val="20"/>
        </w:rPr>
        <w:t xml:space="preserve">455 U.S. at 374. The Court described "testers" as "individuals who, without an intent to rent or purchase a home or apartment, pose as renters or purchasers for the purpose of collecting evidence of unlawful steering practices." </w:t>
      </w:r>
      <w:bookmarkStart w:id="5390" w:name="Bookmark_I64HGFMP2N1RDR0010000400"/>
      <w:bookmarkEnd w:id="5390"/>
      <w:r>
        <w:rPr>
          <w:rFonts w:ascii="Arial" w:eastAsia="Arial" w:hAnsi="Arial" w:cs="Arial"/>
          <w:i/>
          <w:color w:val="000000"/>
          <w:sz w:val="20"/>
        </w:rPr>
        <w:t>Id.</w:t>
      </w:r>
      <w:r>
        <w:rPr>
          <w:rFonts w:ascii="Arial" w:eastAsia="Arial" w:hAnsi="Arial" w:cs="Arial"/>
          <w:color w:val="000000"/>
          <w:sz w:val="20"/>
        </w:rPr>
        <w:t xml:space="preserve"> at 373.</w:t>
      </w:r>
    </w:p>
    <w:p w:rsidR="00022B47" w:rsidRDefault="00000000">
      <w:pPr>
        <w:pStyle w:val="Normal30"/>
        <w:widowControl w:val="0"/>
        <w:spacing w:before="200" w:line="260" w:lineRule="atLeast"/>
        <w:jc w:val="both"/>
      </w:pPr>
      <w:bookmarkStart w:id="5391" w:name="Bookmark_para_31_15"/>
      <w:bookmarkStart w:id="5392" w:name="Bookmark_I64HGFMP2N1RDR0040000400"/>
      <w:bookmarkStart w:id="5393" w:name="Bookmark_I64HGFMP2HM5SH0010000400"/>
      <w:bookmarkEnd w:id="5391"/>
      <w:bookmarkEnd w:id="5392"/>
      <w:bookmarkEnd w:id="5393"/>
      <w:r>
        <w:rPr>
          <w:rFonts w:ascii="Arial" w:eastAsia="Arial" w:hAnsi="Arial" w:cs="Arial"/>
          <w:color w:val="000000"/>
          <w:sz w:val="20"/>
        </w:rPr>
        <w:t xml:space="preserve">Two "testers"—one Black and one White—sued Havens Realty after its agent falsely represented to the Black tester—but not the White tester—that no housing units were available. </w:t>
      </w:r>
      <w:bookmarkStart w:id="5394" w:name="Bookmark_I64HGFMP2N1RDR0030000400"/>
      <w:bookmarkEnd w:id="5394"/>
      <w:r>
        <w:rPr>
          <w:rFonts w:ascii="Arial" w:eastAsia="Arial" w:hAnsi="Arial" w:cs="Arial"/>
          <w:i/>
          <w:color w:val="000000"/>
          <w:sz w:val="20"/>
        </w:rPr>
        <w:t>Id.</w:t>
      </w:r>
      <w:r>
        <w:rPr>
          <w:rFonts w:ascii="Arial" w:eastAsia="Arial" w:hAnsi="Arial" w:cs="Arial"/>
          <w:color w:val="000000"/>
          <w:sz w:val="20"/>
        </w:rPr>
        <w:t xml:space="preserve"> at 368. They sued under the FHA, which made it unlawful for a covered individual or firm "to represent to </w:t>
      </w:r>
      <w:r>
        <w:rPr>
          <w:rFonts w:ascii="Arial" w:eastAsia="Arial" w:hAnsi="Arial" w:cs="Arial"/>
          <w:i/>
          <w:color w:val="000000"/>
          <w:sz w:val="20"/>
        </w:rPr>
        <w:t>any person</w:t>
      </w:r>
      <w:r>
        <w:rPr>
          <w:rFonts w:ascii="Arial" w:eastAsia="Arial" w:hAnsi="Arial" w:cs="Arial"/>
          <w:color w:val="000000"/>
          <w:sz w:val="20"/>
        </w:rPr>
        <w:t xml:space="preserve"> because of race, color, religion, sex, or national origin that any dwelling is not available for inspection, sale, or rental when such dwelling is in fact so available." </w:t>
      </w:r>
      <w:bookmarkStart w:id="5395" w:name="Bookmark_I64HGFMP2N1RDR0050000400"/>
      <w:bookmarkEnd w:id="5395"/>
      <w:r>
        <w:rPr>
          <w:rFonts w:ascii="Arial" w:eastAsia="Arial" w:hAnsi="Arial" w:cs="Arial"/>
          <w:i/>
          <w:color w:val="000000"/>
          <w:sz w:val="20"/>
        </w:rPr>
        <w:t>Id.</w:t>
      </w:r>
      <w:r>
        <w:rPr>
          <w:rFonts w:ascii="Arial" w:eastAsia="Arial" w:hAnsi="Arial" w:cs="Arial"/>
          <w:color w:val="000000"/>
          <w:sz w:val="20"/>
        </w:rPr>
        <w:t xml:space="preserve"> at 373 (quoting 42 U.S.C. § 3604(d)) (alteration omitted). The statute  [*879]  also created an explicit cause of action. </w:t>
      </w:r>
      <w:r>
        <w:rPr>
          <w:rFonts w:ascii="Arial" w:eastAsia="Arial" w:hAnsi="Arial" w:cs="Arial"/>
          <w:i/>
          <w:color w:val="000000"/>
          <w:sz w:val="20"/>
        </w:rPr>
        <w:t>Id.</w:t>
      </w:r>
      <w:r>
        <w:rPr>
          <w:rFonts w:ascii="Arial" w:eastAsia="Arial" w:hAnsi="Arial" w:cs="Arial"/>
          <w:color w:val="000000"/>
          <w:sz w:val="20"/>
        </w:rPr>
        <w:t>; 42 U.S.C. § 3612(a).</w:t>
      </w:r>
    </w:p>
    <w:p w:rsidR="00022B47" w:rsidRDefault="00000000">
      <w:pPr>
        <w:pStyle w:val="Normal30"/>
        <w:widowControl w:val="0"/>
        <w:spacing w:before="200" w:line="260" w:lineRule="atLeast"/>
        <w:jc w:val="both"/>
      </w:pPr>
      <w:bookmarkStart w:id="5396" w:name="Bookmark_para_32_15"/>
      <w:bookmarkStart w:id="5397" w:name="Bookmark_I64HGFMP2HM5SH0030000400"/>
      <w:bookmarkStart w:id="5398" w:name="Bookmark_I64HGFMP2SF7K20020000400"/>
      <w:bookmarkEnd w:id="5396"/>
      <w:bookmarkEnd w:id="5397"/>
      <w:bookmarkEnd w:id="5398"/>
      <w:r>
        <w:rPr>
          <w:rFonts w:ascii="Arial" w:eastAsia="Arial" w:hAnsi="Arial" w:cs="Arial"/>
          <w:color w:val="000000"/>
          <w:sz w:val="20"/>
        </w:rPr>
        <w:t xml:space="preserve">Ms. Coleman, the Black tester, argued that she had suffered a "distinct and palpable injury." </w:t>
      </w:r>
      <w:bookmarkStart w:id="5399" w:name="Bookmark_I64HGFMP2HM5SH0020000400"/>
      <w:bookmarkEnd w:id="5399"/>
      <w:r>
        <w:rPr>
          <w:rFonts w:ascii="Arial" w:eastAsia="Arial" w:hAnsi="Arial" w:cs="Arial"/>
          <w:i/>
          <w:color w:val="000000"/>
          <w:sz w:val="20"/>
        </w:rPr>
        <w:t>Id.</w:t>
      </w:r>
      <w:r>
        <w:rPr>
          <w:rFonts w:ascii="Arial" w:eastAsia="Arial" w:hAnsi="Arial" w:cs="Arial"/>
          <w:color w:val="000000"/>
          <w:sz w:val="20"/>
        </w:rPr>
        <w:t xml:space="preserve"> at 372 (quoting </w:t>
      </w:r>
      <w:bookmarkStart w:id="5400" w:name="Bookmark_I64HGFMP2HM5SH0040000400"/>
      <w:bookmarkEnd w:id="5400"/>
      <w:r>
        <w:rPr>
          <w:rFonts w:ascii="Arial" w:eastAsia="Arial" w:hAnsi="Arial" w:cs="Arial"/>
          <w:i/>
          <w:color w:val="000000"/>
          <w:sz w:val="20"/>
        </w:rPr>
        <w:t>Warth v. Seldin</w:t>
      </w:r>
      <w:r>
        <w:rPr>
          <w:rFonts w:ascii="Arial" w:eastAsia="Arial" w:hAnsi="Arial" w:cs="Arial"/>
          <w:color w:val="000000"/>
          <w:sz w:val="20"/>
        </w:rPr>
        <w:t xml:space="preserve">, 422 U.S. 490, 501, 95 S. Ct. 2197, 45 L. Ed. 2d 343 (1975)). </w:t>
      </w:r>
      <w:bookmarkStart w:id="5401" w:name="Bookmark_I64HGFMP2SF7K20040000400"/>
      <w:bookmarkEnd w:id="5401"/>
      <w:r>
        <w:rPr>
          <w:rFonts w:ascii="Arial" w:eastAsia="Arial" w:hAnsi="Arial" w:cs="Arial"/>
          <w:color w:val="000000"/>
          <w:sz w:val="20"/>
        </w:rPr>
        <w:t xml:space="preserve">The Court agreed—she was given untruthful information about the availability of housing for discriminatory reasons. </w:t>
      </w:r>
      <w:bookmarkStart w:id="5402" w:name="Bookmark_I64HGFMP2SF7K20010000400"/>
      <w:bookmarkEnd w:id="5402"/>
      <w:r>
        <w:rPr>
          <w:rFonts w:ascii="Arial" w:eastAsia="Arial" w:hAnsi="Arial" w:cs="Arial"/>
          <w:i/>
          <w:color w:val="000000"/>
          <w:sz w:val="20"/>
        </w:rPr>
        <w:t>Id.</w:t>
      </w:r>
      <w:r>
        <w:rPr>
          <w:rFonts w:ascii="Arial" w:eastAsia="Arial" w:hAnsi="Arial" w:cs="Arial"/>
          <w:color w:val="000000"/>
          <w:sz w:val="20"/>
        </w:rPr>
        <w:t xml:space="preserve"> at 374. </w:t>
      </w:r>
      <w:bookmarkStart w:id="5403" w:name="Bookmark_I64HGFMP2SF7K20040000400_2"/>
      <w:bookmarkStart w:id="5404" w:name="Bookmark_I64HGFMP2SF7K30010000400"/>
      <w:bookmarkEnd w:id="5403"/>
      <w:bookmarkEnd w:id="5404"/>
      <w:r>
        <w:rPr>
          <w:rFonts w:ascii="Arial" w:eastAsia="Arial" w:hAnsi="Arial" w:cs="Arial"/>
          <w:color w:val="000000"/>
          <w:sz w:val="20"/>
        </w:rPr>
        <w:t xml:space="preserve">She had standing to sue because [**13]  she had "alleged injury to her statutorily created right to truthful housing information." </w:t>
      </w:r>
      <w:bookmarkStart w:id="5405" w:name="Bookmark_I64HGFMP2SF7K20030000400"/>
      <w:bookmarkEnd w:id="5405"/>
      <w:r>
        <w:rPr>
          <w:rFonts w:ascii="Arial" w:eastAsia="Arial" w:hAnsi="Arial" w:cs="Arial"/>
          <w:color w:val="000000"/>
          <w:sz w:val="20"/>
        </w:rPr>
        <w:t xml:space="preserve">455 U.S. at 374. </w:t>
      </w:r>
      <w:bookmarkStart w:id="5406" w:name="Bookmark_I64HGFMP2SF7K30010000400_2"/>
      <w:bookmarkEnd w:id="5406"/>
      <w:r>
        <w:rPr>
          <w:rFonts w:ascii="Arial" w:eastAsia="Arial" w:hAnsi="Arial" w:cs="Arial"/>
          <w:color w:val="000000"/>
          <w:sz w:val="20"/>
        </w:rPr>
        <w:t xml:space="preserve">The White tester, Mr. Willis, did not have standing as a tester because the agent gave him accurate information about the availability of housing. </w:t>
      </w:r>
      <w:bookmarkStart w:id="5407" w:name="Bookmark_I64HGFMP2SF7K20050000400"/>
      <w:bookmarkEnd w:id="5407"/>
      <w:r>
        <w:rPr>
          <w:rFonts w:ascii="Arial" w:eastAsia="Arial" w:hAnsi="Arial" w:cs="Arial"/>
          <w:i/>
          <w:color w:val="000000"/>
          <w:sz w:val="20"/>
        </w:rPr>
        <w:t>Id.</w:t>
      </w:r>
      <w:r>
        <w:rPr>
          <w:rFonts w:ascii="Arial" w:eastAsia="Arial" w:hAnsi="Arial" w:cs="Arial"/>
          <w:color w:val="000000"/>
          <w:sz w:val="20"/>
        </w:rPr>
        <w:t xml:space="preserve"> at 375.</w:t>
      </w:r>
    </w:p>
    <w:p w:rsidR="00022B47" w:rsidRDefault="00000000">
      <w:pPr>
        <w:pStyle w:val="Normal30"/>
        <w:widowControl w:val="0"/>
        <w:spacing w:before="200" w:line="260" w:lineRule="atLeast"/>
        <w:jc w:val="both"/>
      </w:pPr>
      <w:bookmarkStart w:id="5408" w:name="Bookmark_para_33_14"/>
      <w:bookmarkStart w:id="5409" w:name="Bookmark_I64HGFMP2SF7K30030000400"/>
      <w:bookmarkEnd w:id="5408"/>
      <w:bookmarkEnd w:id="5409"/>
      <w:r>
        <w:rPr>
          <w:rFonts w:ascii="Arial" w:eastAsia="Arial" w:hAnsi="Arial" w:cs="Arial"/>
          <w:color w:val="000000"/>
          <w:sz w:val="20"/>
        </w:rPr>
        <w:t xml:space="preserve">The Court observed that the FHA confers on "all 'persons'" an "enforceable right to truthful information concerning the availability of housing." </w:t>
      </w:r>
      <w:bookmarkStart w:id="5410" w:name="Bookmark_I64HGFMP2SF7K30020000400"/>
      <w:bookmarkEnd w:id="5410"/>
      <w:r>
        <w:rPr>
          <w:rFonts w:ascii="Arial" w:eastAsia="Arial" w:hAnsi="Arial" w:cs="Arial"/>
          <w:i/>
          <w:color w:val="000000"/>
          <w:sz w:val="20"/>
        </w:rPr>
        <w:t>Id.</w:t>
      </w:r>
      <w:r>
        <w:rPr>
          <w:rFonts w:ascii="Arial" w:eastAsia="Arial" w:hAnsi="Arial" w:cs="Arial"/>
          <w:color w:val="000000"/>
          <w:sz w:val="20"/>
        </w:rPr>
        <w:t xml:space="preserve"> at 373. Thus,</w:t>
      </w:r>
    </w:p>
    <w:p w:rsidR="00022B47" w:rsidRDefault="00000000">
      <w:pPr>
        <w:pStyle w:val="Normal30"/>
        <w:widowControl w:val="0"/>
        <w:spacing w:line="260" w:lineRule="atLeast"/>
        <w:ind w:left="400"/>
        <w:jc w:val="both"/>
      </w:pPr>
      <w:bookmarkStart w:id="5411" w:name="Bookmark_para_34_14"/>
      <w:bookmarkStart w:id="5412" w:name="Bookmark_I64HGFMP2SF7K30030000400_2"/>
      <w:bookmarkStart w:id="5413" w:name="Bookmark_I64HGFMP2SF7K30050000400"/>
      <w:bookmarkEnd w:id="5411"/>
      <w:bookmarkEnd w:id="5412"/>
      <w:bookmarkEnd w:id="5413"/>
      <w:r>
        <w:rPr>
          <w:rFonts w:ascii="Arial" w:eastAsia="Arial" w:hAnsi="Arial" w:cs="Arial"/>
          <w:color w:val="000000"/>
          <w:sz w:val="20"/>
        </w:rPr>
        <w:t xml:space="preserve">[a] tester who has been the object of a misrepresentation made unlawful under [the FHA] has suffered injury in precisely the form the statute was intended to guard against, and therefore has standing to maintain a claim for damages under the Act's provisions. </w:t>
      </w:r>
      <w:bookmarkStart w:id="5414" w:name="Bookmark_I64HGFMP2SF7K30050000400_2"/>
      <w:bookmarkEnd w:id="5414"/>
      <w:r>
        <w:rPr>
          <w:rFonts w:ascii="Arial" w:eastAsia="Arial" w:hAnsi="Arial" w:cs="Arial"/>
          <w:color w:val="000000"/>
          <w:sz w:val="20"/>
        </w:rPr>
        <w:t>That the tester may have approached the real estate agent fully expecting that he would receive false information, and without any intention of buying or renting a home, does not negate the simple fact of injury within the meaning of § 804(d).</w:t>
      </w:r>
    </w:p>
    <w:p w:rsidR="00022B47" w:rsidRDefault="00000000">
      <w:pPr>
        <w:pStyle w:val="Normal30"/>
        <w:widowControl w:val="0"/>
        <w:spacing w:before="200" w:line="260" w:lineRule="atLeast"/>
        <w:jc w:val="both"/>
      </w:pPr>
      <w:bookmarkStart w:id="5415" w:name="Bookmark_I64HGFMP2SF7K30050000400_3"/>
      <w:bookmarkStart w:id="5416" w:name="Bookmark_I64HGFMP2SF7K30040000400"/>
      <w:bookmarkEnd w:id="5415"/>
      <w:bookmarkEnd w:id="5416"/>
      <w:r>
        <w:rPr>
          <w:rFonts w:ascii="Arial" w:eastAsia="Arial" w:hAnsi="Arial" w:cs="Arial"/>
          <w:i/>
          <w:color w:val="000000"/>
          <w:sz w:val="20"/>
        </w:rPr>
        <w:t>Id.</w:t>
      </w:r>
      <w:r>
        <w:rPr>
          <w:rFonts w:ascii="Arial" w:eastAsia="Arial" w:hAnsi="Arial" w:cs="Arial"/>
          <w:color w:val="000000"/>
          <w:sz w:val="20"/>
        </w:rPr>
        <w:t xml:space="preserve"> at 373-74.</w:t>
      </w:r>
    </w:p>
    <w:p w:rsidR="00022B47" w:rsidRDefault="00000000">
      <w:pPr>
        <w:pStyle w:val="Normal30"/>
        <w:widowControl w:val="0"/>
        <w:spacing w:before="120" w:line="260" w:lineRule="atLeast"/>
      </w:pPr>
      <w:r>
        <w:rPr>
          <w:rFonts w:ascii="Arial" w:eastAsia="Arial" w:hAnsi="Arial" w:cs="Arial"/>
          <w:color w:val="000000"/>
          <w:sz w:val="20"/>
        </w:rPr>
        <w:t xml:space="preserve">ii. </w:t>
      </w:r>
      <w:r>
        <w:rPr>
          <w:rFonts w:ascii="Arial" w:eastAsia="Arial" w:hAnsi="Arial" w:cs="Arial"/>
          <w:color w:val="000000"/>
          <w:sz w:val="20"/>
          <w:u w:val="single"/>
        </w:rPr>
        <w:t>Ms. Laufer's argument</w:t>
      </w:r>
    </w:p>
    <w:p w:rsidR="00022B47" w:rsidRDefault="00000000">
      <w:pPr>
        <w:pStyle w:val="Normal30"/>
        <w:widowControl w:val="0"/>
        <w:spacing w:before="200" w:line="260" w:lineRule="atLeast"/>
        <w:jc w:val="both"/>
      </w:pPr>
      <w:bookmarkStart w:id="5417" w:name="Bookmark_para_35_14"/>
      <w:bookmarkStart w:id="5418" w:name="Bookmark_I64HGFMP2D6N3F0020000400"/>
      <w:bookmarkEnd w:id="5417"/>
      <w:bookmarkEnd w:id="5418"/>
      <w:r>
        <w:rPr>
          <w:rFonts w:ascii="Arial" w:eastAsia="Arial" w:hAnsi="Arial" w:cs="Arial"/>
          <w:color w:val="000000"/>
          <w:sz w:val="20"/>
        </w:rPr>
        <w:t xml:space="preserve">Ms. </w:t>
      </w:r>
      <w:bookmarkStart w:id="5419" w:name="Bookmark_I5CSH2FRR7W000067F5000B2"/>
      <w:bookmarkStart w:id="5420" w:name="Bookmark_I64HGFMP2D6N3F0040000400"/>
      <w:bookmarkEnd w:id="5419"/>
      <w:bookmarkEnd w:id="5420"/>
      <w:r>
        <w:rPr>
          <w:rFonts w:ascii="Arial" w:eastAsia="Arial" w:hAnsi="Arial" w:cs="Arial"/>
          <w:color w:val="000000"/>
          <w:sz w:val="20"/>
        </w:rPr>
        <w:t xml:space="preserve">Laufer argues that she has standing under </w:t>
      </w:r>
      <w:bookmarkStart w:id="5421" w:name="Bookmark_I64HGFMP2D6N3F0010000400"/>
      <w:bookmarkEnd w:id="5421"/>
      <w:r>
        <w:rPr>
          <w:rFonts w:ascii="Arial" w:eastAsia="Arial" w:hAnsi="Arial" w:cs="Arial"/>
          <w:i/>
          <w:color w:val="000000"/>
          <w:sz w:val="20"/>
        </w:rPr>
        <w:t>Havens Realty</w:t>
      </w:r>
      <w:r>
        <w:rPr>
          <w:rFonts w:ascii="Arial" w:eastAsia="Arial" w:hAnsi="Arial" w:cs="Arial"/>
          <w:color w:val="000000"/>
          <w:sz w:val="20"/>
        </w:rPr>
        <w:t xml:space="preserve"> because she is a "tester." But testers, like any other plaintiff, must satisfy the constitutional requirements of Article III. Ms. Laufer's status as a tester alone is insufficient to confer standing. </w:t>
      </w:r>
      <w:bookmarkStart w:id="5422" w:name="Bookmark_I64HGFMP2D6N3F0040000400_2"/>
      <w:bookmarkStart w:id="5423" w:name="Bookmark_I64HGFMP2D6N3F0030000400"/>
      <w:bookmarkEnd w:id="5422"/>
      <w:bookmarkEnd w:id="5423"/>
      <w:r>
        <w:rPr>
          <w:rFonts w:ascii="Arial" w:eastAsia="Arial" w:hAnsi="Arial" w:cs="Arial"/>
          <w:i/>
          <w:color w:val="000000"/>
          <w:sz w:val="20"/>
        </w:rPr>
        <w:t>Havens Realty</w:t>
      </w:r>
      <w:r>
        <w:rPr>
          <w:rFonts w:ascii="Arial" w:eastAsia="Arial" w:hAnsi="Arial" w:cs="Arial"/>
          <w:color w:val="000000"/>
          <w:sz w:val="20"/>
        </w:rPr>
        <w:t xml:space="preserve"> is distinguishable because the plaintiff, Ms. Coleman, [**14]  had suffered a concrete and particularized injury in fact.</w:t>
      </w:r>
    </w:p>
    <w:p w:rsidR="00022B47" w:rsidRDefault="00000000">
      <w:pPr>
        <w:pStyle w:val="Normal30"/>
        <w:widowControl w:val="0"/>
        <w:spacing w:before="200" w:line="260" w:lineRule="atLeast"/>
        <w:jc w:val="both"/>
      </w:pPr>
      <w:bookmarkStart w:id="5424" w:name="Bookmark_para_36_14"/>
      <w:bookmarkStart w:id="5425" w:name="Bookmark_I64HGFMP28T4V00010000400"/>
      <w:bookmarkEnd w:id="5424"/>
      <w:bookmarkEnd w:id="5425"/>
      <w:r>
        <w:rPr>
          <w:rFonts w:ascii="Arial" w:eastAsia="Arial" w:hAnsi="Arial" w:cs="Arial"/>
          <w:color w:val="000000"/>
          <w:sz w:val="20"/>
        </w:rPr>
        <w:t xml:space="preserve">Ms. Laufer further argues she suffered informational harm. She compares herself to Ms. Coleman, who had no intention of renting a home at the defendants' property but had standing under the FHA to sue for a violation of her "statutorily created right to truthful housing information." </w:t>
      </w:r>
      <w:bookmarkStart w:id="5426" w:name="Bookmark_I64HGFMP2D6N3F0050000400"/>
      <w:bookmarkEnd w:id="5426"/>
      <w:r>
        <w:rPr>
          <w:rFonts w:ascii="Arial" w:eastAsia="Arial" w:hAnsi="Arial" w:cs="Arial"/>
          <w:i/>
          <w:color w:val="000000"/>
          <w:sz w:val="20"/>
        </w:rPr>
        <w:t>Id.</w:t>
      </w:r>
      <w:r>
        <w:rPr>
          <w:rFonts w:ascii="Arial" w:eastAsia="Arial" w:hAnsi="Arial" w:cs="Arial"/>
          <w:color w:val="000000"/>
          <w:sz w:val="20"/>
        </w:rPr>
        <w:t xml:space="preserve"> at 374. Ms. Laufer argues that she similarly has standing under the ADA to sue for a violation of her legal entitlement to information even though she has no intention of booking a room at the Elk Run Inn. We disagree.</w:t>
      </w:r>
    </w:p>
    <w:p w:rsidR="00022B47" w:rsidRDefault="00000000">
      <w:pPr>
        <w:pStyle w:val="Normal30"/>
        <w:widowControl w:val="0"/>
        <w:spacing w:before="200" w:line="260" w:lineRule="atLeast"/>
        <w:jc w:val="both"/>
      </w:pPr>
      <w:bookmarkStart w:id="5427" w:name="Bookmark_para_37_12"/>
      <w:bookmarkEnd w:id="5427"/>
      <w:r>
        <w:rPr>
          <w:rFonts w:ascii="Arial" w:eastAsia="Arial" w:hAnsi="Arial" w:cs="Arial"/>
          <w:color w:val="000000"/>
          <w:sz w:val="20"/>
        </w:rPr>
        <w:t xml:space="preserve">Ms. Coleman was not just denied information. </w:t>
      </w:r>
      <w:bookmarkStart w:id="5428" w:name="Bookmark_I64HGFMP28T4V00030000400"/>
      <w:bookmarkEnd w:id="5428"/>
      <w:r>
        <w:rPr>
          <w:rFonts w:ascii="Arial" w:eastAsia="Arial" w:hAnsi="Arial" w:cs="Arial"/>
          <w:color w:val="000000"/>
          <w:sz w:val="20"/>
        </w:rPr>
        <w:t xml:space="preserve">On four separate occasions, she asked about housing availability and was given false information because of her race. Ms. Laufer has not alleged that the Loopers gave her false information. Nor has she alleged they denied her information because of her disability. </w:t>
      </w:r>
      <w:bookmarkStart w:id="5429" w:name="Bookmark_I64HGFMP28T4V00050000400"/>
      <w:bookmarkEnd w:id="5429"/>
      <w:r>
        <w:rPr>
          <w:rFonts w:ascii="Arial" w:eastAsia="Arial" w:hAnsi="Arial" w:cs="Arial"/>
          <w:color w:val="000000"/>
          <w:sz w:val="20"/>
        </w:rPr>
        <w:t xml:space="preserve">All individuals, whether or not disabled, had access to the same information on the Elk Run Inn's ORS. Ms. Laufer's alleged injury—her discovery that the ORS lacked certain information—is thus distinct from the injury suffered in </w:t>
      </w:r>
      <w:bookmarkStart w:id="5430" w:name="Bookmark_I64HGFMP28T4V00050000400_2"/>
      <w:bookmarkStart w:id="5431" w:name="Bookmark_I64HGFMP28T4V00030000400_2"/>
      <w:bookmarkStart w:id="5432" w:name="Bookmark_I64HGFMP28T4V00020000400"/>
      <w:bookmarkEnd w:id="5430"/>
      <w:bookmarkEnd w:id="5431"/>
      <w:bookmarkEnd w:id="5432"/>
      <w:r>
        <w:rPr>
          <w:rFonts w:ascii="Arial" w:eastAsia="Arial" w:hAnsi="Arial" w:cs="Arial"/>
          <w:i/>
          <w:color w:val="000000"/>
          <w:sz w:val="20"/>
        </w:rPr>
        <w:t>Havens Realty</w:t>
      </w:r>
      <w:bookmarkStart w:id="5433" w:name="Bookmark_I64HGFMP2SF7K60020000400"/>
      <w:bookmarkEnd w:id="5433"/>
      <w:r>
        <w:rPr>
          <w:rFonts w:ascii="Arial" w:eastAsia="Arial" w:hAnsi="Arial" w:cs="Arial"/>
          <w:color w:val="000000"/>
          <w:sz w:val="20"/>
        </w:rPr>
        <w:t xml:space="preserve">, which was grounded in misrepresentation and racial animus. </w:t>
      </w:r>
      <w:r>
        <w:rPr>
          <w:rFonts w:ascii="Arial" w:eastAsia="Arial" w:hAnsi="Arial" w:cs="Arial"/>
          <w:i/>
          <w:color w:val="000000"/>
          <w:sz w:val="20"/>
        </w:rPr>
        <w:t xml:space="preserve">See </w:t>
      </w:r>
      <w:bookmarkStart w:id="5434" w:name="Bookmark_I64HGFMP28T4V00040000400"/>
      <w:bookmarkEnd w:id="5434"/>
      <w:r>
        <w:rPr>
          <w:rFonts w:ascii="Arial" w:eastAsia="Arial" w:hAnsi="Arial" w:cs="Arial"/>
          <w:i/>
          <w:color w:val="000000"/>
          <w:sz w:val="20"/>
        </w:rPr>
        <w:t>Trichell v. Midland Credit Mgmt., Inc.</w:t>
      </w:r>
      <w:r>
        <w:rPr>
          <w:rFonts w:ascii="Arial" w:eastAsia="Arial" w:hAnsi="Arial" w:cs="Arial"/>
          <w:color w:val="000000"/>
          <w:sz w:val="20"/>
        </w:rPr>
        <w:t xml:space="preserve">, 964 F.3d 990, 1005 (11th Cir. 2020) ("[T]he Fair Housing Act does not seek to vindicate [**15]  some amorphous interest in receiving unusable housing information. </w:t>
      </w:r>
      <w:bookmarkStart w:id="5435" w:name="Bookmark_I64HGFMP2SF7K60020000400_2"/>
      <w:bookmarkEnd w:id="5435"/>
      <w:r>
        <w:rPr>
          <w:rFonts w:ascii="Arial" w:eastAsia="Arial" w:hAnsi="Arial" w:cs="Arial"/>
          <w:color w:val="000000"/>
          <w:sz w:val="20"/>
        </w:rPr>
        <w:t xml:space="preserve">Instead, it protects the weighty interest in not being subjected to racial discrimination, which can inflict a concrete injury on anyone who personally experiences it." (quotations omitted)); </w:t>
      </w:r>
      <w:bookmarkStart w:id="5436" w:name="Bookmark_I64HGFMP2SF7K60010000400"/>
      <w:bookmarkEnd w:id="5436"/>
      <w:r>
        <w:rPr>
          <w:rFonts w:ascii="Arial" w:eastAsia="Arial" w:hAnsi="Arial" w:cs="Arial"/>
          <w:i/>
          <w:color w:val="000000"/>
          <w:sz w:val="20"/>
        </w:rPr>
        <w:t>Ragin v. Harry Macklowe Real Estate Co.</w:t>
      </w:r>
      <w:r>
        <w:rPr>
          <w:rFonts w:ascii="Arial" w:eastAsia="Arial" w:hAnsi="Arial" w:cs="Arial"/>
          <w:color w:val="000000"/>
          <w:sz w:val="20"/>
        </w:rPr>
        <w:t xml:space="preserve">, 6 F.3d 898, 904 (2d Cir. 1993) ("There is no significant difference between the statutorily recognized  [*880]  injury suffered by the tester in </w:t>
      </w:r>
      <w:bookmarkStart w:id="5437" w:name="Bookmark_I64HGFMP2SF7K60020000400_3"/>
      <w:bookmarkStart w:id="5438" w:name="Bookmark_I64HGFMP2SF7K60030000400"/>
      <w:bookmarkEnd w:id="5437"/>
      <w:bookmarkEnd w:id="5438"/>
      <w:r>
        <w:rPr>
          <w:rFonts w:ascii="Arial" w:eastAsia="Arial" w:hAnsi="Arial" w:cs="Arial"/>
          <w:i/>
          <w:color w:val="000000"/>
          <w:sz w:val="20"/>
        </w:rPr>
        <w:t>Havens Realty</w:t>
      </w:r>
      <w:r>
        <w:rPr>
          <w:rFonts w:ascii="Arial" w:eastAsia="Arial" w:hAnsi="Arial" w:cs="Arial"/>
          <w:color w:val="000000"/>
          <w:sz w:val="20"/>
        </w:rPr>
        <w:t xml:space="preserve"> and the injury suffered by [plaintiffs] who were confronted by advertisements indicating a preference based on race.").</w:t>
      </w:r>
    </w:p>
    <w:p w:rsidR="00022B47" w:rsidRDefault="00000000">
      <w:pPr>
        <w:pStyle w:val="Normal30"/>
        <w:widowControl w:val="0"/>
        <w:spacing w:before="120" w:line="260" w:lineRule="atLeast"/>
      </w:pPr>
      <w:r>
        <w:rPr>
          <w:rFonts w:ascii="Arial" w:eastAsia="Arial" w:hAnsi="Arial" w:cs="Arial"/>
          <w:color w:val="000000"/>
          <w:sz w:val="20"/>
        </w:rPr>
        <w:t xml:space="preserve">b. </w:t>
      </w:r>
      <w:r>
        <w:rPr>
          <w:rFonts w:ascii="Arial" w:eastAsia="Arial" w:hAnsi="Arial" w:cs="Arial"/>
          <w:i/>
          <w:color w:val="000000"/>
          <w:sz w:val="20"/>
        </w:rPr>
        <w:t>Informational Injury</w:t>
      </w:r>
      <w:r>
        <w:rPr>
          <w:rFonts w:ascii="Arial" w:eastAsia="Arial" w:hAnsi="Arial" w:cs="Arial"/>
          <w:color w:val="000000"/>
          <w:sz w:val="20"/>
        </w:rPr>
        <w:t xml:space="preserve"> - Public Citizen </w:t>
      </w:r>
      <w:r>
        <w:rPr>
          <w:rFonts w:ascii="Arial" w:eastAsia="Arial" w:hAnsi="Arial" w:cs="Arial"/>
          <w:i/>
          <w:color w:val="000000"/>
          <w:sz w:val="20"/>
        </w:rPr>
        <w:t>and</w:t>
      </w:r>
      <w:r>
        <w:rPr>
          <w:rFonts w:ascii="Arial" w:eastAsia="Arial" w:hAnsi="Arial" w:cs="Arial"/>
          <w:color w:val="000000"/>
          <w:sz w:val="20"/>
        </w:rPr>
        <w:t xml:space="preserve"> Akins</w:t>
      </w:r>
    </w:p>
    <w:p w:rsidR="00022B47" w:rsidRDefault="00000000">
      <w:pPr>
        <w:pStyle w:val="Normal30"/>
        <w:widowControl w:val="0"/>
        <w:spacing w:before="200" w:line="260" w:lineRule="atLeast"/>
        <w:jc w:val="both"/>
      </w:pPr>
      <w:bookmarkStart w:id="5439" w:name="Bookmark_para_38_12"/>
      <w:bookmarkStart w:id="5440" w:name="Bookmark_I64HGFMP2D6N3K0010000400"/>
      <w:bookmarkEnd w:id="5439"/>
      <w:bookmarkEnd w:id="5440"/>
      <w:r>
        <w:rPr>
          <w:rFonts w:ascii="Arial" w:eastAsia="Arial" w:hAnsi="Arial" w:cs="Arial"/>
          <w:color w:val="000000"/>
          <w:sz w:val="20"/>
        </w:rPr>
        <w:t xml:space="preserve">In addition to </w:t>
      </w:r>
      <w:bookmarkStart w:id="5441" w:name="Bookmark_I64HGFMP2SF7K60050000400"/>
      <w:bookmarkEnd w:id="5441"/>
      <w:r>
        <w:rPr>
          <w:rFonts w:ascii="Arial" w:eastAsia="Arial" w:hAnsi="Arial" w:cs="Arial"/>
          <w:i/>
          <w:color w:val="000000"/>
          <w:sz w:val="20"/>
        </w:rPr>
        <w:t>Havens Realty</w:t>
      </w:r>
      <w:r>
        <w:rPr>
          <w:rFonts w:ascii="Arial" w:eastAsia="Arial" w:hAnsi="Arial" w:cs="Arial"/>
          <w:color w:val="000000"/>
          <w:sz w:val="20"/>
        </w:rPr>
        <w:t>, Ms. Laufer cites two other Supreme Court decisions to support her informational harm theory of injury in fact.</w:t>
      </w:r>
    </w:p>
    <w:p w:rsidR="00022B47" w:rsidRDefault="00000000">
      <w:pPr>
        <w:pStyle w:val="Normal30"/>
        <w:widowControl w:val="0"/>
        <w:spacing w:before="120" w:line="260" w:lineRule="atLeast"/>
      </w:pPr>
      <w:r>
        <w:rPr>
          <w:rFonts w:ascii="Arial" w:eastAsia="Arial" w:hAnsi="Arial" w:cs="Arial"/>
          <w:color w:val="000000"/>
          <w:sz w:val="20"/>
        </w:rPr>
        <w:t xml:space="preserve">i. </w:t>
      </w:r>
      <w:r>
        <w:rPr>
          <w:rFonts w:ascii="Arial" w:eastAsia="Arial" w:hAnsi="Arial" w:cs="Arial"/>
          <w:i/>
          <w:color w:val="000000"/>
          <w:sz w:val="20"/>
          <w:u w:val="single"/>
        </w:rPr>
        <w:t>Public Citizen</w:t>
      </w:r>
    </w:p>
    <w:p w:rsidR="00022B47" w:rsidRDefault="00000000">
      <w:pPr>
        <w:pStyle w:val="Normal30"/>
        <w:widowControl w:val="0"/>
        <w:spacing w:before="200" w:line="260" w:lineRule="atLeast"/>
        <w:jc w:val="both"/>
      </w:pPr>
      <w:bookmarkStart w:id="5442" w:name="Bookmark_para_39_10"/>
      <w:bookmarkStart w:id="5443" w:name="Bookmark_I64HGFMP2D6N3K0030000400"/>
      <w:bookmarkStart w:id="5444" w:name="Bookmark_I64HGFMP2D6N3K0050000400"/>
      <w:bookmarkEnd w:id="5442"/>
      <w:bookmarkEnd w:id="5443"/>
      <w:bookmarkEnd w:id="5444"/>
      <w:r>
        <w:rPr>
          <w:rFonts w:ascii="Arial" w:eastAsia="Arial" w:hAnsi="Arial" w:cs="Arial"/>
          <w:color w:val="000000"/>
          <w:sz w:val="20"/>
        </w:rPr>
        <w:t xml:space="preserve">In </w:t>
      </w:r>
      <w:bookmarkStart w:id="5445" w:name="Bookmark_I64HGFMP2D6N3K0020000400"/>
      <w:bookmarkEnd w:id="5445"/>
      <w:r>
        <w:rPr>
          <w:rFonts w:ascii="Arial" w:eastAsia="Arial" w:hAnsi="Arial" w:cs="Arial"/>
          <w:i/>
          <w:color w:val="000000"/>
          <w:sz w:val="20"/>
        </w:rPr>
        <w:t>Public Citizen v. Department of Justice</w:t>
      </w:r>
      <w:r>
        <w:rPr>
          <w:rFonts w:ascii="Arial" w:eastAsia="Arial" w:hAnsi="Arial" w:cs="Arial"/>
          <w:color w:val="000000"/>
          <w:sz w:val="20"/>
        </w:rPr>
        <w:t xml:space="preserve">, 491 U.S. 440, 109 S. Ct. 2558, 105 L. Ed. 2d 377 (1989), the plaintiffs argued that the American Bar Association's Standing Committee on the Federal Judiciary ("ABA Committee"), which the Department consulted to evaluate potential judicial nominees, should be subject to the notice requirements of the Federal Advisory Committee Act ("FACA"). </w:t>
      </w:r>
      <w:bookmarkStart w:id="5446" w:name="Bookmark_I64HGFMP2D6N3K0040000400"/>
      <w:bookmarkEnd w:id="5446"/>
      <w:r>
        <w:rPr>
          <w:rFonts w:ascii="Arial" w:eastAsia="Arial" w:hAnsi="Arial" w:cs="Arial"/>
          <w:i/>
          <w:color w:val="000000"/>
          <w:sz w:val="20"/>
        </w:rPr>
        <w:t>Id.</w:t>
      </w:r>
      <w:r>
        <w:rPr>
          <w:rFonts w:ascii="Arial" w:eastAsia="Arial" w:hAnsi="Arial" w:cs="Arial"/>
          <w:color w:val="000000"/>
          <w:sz w:val="20"/>
        </w:rPr>
        <w:t xml:space="preserve"> at 449. The plaintiffs sought "access to the ABA Committee's meetings and records in order to monitor its workings and participate more effectively in the judicial selection process." </w:t>
      </w:r>
      <w:r>
        <w:rPr>
          <w:rFonts w:ascii="Arial" w:eastAsia="Arial" w:hAnsi="Arial" w:cs="Arial"/>
          <w:i/>
          <w:color w:val="000000"/>
          <w:sz w:val="20"/>
        </w:rPr>
        <w:t>Id.</w:t>
      </w:r>
    </w:p>
    <w:p w:rsidR="00022B47" w:rsidRDefault="00000000">
      <w:pPr>
        <w:pStyle w:val="Normal30"/>
        <w:widowControl w:val="0"/>
        <w:spacing w:before="200" w:line="260" w:lineRule="atLeast"/>
        <w:jc w:val="both"/>
      </w:pPr>
      <w:bookmarkStart w:id="5447" w:name="Bookmark_para_40_10"/>
      <w:bookmarkEnd w:id="5447"/>
      <w:r>
        <w:rPr>
          <w:rFonts w:ascii="Arial" w:eastAsia="Arial" w:hAnsi="Arial" w:cs="Arial"/>
          <w:color w:val="000000"/>
          <w:sz w:val="20"/>
        </w:rPr>
        <w:t xml:space="preserve">Analogizing to Freedom of Information Act cases, [**16]  the Court held that "refusal to permit appellants to scrutinize the ABA Committee's activities to the extent FACA allows constitutes a sufficiently distinct injury to provide standing to sue." </w:t>
      </w:r>
      <w:r>
        <w:rPr>
          <w:rFonts w:ascii="Arial" w:eastAsia="Arial" w:hAnsi="Arial" w:cs="Arial"/>
          <w:i/>
          <w:color w:val="000000"/>
          <w:sz w:val="20"/>
        </w:rPr>
        <w:t>Id.</w:t>
      </w:r>
      <w:r>
        <w:rPr>
          <w:rFonts w:ascii="Arial" w:eastAsia="Arial" w:hAnsi="Arial" w:cs="Arial"/>
          <w:color w:val="000000"/>
          <w:sz w:val="20"/>
        </w:rPr>
        <w:t xml:space="preserve"> It noted that "decisions interpreting the Freedom of Information Act have never suggested that those requesting information under it need show more than that they sought and were denied specific agency records." </w:t>
      </w:r>
      <w:r>
        <w:rPr>
          <w:rFonts w:ascii="Arial" w:eastAsia="Arial" w:hAnsi="Arial" w:cs="Arial"/>
          <w:i/>
          <w:color w:val="000000"/>
          <w:sz w:val="20"/>
        </w:rPr>
        <w:t>Id.</w:t>
      </w:r>
    </w:p>
    <w:p w:rsidR="00022B47" w:rsidRDefault="00000000">
      <w:pPr>
        <w:pStyle w:val="Normal30"/>
        <w:widowControl w:val="0"/>
        <w:spacing w:before="120" w:line="260" w:lineRule="atLeast"/>
      </w:pPr>
      <w:r>
        <w:rPr>
          <w:rFonts w:ascii="Arial" w:eastAsia="Arial" w:hAnsi="Arial" w:cs="Arial"/>
          <w:color w:val="000000"/>
          <w:sz w:val="20"/>
        </w:rPr>
        <w:t xml:space="preserve">ii. </w:t>
      </w:r>
      <w:r>
        <w:rPr>
          <w:rFonts w:ascii="Arial" w:eastAsia="Arial" w:hAnsi="Arial" w:cs="Arial"/>
          <w:i/>
          <w:color w:val="000000"/>
          <w:sz w:val="20"/>
          <w:u w:val="single"/>
        </w:rPr>
        <w:t>Akins</w:t>
      </w:r>
    </w:p>
    <w:p w:rsidR="00022B47" w:rsidRDefault="00000000">
      <w:pPr>
        <w:pStyle w:val="Normal30"/>
        <w:widowControl w:val="0"/>
        <w:spacing w:before="200" w:line="260" w:lineRule="atLeast"/>
        <w:jc w:val="both"/>
      </w:pPr>
      <w:bookmarkStart w:id="5448" w:name="Bookmark_para_41_10"/>
      <w:bookmarkStart w:id="5449" w:name="Bookmark_I64HGFMP2N1RF20020000400"/>
      <w:bookmarkStart w:id="5450" w:name="Bookmark_I64HGFMP2N1RF20040000400"/>
      <w:bookmarkEnd w:id="5448"/>
      <w:bookmarkEnd w:id="5449"/>
      <w:bookmarkEnd w:id="5450"/>
      <w:r>
        <w:rPr>
          <w:rFonts w:ascii="Arial" w:eastAsia="Arial" w:hAnsi="Arial" w:cs="Arial"/>
          <w:color w:val="000000"/>
          <w:sz w:val="20"/>
        </w:rPr>
        <w:t xml:space="preserve">In </w:t>
      </w:r>
      <w:bookmarkStart w:id="5451" w:name="Bookmark_I64HGFMP2N1RF20010000400"/>
      <w:bookmarkEnd w:id="5451"/>
      <w:r>
        <w:rPr>
          <w:rFonts w:ascii="Arial" w:eastAsia="Arial" w:hAnsi="Arial" w:cs="Arial"/>
          <w:i/>
          <w:color w:val="000000"/>
          <w:sz w:val="20"/>
        </w:rPr>
        <w:t>FEC v. Akins</w:t>
      </w:r>
      <w:r>
        <w:rPr>
          <w:rFonts w:ascii="Arial" w:eastAsia="Arial" w:hAnsi="Arial" w:cs="Arial"/>
          <w:color w:val="000000"/>
          <w:sz w:val="20"/>
        </w:rPr>
        <w:t xml:space="preserve">, 524 U.S. 11, 118 S. Ct. 1777, 141 L. Ed. 2d 10 (1998), a group of voters sought to compel the Federal Election Commission to designate the American Israel Public Affairs Committee ("AIPAC") as a "political committee" under the Federal Election Campaign Act of 1971. Doing so would require AIPAC to publicly disclose certain financial information. The Court explained, "[t]he 'injury in fact' that respondents have suffered consists of their inability to obtain information—lists of AIPAC donors . . . , and campaign-related contributions and expenditures—that, on respondents' view of the law, the statute requires that AIPAC make public." </w:t>
      </w:r>
      <w:bookmarkStart w:id="5452" w:name="Bookmark_I64HGFMP2N1RF20030000400"/>
      <w:bookmarkEnd w:id="5452"/>
      <w:r>
        <w:rPr>
          <w:rFonts w:ascii="Arial" w:eastAsia="Arial" w:hAnsi="Arial" w:cs="Arial"/>
          <w:i/>
          <w:color w:val="000000"/>
          <w:sz w:val="20"/>
        </w:rPr>
        <w:t>Id.</w:t>
      </w:r>
      <w:r>
        <w:rPr>
          <w:rFonts w:ascii="Arial" w:eastAsia="Arial" w:hAnsi="Arial" w:cs="Arial"/>
          <w:color w:val="000000"/>
          <w:sz w:val="20"/>
        </w:rPr>
        <w:t xml:space="preserve"> at 21.</w:t>
      </w:r>
    </w:p>
    <w:p w:rsidR="00022B47" w:rsidRDefault="00000000">
      <w:pPr>
        <w:pStyle w:val="Normal30"/>
        <w:widowControl w:val="0"/>
        <w:spacing w:before="200" w:line="260" w:lineRule="atLeast"/>
        <w:jc w:val="both"/>
      </w:pPr>
      <w:bookmarkStart w:id="5453" w:name="Bookmark_para_42_9"/>
      <w:bookmarkStart w:id="5454" w:name="Bookmark_I64HGFMR28T4V70010000400"/>
      <w:bookmarkEnd w:id="5453"/>
      <w:bookmarkEnd w:id="5454"/>
      <w:r>
        <w:rPr>
          <w:rFonts w:ascii="Arial" w:eastAsia="Arial" w:hAnsi="Arial" w:cs="Arial"/>
          <w:color w:val="000000"/>
          <w:sz w:val="20"/>
        </w:rPr>
        <w:t xml:space="preserve">The Court found "no reason to doubt [the plaintiffs'] claim that the information would help them (and others to whom they would communicate it) to evaluate candidates for public office, especially candidates who received assistance from AIPAC, and to [**17]  evaluate the role that AIPAC's financial assistance might play in a specific election." </w:t>
      </w:r>
      <w:r>
        <w:rPr>
          <w:rFonts w:ascii="Arial" w:eastAsia="Arial" w:hAnsi="Arial" w:cs="Arial"/>
          <w:i/>
          <w:color w:val="000000"/>
          <w:sz w:val="20"/>
        </w:rPr>
        <w:t>Id.</w:t>
      </w:r>
      <w:r>
        <w:rPr>
          <w:rFonts w:ascii="Arial" w:eastAsia="Arial" w:hAnsi="Arial" w:cs="Arial"/>
          <w:color w:val="000000"/>
          <w:sz w:val="20"/>
        </w:rPr>
        <w:t xml:space="preserve"> It concluded that "the informational injury at issue here, directly related to voting, the most basic of political rights, is sufficiently concrete and specific such that the fact that it is widely shared does not deprive Congress of constitutional power to authorize its vindication in the federal courts." </w:t>
      </w:r>
      <w:bookmarkStart w:id="5455" w:name="Bookmark_I64HGFMP2N1RF20050000400"/>
      <w:bookmarkEnd w:id="5455"/>
      <w:r>
        <w:rPr>
          <w:rFonts w:ascii="Arial" w:eastAsia="Arial" w:hAnsi="Arial" w:cs="Arial"/>
          <w:i/>
          <w:color w:val="000000"/>
          <w:sz w:val="20"/>
        </w:rPr>
        <w:t>Id.</w:t>
      </w:r>
      <w:r>
        <w:rPr>
          <w:rFonts w:ascii="Arial" w:eastAsia="Arial" w:hAnsi="Arial" w:cs="Arial"/>
          <w:color w:val="000000"/>
          <w:sz w:val="20"/>
        </w:rPr>
        <w:t xml:space="preserve"> at 24-25.</w:t>
      </w:r>
    </w:p>
    <w:p w:rsidR="00022B47" w:rsidRDefault="00000000">
      <w:pPr>
        <w:pStyle w:val="Normal30"/>
        <w:widowControl w:val="0"/>
        <w:spacing w:before="120" w:line="260" w:lineRule="atLeast"/>
      </w:pPr>
      <w:r>
        <w:rPr>
          <w:rFonts w:ascii="Arial" w:eastAsia="Arial" w:hAnsi="Arial" w:cs="Arial"/>
          <w:color w:val="000000"/>
          <w:sz w:val="20"/>
        </w:rPr>
        <w:t xml:space="preserve">iii. </w:t>
      </w:r>
      <w:r>
        <w:rPr>
          <w:rFonts w:ascii="Arial" w:eastAsia="Arial" w:hAnsi="Arial" w:cs="Arial"/>
          <w:color w:val="000000"/>
          <w:sz w:val="20"/>
          <w:u w:val="single"/>
        </w:rPr>
        <w:t>Ms. Laufer's argument</w:t>
      </w:r>
    </w:p>
    <w:p w:rsidR="00022B47" w:rsidRDefault="00000000">
      <w:pPr>
        <w:pStyle w:val="Normal30"/>
        <w:widowControl w:val="0"/>
        <w:spacing w:before="200" w:line="260" w:lineRule="atLeast"/>
        <w:jc w:val="both"/>
      </w:pPr>
      <w:bookmarkStart w:id="5456" w:name="Bookmark_para_43_9"/>
      <w:bookmarkStart w:id="5457" w:name="Bookmark_I64HGFMR28T4V70030000400"/>
      <w:bookmarkEnd w:id="5456"/>
      <w:bookmarkEnd w:id="5457"/>
      <w:r>
        <w:rPr>
          <w:rFonts w:ascii="Arial" w:eastAsia="Arial" w:hAnsi="Arial" w:cs="Arial"/>
          <w:color w:val="000000"/>
          <w:sz w:val="20"/>
        </w:rPr>
        <w:t xml:space="preserve">Ms. Laufer argues she has suffered an "informational injury" of the sort recognized in </w:t>
      </w:r>
      <w:bookmarkStart w:id="5458" w:name="Bookmark_I64HGFMR28T4V70020000400"/>
      <w:bookmarkEnd w:id="5458"/>
      <w:r>
        <w:rPr>
          <w:rFonts w:ascii="Arial" w:eastAsia="Arial" w:hAnsi="Arial" w:cs="Arial"/>
          <w:i/>
          <w:color w:val="000000"/>
          <w:sz w:val="20"/>
        </w:rPr>
        <w:t>Public Citizen</w:t>
      </w:r>
      <w:r>
        <w:rPr>
          <w:rFonts w:ascii="Arial" w:eastAsia="Arial" w:hAnsi="Arial" w:cs="Arial"/>
          <w:color w:val="000000"/>
          <w:sz w:val="20"/>
        </w:rPr>
        <w:t xml:space="preserve"> and </w:t>
      </w:r>
      <w:bookmarkStart w:id="5459" w:name="Bookmark_I64HGFMR28T4V70030000400_2"/>
      <w:bookmarkStart w:id="5460" w:name="Bookmark_I64HGFMR28T4V70040000400"/>
      <w:bookmarkEnd w:id="5459"/>
      <w:bookmarkEnd w:id="5460"/>
      <w:r>
        <w:rPr>
          <w:rFonts w:ascii="Arial" w:eastAsia="Arial" w:hAnsi="Arial" w:cs="Arial"/>
          <w:i/>
          <w:color w:val="000000"/>
          <w:sz w:val="20"/>
        </w:rPr>
        <w:t>Akins</w:t>
      </w:r>
      <w:bookmarkStart w:id="5461" w:name="Bookmark_I64HGFMR28T4V80020000400"/>
      <w:bookmarkEnd w:id="5461"/>
      <w:r>
        <w:rPr>
          <w:rFonts w:ascii="Arial" w:eastAsia="Arial" w:hAnsi="Arial" w:cs="Arial"/>
          <w:color w:val="000000"/>
          <w:sz w:val="20"/>
        </w:rPr>
        <w:t xml:space="preserve">—that is, she has been deprived of information to which she is legally entitled. Aplt. Br. at 27-40. </w:t>
      </w:r>
      <w:bookmarkStart w:id="5462" w:name="Bookmark_I64HGFMR28T4V80040000400"/>
      <w:bookmarkEnd w:id="5462"/>
      <w:r>
        <w:rPr>
          <w:rFonts w:ascii="Arial" w:eastAsia="Arial" w:hAnsi="Arial" w:cs="Arial"/>
          <w:color w:val="000000"/>
          <w:sz w:val="20"/>
        </w:rPr>
        <w:t xml:space="preserve">The Supreme Court's recent decision in </w:t>
      </w:r>
      <w:bookmarkStart w:id="5463" w:name="Bookmark_I64HGFMR28T4V80040000400_2"/>
      <w:bookmarkStart w:id="5464" w:name="Bookmark_I64HGFMR28T4V80020000400_2"/>
      <w:bookmarkStart w:id="5465" w:name="Bookmark_I64HGFMR28T4V80010000400"/>
      <w:bookmarkEnd w:id="5463"/>
      <w:bookmarkEnd w:id="5464"/>
      <w:bookmarkEnd w:id="5465"/>
      <w:r>
        <w:rPr>
          <w:rFonts w:ascii="Arial" w:eastAsia="Arial" w:hAnsi="Arial" w:cs="Arial"/>
          <w:i/>
          <w:color w:val="000000"/>
          <w:sz w:val="20"/>
        </w:rPr>
        <w:t>TransUnion</w:t>
      </w:r>
      <w:r>
        <w:rPr>
          <w:rFonts w:ascii="Arial" w:eastAsia="Arial" w:hAnsi="Arial" w:cs="Arial"/>
          <w:color w:val="000000"/>
          <w:sz w:val="20"/>
        </w:rPr>
        <w:t xml:space="preserve"> shows why this argument fails. In that case the United States, participating as amicus, argued that the plaintiffs had suffered an "informational injury" under </w:t>
      </w:r>
      <w:bookmarkStart w:id="5466" w:name="Bookmark_I64HGFMR28T4V80040000400_3"/>
      <w:bookmarkStart w:id="5467" w:name="Bookmark_I64HGFMR28T4V80030000400"/>
      <w:bookmarkEnd w:id="5466"/>
      <w:bookmarkEnd w:id="5467"/>
      <w:r>
        <w:rPr>
          <w:rFonts w:ascii="Arial" w:eastAsia="Arial" w:hAnsi="Arial" w:cs="Arial"/>
          <w:i/>
          <w:color w:val="000000"/>
          <w:sz w:val="20"/>
        </w:rPr>
        <w:t>Public Citizen</w:t>
      </w:r>
      <w:bookmarkStart w:id="5468" w:name="Bookmark_I5CSH2FSHDW000067F5000B8"/>
      <w:bookmarkStart w:id="5469" w:name="Bookmark_I64HGFMR2D6N3S0020000400"/>
      <w:bookmarkEnd w:id="5468"/>
      <w:bookmarkEnd w:id="5469"/>
      <w:r>
        <w:rPr>
          <w:rFonts w:ascii="Arial" w:eastAsia="Arial" w:hAnsi="Arial" w:cs="Arial"/>
          <w:color w:val="000000"/>
          <w:sz w:val="20"/>
        </w:rPr>
        <w:t xml:space="preserve"> and </w:t>
      </w:r>
      <w:bookmarkStart w:id="5470" w:name="Bookmark_I64HGFMR28T4V80050000400"/>
      <w:bookmarkEnd w:id="5470"/>
      <w:r>
        <w:rPr>
          <w:rFonts w:ascii="Arial" w:eastAsia="Arial" w:hAnsi="Arial" w:cs="Arial"/>
          <w:i/>
          <w:color w:val="000000"/>
          <w:sz w:val="20"/>
        </w:rPr>
        <w:t>Akins</w:t>
      </w:r>
      <w:r>
        <w:rPr>
          <w:rFonts w:ascii="Arial" w:eastAsia="Arial" w:hAnsi="Arial" w:cs="Arial"/>
          <w:color w:val="000000"/>
          <w:sz w:val="20"/>
        </w:rPr>
        <w:t xml:space="preserve"> when TransUnion allegedly failed to provide them with required disclosures  [*881]  in a specified format under the FCRA. The Court rejected this argument in part because "the plaintiffs have identified no 'downstream consequences' from failing to receive the required information." </w:t>
      </w:r>
      <w:bookmarkStart w:id="5471" w:name="Bookmark_I64HGFMR2D6N3R0020000400"/>
      <w:bookmarkEnd w:id="5471"/>
      <w:r>
        <w:rPr>
          <w:rFonts w:ascii="Arial" w:eastAsia="Arial" w:hAnsi="Arial" w:cs="Arial"/>
          <w:i/>
          <w:color w:val="000000"/>
          <w:sz w:val="20"/>
        </w:rPr>
        <w:t>TransUnion</w:t>
      </w:r>
      <w:r>
        <w:rPr>
          <w:rFonts w:ascii="Arial" w:eastAsia="Arial" w:hAnsi="Arial" w:cs="Arial"/>
          <w:color w:val="000000"/>
          <w:sz w:val="20"/>
        </w:rPr>
        <w:t xml:space="preserve">, 141 S. Ct. at 2214 (quoting </w:t>
      </w:r>
      <w:bookmarkStart w:id="5472" w:name="Bookmark_I64HGFMR2D6N3R0040000400"/>
      <w:bookmarkEnd w:id="5472"/>
      <w:r>
        <w:rPr>
          <w:rFonts w:ascii="Arial" w:eastAsia="Arial" w:hAnsi="Arial" w:cs="Arial"/>
          <w:i/>
          <w:color w:val="000000"/>
          <w:sz w:val="20"/>
        </w:rPr>
        <w:t>Trichell</w:t>
      </w:r>
      <w:r>
        <w:rPr>
          <w:rFonts w:ascii="Arial" w:eastAsia="Arial" w:hAnsi="Arial" w:cs="Arial"/>
          <w:color w:val="000000"/>
          <w:sz w:val="20"/>
        </w:rPr>
        <w:t xml:space="preserve">, 964 F.3d at 1004). </w:t>
      </w:r>
      <w:bookmarkStart w:id="5473" w:name="Bookmark_LNHNREFclscc11_13"/>
      <w:bookmarkEnd w:id="5473"/>
      <w:r>
        <w:rPr>
          <w:rFonts w:ascii="Arial" w:eastAsia="Arial" w:hAnsi="Arial" w:cs="Arial"/>
          <w:color w:val="000000"/>
          <w:sz w:val="20"/>
        </w:rPr>
        <w:t xml:space="preserve">"An asserted informational injury that causes no adverse effects cannot satisfy Article III." </w:t>
      </w:r>
      <w:r>
        <w:rPr>
          <w:rFonts w:ascii="Arial" w:eastAsia="Arial" w:hAnsi="Arial" w:cs="Arial"/>
          <w:i/>
          <w:color w:val="000000"/>
          <w:sz w:val="20"/>
        </w:rPr>
        <w:t>Id.</w:t>
      </w:r>
      <w:r>
        <w:rPr>
          <w:rFonts w:ascii="Arial" w:eastAsia="Arial" w:hAnsi="Arial" w:cs="Arial"/>
          <w:color w:val="000000"/>
          <w:sz w:val="20"/>
        </w:rPr>
        <w:t> [**18]  (quotations omitted).</w:t>
      </w:r>
      <w:r>
        <w:rPr>
          <w:rFonts w:ascii="Arial" w:eastAsia="Arial" w:hAnsi="Arial" w:cs="Arial"/>
          <w:vertAlign w:val="superscript"/>
        </w:rPr>
        <w:footnoteReference w:customMarkFollows="1" w:id="142"/>
        <w:t>5</w:t>
      </w:r>
    </w:p>
    <w:p w:rsidR="00022B47" w:rsidRDefault="00000000">
      <w:pPr>
        <w:pStyle w:val="Normal30"/>
        <w:widowControl w:val="0"/>
        <w:spacing w:before="200" w:line="260" w:lineRule="atLeast"/>
        <w:jc w:val="both"/>
      </w:pPr>
      <w:bookmarkStart w:id="5478" w:name="Bookmark_para_44_9"/>
      <w:bookmarkStart w:id="5479" w:name="Bookmark_I64HGFMR2D6N3V0010000400"/>
      <w:bookmarkEnd w:id="5478"/>
      <w:bookmarkEnd w:id="5479"/>
      <w:r>
        <w:rPr>
          <w:rFonts w:ascii="Arial" w:eastAsia="Arial" w:hAnsi="Arial" w:cs="Arial"/>
          <w:color w:val="000000"/>
          <w:sz w:val="20"/>
        </w:rPr>
        <w:t xml:space="preserve">In </w:t>
      </w:r>
      <w:bookmarkStart w:id="5480" w:name="Bookmark_I64HGFMR2D6N3S0050000400"/>
      <w:bookmarkEnd w:id="5480"/>
      <w:r>
        <w:rPr>
          <w:rFonts w:ascii="Arial" w:eastAsia="Arial" w:hAnsi="Arial" w:cs="Arial"/>
          <w:i/>
          <w:color w:val="000000"/>
          <w:sz w:val="20"/>
        </w:rPr>
        <w:t>Public Citizen</w:t>
      </w:r>
      <w:r>
        <w:rPr>
          <w:rFonts w:ascii="Arial" w:eastAsia="Arial" w:hAnsi="Arial" w:cs="Arial"/>
          <w:color w:val="000000"/>
          <w:sz w:val="20"/>
        </w:rPr>
        <w:t xml:space="preserve"> and </w:t>
      </w:r>
      <w:bookmarkStart w:id="5481" w:name="Bookmark_I64HGFMR2D6N3V0020000400"/>
      <w:bookmarkEnd w:id="5481"/>
      <w:r>
        <w:rPr>
          <w:rFonts w:ascii="Arial" w:eastAsia="Arial" w:hAnsi="Arial" w:cs="Arial"/>
          <w:i/>
          <w:color w:val="000000"/>
          <w:sz w:val="20"/>
        </w:rPr>
        <w:t>Akins</w:t>
      </w:r>
      <w:bookmarkStart w:id="5482" w:name="Bookmark_I64HGFMR2D6N3V0050000400"/>
      <w:bookmarkEnd w:id="5482"/>
      <w:r>
        <w:rPr>
          <w:rFonts w:ascii="Arial" w:eastAsia="Arial" w:hAnsi="Arial" w:cs="Arial"/>
          <w:color w:val="000000"/>
          <w:sz w:val="20"/>
        </w:rPr>
        <w:t xml:space="preserve">, the plaintiffs identified such adverse effects. </w:t>
      </w:r>
      <w:bookmarkStart w:id="5483" w:name="Bookmark_I64HGFMR2D6N3V0050000400_2"/>
      <w:bookmarkEnd w:id="5483"/>
      <w:r>
        <w:rPr>
          <w:rFonts w:ascii="Arial" w:eastAsia="Arial" w:hAnsi="Arial" w:cs="Arial"/>
          <w:color w:val="000000"/>
          <w:sz w:val="20"/>
        </w:rPr>
        <w:t xml:space="preserve">They alleged an intent to use the information to participate in the judicial selection and the political process, respectively. Thus, in both cases, the information the plaintiffs sought had "some relevance" to them. </w:t>
      </w:r>
      <w:r>
        <w:rPr>
          <w:rFonts w:ascii="Arial" w:eastAsia="Arial" w:hAnsi="Arial" w:cs="Arial"/>
          <w:i/>
          <w:color w:val="000000"/>
          <w:sz w:val="20"/>
        </w:rPr>
        <w:t xml:space="preserve">See </w:t>
      </w:r>
      <w:bookmarkStart w:id="5484" w:name="Bookmark_I64HGFMR2D6N3V0040000400"/>
      <w:bookmarkEnd w:id="5484"/>
      <w:r>
        <w:rPr>
          <w:rFonts w:ascii="Arial" w:eastAsia="Arial" w:hAnsi="Arial" w:cs="Arial"/>
          <w:i/>
          <w:color w:val="000000"/>
          <w:sz w:val="20"/>
        </w:rPr>
        <w:t>Griffin v. Dep't of Labor Fed. Credit Union</w:t>
      </w:r>
      <w:r>
        <w:rPr>
          <w:rFonts w:ascii="Arial" w:eastAsia="Arial" w:hAnsi="Arial" w:cs="Arial"/>
          <w:color w:val="000000"/>
          <w:sz w:val="20"/>
        </w:rPr>
        <w:t>, 912 F.3d 649, 654 (4th Cir. 2019).</w:t>
      </w:r>
    </w:p>
    <w:p w:rsidR="00022B47" w:rsidRDefault="00000000">
      <w:pPr>
        <w:pStyle w:val="Normal30"/>
        <w:widowControl w:val="0"/>
        <w:spacing w:before="200" w:line="260" w:lineRule="atLeast"/>
        <w:jc w:val="both"/>
      </w:pPr>
      <w:bookmarkStart w:id="5485" w:name="Bookmark_para_45_9"/>
      <w:bookmarkStart w:id="5486" w:name="Bookmark_I5CSH2FS846000067F5000B6"/>
      <w:bookmarkStart w:id="5487" w:name="Bookmark_I5CSH2FSCNH000067F5000B7"/>
      <w:bookmarkStart w:id="5488" w:name="Bookmark_I64HGFMR2N1RF70020000400"/>
      <w:bookmarkEnd w:id="5485"/>
      <w:bookmarkEnd w:id="5486"/>
      <w:bookmarkEnd w:id="5487"/>
      <w:bookmarkEnd w:id="5488"/>
      <w:r>
        <w:rPr>
          <w:rFonts w:ascii="Arial" w:eastAsia="Arial" w:hAnsi="Arial" w:cs="Arial"/>
          <w:color w:val="000000"/>
          <w:sz w:val="20"/>
        </w:rPr>
        <w:t xml:space="preserve">Unlike the plaintiffs in </w:t>
      </w:r>
      <w:bookmarkStart w:id="5489" w:name="Bookmark_I64HGFMR2N1RF70010000400"/>
      <w:bookmarkEnd w:id="5489"/>
      <w:r>
        <w:rPr>
          <w:rFonts w:ascii="Arial" w:eastAsia="Arial" w:hAnsi="Arial" w:cs="Arial"/>
          <w:i/>
          <w:color w:val="000000"/>
          <w:sz w:val="20"/>
        </w:rPr>
        <w:t>Akins</w:t>
      </w:r>
      <w:r>
        <w:rPr>
          <w:rFonts w:ascii="Arial" w:eastAsia="Arial" w:hAnsi="Arial" w:cs="Arial"/>
          <w:color w:val="000000"/>
          <w:sz w:val="20"/>
        </w:rPr>
        <w:t xml:space="preserve"> and </w:t>
      </w:r>
      <w:bookmarkStart w:id="5490" w:name="Bookmark_I64HGFMR2N1RF70030000400"/>
      <w:bookmarkEnd w:id="5490"/>
      <w:r>
        <w:rPr>
          <w:rFonts w:ascii="Arial" w:eastAsia="Arial" w:hAnsi="Arial" w:cs="Arial"/>
          <w:i/>
          <w:color w:val="000000"/>
          <w:sz w:val="20"/>
        </w:rPr>
        <w:t>Public Citizen</w:t>
      </w:r>
      <w:bookmarkStart w:id="5491" w:name="Bookmark_I64HGFMR2HM5T20010000400"/>
      <w:bookmarkEnd w:id="5491"/>
      <w:r>
        <w:rPr>
          <w:rFonts w:ascii="Arial" w:eastAsia="Arial" w:hAnsi="Arial" w:cs="Arial"/>
          <w:color w:val="000000"/>
          <w:sz w:val="20"/>
        </w:rPr>
        <w:t xml:space="preserve">, Ms. Laufer has not alleged that she has any interest in using the information she obtained from the Elk Run Inn's ORS beyond bringing this lawsuit. </w:t>
      </w:r>
      <w:bookmarkStart w:id="5492" w:name="Bookmark_I64HGFMR2HM5T20010000400_2"/>
      <w:bookmarkEnd w:id="5492"/>
      <w:r>
        <w:rPr>
          <w:rFonts w:ascii="Arial" w:eastAsia="Arial" w:hAnsi="Arial" w:cs="Arial"/>
          <w:color w:val="000000"/>
          <w:sz w:val="20"/>
        </w:rPr>
        <w:t xml:space="preserve">She has no plans to visit Craig, Colorado. She did not attempt to book a room at the Elk Run Inn and has no intent to do so. She therefore has not suffered an injury of the type recognized in </w:t>
      </w:r>
      <w:bookmarkStart w:id="5493" w:name="Bookmark_I64HGFMR2HM5T20010000400_3"/>
      <w:bookmarkStart w:id="5494" w:name="Bookmark_I64HGFMR2N1RF70050000400"/>
      <w:bookmarkEnd w:id="5493"/>
      <w:bookmarkEnd w:id="5494"/>
      <w:r>
        <w:rPr>
          <w:rFonts w:ascii="Arial" w:eastAsia="Arial" w:hAnsi="Arial" w:cs="Arial"/>
          <w:i/>
          <w:color w:val="000000"/>
          <w:sz w:val="20"/>
        </w:rPr>
        <w:t>Public Citizen</w:t>
      </w:r>
      <w:r>
        <w:rPr>
          <w:rFonts w:ascii="Arial" w:eastAsia="Arial" w:hAnsi="Arial" w:cs="Arial"/>
          <w:color w:val="000000"/>
          <w:sz w:val="20"/>
        </w:rPr>
        <w:t xml:space="preserve"> or </w:t>
      </w:r>
      <w:bookmarkStart w:id="5495" w:name="Bookmark_I64HGFMR2HM5T20020000400"/>
      <w:bookmarkEnd w:id="5495"/>
      <w:r>
        <w:rPr>
          <w:rFonts w:ascii="Arial" w:eastAsia="Arial" w:hAnsi="Arial" w:cs="Arial"/>
          <w:i/>
          <w:color w:val="000000"/>
          <w:sz w:val="20"/>
        </w:rPr>
        <w:t>Akins</w:t>
      </w:r>
      <w:r>
        <w:rPr>
          <w:rFonts w:ascii="Arial" w:eastAsia="Arial" w:hAnsi="Arial" w:cs="Arial"/>
          <w:color w:val="000000"/>
          <w:sz w:val="20"/>
        </w:rPr>
        <w:t>.</w:t>
      </w:r>
      <w:r>
        <w:rPr>
          <w:rFonts w:ascii="Arial" w:eastAsia="Arial" w:hAnsi="Arial" w:cs="Arial"/>
          <w:vertAlign w:val="superscript"/>
        </w:rPr>
        <w:footnoteReference w:customMarkFollows="1" w:id="143"/>
        <w:t>6</w:t>
      </w:r>
    </w:p>
    <w:p w:rsidR="00022B47" w:rsidRDefault="00000000">
      <w:pPr>
        <w:pStyle w:val="Normal30"/>
        <w:widowControl w:val="0"/>
        <w:spacing w:before="200" w:line="260" w:lineRule="atLeast"/>
        <w:jc w:val="both"/>
      </w:pPr>
      <w:bookmarkStart w:id="5514" w:name="Bookmark_para_46_9"/>
      <w:bookmarkEnd w:id="5514"/>
      <w:r>
        <w:rPr>
          <w:rFonts w:ascii="Arial" w:eastAsia="Arial" w:hAnsi="Arial" w:cs="Arial"/>
          <w:color w:val="000000"/>
          <w:sz w:val="20"/>
        </w:rPr>
        <w:t>Although Ms. Laufer may have had a regulatory right to the information she sought here, she has not demonstrated that the defendants' failure to provide that information caused her to suffer an injury in fact.</w:t>
      </w:r>
    </w:p>
    <w:p w:rsidR="00022B47" w:rsidRDefault="00000000">
      <w:pPr>
        <w:pStyle w:val="Normal30"/>
        <w:widowControl w:val="0"/>
        <w:spacing w:before="120" w:line="260" w:lineRule="atLeast"/>
      </w:pPr>
      <w:r>
        <w:rPr>
          <w:rFonts w:ascii="Arial" w:eastAsia="Arial" w:hAnsi="Arial" w:cs="Arial"/>
          <w:color w:val="000000"/>
          <w:sz w:val="20"/>
        </w:rPr>
        <w:t xml:space="preserve">c. </w:t>
      </w:r>
      <w:r>
        <w:rPr>
          <w:rFonts w:ascii="Arial" w:eastAsia="Arial" w:hAnsi="Arial" w:cs="Arial"/>
          <w:i/>
          <w:color w:val="000000"/>
          <w:sz w:val="20"/>
        </w:rPr>
        <w:t>ADA Testers -</w:t>
      </w:r>
      <w:r>
        <w:rPr>
          <w:rFonts w:ascii="Arial" w:eastAsia="Arial" w:hAnsi="Arial" w:cs="Arial"/>
          <w:color w:val="000000"/>
          <w:sz w:val="20"/>
        </w:rPr>
        <w:t xml:space="preserve"> Tandy </w:t>
      </w:r>
      <w:r>
        <w:rPr>
          <w:rFonts w:ascii="Arial" w:eastAsia="Arial" w:hAnsi="Arial" w:cs="Arial"/>
          <w:i/>
          <w:color w:val="000000"/>
          <w:sz w:val="20"/>
        </w:rPr>
        <w:t>and</w:t>
      </w:r>
      <w:r>
        <w:rPr>
          <w:rFonts w:ascii="Arial" w:eastAsia="Arial" w:hAnsi="Arial" w:cs="Arial"/>
          <w:color w:val="000000"/>
          <w:sz w:val="20"/>
        </w:rPr>
        <w:t xml:space="preserve"> Colorado Cross Disability Coalition</w:t>
      </w:r>
    </w:p>
    <w:p w:rsidR="00022B47" w:rsidRDefault="00000000">
      <w:pPr>
        <w:pStyle w:val="Normal30"/>
        <w:widowControl w:val="0"/>
        <w:spacing w:before="200" w:line="260" w:lineRule="atLeast"/>
        <w:jc w:val="both"/>
      </w:pPr>
      <w:bookmarkStart w:id="5515" w:name="Bookmark_para_47_9"/>
      <w:bookmarkStart w:id="5516" w:name="Bookmark_I5CSH2FS0MF000067F5000B4"/>
      <w:bookmarkStart w:id="5517" w:name="Bookmark_I5CSH2FS49N000067F5000B5"/>
      <w:bookmarkStart w:id="5518" w:name="Bookmark_I64HGFMS2SF7KM0020000400"/>
      <w:bookmarkStart w:id="5519" w:name="Bookmark_I64HGFMS2N1RFF0010000400"/>
      <w:bookmarkEnd w:id="5515"/>
      <w:bookmarkEnd w:id="5516"/>
      <w:bookmarkEnd w:id="5517"/>
      <w:bookmarkEnd w:id="5518"/>
      <w:bookmarkEnd w:id="5519"/>
      <w:r>
        <w:rPr>
          <w:rFonts w:ascii="Arial" w:eastAsia="Arial" w:hAnsi="Arial" w:cs="Arial"/>
          <w:color w:val="000000"/>
          <w:sz w:val="20"/>
        </w:rPr>
        <w:t>Ms. Laufer also attempts to rely on Tenth Circuit cases holding that testers may have standing to sue under both Title II</w:t>
      </w:r>
      <w:r>
        <w:rPr>
          <w:rFonts w:ascii="Arial" w:eastAsia="Arial" w:hAnsi="Arial" w:cs="Arial"/>
          <w:vertAlign w:val="superscript"/>
        </w:rPr>
        <w:footnoteReference w:customMarkFollows="1" w:id="144"/>
        <w:t>7</w:t>
      </w:r>
      <w:r>
        <w:rPr>
          <w:rFonts w:ascii="Arial" w:eastAsia="Arial" w:hAnsi="Arial" w:cs="Arial"/>
          <w:color w:val="000000"/>
          <w:sz w:val="20"/>
        </w:rPr>
        <w:t xml:space="preserve"> and Title III of the ADA—</w:t>
      </w:r>
      <w:bookmarkStart w:id="5523" w:name="Bookmark_I64HGFMS2SF7KM0010000400"/>
      <w:bookmarkEnd w:id="5523"/>
      <w:r>
        <w:rPr>
          <w:rFonts w:ascii="Arial" w:eastAsia="Arial" w:hAnsi="Arial" w:cs="Arial"/>
          <w:i/>
          <w:color w:val="000000"/>
          <w:sz w:val="20"/>
        </w:rPr>
        <w:t>Tandy v. City of Wichita</w:t>
      </w:r>
      <w:r>
        <w:rPr>
          <w:rFonts w:ascii="Arial" w:eastAsia="Arial" w:hAnsi="Arial" w:cs="Arial"/>
          <w:color w:val="000000"/>
          <w:sz w:val="20"/>
        </w:rPr>
        <w:t xml:space="preserve">, 380 F.3d 1277, 1287 (10th Cir. 2004) (Title II); </w:t>
      </w:r>
      <w:bookmarkStart w:id="5524" w:name="Bookmark_I64HGFMS2SF7KM0030000400"/>
      <w:bookmarkEnd w:id="5524"/>
      <w:r>
        <w:rPr>
          <w:rFonts w:ascii="Arial" w:eastAsia="Arial" w:hAnsi="Arial" w:cs="Arial"/>
          <w:i/>
          <w:color w:val="000000"/>
          <w:sz w:val="20"/>
        </w:rPr>
        <w:t>Colo. Cross Disability Coal. v. Abercrombie &amp; Fitch Co.</w:t>
      </w:r>
      <w:r>
        <w:rPr>
          <w:rFonts w:ascii="Arial" w:eastAsia="Arial" w:hAnsi="Arial" w:cs="Arial"/>
          <w:color w:val="000000"/>
          <w:sz w:val="20"/>
        </w:rPr>
        <w:t>, 765 F.3d 1205, 1211 (10th Cir. 2014) (Title III). These cases again are distinguishable.</w:t>
      </w:r>
    </w:p>
    <w:p w:rsidR="00022B47" w:rsidRDefault="00000000">
      <w:pPr>
        <w:pStyle w:val="Normal30"/>
        <w:widowControl w:val="0"/>
        <w:spacing w:before="120" w:line="260" w:lineRule="atLeast"/>
      </w:pPr>
      <w:r>
        <w:rPr>
          <w:rFonts w:ascii="Arial" w:eastAsia="Arial" w:hAnsi="Arial" w:cs="Arial"/>
          <w:color w:val="000000"/>
          <w:sz w:val="20"/>
        </w:rPr>
        <w:t xml:space="preserve">i. </w:t>
      </w:r>
      <w:r>
        <w:rPr>
          <w:rFonts w:ascii="Arial" w:eastAsia="Arial" w:hAnsi="Arial" w:cs="Arial"/>
          <w:i/>
          <w:color w:val="000000"/>
          <w:sz w:val="20"/>
          <w:u w:val="single"/>
        </w:rPr>
        <w:t>Tandy</w:t>
      </w:r>
    </w:p>
    <w:p w:rsidR="00022B47" w:rsidRDefault="00000000">
      <w:pPr>
        <w:pStyle w:val="Normal30"/>
        <w:widowControl w:val="0"/>
        <w:spacing w:before="200" w:line="260" w:lineRule="atLeast"/>
        <w:jc w:val="both"/>
      </w:pPr>
      <w:bookmarkStart w:id="5525" w:name="Bookmark_para_48_9"/>
      <w:bookmarkStart w:id="5526" w:name="Bookmark_I64HGFMS2N1RFF0030000400"/>
      <w:bookmarkStart w:id="5527" w:name="Bookmark_I64HGFMS2D6N450020000400"/>
      <w:bookmarkEnd w:id="5525"/>
      <w:bookmarkEnd w:id="5526"/>
      <w:bookmarkEnd w:id="5527"/>
      <w:r>
        <w:rPr>
          <w:rFonts w:ascii="Arial" w:eastAsia="Arial" w:hAnsi="Arial" w:cs="Arial"/>
          <w:color w:val="000000"/>
          <w:sz w:val="20"/>
        </w:rPr>
        <w:t xml:space="preserve">In </w:t>
      </w:r>
      <w:bookmarkStart w:id="5528" w:name="Bookmark_I64HGFMS2N1RFF0020000400"/>
      <w:bookmarkEnd w:id="5528"/>
      <w:r>
        <w:rPr>
          <w:rFonts w:ascii="Arial" w:eastAsia="Arial" w:hAnsi="Arial" w:cs="Arial"/>
          <w:i/>
          <w:color w:val="000000"/>
          <w:sz w:val="20"/>
        </w:rPr>
        <w:t>Tandy</w:t>
      </w:r>
      <w:bookmarkStart w:id="5529" w:name="Bookmark_I64HGFMS2D6N450040000400"/>
      <w:bookmarkEnd w:id="5529"/>
      <w:r>
        <w:rPr>
          <w:rFonts w:ascii="Arial" w:eastAsia="Arial" w:hAnsi="Arial" w:cs="Arial"/>
          <w:color w:val="000000"/>
          <w:sz w:val="20"/>
        </w:rPr>
        <w:t xml:space="preserve">, several ADA "testers" [**19]  sued the City of Wichita alleging that its "fixed-route bus system was intentionally inaccessible to and unusable by people with disabilities." </w:t>
      </w:r>
      <w:bookmarkStart w:id="5530" w:name="Bookmark_I64HGFMS2N1RFF0040000400"/>
      <w:bookmarkEnd w:id="5530"/>
      <w:r>
        <w:rPr>
          <w:rFonts w:ascii="Arial" w:eastAsia="Arial" w:hAnsi="Arial" w:cs="Arial"/>
          <w:color w:val="000000"/>
          <w:sz w:val="20"/>
        </w:rPr>
        <w:t xml:space="preserve">380 F.3d at 1280. Each plaintiff was disabled under the ADA. </w:t>
      </w:r>
      <w:bookmarkStart w:id="5531" w:name="Bookmark_I64HGFMS2D6N450010000400"/>
      <w:bookmarkEnd w:id="5531"/>
      <w:r>
        <w:rPr>
          <w:rFonts w:ascii="Arial" w:eastAsia="Arial" w:hAnsi="Arial" w:cs="Arial"/>
          <w:i/>
          <w:color w:val="000000"/>
          <w:sz w:val="20"/>
        </w:rPr>
        <w:t>Id.</w:t>
      </w:r>
      <w:r>
        <w:rPr>
          <w:rFonts w:ascii="Arial" w:eastAsia="Arial" w:hAnsi="Arial" w:cs="Arial"/>
          <w:color w:val="000000"/>
          <w:sz w:val="20"/>
        </w:rPr>
        <w:t xml:space="preserve"> at 1280 n.2. </w:t>
      </w:r>
      <w:bookmarkStart w:id="5532" w:name="Bookmark_I64HGFMS2D6N450040000400_2"/>
      <w:bookmarkEnd w:id="5532"/>
      <w:r>
        <w:rPr>
          <w:rFonts w:ascii="Arial" w:eastAsia="Arial" w:hAnsi="Arial" w:cs="Arial"/>
          <w:color w:val="000000"/>
          <w:sz w:val="20"/>
        </w:rPr>
        <w:t xml:space="preserve">Each "attempted to access Wichita Transit's fixed-route buses in order to test the system for accessibility." </w:t>
      </w:r>
      <w:bookmarkStart w:id="5533" w:name="Bookmark_I64HGFMS2D6N450030000400"/>
      <w:bookmarkEnd w:id="5533"/>
      <w:r>
        <w:rPr>
          <w:rFonts w:ascii="Arial" w:eastAsia="Arial" w:hAnsi="Arial" w:cs="Arial"/>
          <w:i/>
          <w:color w:val="000000"/>
          <w:sz w:val="20"/>
        </w:rPr>
        <w:t>Id.</w:t>
      </w:r>
      <w:r>
        <w:rPr>
          <w:rFonts w:ascii="Arial" w:eastAsia="Arial" w:hAnsi="Arial" w:cs="Arial"/>
          <w:color w:val="000000"/>
          <w:sz w:val="20"/>
        </w:rPr>
        <w:t xml:space="preserve"> at 1281.</w:t>
      </w:r>
    </w:p>
    <w:p w:rsidR="00022B47" w:rsidRDefault="00000000">
      <w:pPr>
        <w:pStyle w:val="Normal30"/>
        <w:widowControl w:val="0"/>
        <w:spacing w:before="200" w:line="260" w:lineRule="atLeast"/>
        <w:jc w:val="both"/>
      </w:pPr>
      <w:bookmarkStart w:id="5534" w:name="Bookmark_para_49_9"/>
      <w:bookmarkStart w:id="5535" w:name="Bookmark_I64HGFMS2N1RFH0010000400"/>
      <w:bookmarkEnd w:id="5534"/>
      <w:bookmarkEnd w:id="5535"/>
      <w:r>
        <w:rPr>
          <w:rFonts w:ascii="Arial" w:eastAsia="Arial" w:hAnsi="Arial" w:cs="Arial"/>
          <w:color w:val="000000"/>
          <w:sz w:val="20"/>
        </w:rPr>
        <w:t>After determining that "testers" could bring a cause of action under Title II of the ADA, we separately analyzed whether  [*882]  each plaintiff had Article III standing. We concluded that all but one had suffered an injury in fact because they had used or intended to use the bus service alleged to be noncompliant with the ADA:</w:t>
      </w:r>
    </w:p>
    <w:p w:rsidR="00022B47" w:rsidRDefault="00000000">
      <w:pPr>
        <w:pStyle w:val="Normal30"/>
        <w:widowControl w:val="0"/>
        <w:spacing w:line="260" w:lineRule="atLeast"/>
        <w:ind w:left="400"/>
        <w:jc w:val="both"/>
      </w:pPr>
      <w:bookmarkStart w:id="5536" w:name="Bookmark_para_50_9"/>
      <w:bookmarkStart w:id="5537" w:name="Bookmark_I64HGFMS2N1RFH0010000400_2"/>
      <w:bookmarkEnd w:id="5536"/>
      <w:bookmarkEnd w:id="5537"/>
      <w:r>
        <w:rPr>
          <w:rFonts w:ascii="Arial" w:eastAsia="Arial" w:hAnsi="Arial" w:cs="Arial"/>
          <w:color w:val="000000"/>
          <w:sz w:val="20"/>
        </w:rPr>
        <w:t xml:space="preserve">• Plaintiff Goupil, who used a wheelchair, was "under a real and immediate threat of experiencing a lift malfunction" because he "averred that he intends to test Wichita Transit's fixed-route services several times per year." </w:t>
      </w:r>
      <w:bookmarkStart w:id="5538" w:name="Bookmark_I64HGFMS2D6N450050000400"/>
      <w:bookmarkEnd w:id="5538"/>
      <w:r>
        <w:rPr>
          <w:rFonts w:ascii="Arial" w:eastAsia="Arial" w:hAnsi="Arial" w:cs="Arial"/>
          <w:color w:val="000000"/>
          <w:sz w:val="20"/>
        </w:rPr>
        <w:t>380 F.3d at 1287.</w:t>
      </w:r>
    </w:p>
    <w:p w:rsidR="00022B47" w:rsidRDefault="00000000">
      <w:pPr>
        <w:pStyle w:val="Normal30"/>
        <w:widowControl w:val="0"/>
        <w:spacing w:before="200" w:line="260" w:lineRule="atLeast"/>
        <w:ind w:left="400"/>
        <w:jc w:val="both"/>
      </w:pPr>
      <w:bookmarkStart w:id="5539" w:name="Bookmark_para_51_9"/>
      <w:bookmarkEnd w:id="5539"/>
      <w:r>
        <w:rPr>
          <w:rFonts w:ascii="Arial" w:eastAsia="Arial" w:hAnsi="Arial" w:cs="Arial"/>
          <w:color w:val="000000"/>
          <w:sz w:val="20"/>
        </w:rPr>
        <w:t xml:space="preserve">• Plaintiff Donnell, who was vision impaired, "averred that she intends to test Wichita Transit's fixed-route buses several times per year," and "Wichita Transit's transit centers did not house any Braille materials and had limited Braille signage." </w:t>
      </w:r>
      <w:r>
        <w:rPr>
          <w:rFonts w:ascii="Arial" w:eastAsia="Arial" w:hAnsi="Arial" w:cs="Arial"/>
          <w:i/>
          <w:color w:val="000000"/>
          <w:sz w:val="20"/>
        </w:rPr>
        <w:t>Id.</w:t>
      </w:r>
      <w:r>
        <w:rPr>
          <w:rFonts w:ascii="Arial" w:eastAsia="Arial" w:hAnsi="Arial" w:cs="Arial"/>
          <w:color w:val="000000"/>
          <w:sz w:val="20"/>
        </w:rPr>
        <w:t xml:space="preserve"> at 1288.</w:t>
      </w:r>
    </w:p>
    <w:p w:rsidR="00022B47" w:rsidRDefault="00000000">
      <w:pPr>
        <w:pStyle w:val="Normal30"/>
        <w:widowControl w:val="0"/>
        <w:spacing w:before="200" w:line="260" w:lineRule="atLeast"/>
        <w:ind w:left="400"/>
        <w:jc w:val="both"/>
      </w:pPr>
      <w:bookmarkStart w:id="5540" w:name="Bookmark_para_52_9"/>
      <w:bookmarkEnd w:id="5540"/>
      <w:r>
        <w:rPr>
          <w:rFonts w:ascii="Arial" w:eastAsia="Arial" w:hAnsi="Arial" w:cs="Arial"/>
          <w:color w:val="000000"/>
          <w:sz w:val="20"/>
        </w:rPr>
        <w:t xml:space="preserve">• Plaintiff Jeffries, who was hearing impaired, "averred that Wichita Transit's [Telecommunications [**20]  Device for the Deaf ("TDD")] line never worked when she called it several times in the past," and "testified that she intends to call the TDD line once per month in the future." </w:t>
      </w:r>
      <w:r>
        <w:rPr>
          <w:rFonts w:ascii="Arial" w:eastAsia="Arial" w:hAnsi="Arial" w:cs="Arial"/>
          <w:i/>
          <w:color w:val="000000"/>
          <w:sz w:val="20"/>
        </w:rPr>
        <w:t>Id.</w:t>
      </w:r>
      <w:r>
        <w:rPr>
          <w:rFonts w:ascii="Arial" w:eastAsia="Arial" w:hAnsi="Arial" w:cs="Arial"/>
          <w:color w:val="000000"/>
          <w:sz w:val="20"/>
        </w:rPr>
        <w:t xml:space="preserve"> at 1289.</w:t>
      </w:r>
    </w:p>
    <w:p w:rsidR="00022B47" w:rsidRDefault="00000000">
      <w:pPr>
        <w:pStyle w:val="Normal30"/>
        <w:widowControl w:val="0"/>
        <w:spacing w:before="200" w:line="260" w:lineRule="atLeast"/>
        <w:jc w:val="both"/>
      </w:pPr>
      <w:bookmarkStart w:id="5541" w:name="Bookmark_para_53_8"/>
      <w:bookmarkStart w:id="5542" w:name="Bookmark_I64HGFMS2N1RFH0030000400"/>
      <w:bookmarkEnd w:id="5541"/>
      <w:bookmarkEnd w:id="5542"/>
      <w:r>
        <w:rPr>
          <w:rFonts w:ascii="Arial" w:eastAsia="Arial" w:hAnsi="Arial" w:cs="Arial"/>
          <w:color w:val="000000"/>
          <w:sz w:val="20"/>
        </w:rPr>
        <w:t>We held that each of these plaintiffs had standing to pursue a Title II claim.</w:t>
      </w:r>
      <w:r>
        <w:rPr>
          <w:rFonts w:ascii="Arial" w:eastAsia="Arial" w:hAnsi="Arial" w:cs="Arial"/>
          <w:vertAlign w:val="superscript"/>
        </w:rPr>
        <w:footnoteReference w:customMarkFollows="1" w:id="145"/>
        <w:t>8</w:t>
      </w:r>
      <w:r>
        <w:rPr>
          <w:rFonts w:ascii="Arial" w:eastAsia="Arial" w:hAnsi="Arial" w:cs="Arial"/>
          <w:color w:val="000000"/>
          <w:sz w:val="20"/>
        </w:rPr>
        <w:t xml:space="preserve"> Each had attempted to access a service—either the actual bus service or the TDD information line—and was unable to do so because of a disability. Pointing to </w:t>
      </w:r>
      <w:bookmarkStart w:id="5544" w:name="Bookmark_I64HGFMS2N1RFH0020000400"/>
      <w:bookmarkEnd w:id="5544"/>
      <w:r>
        <w:rPr>
          <w:rFonts w:ascii="Arial" w:eastAsia="Arial" w:hAnsi="Arial" w:cs="Arial"/>
          <w:i/>
          <w:color w:val="000000"/>
          <w:sz w:val="20"/>
        </w:rPr>
        <w:t>Havens Realty</w:t>
      </w:r>
      <w:r>
        <w:rPr>
          <w:rFonts w:ascii="Arial" w:eastAsia="Arial" w:hAnsi="Arial" w:cs="Arial"/>
          <w:color w:val="000000"/>
          <w:sz w:val="20"/>
        </w:rPr>
        <w:t xml:space="preserve">, we concluded that the plaintiffs had standing to sue even though their "sole purpose" was "to determine whether defendant engaged in unlawful practices." </w:t>
      </w:r>
      <w:bookmarkStart w:id="5545" w:name="Bookmark_I64HGFMS2N1RFH0040000400"/>
      <w:bookmarkEnd w:id="5545"/>
      <w:r>
        <w:rPr>
          <w:rFonts w:ascii="Arial" w:eastAsia="Arial" w:hAnsi="Arial" w:cs="Arial"/>
          <w:i/>
          <w:color w:val="000000"/>
          <w:sz w:val="20"/>
        </w:rPr>
        <w:t>Id.</w:t>
      </w:r>
      <w:r>
        <w:rPr>
          <w:rFonts w:ascii="Arial" w:eastAsia="Arial" w:hAnsi="Arial" w:cs="Arial"/>
          <w:color w:val="000000"/>
          <w:sz w:val="20"/>
        </w:rPr>
        <w:t xml:space="preserve"> at 1285.</w:t>
      </w:r>
    </w:p>
    <w:p w:rsidR="00022B47" w:rsidRDefault="00000000">
      <w:pPr>
        <w:pStyle w:val="Normal30"/>
        <w:widowControl w:val="0"/>
        <w:spacing w:before="120" w:line="260" w:lineRule="atLeast"/>
      </w:pPr>
      <w:r>
        <w:rPr>
          <w:rFonts w:ascii="Arial" w:eastAsia="Arial" w:hAnsi="Arial" w:cs="Arial"/>
          <w:color w:val="000000"/>
          <w:sz w:val="20"/>
        </w:rPr>
        <w:t xml:space="preserve">ii. </w:t>
      </w:r>
      <w:r>
        <w:rPr>
          <w:rFonts w:ascii="Arial" w:eastAsia="Arial" w:hAnsi="Arial" w:cs="Arial"/>
          <w:i/>
          <w:color w:val="000000"/>
          <w:sz w:val="20"/>
          <w:u w:val="single"/>
        </w:rPr>
        <w:t>Colorado Cross Disability Coalition</w:t>
      </w:r>
    </w:p>
    <w:p w:rsidR="00022B47" w:rsidRDefault="00000000">
      <w:pPr>
        <w:pStyle w:val="Normal30"/>
        <w:widowControl w:val="0"/>
        <w:spacing w:before="200" w:line="260" w:lineRule="atLeast"/>
        <w:jc w:val="both"/>
      </w:pPr>
      <w:bookmarkStart w:id="5546" w:name="Bookmark_para_54_7"/>
      <w:bookmarkStart w:id="5547" w:name="Bookmark_I64HGFMS2HM5TB0020000400"/>
      <w:bookmarkEnd w:id="5546"/>
      <w:bookmarkEnd w:id="5547"/>
      <w:r>
        <w:rPr>
          <w:rFonts w:ascii="Arial" w:eastAsia="Arial" w:hAnsi="Arial" w:cs="Arial"/>
          <w:color w:val="000000"/>
          <w:sz w:val="20"/>
        </w:rPr>
        <w:t xml:space="preserve">In </w:t>
      </w:r>
      <w:r>
        <w:rPr>
          <w:rFonts w:ascii="Arial" w:eastAsia="Arial" w:hAnsi="Arial" w:cs="Arial"/>
          <w:i/>
          <w:color w:val="000000"/>
          <w:sz w:val="20"/>
        </w:rPr>
        <w:t>Colorado Cross Disability Coalition</w:t>
      </w:r>
      <w:r>
        <w:rPr>
          <w:rFonts w:ascii="Arial" w:eastAsia="Arial" w:hAnsi="Arial" w:cs="Arial"/>
          <w:color w:val="000000"/>
          <w:sz w:val="20"/>
        </w:rPr>
        <w:t xml:space="preserve">, a tester sued the owners of a retail store under Title III, alleging that their stores were inaccessible to individuals who use wheelchairs. </w:t>
      </w:r>
      <w:bookmarkStart w:id="5548" w:name="Bookmark_LNHNREFclscc16_6"/>
      <w:bookmarkEnd w:id="5548"/>
      <w:r>
        <w:rPr>
          <w:rFonts w:ascii="Arial" w:eastAsia="Arial" w:hAnsi="Arial" w:cs="Arial"/>
          <w:color w:val="000000"/>
          <w:sz w:val="20"/>
        </w:rPr>
        <w:t xml:space="preserve">Extending </w:t>
      </w:r>
      <w:bookmarkStart w:id="5549" w:name="Bookmark_I64HGFMS2HM5TB0010000400"/>
      <w:bookmarkEnd w:id="5549"/>
      <w:r>
        <w:rPr>
          <w:rFonts w:ascii="Arial" w:eastAsia="Arial" w:hAnsi="Arial" w:cs="Arial"/>
          <w:i/>
          <w:color w:val="000000"/>
          <w:sz w:val="20"/>
        </w:rPr>
        <w:t>Tandy</w:t>
      </w:r>
      <w:r>
        <w:rPr>
          <w:rFonts w:ascii="Arial" w:eastAsia="Arial" w:hAnsi="Arial" w:cs="Arial"/>
          <w:color w:val="000000"/>
          <w:sz w:val="20"/>
        </w:rPr>
        <w:t xml:space="preserve"> to Title III, we held that "anyone who has suffered an invasion of the legal interest protected by Title III may have standing, regardless of his or her motivation in encountering that invasion." </w:t>
      </w:r>
      <w:bookmarkStart w:id="5550" w:name="Bookmark_I64HGFMS2HM5TB0030000400"/>
      <w:bookmarkEnd w:id="5550"/>
      <w:r>
        <w:rPr>
          <w:rFonts w:ascii="Arial" w:eastAsia="Arial" w:hAnsi="Arial" w:cs="Arial"/>
          <w:color w:val="000000"/>
          <w:sz w:val="20"/>
        </w:rPr>
        <w:t xml:space="preserve">765 F.3d at 1211. But we also emphasized that "the fact that 'tester standing' exists under Title III does not displace the general requirements of standing." </w:t>
      </w:r>
      <w:r>
        <w:rPr>
          <w:rFonts w:ascii="Arial" w:eastAsia="Arial" w:hAnsi="Arial" w:cs="Arial"/>
          <w:i/>
          <w:color w:val="000000"/>
          <w:sz w:val="20"/>
        </w:rPr>
        <w:t>Id.</w:t>
      </w:r>
    </w:p>
    <w:p w:rsidR="00022B47" w:rsidRDefault="00000000">
      <w:pPr>
        <w:pStyle w:val="Normal30"/>
        <w:widowControl w:val="0"/>
        <w:spacing w:before="200" w:line="260" w:lineRule="atLeast"/>
        <w:jc w:val="both"/>
      </w:pPr>
      <w:bookmarkStart w:id="5551" w:name="Bookmark_para_55_7"/>
      <w:bookmarkStart w:id="5552" w:name="Bookmark_I64HGFMS2SF7KV0010000400"/>
      <w:bookmarkEnd w:id="5551"/>
      <w:bookmarkEnd w:id="5552"/>
      <w:r>
        <w:rPr>
          <w:rFonts w:ascii="Arial" w:eastAsia="Arial" w:hAnsi="Arial" w:cs="Arial"/>
          <w:color w:val="000000"/>
          <w:sz w:val="20"/>
        </w:rPr>
        <w:t xml:space="preserve">We concluded that the tester had Article [**21]  III standing because she averred that she intended to return to the defendants' store at least six times per year. </w:t>
      </w:r>
      <w:r>
        <w:rPr>
          <w:rFonts w:ascii="Arial" w:eastAsia="Arial" w:hAnsi="Arial" w:cs="Arial"/>
          <w:i/>
          <w:color w:val="000000"/>
          <w:sz w:val="20"/>
        </w:rPr>
        <w:t>Id.</w:t>
      </w:r>
      <w:r>
        <w:rPr>
          <w:rFonts w:ascii="Arial" w:eastAsia="Arial" w:hAnsi="Arial" w:cs="Arial"/>
          <w:color w:val="000000"/>
          <w:sz w:val="20"/>
        </w:rPr>
        <w:t xml:space="preserve"> This was enough to "suggest[] a concrete, present plan to return" to the store. </w:t>
      </w:r>
      <w:r>
        <w:rPr>
          <w:rFonts w:ascii="Arial" w:eastAsia="Arial" w:hAnsi="Arial" w:cs="Arial"/>
          <w:i/>
          <w:color w:val="000000"/>
          <w:sz w:val="20"/>
        </w:rPr>
        <w:t>Id.</w:t>
      </w:r>
      <w:r>
        <w:rPr>
          <w:rFonts w:ascii="Arial" w:eastAsia="Arial" w:hAnsi="Arial" w:cs="Arial"/>
          <w:color w:val="000000"/>
          <w:sz w:val="20"/>
        </w:rPr>
        <w:t xml:space="preserve"> The tester therefore demonstrated "that she suffers a real and imminent threat of encountering the alleged accessibility barrier . . . in the future." </w:t>
      </w:r>
      <w:bookmarkStart w:id="5553" w:name="Bookmark_I64HGFMS2HM5TB0050000400"/>
      <w:bookmarkEnd w:id="5553"/>
      <w:r>
        <w:rPr>
          <w:rFonts w:ascii="Arial" w:eastAsia="Arial" w:hAnsi="Arial" w:cs="Arial"/>
          <w:i/>
          <w:color w:val="000000"/>
          <w:sz w:val="20"/>
        </w:rPr>
        <w:t>Id.</w:t>
      </w:r>
      <w:r>
        <w:rPr>
          <w:rFonts w:ascii="Arial" w:eastAsia="Arial" w:hAnsi="Arial" w:cs="Arial"/>
          <w:color w:val="000000"/>
          <w:sz w:val="20"/>
        </w:rPr>
        <w:t xml:space="preserve"> at 1212. Ms. Laufer, by contrast, has not alleged she will encounter any accessibility barriers because she has no intention of attempting to access the Elk Run Inn.</w:t>
      </w:r>
    </w:p>
    <w:p w:rsidR="00022B47" w:rsidRDefault="00000000">
      <w:pPr>
        <w:pStyle w:val="Normal30"/>
        <w:widowControl w:val="0"/>
        <w:spacing w:before="120" w:line="260" w:lineRule="atLeast"/>
      </w:pPr>
      <w:r>
        <w:rPr>
          <w:rFonts w:ascii="Arial" w:eastAsia="Arial" w:hAnsi="Arial" w:cs="Arial"/>
          <w:color w:val="000000"/>
          <w:sz w:val="20"/>
        </w:rPr>
        <w:t xml:space="preserve">iii. </w:t>
      </w:r>
      <w:r>
        <w:rPr>
          <w:rFonts w:ascii="Arial" w:eastAsia="Arial" w:hAnsi="Arial" w:cs="Arial"/>
          <w:color w:val="000000"/>
          <w:sz w:val="20"/>
          <w:u w:val="single"/>
        </w:rPr>
        <w:t>Ms. Laufer's argument</w:t>
      </w:r>
    </w:p>
    <w:p w:rsidR="00022B47" w:rsidRDefault="00000000">
      <w:pPr>
        <w:pStyle w:val="Normal30"/>
        <w:widowControl w:val="0"/>
        <w:spacing w:before="200" w:line="260" w:lineRule="atLeast"/>
        <w:jc w:val="both"/>
      </w:pPr>
      <w:bookmarkStart w:id="5554" w:name="Bookmark_para_56_7"/>
      <w:bookmarkStart w:id="5555" w:name="Bookmark_I64HGFMS2SF7KV0030000400"/>
      <w:bookmarkStart w:id="5556" w:name="Bookmark_I64HGFMS2SF7KV0050000400"/>
      <w:bookmarkStart w:id="5557" w:name="Bookmark_I64HGFMS28T4VP0020000400"/>
      <w:bookmarkEnd w:id="5554"/>
      <w:bookmarkEnd w:id="5555"/>
      <w:bookmarkEnd w:id="5556"/>
      <w:bookmarkEnd w:id="5557"/>
      <w:r>
        <w:rPr>
          <w:rFonts w:ascii="Arial" w:eastAsia="Arial" w:hAnsi="Arial" w:cs="Arial"/>
          <w:color w:val="000000"/>
          <w:sz w:val="20"/>
        </w:rPr>
        <w:t xml:space="preserve">Citing these cases, Ms. Laufer again argues that "anyone," including a tester, "who has suffered an invasion of the legal interest protected by Title III may have standing, regardless of his or her motivation in encountering that invasion." </w:t>
      </w:r>
      <w:bookmarkStart w:id="5558" w:name="Bookmark_I64HGFMS2SF7KV0020000400"/>
      <w:bookmarkEnd w:id="5558"/>
      <w:r>
        <w:rPr>
          <w:rFonts w:ascii="Arial" w:eastAsia="Arial" w:hAnsi="Arial" w:cs="Arial"/>
          <w:i/>
          <w:color w:val="000000"/>
          <w:sz w:val="20"/>
        </w:rPr>
        <w:t>Id.</w:t>
      </w:r>
      <w:r>
        <w:rPr>
          <w:rFonts w:ascii="Arial" w:eastAsia="Arial" w:hAnsi="Arial" w:cs="Arial"/>
          <w:color w:val="000000"/>
          <w:sz w:val="20"/>
        </w:rPr>
        <w:t xml:space="preserve"> at 1211. </w:t>
      </w:r>
      <w:bookmarkStart w:id="5559" w:name="Bookmark_I64HGFMS28T4VP0040000400"/>
      <w:bookmarkStart w:id="5560" w:name="Bookmark_LNHNREFclscc17_6"/>
      <w:bookmarkEnd w:id="5559"/>
      <w:bookmarkEnd w:id="5560"/>
      <w:r>
        <w:rPr>
          <w:rFonts w:ascii="Arial" w:eastAsia="Arial" w:hAnsi="Arial" w:cs="Arial"/>
          <w:color w:val="000000"/>
          <w:sz w:val="20"/>
        </w:rPr>
        <w:t xml:space="preserve">But testers still must "satisfy the constitutional requirements of Article III." </w:t>
      </w:r>
      <w:bookmarkStart w:id="5561" w:name="Bookmark_I64HGFMS2SF7KV0040000400"/>
      <w:bookmarkEnd w:id="5561"/>
      <w:r>
        <w:rPr>
          <w:rFonts w:ascii="Arial" w:eastAsia="Arial" w:hAnsi="Arial" w:cs="Arial"/>
          <w:i/>
          <w:color w:val="000000"/>
          <w:sz w:val="20"/>
        </w:rPr>
        <w:t>Tandy</w:t>
      </w:r>
      <w:r>
        <w:rPr>
          <w:rFonts w:ascii="Arial" w:eastAsia="Arial" w:hAnsi="Arial" w:cs="Arial"/>
          <w:color w:val="000000"/>
          <w:sz w:val="20"/>
        </w:rPr>
        <w:t xml:space="preserve">, 380 F.3d at 1287. "Like any plaintiff, a tester must demonstrate that she has indeed suffered a cognizable injury in fact that will be redressed by the relief sought." </w:t>
      </w:r>
      <w:bookmarkStart w:id="5562" w:name="Bookmark_I64HGFMS28T4VP0010000400"/>
      <w:bookmarkEnd w:id="5562"/>
      <w:r>
        <w:rPr>
          <w:rFonts w:ascii="Arial" w:eastAsia="Arial" w:hAnsi="Arial" w:cs="Arial"/>
          <w:i/>
          <w:color w:val="000000"/>
          <w:sz w:val="20"/>
        </w:rPr>
        <w:t>Colo. Cross Disability Coal.</w:t>
      </w:r>
      <w:r>
        <w:rPr>
          <w:rFonts w:ascii="Arial" w:eastAsia="Arial" w:hAnsi="Arial" w:cs="Arial"/>
          <w:color w:val="000000"/>
          <w:sz w:val="20"/>
        </w:rPr>
        <w:t xml:space="preserve">, 765 F.3d at 1211. </w:t>
      </w:r>
      <w:bookmarkStart w:id="5563" w:name="Bookmark_I64HGFMS28T4VP0040000400_2"/>
      <w:bookmarkEnd w:id="5563"/>
      <w:r>
        <w:rPr>
          <w:rFonts w:ascii="Arial" w:eastAsia="Arial" w:hAnsi="Arial" w:cs="Arial"/>
          <w:color w:val="000000"/>
          <w:sz w:val="20"/>
        </w:rPr>
        <w:t xml:space="preserve">Ms. Laufer's "assumed status as an 'ADA tester' does  [*883]  not absolve her of the need to show an injury in fact for standing purposes." </w:t>
      </w:r>
      <w:bookmarkStart w:id="5564" w:name="Bookmark_I64HGFMS28T4VP0030000400"/>
      <w:bookmarkEnd w:id="5564"/>
      <w:r>
        <w:rPr>
          <w:rFonts w:ascii="Arial" w:eastAsia="Arial" w:hAnsi="Arial" w:cs="Arial"/>
          <w:i/>
          <w:color w:val="000000"/>
          <w:sz w:val="20"/>
        </w:rPr>
        <w:t>Mann Hosp.</w:t>
      </w:r>
      <w:r>
        <w:rPr>
          <w:rFonts w:ascii="Arial" w:eastAsia="Arial" w:hAnsi="Arial" w:cs="Arial"/>
          <w:color w:val="000000"/>
          <w:sz w:val="20"/>
        </w:rPr>
        <w:t>, 996 F.3d at 273. In short, Ms. Laufer's status as a tester does not defeat standing, [**22]  but nor does it automatically confer standing.</w:t>
      </w:r>
    </w:p>
    <w:p w:rsidR="00022B47" w:rsidRDefault="00000000">
      <w:pPr>
        <w:pStyle w:val="Normal30"/>
        <w:widowControl w:val="0"/>
        <w:spacing w:before="200" w:line="260" w:lineRule="atLeast"/>
        <w:jc w:val="both"/>
      </w:pPr>
      <w:bookmarkStart w:id="5565" w:name="Bookmark_para_57_7"/>
      <w:bookmarkStart w:id="5566" w:name="Bookmark_I64HGFMS2D6N460010000400"/>
      <w:bookmarkEnd w:id="5565"/>
      <w:bookmarkEnd w:id="5566"/>
      <w:r>
        <w:rPr>
          <w:rFonts w:ascii="Arial" w:eastAsia="Arial" w:hAnsi="Arial" w:cs="Arial"/>
          <w:color w:val="000000"/>
          <w:sz w:val="20"/>
        </w:rPr>
        <w:t xml:space="preserve">Ms. Laufer argues that her "encounter with discrimination" is "substantially similar" to that of Ms. Jeffries in </w:t>
      </w:r>
      <w:bookmarkStart w:id="5567" w:name="Bookmark_I64HGFMS28T4VP0050000400"/>
      <w:bookmarkEnd w:id="5567"/>
      <w:r>
        <w:rPr>
          <w:rFonts w:ascii="Arial" w:eastAsia="Arial" w:hAnsi="Arial" w:cs="Arial"/>
          <w:i/>
          <w:color w:val="000000"/>
          <w:sz w:val="20"/>
        </w:rPr>
        <w:t>Tandy</w:t>
      </w:r>
      <w:r>
        <w:rPr>
          <w:rFonts w:ascii="Arial" w:eastAsia="Arial" w:hAnsi="Arial" w:cs="Arial"/>
          <w:color w:val="000000"/>
          <w:sz w:val="20"/>
        </w:rPr>
        <w:t xml:space="preserve">. </w:t>
      </w:r>
      <w:bookmarkStart w:id="5568" w:name="Bookmark_I5CSH2FRF5T000067F5000B0"/>
      <w:bookmarkStart w:id="5569" w:name="Bookmark_I64HGFMS2D6N460030000400"/>
      <w:bookmarkEnd w:id="5568"/>
      <w:bookmarkEnd w:id="5569"/>
      <w:r>
        <w:rPr>
          <w:rFonts w:ascii="Arial" w:eastAsia="Arial" w:hAnsi="Arial" w:cs="Arial"/>
          <w:color w:val="000000"/>
          <w:sz w:val="20"/>
        </w:rPr>
        <w:t xml:space="preserve">Aplt. Br. at 42. </w:t>
      </w:r>
      <w:bookmarkStart w:id="5570" w:name="Bookmark_I64HGFMS2D6N460030000400_2"/>
      <w:bookmarkEnd w:id="5570"/>
      <w:r>
        <w:rPr>
          <w:rFonts w:ascii="Arial" w:eastAsia="Arial" w:hAnsi="Arial" w:cs="Arial"/>
          <w:color w:val="000000"/>
          <w:sz w:val="20"/>
        </w:rPr>
        <w:t xml:space="preserve">But Ms. Jeffries averred that she had attempted to access the TDD line—and planned to do so again in the future—and was unable to access the information she sought because the line itself was inaccessible to hearing impaired persons. </w:t>
      </w:r>
      <w:bookmarkStart w:id="5571" w:name="Bookmark_I64HGFMS2D6N460020000400"/>
      <w:bookmarkEnd w:id="5571"/>
      <w:r>
        <w:rPr>
          <w:rFonts w:ascii="Arial" w:eastAsia="Arial" w:hAnsi="Arial" w:cs="Arial"/>
          <w:i/>
          <w:color w:val="000000"/>
          <w:sz w:val="20"/>
        </w:rPr>
        <w:t>Tandy</w:t>
      </w:r>
      <w:r>
        <w:rPr>
          <w:rFonts w:ascii="Arial" w:eastAsia="Arial" w:hAnsi="Arial" w:cs="Arial"/>
          <w:color w:val="000000"/>
          <w:sz w:val="20"/>
        </w:rPr>
        <w:t>, 380 F.3d at 1289. Here, on the other hand, Ms. Laufer has not alleged that she was prevented from accessing the ORS because of her disability. And her alleged intent to access the ORS again to test its compliance with the ADA does not suffice to establish a concrete injury.</w:t>
      </w:r>
      <w:r>
        <w:rPr>
          <w:rFonts w:ascii="Arial" w:eastAsia="Arial" w:hAnsi="Arial" w:cs="Arial"/>
          <w:vertAlign w:val="superscript"/>
        </w:rPr>
        <w:footnoteReference w:customMarkFollows="1" w:id="146"/>
        <w:t>9</w:t>
      </w:r>
    </w:p>
    <w:p w:rsidR="00022B47" w:rsidRDefault="00000000">
      <w:pPr>
        <w:pStyle w:val="Normal30"/>
        <w:widowControl w:val="0"/>
        <w:spacing w:before="200" w:line="260" w:lineRule="atLeast"/>
        <w:jc w:val="both"/>
      </w:pPr>
      <w:bookmarkStart w:id="5573" w:name="Bookmark_para_58_7"/>
      <w:bookmarkEnd w:id="5573"/>
      <w:r>
        <w:rPr>
          <w:rFonts w:ascii="Arial" w:eastAsia="Arial" w:hAnsi="Arial" w:cs="Arial"/>
          <w:color w:val="000000"/>
          <w:sz w:val="20"/>
        </w:rPr>
        <w:t>* * * *</w:t>
      </w:r>
    </w:p>
    <w:p w:rsidR="00022B47" w:rsidRDefault="00000000">
      <w:pPr>
        <w:pStyle w:val="Normal30"/>
        <w:widowControl w:val="0"/>
        <w:spacing w:before="200" w:line="260" w:lineRule="atLeast"/>
        <w:jc w:val="both"/>
      </w:pPr>
      <w:bookmarkStart w:id="5574" w:name="Bookmark_para_59_6"/>
      <w:bookmarkEnd w:id="5574"/>
      <w:r>
        <w:rPr>
          <w:rFonts w:ascii="Arial" w:eastAsia="Arial" w:hAnsi="Arial" w:cs="Arial"/>
          <w:color w:val="000000"/>
          <w:sz w:val="20"/>
        </w:rPr>
        <w:t xml:space="preserve">Ms. Laufer has disclaimed any interest in booking a room at the Elk Run Inn. She therefore has no concrete interest in the information required by the ORS Regulation, and has not suffered an injury in fact. </w:t>
      </w:r>
      <w:bookmarkStart w:id="5575" w:name="Bookmark_LNHNREFclscc18_4"/>
      <w:bookmarkEnd w:id="5575"/>
      <w:r>
        <w:rPr>
          <w:rFonts w:ascii="Arial" w:eastAsia="Arial" w:hAnsi="Arial" w:cs="Arial"/>
          <w:color w:val="000000"/>
          <w:sz w:val="20"/>
        </w:rPr>
        <w:t>Although testers may have standing under the ADA regardless of their motivations for encountering a violation, they still must satisfy the constitutional requirements of Article III. Because she has failed to do so, Ms. Laufer lacks standing to pursue her claims against the Loopers.</w:t>
      </w:r>
    </w:p>
    <w:p w:rsidR="00022B47" w:rsidRDefault="00000000">
      <w:pPr>
        <w:pStyle w:val="Normal30"/>
        <w:widowControl w:val="0"/>
        <w:spacing w:before="120" w:line="260" w:lineRule="atLeast"/>
      </w:pPr>
      <w:r>
        <w:rPr>
          <w:rFonts w:ascii="Arial" w:eastAsia="Arial" w:hAnsi="Arial" w:cs="Arial"/>
          <w:color w:val="000000"/>
          <w:sz w:val="20"/>
        </w:rPr>
        <w:t xml:space="preserve">III. </w:t>
      </w:r>
      <w:r>
        <w:rPr>
          <w:rFonts w:ascii="Arial" w:eastAsia="Arial" w:hAnsi="Arial" w:cs="Arial"/>
          <w:b/>
          <w:color w:val="000000"/>
          <w:sz w:val="20"/>
        </w:rPr>
        <w:t>CONCLUSION</w:t>
      </w:r>
    </w:p>
    <w:p w:rsidR="00022B47" w:rsidRDefault="00000000">
      <w:pPr>
        <w:pStyle w:val="Normal30"/>
        <w:widowControl w:val="0"/>
        <w:spacing w:before="200" w:line="260" w:lineRule="atLeast"/>
        <w:jc w:val="both"/>
      </w:pPr>
      <w:bookmarkStart w:id="5576" w:name="Bookmark_para_60_6"/>
      <w:bookmarkEnd w:id="5576"/>
      <w:r>
        <w:rPr>
          <w:rFonts w:ascii="Arial" w:eastAsia="Arial" w:hAnsi="Arial" w:cs="Arial"/>
          <w:color w:val="000000"/>
          <w:sz w:val="20"/>
        </w:rPr>
        <w:t>We affirm the judgment of [**23]  the district court.</w:t>
      </w:r>
    </w:p>
    <w:p w:rsidR="00022B47" w:rsidRDefault="00022B47">
      <w:pPr>
        <w:pStyle w:val="Normal30"/>
      </w:pPr>
    </w:p>
    <w:p w:rsidR="00022B47" w:rsidRDefault="00000000">
      <w:pPr>
        <w:pStyle w:val="Normal30"/>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23776"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315385772"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07BDDA" id="Line 66"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31"/>
        <w:sectPr w:rsidR="00022B47">
          <w:headerReference w:type="even" r:id="rId193"/>
          <w:headerReference w:type="default" r:id="rId194"/>
          <w:footerReference w:type="even" r:id="rId195"/>
          <w:footerReference w:type="default" r:id="rId196"/>
          <w:headerReference w:type="first" r:id="rId197"/>
          <w:footerReference w:type="first" r:id="rId198"/>
          <w:pgSz w:w="12240" w:h="15840"/>
          <w:pgMar w:top="840" w:right="1000" w:bottom="840" w:left="1000" w:header="400" w:footer="400" w:gutter="0"/>
          <w:cols w:space="720"/>
          <w:titlePg/>
        </w:sectPr>
      </w:pPr>
    </w:p>
    <w:p w:rsidR="00022B47" w:rsidRDefault="00022B47">
      <w:pPr>
        <w:pStyle w:val="Normal31"/>
      </w:pPr>
    </w:p>
    <w:p w:rsidR="00022B47" w:rsidRDefault="00000000">
      <w:pPr>
        <w:pStyle w:val="Heading130"/>
        <w:keepNext w:val="0"/>
        <w:widowControl w:val="0"/>
        <w:spacing w:after="200" w:line="340" w:lineRule="atLeast"/>
        <w:jc w:val="center"/>
      </w:pPr>
      <w:r>
        <w:rPr>
          <w:rFonts w:eastAsia="Arial"/>
          <w:color w:val="000000"/>
          <w:sz w:val="28"/>
        </w:rPr>
        <w:t>Van Vorst v. Healthcare</w:t>
      </w:r>
    </w:p>
    <w:p w:rsidR="00022B47" w:rsidRDefault="00000000">
      <w:pPr>
        <w:pStyle w:val="Normal31"/>
        <w:widowControl w:val="0"/>
        <w:spacing w:before="120" w:line="260" w:lineRule="atLeast"/>
        <w:jc w:val="center"/>
      </w:pPr>
      <w:r>
        <w:rPr>
          <w:rFonts w:ascii="Arial" w:eastAsia="Arial" w:hAnsi="Arial" w:cs="Arial"/>
          <w:color w:val="000000"/>
          <w:sz w:val="20"/>
        </w:rPr>
        <w:t>United States Court of Appeals for the Second Circuit</w:t>
      </w:r>
    </w:p>
    <w:p w:rsidR="00022B47" w:rsidRDefault="00000000">
      <w:pPr>
        <w:pStyle w:val="Normal31"/>
        <w:widowControl w:val="0"/>
        <w:spacing w:before="120" w:line="260" w:lineRule="atLeast"/>
        <w:jc w:val="center"/>
      </w:pPr>
      <w:r>
        <w:rPr>
          <w:rFonts w:ascii="Arial" w:eastAsia="Arial" w:hAnsi="Arial" w:cs="Arial"/>
          <w:color w:val="000000"/>
          <w:sz w:val="20"/>
        </w:rPr>
        <w:t>December 22, 2021, Decided</w:t>
      </w:r>
    </w:p>
    <w:p w:rsidR="00022B47" w:rsidRDefault="00000000">
      <w:pPr>
        <w:pStyle w:val="Normal31"/>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21-4</w:t>
      </w:r>
    </w:p>
    <w:p w:rsidR="00022B47" w:rsidRDefault="00022B47">
      <w:pPr>
        <w:pStyle w:val="Normal31"/>
        <w:widowControl w:val="0"/>
        <w:spacing w:line="240" w:lineRule="atLeast"/>
        <w:jc w:val="both"/>
      </w:pPr>
      <w:bookmarkStart w:id="5577" w:name="Bookmark_32"/>
      <w:bookmarkEnd w:id="5577"/>
    </w:p>
    <w:p w:rsidR="00022B47" w:rsidRDefault="00000000">
      <w:pPr>
        <w:pStyle w:val="Normal31"/>
        <w:widowControl w:val="0"/>
        <w:spacing w:before="200" w:line="240" w:lineRule="atLeast"/>
      </w:pPr>
      <w:bookmarkStart w:id="5578" w:name="Reporter_30"/>
      <w:bookmarkEnd w:id="5578"/>
      <w:r>
        <w:rPr>
          <w:rFonts w:ascii="Arial" w:eastAsia="Arial" w:hAnsi="Arial" w:cs="Arial"/>
          <w:b/>
          <w:color w:val="000000"/>
          <w:sz w:val="18"/>
        </w:rPr>
        <w:t>Reporter</w:t>
      </w:r>
    </w:p>
    <w:p w:rsidR="00022B47" w:rsidRDefault="00000000">
      <w:pPr>
        <w:pStyle w:val="Normal31"/>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2021 U.S. App. LEXIS 37887 *; 2021 WL 6101474</w:t>
      </w:r>
    </w:p>
    <w:p w:rsidR="00022B47" w:rsidRDefault="00000000">
      <w:pPr>
        <w:pStyle w:val="Normal31"/>
        <w:widowControl w:val="0"/>
        <w:spacing w:before="120" w:line="260" w:lineRule="atLeast"/>
      </w:pPr>
      <w:r>
        <w:rPr>
          <w:rFonts w:ascii="Arial" w:eastAsia="Arial" w:hAnsi="Arial" w:cs="Arial"/>
          <w:color w:val="000000"/>
          <w:sz w:val="20"/>
        </w:rPr>
        <w:t>ANDREA L. VAN VORST, KENNETH MAHNKEN, YVETTE SOTO, MARTIN J. WEINER, Plaintiffs-Appellants, v. LUTHERAN HEALTHCARE, DBA LUTHERAN MEDICAL CENTER, Defendant-Appellee.</w:t>
      </w:r>
    </w:p>
    <w:p w:rsidR="00022B47" w:rsidRDefault="00000000">
      <w:pPr>
        <w:pStyle w:val="Normal31"/>
        <w:widowControl w:val="0"/>
        <w:spacing w:before="240" w:line="260" w:lineRule="atLeast"/>
        <w:jc w:val="both"/>
      </w:pPr>
      <w:bookmarkStart w:id="5579" w:name="Notice_14"/>
      <w:bookmarkEnd w:id="5579"/>
      <w:r>
        <w:rPr>
          <w:rFonts w:ascii="Arial" w:eastAsia="Arial" w:hAnsi="Arial" w:cs="Arial"/>
          <w:b/>
          <w:color w:val="000000"/>
          <w:sz w:val="20"/>
        </w:rPr>
        <w:t>Notice:</w:t>
      </w:r>
      <w:r>
        <w:rPr>
          <w:rFonts w:ascii="Arial" w:eastAsia="Arial" w:hAnsi="Arial" w:cs="Arial"/>
          <w:color w:val="000000"/>
          <w:sz w:val="20"/>
        </w:rPr>
        <w:t> </w:t>
      </w:r>
      <w:bookmarkStart w:id="5580" w:name="Bookmark_para_1_30"/>
      <w:bookmarkEnd w:id="5580"/>
      <w:r>
        <w:rPr>
          <w:rFonts w:ascii="Arial" w:eastAsia="Arial" w:hAnsi="Arial" w:cs="Arial"/>
          <w:color w:val="000000"/>
          <w:sz w:val="20"/>
        </w:rPr>
        <w:t>PLEASE REFER TO FEDERAL RULES OF APPELLATE PROCEDURE RULE 32.1 GOVERNING THE CITATION TO UNPUBLISHED OPINIONS.</w:t>
      </w:r>
    </w:p>
    <w:p w:rsidR="00022B47" w:rsidRDefault="00000000">
      <w:pPr>
        <w:pStyle w:val="Normal31"/>
        <w:widowControl w:val="0"/>
        <w:spacing w:before="240" w:line="260" w:lineRule="atLeast"/>
        <w:jc w:val="both"/>
      </w:pPr>
      <w:bookmarkStart w:id="5581" w:name="Prior_History_30"/>
      <w:bookmarkEnd w:id="5581"/>
      <w:r>
        <w:rPr>
          <w:rFonts w:ascii="Arial" w:eastAsia="Arial" w:hAnsi="Arial" w:cs="Arial"/>
          <w:b/>
          <w:color w:val="000000"/>
          <w:sz w:val="20"/>
        </w:rPr>
        <w:t>Prior History:</w:t>
      </w:r>
      <w:r>
        <w:rPr>
          <w:rFonts w:ascii="Arial" w:eastAsia="Arial" w:hAnsi="Arial" w:cs="Arial"/>
          <w:color w:val="000000"/>
          <w:sz w:val="20"/>
        </w:rPr>
        <w:t> </w:t>
      </w:r>
      <w:bookmarkStart w:id="5582" w:name="Bookmark_para_2_30"/>
      <w:bookmarkEnd w:id="5582"/>
      <w:r>
        <w:rPr>
          <w:rFonts w:ascii="Arial" w:eastAsia="Arial" w:hAnsi="Arial" w:cs="Arial"/>
          <w:color w:val="000000"/>
          <w:sz w:val="20"/>
        </w:rPr>
        <w:t> [*1] Appeal from an order of the United States District Court for the Eastern District of New York (Korman, J.).</w:t>
      </w:r>
    </w:p>
    <w:p w:rsidR="00022B47" w:rsidRDefault="00000000">
      <w:pPr>
        <w:pStyle w:val="Normal31"/>
        <w:widowControl w:val="0"/>
        <w:spacing w:before="120" w:line="260" w:lineRule="atLeast"/>
      </w:pPr>
      <w:r>
        <w:rPr>
          <w:rFonts w:ascii="Arial" w:eastAsia="Arial" w:hAnsi="Arial" w:cs="Arial"/>
          <w:color w:val="000000"/>
          <w:sz w:val="20"/>
        </w:rPr>
        <w:t>Van Vorst v. Lutheran Healthcare, 2020 U.S. Dist. LEXIS 234633, 2020 WL 7343799 (E.D.N.Y., Dec. 14, 2020)</w:t>
      </w:r>
    </w:p>
    <w:p w:rsidR="00022B47" w:rsidRDefault="00000000">
      <w:pPr>
        <w:pStyle w:val="Normal31"/>
        <w:widowControl w:val="0"/>
        <w:spacing w:before="240" w:line="260" w:lineRule="atLeast"/>
      </w:pPr>
      <w:bookmarkStart w:id="5583" w:name="Counsel_30"/>
      <w:bookmarkEnd w:id="5583"/>
      <w:r>
        <w:rPr>
          <w:rFonts w:ascii="Arial" w:eastAsia="Arial" w:hAnsi="Arial" w:cs="Arial"/>
          <w:b/>
          <w:color w:val="000000"/>
          <w:sz w:val="20"/>
        </w:rPr>
        <w:t>Counsel:</w:t>
      </w:r>
      <w:r>
        <w:rPr>
          <w:rFonts w:ascii="Arial" w:eastAsia="Arial" w:hAnsi="Arial" w:cs="Arial"/>
          <w:color w:val="000000"/>
          <w:sz w:val="20"/>
        </w:rPr>
        <w:t> FOR PLAINTIFFS-APPELLANTS: ANDREW ROZYNSKI (David John Hommel, on the brief), Eisenberg &amp; Baum, LLP, New York, NY.</w:t>
      </w:r>
    </w:p>
    <w:p w:rsidR="00022B47" w:rsidRDefault="00000000">
      <w:pPr>
        <w:pStyle w:val="Normal31"/>
        <w:widowControl w:val="0"/>
        <w:spacing w:before="120" w:line="260" w:lineRule="atLeast"/>
      </w:pPr>
      <w:r>
        <w:rPr>
          <w:rFonts w:ascii="Arial" w:eastAsia="Arial" w:hAnsi="Arial" w:cs="Arial"/>
          <w:color w:val="000000"/>
          <w:sz w:val="20"/>
        </w:rPr>
        <w:t>FOR DEFENDANT-APPELLEE: ROY W. BREITENBACH (Svetlana K. Ivy, Katerina Marie Kramarchyk, on the brief), Harris Beach PLLC, Uniondale, NY, and Pittsford, NY.</w:t>
      </w:r>
    </w:p>
    <w:p w:rsidR="00022B47" w:rsidRDefault="00000000">
      <w:pPr>
        <w:pStyle w:val="Normal31"/>
        <w:widowControl w:val="0"/>
        <w:spacing w:before="240" w:line="260" w:lineRule="atLeast"/>
      </w:pPr>
      <w:bookmarkStart w:id="5584" w:name="Judges_30"/>
      <w:bookmarkEnd w:id="5584"/>
      <w:r>
        <w:rPr>
          <w:rFonts w:ascii="Arial" w:eastAsia="Arial" w:hAnsi="Arial" w:cs="Arial"/>
          <w:b/>
          <w:color w:val="000000"/>
          <w:sz w:val="20"/>
        </w:rPr>
        <w:t>Judges:</w:t>
      </w:r>
      <w:r>
        <w:rPr>
          <w:rFonts w:ascii="Arial" w:eastAsia="Arial" w:hAnsi="Arial" w:cs="Arial"/>
          <w:color w:val="000000"/>
          <w:sz w:val="20"/>
        </w:rPr>
        <w:t> PRESENT: SUSAN L. CARNEY, RICHARD J. SULLIVAN, Circuit Judges, J. PAUL OETKEN, District Judge.</w:t>
      </w:r>
      <w:r>
        <w:rPr>
          <w:rFonts w:ascii="Arial" w:eastAsia="Arial" w:hAnsi="Arial" w:cs="Arial"/>
          <w:vertAlign w:val="superscript"/>
        </w:rPr>
        <w:footnoteReference w:customMarkFollows="1" w:id="147"/>
        <w:t>*</w:t>
      </w:r>
    </w:p>
    <w:p w:rsidR="00022B47" w:rsidRDefault="00000000">
      <w:pPr>
        <w:pStyle w:val="Normal31"/>
        <w:keepNext/>
        <w:widowControl w:val="0"/>
        <w:spacing w:before="240" w:line="340" w:lineRule="atLeast"/>
      </w:pPr>
      <w:bookmarkStart w:id="5586" w:name="Opinion_30"/>
      <w:bookmarkEnd w:id="5586"/>
      <w:r>
        <w:rPr>
          <w:rFonts w:ascii="Arial" w:eastAsia="Arial" w:hAnsi="Arial" w:cs="Arial"/>
          <w:b/>
          <w:color w:val="000000"/>
          <w:sz w:val="28"/>
        </w:rPr>
        <w:t>Opinion</w:t>
      </w:r>
    </w:p>
    <w:p w:rsidR="00022B47" w:rsidRDefault="0025213E">
      <w:pPr>
        <w:pStyle w:val="Normal31"/>
        <w:spacing w:line="60" w:lineRule="exact"/>
      </w:pPr>
      <w:r>
        <w:rPr>
          <w:noProof/>
        </w:rPr>
        <mc:AlternateContent>
          <mc:Choice Requires="wps">
            <w:drawing>
              <wp:anchor distT="0" distB="0" distL="114300" distR="114300" simplePos="0" relativeHeight="25172480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023580110"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D40839" id="Line 67"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31"/>
        <w:spacing w:line="120" w:lineRule="exact"/>
      </w:pPr>
    </w:p>
    <w:p w:rsidR="00022B47" w:rsidRDefault="00000000">
      <w:pPr>
        <w:pStyle w:val="Normal31"/>
        <w:widowControl w:val="0"/>
        <w:spacing w:before="240" w:line="260" w:lineRule="atLeast"/>
      </w:pPr>
      <w:r>
        <w:br/>
      </w:r>
      <w:r>
        <w:rPr>
          <w:rFonts w:ascii="Arial" w:eastAsia="Arial" w:hAnsi="Arial" w:cs="Arial"/>
          <w:b/>
          <w:color w:val="000000"/>
          <w:sz w:val="20"/>
        </w:rPr>
        <w:t>SUMMARY ORDER</w:t>
      </w:r>
    </w:p>
    <w:p w:rsidR="00022B47" w:rsidRDefault="00000000">
      <w:pPr>
        <w:pStyle w:val="Normal31"/>
        <w:widowControl w:val="0"/>
        <w:spacing w:before="200" w:line="260" w:lineRule="atLeast"/>
        <w:jc w:val="both"/>
      </w:pPr>
      <w:bookmarkStart w:id="5587" w:name="Bookmark_para_3_30"/>
      <w:bookmarkEnd w:id="5587"/>
      <w:r>
        <w:rPr>
          <w:rFonts w:ascii="Arial" w:eastAsia="Arial" w:hAnsi="Arial" w:cs="Arial"/>
          <w:b/>
          <w:color w:val="000000"/>
          <w:sz w:val="20"/>
        </w:rPr>
        <w:t>UPON DUE CONSIDERATION, IT IS HEREBY ORDERED, ADJUDGED, AND DECREED</w:t>
      </w:r>
      <w:r>
        <w:rPr>
          <w:rFonts w:ascii="Arial" w:eastAsia="Arial" w:hAnsi="Arial" w:cs="Arial"/>
          <w:color w:val="000000"/>
          <w:sz w:val="20"/>
        </w:rPr>
        <w:t xml:space="preserve"> that the order entered on December 14, 2020, is </w:t>
      </w:r>
      <w:r>
        <w:rPr>
          <w:rFonts w:ascii="Arial" w:eastAsia="Arial" w:hAnsi="Arial" w:cs="Arial"/>
          <w:b/>
          <w:color w:val="000000"/>
          <w:sz w:val="20"/>
        </w:rPr>
        <w:t>AFFIRMED</w:t>
      </w:r>
      <w:r>
        <w:rPr>
          <w:rFonts w:ascii="Arial" w:eastAsia="Arial" w:hAnsi="Arial" w:cs="Arial"/>
          <w:color w:val="000000"/>
          <w:sz w:val="20"/>
        </w:rPr>
        <w:t>.</w:t>
      </w:r>
    </w:p>
    <w:p w:rsidR="00022B47" w:rsidRDefault="00000000">
      <w:pPr>
        <w:pStyle w:val="Normal31"/>
        <w:widowControl w:val="0"/>
        <w:spacing w:before="200" w:line="260" w:lineRule="atLeast"/>
        <w:jc w:val="both"/>
      </w:pPr>
      <w:bookmarkStart w:id="5588" w:name="Bookmark_para_4_30"/>
      <w:bookmarkEnd w:id="5588"/>
      <w:r>
        <w:rPr>
          <w:rFonts w:ascii="Arial" w:eastAsia="Arial" w:hAnsi="Arial" w:cs="Arial"/>
          <w:color w:val="000000"/>
          <w:sz w:val="20"/>
        </w:rPr>
        <w:t>Plaintiffs-Appellants are deaf individuals who allege that Defendant-Appellee Lutheran Healthcare (the "Hospital"), during plaintiffs' numerous visits to the Hospital for medical care from 2012 through 2016, failed to provide them with accommodations required under the New York City Human Rights Law ("NYCHRL").</w:t>
      </w:r>
      <w:r>
        <w:rPr>
          <w:rFonts w:ascii="Arial" w:eastAsia="Arial" w:hAnsi="Arial" w:cs="Arial"/>
          <w:vertAlign w:val="superscript"/>
        </w:rPr>
        <w:footnoteReference w:customMarkFollows="1" w:id="148"/>
        <w:t>1</w:t>
      </w:r>
      <w:r>
        <w:rPr>
          <w:rFonts w:ascii="Arial" w:eastAsia="Arial" w:hAnsi="Arial" w:cs="Arial"/>
          <w:color w:val="000000"/>
          <w:sz w:val="20"/>
        </w:rPr>
        <w:t xml:space="preserve"> Following a two-week trial, a jury rendered a verdict in the Hospital's favor. Plaintiffs appeal from the district court's denial of their posttrial motion for judgment as a matter of law or, in the alternative, for a new trial. We assume the parties' familiarity with the underlying [*2]  facts, procedural history, and arguments on appeal, to which we refer only as necessary to explain our decision to affirm.</w:t>
      </w:r>
    </w:p>
    <w:p w:rsidR="00022B47" w:rsidRDefault="00000000">
      <w:pPr>
        <w:pStyle w:val="Normal31"/>
        <w:widowControl w:val="0"/>
        <w:spacing w:before="200" w:line="260" w:lineRule="atLeast"/>
        <w:jc w:val="both"/>
      </w:pPr>
      <w:bookmarkStart w:id="5590" w:name="Bookmark_para_5_30"/>
      <w:bookmarkStart w:id="5591" w:name="Bookmark_I64DPTTW2D6N1B0020000400"/>
      <w:bookmarkStart w:id="5592" w:name="Bookmark_I64DPTTW2D6N1B0040000400"/>
      <w:bookmarkStart w:id="5593" w:name="Bookmark_LNHNREFclscc1_28"/>
      <w:bookmarkEnd w:id="5590"/>
      <w:bookmarkEnd w:id="5591"/>
      <w:bookmarkEnd w:id="5592"/>
      <w:bookmarkEnd w:id="5593"/>
      <w:r>
        <w:rPr>
          <w:rFonts w:ascii="Arial" w:eastAsia="Arial" w:hAnsi="Arial" w:cs="Arial"/>
          <w:color w:val="000000"/>
          <w:sz w:val="20"/>
        </w:rPr>
        <w:t>Section 8-107(15) of the NYCHRL requires covered entities,</w:t>
      </w:r>
      <w:r>
        <w:rPr>
          <w:rFonts w:ascii="Arial" w:eastAsia="Arial" w:hAnsi="Arial" w:cs="Arial"/>
          <w:vertAlign w:val="superscript"/>
        </w:rPr>
        <w:footnoteReference w:customMarkFollows="1" w:id="149"/>
        <w:t>2</w:t>
      </w:r>
      <w:r>
        <w:rPr>
          <w:rFonts w:ascii="Arial" w:eastAsia="Arial" w:hAnsi="Arial" w:cs="Arial"/>
          <w:color w:val="000000"/>
          <w:sz w:val="20"/>
        </w:rPr>
        <w:t xml:space="preserve"> including the Hospital, to provide a "reasonable accommodation" to enable persons with disabilities to "enjoy the right or rights in question"—that is, to use or enjoy the entities' services. N.Y.C. Admin. Code § 8-107(15); </w:t>
      </w:r>
      <w:r>
        <w:rPr>
          <w:rFonts w:ascii="Arial" w:eastAsia="Arial" w:hAnsi="Arial" w:cs="Arial"/>
          <w:i/>
          <w:color w:val="000000"/>
          <w:sz w:val="20"/>
        </w:rPr>
        <w:t xml:space="preserve">see </w:t>
      </w:r>
      <w:bookmarkStart w:id="5596" w:name="Bookmark_I64DPTTW2D6N1B0010000400"/>
      <w:bookmarkEnd w:id="5596"/>
      <w:r>
        <w:rPr>
          <w:rFonts w:ascii="Arial" w:eastAsia="Arial" w:hAnsi="Arial" w:cs="Arial"/>
          <w:i/>
          <w:color w:val="000000"/>
          <w:sz w:val="20"/>
        </w:rPr>
        <w:t>In re Comm'n on Hum. Rts. ex rel. Stamm v. E &amp; E Bagels, Inc.</w:t>
      </w:r>
      <w:r>
        <w:rPr>
          <w:rFonts w:ascii="Arial" w:eastAsia="Arial" w:hAnsi="Arial" w:cs="Arial"/>
          <w:color w:val="000000"/>
          <w:sz w:val="20"/>
        </w:rPr>
        <w:t xml:space="preserve">, OATH Index No. 803/14, 2016 WL 1644879, at *6 (N.Y.C. Comm'n Hum. Rts. Apr. 20, 2016) (defining the "right" in the public-accommodation context as the ability "to use or enjoy the public accommodation"). The statute defines "reasonable accommodation" as "such accommodation that can be made that does not cause undue hardship in the conduct of the covered entity's business," placing on "[t]he covered entity . . . the burden of proving undue hardship." N.Y.C. Admin. Code § 8-102; </w:t>
      </w:r>
      <w:r>
        <w:rPr>
          <w:rFonts w:ascii="Arial" w:eastAsia="Arial" w:hAnsi="Arial" w:cs="Arial"/>
          <w:i/>
          <w:color w:val="000000"/>
          <w:sz w:val="20"/>
        </w:rPr>
        <w:t xml:space="preserve">see </w:t>
      </w:r>
      <w:bookmarkStart w:id="5597" w:name="Bookmark_I64DPTTW2D6N1B0030000400"/>
      <w:bookmarkEnd w:id="5597"/>
      <w:r>
        <w:rPr>
          <w:rFonts w:ascii="Arial" w:eastAsia="Arial" w:hAnsi="Arial" w:cs="Arial"/>
          <w:i/>
          <w:color w:val="000000"/>
          <w:sz w:val="20"/>
        </w:rPr>
        <w:t>Phillips v. City of New York</w:t>
      </w:r>
      <w:r>
        <w:rPr>
          <w:rFonts w:ascii="Arial" w:eastAsia="Arial" w:hAnsi="Arial" w:cs="Arial"/>
          <w:color w:val="000000"/>
          <w:sz w:val="20"/>
        </w:rPr>
        <w:t>, 66 A.D.3d 170, 884 N.Y.S.2d 369, 378 (App. Div. 1st Dep't 2009) ("[U]nlike the ADA, there are no accommodations [under the NYCHRL] that may be 'unreasonable' if they do not cause undue hardship."). Plaintiffs maintain that the Hospital discriminated against them by treating them less well than hearing individuals and failing to provide the required reasonable accommodation.</w:t>
      </w:r>
      <w:r>
        <w:rPr>
          <w:rFonts w:ascii="Arial" w:eastAsia="Arial" w:hAnsi="Arial" w:cs="Arial"/>
          <w:vertAlign w:val="superscript"/>
        </w:rPr>
        <w:footnoteReference w:customMarkFollows="1" w:id="150"/>
        <w:t>3</w:t>
      </w:r>
    </w:p>
    <w:p w:rsidR="00022B47" w:rsidRDefault="00000000">
      <w:pPr>
        <w:pStyle w:val="Normal31"/>
        <w:widowControl w:val="0"/>
        <w:spacing w:before="240" w:line="260" w:lineRule="atLeast"/>
      </w:pPr>
      <w:r>
        <w:br/>
      </w:r>
      <w:r>
        <w:rPr>
          <w:rFonts w:ascii="Arial" w:eastAsia="Arial" w:hAnsi="Arial" w:cs="Arial"/>
          <w:b/>
          <w:color w:val="000000"/>
          <w:sz w:val="20"/>
        </w:rPr>
        <w:t>1. Rule 50(b) motion for judgment as a matter of law</w:t>
      </w:r>
    </w:p>
    <w:p w:rsidR="00022B47" w:rsidRDefault="00000000">
      <w:pPr>
        <w:pStyle w:val="Normal31"/>
        <w:widowControl w:val="0"/>
        <w:spacing w:before="200" w:line="260" w:lineRule="atLeast"/>
        <w:jc w:val="both"/>
      </w:pPr>
      <w:bookmarkStart w:id="5601" w:name="Bookmark_para_6_30"/>
      <w:bookmarkStart w:id="5602" w:name="Bookmark_I64DPTTX2SF8SS0030000400"/>
      <w:bookmarkStart w:id="5603" w:name="Bookmark_I64DPTTX2SF8SS0050000400"/>
      <w:bookmarkStart w:id="5604" w:name="Bookmark_LNHNREFclscc3_28"/>
      <w:bookmarkEnd w:id="5601"/>
      <w:bookmarkEnd w:id="5602"/>
      <w:bookmarkEnd w:id="5603"/>
      <w:bookmarkEnd w:id="5604"/>
      <w:r>
        <w:rPr>
          <w:rFonts w:ascii="Arial" w:eastAsia="Arial" w:hAnsi="Arial" w:cs="Arial"/>
          <w:color w:val="000000"/>
          <w:sz w:val="20"/>
        </w:rPr>
        <w:t xml:space="preserve">We review </w:t>
      </w:r>
      <w:r>
        <w:rPr>
          <w:rFonts w:ascii="Arial" w:eastAsia="Arial" w:hAnsi="Arial" w:cs="Arial"/>
          <w:i/>
          <w:color w:val="000000"/>
          <w:sz w:val="20"/>
        </w:rPr>
        <w:t>de novo</w:t>
      </w:r>
      <w:r>
        <w:rPr>
          <w:rFonts w:ascii="Arial" w:eastAsia="Arial" w:hAnsi="Arial" w:cs="Arial"/>
          <w:color w:val="000000"/>
          <w:sz w:val="20"/>
        </w:rPr>
        <w:t xml:space="preserve"> the denial of a motion for judgment as a matter of law under Federal Rule of Civil Procedure 50(b). </w:t>
      </w:r>
      <w:bookmarkStart w:id="5605" w:name="Bookmark_I64DPTTY28T4S40020000400"/>
      <w:bookmarkEnd w:id="5605"/>
      <w:r>
        <w:rPr>
          <w:rFonts w:ascii="Arial" w:eastAsia="Arial" w:hAnsi="Arial" w:cs="Arial"/>
          <w:i/>
          <w:color w:val="000000"/>
          <w:sz w:val="20"/>
        </w:rPr>
        <w:t xml:space="preserve">See </w:t>
      </w:r>
      <w:bookmarkStart w:id="5606" w:name="Bookmark_I64DPTTX2SF8SS0020000400"/>
      <w:bookmarkEnd w:id="5606"/>
      <w:r>
        <w:rPr>
          <w:rFonts w:ascii="Arial" w:eastAsia="Arial" w:hAnsi="Arial" w:cs="Arial"/>
          <w:i/>
          <w:color w:val="000000"/>
          <w:sz w:val="20"/>
        </w:rPr>
        <w:t>Manganiello v. City of New York</w:t>
      </w:r>
      <w:r>
        <w:rPr>
          <w:rFonts w:ascii="Arial" w:eastAsia="Arial" w:hAnsi="Arial" w:cs="Arial"/>
          <w:color w:val="000000"/>
          <w:sz w:val="20"/>
        </w:rPr>
        <w:t xml:space="preserve">, 612 F.3d 149, 161 (2d Cir. 2010). The applicable [*3]  standard is high: a court may grant a Rule 50(b) motion and set aside a jury's verdict only where "there exists such a complete absence of evidence supporting the verdict that the jury's findings could only have been the result of sheer surmise and conjecture, or the evidence in favor of the movant is so overwhelming that reasonable and fair minded persons could not arrive at a verdict against it." </w:t>
      </w:r>
      <w:bookmarkStart w:id="5607" w:name="Bookmark_I64DPTTX2SF8SS0040000400"/>
      <w:bookmarkEnd w:id="5607"/>
      <w:r>
        <w:rPr>
          <w:rFonts w:ascii="Arial" w:eastAsia="Arial" w:hAnsi="Arial" w:cs="Arial"/>
          <w:i/>
          <w:color w:val="000000"/>
          <w:sz w:val="20"/>
        </w:rPr>
        <w:t>Wiercinski v. Mangia 57, Inc.</w:t>
      </w:r>
      <w:r>
        <w:rPr>
          <w:rFonts w:ascii="Arial" w:eastAsia="Arial" w:hAnsi="Arial" w:cs="Arial"/>
          <w:color w:val="000000"/>
          <w:sz w:val="20"/>
        </w:rPr>
        <w:t xml:space="preserve">, 787 F.3d 106, 112 (2d Cir. 2015) (internal quotation marks and alterations omitted). </w:t>
      </w:r>
      <w:bookmarkStart w:id="5608" w:name="Bookmark_I64DPTTY28T4S40020000400_2"/>
      <w:bookmarkEnd w:id="5608"/>
      <w:r>
        <w:rPr>
          <w:rFonts w:ascii="Arial" w:eastAsia="Arial" w:hAnsi="Arial" w:cs="Arial"/>
          <w:color w:val="000000"/>
          <w:sz w:val="20"/>
        </w:rPr>
        <w:t xml:space="preserve">"In short, a Rule 50 motion may be granted only if the court . . . concludes that a reasonable juror would have been </w:t>
      </w:r>
      <w:r>
        <w:rPr>
          <w:rFonts w:ascii="Arial" w:eastAsia="Arial" w:hAnsi="Arial" w:cs="Arial"/>
          <w:i/>
          <w:color w:val="000000"/>
          <w:sz w:val="20"/>
        </w:rPr>
        <w:t>compelled</w:t>
      </w:r>
      <w:r>
        <w:rPr>
          <w:rFonts w:ascii="Arial" w:eastAsia="Arial" w:hAnsi="Arial" w:cs="Arial"/>
          <w:color w:val="000000"/>
          <w:sz w:val="20"/>
        </w:rPr>
        <w:t xml:space="preserve"> to accept the view of the moving party." </w:t>
      </w:r>
      <w:bookmarkStart w:id="5609" w:name="Bookmark_I64DPTTY28T4S40010000400"/>
      <w:bookmarkEnd w:id="5609"/>
      <w:r>
        <w:rPr>
          <w:rFonts w:ascii="Arial" w:eastAsia="Arial" w:hAnsi="Arial" w:cs="Arial"/>
          <w:i/>
          <w:color w:val="000000"/>
          <w:sz w:val="20"/>
        </w:rPr>
        <w:t>Cash v. County of Erie</w:t>
      </w:r>
      <w:r>
        <w:rPr>
          <w:rFonts w:ascii="Arial" w:eastAsia="Arial" w:hAnsi="Arial" w:cs="Arial"/>
          <w:color w:val="000000"/>
          <w:sz w:val="20"/>
        </w:rPr>
        <w:t>, 654 F.3d 324, 333 (2d Cir. 2011) (internal quotation marks omitted).</w:t>
      </w:r>
    </w:p>
    <w:p w:rsidR="00022B47" w:rsidRDefault="00000000">
      <w:pPr>
        <w:pStyle w:val="Normal31"/>
        <w:widowControl w:val="0"/>
        <w:spacing w:before="200" w:line="260" w:lineRule="atLeast"/>
        <w:jc w:val="both"/>
      </w:pPr>
      <w:bookmarkStart w:id="5610" w:name="Bookmark_para_7_30"/>
      <w:bookmarkEnd w:id="5610"/>
      <w:r>
        <w:rPr>
          <w:rFonts w:ascii="Arial" w:eastAsia="Arial" w:hAnsi="Arial" w:cs="Arial"/>
          <w:color w:val="000000"/>
          <w:sz w:val="20"/>
        </w:rPr>
        <w:t>In their complaint, plaintiffs sought damages for the Hospital's alleged failures to "provide [plaintiffs] with effective accommodations for [their] disability of deafness despite [their] requests."</w:t>
      </w:r>
      <w:r>
        <w:rPr>
          <w:rFonts w:ascii="Arial" w:eastAsia="Arial" w:hAnsi="Arial" w:cs="Arial"/>
          <w:vertAlign w:val="superscript"/>
        </w:rPr>
        <w:footnoteReference w:customMarkFollows="1" w:id="151"/>
        <w:t>4</w:t>
      </w:r>
      <w:r>
        <w:rPr>
          <w:rFonts w:ascii="Arial" w:eastAsia="Arial" w:hAnsi="Arial" w:cs="Arial"/>
          <w:color w:val="000000"/>
          <w:sz w:val="20"/>
        </w:rPr>
        <w:t xml:space="preserve"> J.A. 31, 35, 44, 46. Following the jury's December 2019 verdict rejecting these allegations, plaintiffs advanced a new legal theory in their posttrial motions and pursue it again now on appeal: they urge us to hold that the NYCHRL required the Hospital not merely to provide "reasonable accommodations" necessary for effective communication between plaintiffs [*4]  and their treatment providers, but to provide every deaf patient with a live American Sign Language ("ASL") interpreter on every visit, regardless of the patient's fluency in English or facility in lipreading and writing, and regardless of whether the patient requested an interpreter.</w:t>
      </w:r>
      <w:r>
        <w:rPr>
          <w:rFonts w:ascii="Arial" w:eastAsia="Arial" w:hAnsi="Arial" w:cs="Arial"/>
          <w:vertAlign w:val="superscript"/>
        </w:rPr>
        <w:footnoteReference w:customMarkFollows="1" w:id="152"/>
        <w:t>5</w:t>
      </w:r>
      <w:r>
        <w:rPr>
          <w:rFonts w:ascii="Arial" w:eastAsia="Arial" w:hAnsi="Arial" w:cs="Arial"/>
          <w:color w:val="000000"/>
          <w:sz w:val="20"/>
        </w:rPr>
        <w:t xml:space="preserve"> In other words, according to plaintiffs, and notwithstanding ample evidence that effective communication between medical personnel and the patient by other means could and did regularly occur, the only "reasonable accommodation" for any deaf patient under the NYCHRL is a live ASL interpreter, subject only to "rare exceptions." Appellants' Br. at 30 n.7.</w:t>
      </w:r>
    </w:p>
    <w:p w:rsidR="00022B47" w:rsidRDefault="00000000">
      <w:pPr>
        <w:pStyle w:val="Normal31"/>
        <w:widowControl w:val="0"/>
        <w:spacing w:before="200" w:line="260" w:lineRule="atLeast"/>
        <w:jc w:val="both"/>
      </w:pPr>
      <w:bookmarkStart w:id="5615" w:name="Bookmark_para_8_29"/>
      <w:bookmarkEnd w:id="5615"/>
      <w:r>
        <w:rPr>
          <w:rFonts w:ascii="Arial" w:eastAsia="Arial" w:hAnsi="Arial" w:cs="Arial"/>
          <w:color w:val="000000"/>
          <w:sz w:val="20"/>
        </w:rPr>
        <w:t>No state or federal court has interpreted the NYCHRL as creating such a strict liability standard for healthcare providers serving deaf individuals, and we decline to do so here.</w:t>
      </w:r>
      <w:r>
        <w:rPr>
          <w:rFonts w:ascii="Arial" w:eastAsia="Arial" w:hAnsi="Arial" w:cs="Arial"/>
          <w:vertAlign w:val="superscript"/>
        </w:rPr>
        <w:footnoteReference w:customMarkFollows="1" w:id="153"/>
        <w:t>6</w:t>
      </w:r>
      <w:r>
        <w:rPr>
          <w:rFonts w:ascii="Arial" w:eastAsia="Arial" w:hAnsi="Arial" w:cs="Arial"/>
          <w:color w:val="000000"/>
          <w:sz w:val="20"/>
        </w:rPr>
        <w:t xml:space="preserve"> We identify no reversible error in the standard set forth in the jury instructions, which plaintiffs proposed in part and which they now attempt to challenge. Those instructions, taken as a whole, adequately informed the jury that the Hospital had an obligation under the NYCHRL to ensure effective communication with patients on an individual basis and to consider each [*5]  patient's preferred or requested communication method. </w:t>
      </w:r>
      <w:r>
        <w:rPr>
          <w:rFonts w:ascii="Arial" w:eastAsia="Arial" w:hAnsi="Arial" w:cs="Arial"/>
          <w:i/>
          <w:color w:val="000000"/>
          <w:sz w:val="20"/>
        </w:rPr>
        <w:t>See, e.g.</w:t>
      </w:r>
      <w:r>
        <w:rPr>
          <w:rFonts w:ascii="Arial" w:eastAsia="Arial" w:hAnsi="Arial" w:cs="Arial"/>
          <w:color w:val="000000"/>
          <w:sz w:val="20"/>
        </w:rPr>
        <w:t>, J.A. 169 ("Effective communication is a two-way street, requiring all parties to be able to receive information from, and convey information to, one another."); J.A. 170 ("The law provides that the type of auxiliary aids will vary depending upon the circumstances . . . in accordance with the method of communication used by the individual . . . .").</w:t>
      </w:r>
    </w:p>
    <w:p w:rsidR="00022B47" w:rsidRDefault="00000000">
      <w:pPr>
        <w:pStyle w:val="Normal31"/>
        <w:widowControl w:val="0"/>
        <w:spacing w:before="200" w:line="260" w:lineRule="atLeast"/>
        <w:jc w:val="both"/>
      </w:pPr>
      <w:bookmarkStart w:id="5618" w:name="Bookmark_para_9_29"/>
      <w:bookmarkEnd w:id="5618"/>
      <w:r>
        <w:rPr>
          <w:rFonts w:ascii="Arial" w:eastAsia="Arial" w:hAnsi="Arial" w:cs="Arial"/>
          <w:color w:val="000000"/>
          <w:sz w:val="20"/>
        </w:rPr>
        <w:t>In any event, the jury's verdict that the Hospital did not discriminate against any plaintiff was eminently reasonable in light of the telling evidence presented at trial. Referring to the testimony of their expert witness as "unrebutted," plaintiffs avoid acknowledging on appeal that the cross-examination inflicted substantial damage on the credibility of their witnesses, including their expert. Appellant's Br. at 54-56. The Hospital's counsel elicited testimony from plaintiffs that strongly rebutted their expert's assertion that plaintiffs' English reading levels ranged from the first-to the fourth-grade level.</w:t>
      </w:r>
      <w:r>
        <w:rPr>
          <w:rFonts w:ascii="Arial" w:eastAsia="Arial" w:hAnsi="Arial" w:cs="Arial"/>
          <w:vertAlign w:val="superscript"/>
        </w:rPr>
        <w:footnoteReference w:customMarkFollows="1" w:id="154"/>
        <w:t>7</w:t>
      </w:r>
      <w:r>
        <w:rPr>
          <w:rFonts w:ascii="Arial" w:eastAsia="Arial" w:hAnsi="Arial" w:cs="Arial"/>
          <w:color w:val="000000"/>
          <w:sz w:val="20"/>
        </w:rPr>
        <w:t xml:space="preserve"> Moreover, at trial, all four plaintiffs either were compelled to change their testimony when confronted with conflicting evidence—for example, hospital records [*6]  showing that they received ASL interpretation services for consent forms that they claimed they could not read or understand—or stated that they simply could not recall whether they had in fact received accommodations that they had claimed in their pleadings not to have received. Although plaintiffs introduced into evidence seventy consent forms that they claim to have signed without giving their informed consent and rest their claims for damages on this evidence, only four of those forms were referenced during the trial testimony. In addition, plaintiffs either were not asked whether they understood the forms or were impeached regarding their testimony about whether they received effective communication regarding the respective medical procedures before signing those forms.</w:t>
      </w:r>
    </w:p>
    <w:p w:rsidR="00022B47" w:rsidRDefault="00000000">
      <w:pPr>
        <w:pStyle w:val="Normal31"/>
        <w:widowControl w:val="0"/>
        <w:spacing w:before="200" w:line="260" w:lineRule="atLeast"/>
        <w:jc w:val="both"/>
      </w:pPr>
      <w:bookmarkStart w:id="5620" w:name="Bookmark_para_10_29"/>
      <w:bookmarkStart w:id="5621" w:name="Bookmark_I64DPTV02N1RBY0010000400"/>
      <w:bookmarkEnd w:id="5620"/>
      <w:bookmarkEnd w:id="5621"/>
      <w:r>
        <w:rPr>
          <w:rFonts w:ascii="Arial" w:eastAsia="Arial" w:hAnsi="Arial" w:cs="Arial"/>
          <w:color w:val="000000"/>
          <w:sz w:val="20"/>
        </w:rPr>
        <w:t xml:space="preserve">In light of the significant record evidence contradicting plaintiffs' allegations and substantiating the Hospital's position that it provided reasonable accommodations to these individual plaintiffs, we conclude that no "reasonable juror would have been </w:t>
      </w:r>
      <w:r>
        <w:rPr>
          <w:rFonts w:ascii="Arial" w:eastAsia="Arial" w:hAnsi="Arial" w:cs="Arial"/>
          <w:i/>
          <w:color w:val="000000"/>
          <w:sz w:val="20"/>
        </w:rPr>
        <w:t>compelled</w:t>
      </w:r>
      <w:r>
        <w:rPr>
          <w:rFonts w:ascii="Arial" w:eastAsia="Arial" w:hAnsi="Arial" w:cs="Arial"/>
          <w:color w:val="000000"/>
          <w:sz w:val="20"/>
        </w:rPr>
        <w:t xml:space="preserve"> to accept" plaintiffs' claims against the Hospital. </w:t>
      </w:r>
      <w:bookmarkStart w:id="5622" w:name="Bookmark_I64DPTTY28T4S40050000400"/>
      <w:bookmarkEnd w:id="5622"/>
      <w:r>
        <w:rPr>
          <w:rFonts w:ascii="Arial" w:eastAsia="Arial" w:hAnsi="Arial" w:cs="Arial"/>
          <w:i/>
          <w:color w:val="000000"/>
          <w:sz w:val="20"/>
        </w:rPr>
        <w:t>Cash</w:t>
      </w:r>
      <w:r>
        <w:rPr>
          <w:rFonts w:ascii="Arial" w:eastAsia="Arial" w:hAnsi="Arial" w:cs="Arial"/>
          <w:color w:val="000000"/>
          <w:sz w:val="20"/>
        </w:rPr>
        <w:t>, 654 F.3d at 333. We therefore affirm the district court's denial of plaintiffs' Rule 50(b) motion for [*7]  judgment as a matter of law.</w:t>
      </w:r>
    </w:p>
    <w:p w:rsidR="00022B47" w:rsidRDefault="00000000">
      <w:pPr>
        <w:pStyle w:val="Normal31"/>
        <w:widowControl w:val="0"/>
        <w:spacing w:before="240" w:line="260" w:lineRule="atLeast"/>
      </w:pPr>
      <w:r>
        <w:br/>
      </w:r>
      <w:r>
        <w:rPr>
          <w:rFonts w:ascii="Arial" w:eastAsia="Arial" w:hAnsi="Arial" w:cs="Arial"/>
          <w:b/>
          <w:color w:val="000000"/>
          <w:sz w:val="20"/>
        </w:rPr>
        <w:t>2. Rule 59 motion for new trial</w:t>
      </w:r>
    </w:p>
    <w:p w:rsidR="00022B47" w:rsidRDefault="00000000">
      <w:pPr>
        <w:pStyle w:val="Normal31"/>
        <w:widowControl w:val="0"/>
        <w:spacing w:before="200" w:line="260" w:lineRule="atLeast"/>
        <w:jc w:val="both"/>
      </w:pPr>
      <w:bookmarkStart w:id="5623" w:name="Bookmark_para_11_29"/>
      <w:bookmarkStart w:id="5624" w:name="Bookmark_I64DPTV02N1RBY0030000400"/>
      <w:bookmarkStart w:id="5625" w:name="Bookmark_I64DPTV02N1RBY0050000400"/>
      <w:bookmarkStart w:id="5626" w:name="Bookmark_LNHNREFclscc5_28"/>
      <w:bookmarkEnd w:id="5623"/>
      <w:bookmarkEnd w:id="5624"/>
      <w:bookmarkEnd w:id="5625"/>
      <w:bookmarkEnd w:id="5626"/>
      <w:r>
        <w:rPr>
          <w:rFonts w:ascii="Arial" w:eastAsia="Arial" w:hAnsi="Arial" w:cs="Arial"/>
          <w:color w:val="000000"/>
          <w:sz w:val="20"/>
        </w:rPr>
        <w:t xml:space="preserve">We review a district court's denial of a motion for a new trial under Federal Rule of Civil Procedure 59 for abuse of discretion. </w:t>
      </w:r>
      <w:bookmarkStart w:id="5627" w:name="Bookmark_I64DPTV02N1RBY0020000400"/>
      <w:bookmarkEnd w:id="5627"/>
      <w:r>
        <w:rPr>
          <w:rFonts w:ascii="Arial" w:eastAsia="Arial" w:hAnsi="Arial" w:cs="Arial"/>
          <w:i/>
          <w:color w:val="000000"/>
          <w:sz w:val="20"/>
        </w:rPr>
        <w:t>Song v. Ives Labs.</w:t>
      </w:r>
      <w:r>
        <w:rPr>
          <w:rFonts w:ascii="Arial" w:eastAsia="Arial" w:hAnsi="Arial" w:cs="Arial"/>
          <w:color w:val="000000"/>
          <w:sz w:val="20"/>
        </w:rPr>
        <w:t xml:space="preserve">, 957 F.2d 1041, 1047 (2d Cir. 1992). "A district court has abused its discretion if it has (1) based its ruling on an erroneous view of the law, (2) made a clearly erroneous assessment of the evidence, or (3) rendered a decision that cannot be located within the range of permissible decisions." </w:t>
      </w:r>
      <w:bookmarkStart w:id="5628" w:name="Bookmark_I64DPTV02N1RBY0040000400"/>
      <w:bookmarkEnd w:id="5628"/>
      <w:r>
        <w:rPr>
          <w:rFonts w:ascii="Arial" w:eastAsia="Arial" w:hAnsi="Arial" w:cs="Arial"/>
          <w:i/>
          <w:color w:val="000000"/>
          <w:sz w:val="20"/>
        </w:rPr>
        <w:t>Chin v. Port Auth. of N.Y. &amp; N.J.</w:t>
      </w:r>
      <w:r>
        <w:rPr>
          <w:rFonts w:ascii="Arial" w:eastAsia="Arial" w:hAnsi="Arial" w:cs="Arial"/>
          <w:color w:val="000000"/>
          <w:sz w:val="20"/>
        </w:rPr>
        <w:t xml:space="preserve">, 685 F.3d 135, 146 (2d Cir. 2012) (internal quotation marks omitted). </w:t>
      </w:r>
      <w:bookmarkStart w:id="5629" w:name="Bookmark_I64DPTV02HM5PY0020000400"/>
      <w:bookmarkEnd w:id="5629"/>
      <w:r>
        <w:rPr>
          <w:rFonts w:ascii="Arial" w:eastAsia="Arial" w:hAnsi="Arial" w:cs="Arial"/>
          <w:color w:val="000000"/>
          <w:sz w:val="20"/>
        </w:rPr>
        <w:t xml:space="preserve">In adjudicating a Rule 59 motion, the court must disregard any errors or defects that, in all likelihood, did not "affect[] the outcome of the case." </w:t>
      </w:r>
      <w:r>
        <w:rPr>
          <w:rFonts w:ascii="Arial" w:eastAsia="Arial" w:hAnsi="Arial" w:cs="Arial"/>
          <w:i/>
          <w:color w:val="000000"/>
          <w:sz w:val="20"/>
        </w:rPr>
        <w:t>Id.</w:t>
      </w:r>
      <w:r>
        <w:rPr>
          <w:rFonts w:ascii="Arial" w:eastAsia="Arial" w:hAnsi="Arial" w:cs="Arial"/>
          <w:color w:val="000000"/>
          <w:sz w:val="20"/>
        </w:rPr>
        <w:t xml:space="preserve"> (internal quotation marks omitted). </w:t>
      </w:r>
      <w:bookmarkStart w:id="5630" w:name="Bookmark_I64DPTV02HM5PY0040000400"/>
      <w:bookmarkEnd w:id="5630"/>
      <w:r>
        <w:rPr>
          <w:rFonts w:ascii="Arial" w:eastAsia="Arial" w:hAnsi="Arial" w:cs="Arial"/>
          <w:color w:val="000000"/>
          <w:sz w:val="20"/>
        </w:rPr>
        <w:t xml:space="preserve">As relevant here, a district court may award a new trial if it determines that the jury reached a verdict that is against the weight of the evidence—that is, only if a verdict is "seriously erroneous" or would result in a miscarriage of justice. </w:t>
      </w:r>
      <w:bookmarkStart w:id="5631" w:name="Bookmark_I64DPTV02SF8T30010000400"/>
      <w:bookmarkEnd w:id="5631"/>
      <w:r>
        <w:rPr>
          <w:rFonts w:ascii="Arial" w:eastAsia="Arial" w:hAnsi="Arial" w:cs="Arial"/>
          <w:i/>
          <w:color w:val="000000"/>
          <w:sz w:val="20"/>
        </w:rPr>
        <w:t xml:space="preserve">See </w:t>
      </w:r>
      <w:bookmarkStart w:id="5632" w:name="Bookmark_I64DPTV02HM5PY0010000400"/>
      <w:bookmarkEnd w:id="5632"/>
      <w:r>
        <w:rPr>
          <w:rFonts w:ascii="Arial" w:eastAsia="Arial" w:hAnsi="Arial" w:cs="Arial"/>
          <w:i/>
          <w:color w:val="000000"/>
          <w:sz w:val="20"/>
        </w:rPr>
        <w:t>Raedle v. Credit Agricole Indosuez</w:t>
      </w:r>
      <w:r>
        <w:rPr>
          <w:rFonts w:ascii="Arial" w:eastAsia="Arial" w:hAnsi="Arial" w:cs="Arial"/>
          <w:color w:val="000000"/>
          <w:sz w:val="20"/>
        </w:rPr>
        <w:t xml:space="preserve">, 670 F.3d 411, 417-18 (2d Cir. 2012). </w:t>
      </w:r>
      <w:bookmarkStart w:id="5633" w:name="Bookmark_I64DPTV02SF8T30010000400_2"/>
      <w:bookmarkStart w:id="5634" w:name="Bookmark_I64DPTV02HM5PY0040000400_2"/>
      <w:bookmarkEnd w:id="5633"/>
      <w:bookmarkEnd w:id="5634"/>
      <w:r>
        <w:rPr>
          <w:rFonts w:ascii="Arial" w:eastAsia="Arial" w:hAnsi="Arial" w:cs="Arial"/>
          <w:color w:val="000000"/>
          <w:sz w:val="20"/>
        </w:rPr>
        <w:t xml:space="preserve">Further, on a Rule 59 motion, courts must accord a "high degree of deference . . . to the jury's evaluation of witness credibility." </w:t>
      </w:r>
      <w:bookmarkStart w:id="5635" w:name="Bookmark_I64DPTV02HM5PY0030000400"/>
      <w:bookmarkEnd w:id="5635"/>
      <w:r>
        <w:rPr>
          <w:rFonts w:ascii="Arial" w:eastAsia="Arial" w:hAnsi="Arial" w:cs="Arial"/>
          <w:i/>
          <w:color w:val="000000"/>
          <w:sz w:val="20"/>
        </w:rPr>
        <w:t>ING Glob. v. United Parcel Serv. Oasis Supply Corp.</w:t>
      </w:r>
      <w:r>
        <w:rPr>
          <w:rFonts w:ascii="Arial" w:eastAsia="Arial" w:hAnsi="Arial" w:cs="Arial"/>
          <w:color w:val="000000"/>
          <w:sz w:val="20"/>
        </w:rPr>
        <w:t xml:space="preserve">, 757 F.3d 92, 97 (2d Cir. 2014) (internal quotation marks omitted). "Absent a showing of prejudice, the jury's verdict should not be disturbed." </w:t>
      </w:r>
      <w:bookmarkStart w:id="5636" w:name="Bookmark_I64DPTV02HM5PY0050000400"/>
      <w:bookmarkEnd w:id="5636"/>
      <w:r>
        <w:rPr>
          <w:rFonts w:ascii="Arial" w:eastAsia="Arial" w:hAnsi="Arial" w:cs="Arial"/>
          <w:i/>
          <w:color w:val="000000"/>
          <w:sz w:val="20"/>
        </w:rPr>
        <w:t>Chin</w:t>
      </w:r>
      <w:r>
        <w:rPr>
          <w:rFonts w:ascii="Arial" w:eastAsia="Arial" w:hAnsi="Arial" w:cs="Arial"/>
          <w:color w:val="000000"/>
          <w:sz w:val="20"/>
        </w:rPr>
        <w:t>, 685 F.3d at 162 (internal quotation marks and alteration omitted).</w:t>
      </w:r>
    </w:p>
    <w:p w:rsidR="00022B47" w:rsidRDefault="00000000">
      <w:pPr>
        <w:pStyle w:val="Normal31"/>
        <w:widowControl w:val="0"/>
        <w:spacing w:before="200" w:line="260" w:lineRule="atLeast"/>
        <w:jc w:val="both"/>
      </w:pPr>
      <w:bookmarkStart w:id="5637" w:name="Bookmark_para_12_29"/>
      <w:bookmarkEnd w:id="5637"/>
      <w:r>
        <w:rPr>
          <w:rFonts w:ascii="Arial" w:eastAsia="Arial" w:hAnsi="Arial" w:cs="Arial"/>
          <w:color w:val="000000"/>
          <w:sz w:val="20"/>
        </w:rPr>
        <w:t>Plaintiffs fail to demonstrate [*8]  that the district court abused its discretion here. They have neither identified a prejudicial error in the jury instructions nor offered a persuasive reason to conclude that the jury's verdict in the Hospital's favor is not in accordance with the weight of the evidence presented at trial. We therefore affirm the district court's denial of plaintiffs' Rule 59 motion.</w:t>
      </w:r>
    </w:p>
    <w:p w:rsidR="00022B47" w:rsidRDefault="00000000">
      <w:pPr>
        <w:pStyle w:val="Normal31"/>
        <w:widowControl w:val="0"/>
        <w:spacing w:before="200" w:line="260" w:lineRule="atLeast"/>
        <w:jc w:val="both"/>
      </w:pPr>
      <w:bookmarkStart w:id="5638" w:name="Bookmark_para_13_29"/>
      <w:bookmarkEnd w:id="5638"/>
      <w:r>
        <w:rPr>
          <w:rFonts w:ascii="Arial" w:eastAsia="Arial" w:hAnsi="Arial" w:cs="Arial"/>
          <w:color w:val="000000"/>
          <w:sz w:val="20"/>
        </w:rPr>
        <w:t>* * *</w:t>
      </w:r>
    </w:p>
    <w:p w:rsidR="00022B47" w:rsidRDefault="00000000">
      <w:pPr>
        <w:pStyle w:val="Normal31"/>
        <w:widowControl w:val="0"/>
        <w:spacing w:before="200" w:line="260" w:lineRule="atLeast"/>
        <w:jc w:val="both"/>
      </w:pPr>
      <w:bookmarkStart w:id="5639" w:name="Bookmark_para_14_29"/>
      <w:bookmarkEnd w:id="5639"/>
      <w:r>
        <w:rPr>
          <w:rFonts w:ascii="Arial" w:eastAsia="Arial" w:hAnsi="Arial" w:cs="Arial"/>
          <w:color w:val="000000"/>
          <w:sz w:val="20"/>
        </w:rPr>
        <w:t xml:space="preserve">We have considered plaintiffs' remaining arguments and find in them no basis for reversal. The order of the district court is </w:t>
      </w:r>
      <w:r>
        <w:rPr>
          <w:rFonts w:ascii="Arial" w:eastAsia="Arial" w:hAnsi="Arial" w:cs="Arial"/>
          <w:b/>
          <w:color w:val="000000"/>
          <w:sz w:val="20"/>
        </w:rPr>
        <w:t>AFFIRMED</w:t>
      </w:r>
      <w:r>
        <w:rPr>
          <w:rFonts w:ascii="Arial" w:eastAsia="Arial" w:hAnsi="Arial" w:cs="Arial"/>
          <w:color w:val="000000"/>
          <w:sz w:val="20"/>
        </w:rPr>
        <w:t>.</w:t>
      </w:r>
    </w:p>
    <w:p w:rsidR="00022B47" w:rsidRDefault="00022B47">
      <w:pPr>
        <w:pStyle w:val="Normal31"/>
      </w:pPr>
    </w:p>
    <w:p w:rsidR="00022B47" w:rsidRDefault="00000000">
      <w:pPr>
        <w:pStyle w:val="Normal31"/>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2582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815197257"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798343" id="Line 68"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32"/>
        <w:sectPr w:rsidR="00022B47">
          <w:headerReference w:type="even" r:id="rId199"/>
          <w:headerReference w:type="default" r:id="rId200"/>
          <w:footerReference w:type="even" r:id="rId201"/>
          <w:footerReference w:type="default" r:id="rId202"/>
          <w:headerReference w:type="first" r:id="rId203"/>
          <w:footerReference w:type="first" r:id="rId204"/>
          <w:pgSz w:w="12240" w:h="15840"/>
          <w:pgMar w:top="840" w:right="1000" w:bottom="840" w:left="1000" w:header="400" w:footer="400" w:gutter="0"/>
          <w:cols w:space="720"/>
          <w:titlePg/>
        </w:sectPr>
      </w:pPr>
    </w:p>
    <w:p w:rsidR="00022B47" w:rsidRDefault="00022B47">
      <w:pPr>
        <w:pStyle w:val="Normal32"/>
      </w:pPr>
    </w:p>
    <w:p w:rsidR="00022B47" w:rsidRDefault="00000000">
      <w:pPr>
        <w:pStyle w:val="Heading131"/>
        <w:keepNext w:val="0"/>
        <w:widowControl w:val="0"/>
        <w:spacing w:after="200" w:line="340" w:lineRule="atLeast"/>
        <w:jc w:val="center"/>
      </w:pPr>
      <w:r>
        <w:rPr>
          <w:rFonts w:eastAsia="Arial"/>
          <w:color w:val="000000"/>
          <w:sz w:val="28"/>
        </w:rPr>
        <w:t>Feemster v. Beard</w:t>
      </w:r>
    </w:p>
    <w:p w:rsidR="00022B47" w:rsidRDefault="00000000">
      <w:pPr>
        <w:pStyle w:val="Normal32"/>
        <w:widowControl w:val="0"/>
        <w:spacing w:before="120" w:line="260" w:lineRule="atLeast"/>
        <w:jc w:val="center"/>
      </w:pPr>
      <w:r>
        <w:rPr>
          <w:rFonts w:ascii="Arial" w:eastAsia="Arial" w:hAnsi="Arial" w:cs="Arial"/>
          <w:color w:val="000000"/>
          <w:sz w:val="20"/>
        </w:rPr>
        <w:t>United States Court of Appeals for the Fifth Circuit</w:t>
      </w:r>
    </w:p>
    <w:p w:rsidR="00022B47" w:rsidRDefault="00000000">
      <w:pPr>
        <w:pStyle w:val="Normal32"/>
        <w:widowControl w:val="0"/>
        <w:spacing w:before="120" w:line="260" w:lineRule="atLeast"/>
        <w:jc w:val="center"/>
      </w:pPr>
      <w:r>
        <w:rPr>
          <w:rFonts w:ascii="Arial" w:eastAsia="Arial" w:hAnsi="Arial" w:cs="Arial"/>
          <w:color w:val="000000"/>
          <w:sz w:val="20"/>
        </w:rPr>
        <w:t>December 17, 2021, Filed</w:t>
      </w:r>
    </w:p>
    <w:p w:rsidR="00022B47" w:rsidRDefault="00000000">
      <w:pPr>
        <w:pStyle w:val="Normal32"/>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19-40815 Summary Calendar</w:t>
      </w:r>
    </w:p>
    <w:p w:rsidR="00022B47" w:rsidRDefault="00022B47">
      <w:pPr>
        <w:pStyle w:val="Normal32"/>
        <w:widowControl w:val="0"/>
        <w:spacing w:line="240" w:lineRule="atLeast"/>
        <w:jc w:val="both"/>
      </w:pPr>
      <w:bookmarkStart w:id="5640" w:name="Bookmark_33"/>
      <w:bookmarkEnd w:id="5640"/>
    </w:p>
    <w:p w:rsidR="00022B47" w:rsidRDefault="00000000">
      <w:pPr>
        <w:pStyle w:val="Normal32"/>
        <w:widowControl w:val="0"/>
        <w:spacing w:before="200" w:line="240" w:lineRule="atLeast"/>
      </w:pPr>
      <w:bookmarkStart w:id="5641" w:name="Reporter_31"/>
      <w:bookmarkEnd w:id="5641"/>
      <w:r>
        <w:rPr>
          <w:rFonts w:ascii="Arial" w:eastAsia="Arial" w:hAnsi="Arial" w:cs="Arial"/>
          <w:b/>
          <w:color w:val="000000"/>
          <w:sz w:val="18"/>
        </w:rPr>
        <w:t>Reporter</w:t>
      </w:r>
    </w:p>
    <w:p w:rsidR="00022B47" w:rsidRDefault="00000000">
      <w:pPr>
        <w:pStyle w:val="Normal32"/>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2021 U.S. App. LEXIS 37292 *; 2021 WL 6058706</w:t>
      </w:r>
    </w:p>
    <w:p w:rsidR="00022B47" w:rsidRDefault="00000000">
      <w:pPr>
        <w:pStyle w:val="Normal32"/>
        <w:widowControl w:val="0"/>
        <w:spacing w:before="120" w:line="260" w:lineRule="atLeast"/>
      </w:pPr>
      <w:r>
        <w:rPr>
          <w:rFonts w:ascii="Arial" w:eastAsia="Arial" w:hAnsi="Arial" w:cs="Arial"/>
          <w:color w:val="000000"/>
          <w:sz w:val="20"/>
        </w:rPr>
        <w:t>TODD ALAN FEEMSTER, Plaintiff-Appellant, versus R. BEARD, JR., Stevenson Unit; V. MACIEL, Program Supervisor I, Stevenson Unit; T. SALLES, Correction Officer, Stevenson Unit; V. TIJERINA, Correction Officer, Stevenson Unit; C. TUPA, Medical Officer, Stevenson Unit; TEXAS DEPARTMENT OF CRIMINAL JUSTICE, Defendants-Appellees.</w:t>
      </w:r>
    </w:p>
    <w:p w:rsidR="00022B47" w:rsidRDefault="00000000">
      <w:pPr>
        <w:pStyle w:val="Normal32"/>
        <w:widowControl w:val="0"/>
        <w:spacing w:before="240" w:line="260" w:lineRule="atLeast"/>
        <w:jc w:val="both"/>
      </w:pPr>
      <w:bookmarkStart w:id="5642" w:name="Notice_15"/>
      <w:bookmarkEnd w:id="5642"/>
      <w:r>
        <w:rPr>
          <w:rFonts w:ascii="Arial" w:eastAsia="Arial" w:hAnsi="Arial" w:cs="Arial"/>
          <w:b/>
          <w:color w:val="000000"/>
          <w:sz w:val="20"/>
        </w:rPr>
        <w:t>Notice:</w:t>
      </w:r>
      <w:r>
        <w:rPr>
          <w:rFonts w:ascii="Arial" w:eastAsia="Arial" w:hAnsi="Arial" w:cs="Arial"/>
          <w:color w:val="000000"/>
          <w:sz w:val="20"/>
        </w:rPr>
        <w:t> </w:t>
      </w:r>
      <w:bookmarkStart w:id="5643" w:name="Bookmark_para_1_31"/>
      <w:bookmarkEnd w:id="5643"/>
      <w:r>
        <w:rPr>
          <w:rFonts w:ascii="Arial" w:eastAsia="Arial" w:hAnsi="Arial" w:cs="Arial"/>
          <w:color w:val="000000"/>
          <w:sz w:val="20"/>
        </w:rPr>
        <w:t>PLEASE REFER TO FEDERAL RULES OF APPELLATE PROCEDURE RULE 32.1 GOVERNING THE CITATION TO UNPUBLISHED OPINIONS.</w:t>
      </w:r>
    </w:p>
    <w:p w:rsidR="00022B47" w:rsidRDefault="00000000">
      <w:pPr>
        <w:pStyle w:val="Normal32"/>
        <w:widowControl w:val="0"/>
        <w:spacing w:before="240" w:line="260" w:lineRule="atLeast"/>
        <w:jc w:val="both"/>
      </w:pPr>
      <w:bookmarkStart w:id="5644" w:name="Prior_History_31"/>
      <w:bookmarkEnd w:id="5644"/>
      <w:r>
        <w:rPr>
          <w:rFonts w:ascii="Arial" w:eastAsia="Arial" w:hAnsi="Arial" w:cs="Arial"/>
          <w:b/>
          <w:color w:val="000000"/>
          <w:sz w:val="20"/>
        </w:rPr>
        <w:t>Prior History:</w:t>
      </w:r>
      <w:r>
        <w:rPr>
          <w:rFonts w:ascii="Arial" w:eastAsia="Arial" w:hAnsi="Arial" w:cs="Arial"/>
          <w:color w:val="000000"/>
          <w:sz w:val="20"/>
        </w:rPr>
        <w:t> </w:t>
      </w:r>
      <w:bookmarkStart w:id="5645" w:name="Bookmark_para_2_31"/>
      <w:bookmarkEnd w:id="5645"/>
      <w:r>
        <w:rPr>
          <w:rFonts w:ascii="Arial" w:eastAsia="Arial" w:hAnsi="Arial" w:cs="Arial"/>
          <w:color w:val="000000"/>
          <w:sz w:val="20"/>
        </w:rPr>
        <w:t> [*1] Appeal from the United States District Court for the Southern District of Texas. USDC No. 6:17-CV-39.</w:t>
      </w:r>
    </w:p>
    <w:p w:rsidR="00022B47" w:rsidRDefault="00000000">
      <w:pPr>
        <w:pStyle w:val="Normal32"/>
        <w:widowControl w:val="0"/>
        <w:spacing w:before="120" w:line="260" w:lineRule="atLeast"/>
      </w:pPr>
      <w:r>
        <w:rPr>
          <w:rFonts w:ascii="Arial" w:eastAsia="Arial" w:hAnsi="Arial" w:cs="Arial"/>
          <w:color w:val="000000"/>
          <w:sz w:val="20"/>
        </w:rPr>
        <w:t>Feemster v. Chapa, 2019 U.S. Dist. LEXIS 159214, 2019 WL 4451124 (S.D. Tex., Sept. 16, 2019)</w:t>
      </w:r>
    </w:p>
    <w:p w:rsidR="00022B47" w:rsidRDefault="00000000">
      <w:pPr>
        <w:pStyle w:val="Normal32"/>
        <w:widowControl w:val="0"/>
        <w:spacing w:before="240" w:line="260" w:lineRule="atLeast"/>
      </w:pPr>
      <w:bookmarkStart w:id="5646" w:name="Counsel_31"/>
      <w:bookmarkEnd w:id="5646"/>
      <w:r>
        <w:rPr>
          <w:rFonts w:ascii="Arial" w:eastAsia="Arial" w:hAnsi="Arial" w:cs="Arial"/>
          <w:b/>
          <w:color w:val="000000"/>
          <w:sz w:val="20"/>
        </w:rPr>
        <w:t>Counsel:</w:t>
      </w:r>
      <w:r>
        <w:rPr>
          <w:rFonts w:ascii="Arial" w:eastAsia="Arial" w:hAnsi="Arial" w:cs="Arial"/>
          <w:color w:val="000000"/>
          <w:sz w:val="20"/>
        </w:rPr>
        <w:t> Todd Alan Feemster, Plaintiff - Appellant, Pro se, Rosharon, TX.</w:t>
      </w:r>
    </w:p>
    <w:p w:rsidR="00022B47" w:rsidRDefault="00000000">
      <w:pPr>
        <w:pStyle w:val="Normal32"/>
        <w:widowControl w:val="0"/>
        <w:spacing w:before="120" w:line="260" w:lineRule="atLeast"/>
      </w:pPr>
      <w:r>
        <w:rPr>
          <w:rFonts w:ascii="Arial" w:eastAsia="Arial" w:hAnsi="Arial" w:cs="Arial"/>
          <w:color w:val="000000"/>
          <w:sz w:val="20"/>
        </w:rPr>
        <w:t>For R Beard, Jr., Stevenson Unit, V. Maciel, Program Supervisor I, Stevenson Unit, T. Salles, Correction Officer, Stevenson Unit, V. Tijerina, Correction Officer, Stevenson Unit, Texas Department of Criminal Justice, Defendants - Appellee: Christopher Lee Lindsey, Assistant Attorney General, Office of the Attorney General, for the State of Texas, Austin, TX.</w:t>
      </w:r>
    </w:p>
    <w:p w:rsidR="00022B47" w:rsidRDefault="00000000">
      <w:pPr>
        <w:pStyle w:val="Normal32"/>
        <w:widowControl w:val="0"/>
        <w:spacing w:before="120" w:line="260" w:lineRule="atLeast"/>
      </w:pPr>
      <w:r>
        <w:rPr>
          <w:rFonts w:ascii="Arial" w:eastAsia="Arial" w:hAnsi="Arial" w:cs="Arial"/>
          <w:color w:val="000000"/>
          <w:sz w:val="20"/>
        </w:rPr>
        <w:t>For C. Tupa, Medical Officer, Stevenson Unit, Defendant - Appellee: Jeanine Marie Coggeshall, Office of the Attorney General, for the State of Texas, Austin, TX.</w:t>
      </w:r>
    </w:p>
    <w:p w:rsidR="00022B47" w:rsidRDefault="00000000">
      <w:pPr>
        <w:pStyle w:val="Normal32"/>
        <w:widowControl w:val="0"/>
        <w:spacing w:before="240" w:line="260" w:lineRule="atLeast"/>
      </w:pPr>
      <w:bookmarkStart w:id="5647" w:name="Judges_31"/>
      <w:bookmarkEnd w:id="5647"/>
      <w:r>
        <w:rPr>
          <w:rFonts w:ascii="Arial" w:eastAsia="Arial" w:hAnsi="Arial" w:cs="Arial"/>
          <w:b/>
          <w:color w:val="000000"/>
          <w:sz w:val="20"/>
        </w:rPr>
        <w:t>Judges:</w:t>
      </w:r>
      <w:r>
        <w:rPr>
          <w:rFonts w:ascii="Arial" w:eastAsia="Arial" w:hAnsi="Arial" w:cs="Arial"/>
          <w:color w:val="000000"/>
          <w:sz w:val="20"/>
        </w:rPr>
        <w:t> Before HIGGINBOTHAM, HIGGINSON, and DUNCAN, Circuit Judges.</w:t>
      </w:r>
    </w:p>
    <w:p w:rsidR="00022B47" w:rsidRDefault="00000000">
      <w:pPr>
        <w:pStyle w:val="Normal32"/>
        <w:keepNext/>
        <w:widowControl w:val="0"/>
        <w:spacing w:before="240" w:line="340" w:lineRule="atLeast"/>
      </w:pPr>
      <w:bookmarkStart w:id="5648" w:name="Opinion_31"/>
      <w:bookmarkEnd w:id="5648"/>
      <w:r>
        <w:rPr>
          <w:rFonts w:ascii="Arial" w:eastAsia="Arial" w:hAnsi="Arial" w:cs="Arial"/>
          <w:b/>
          <w:color w:val="000000"/>
          <w:sz w:val="28"/>
        </w:rPr>
        <w:t>Opinion</w:t>
      </w:r>
    </w:p>
    <w:p w:rsidR="00022B47" w:rsidRDefault="0025213E">
      <w:pPr>
        <w:pStyle w:val="Normal32"/>
        <w:spacing w:line="60" w:lineRule="exact"/>
      </w:pPr>
      <w:r>
        <w:rPr>
          <w:noProof/>
        </w:rPr>
        <mc:AlternateContent>
          <mc:Choice Requires="wps">
            <w:drawing>
              <wp:anchor distT="0" distB="0" distL="114300" distR="114300" simplePos="0" relativeHeight="25172684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676380310"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4B771" id="Line 69"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32"/>
      </w:pPr>
    </w:p>
    <w:p w:rsidR="00022B47" w:rsidRDefault="00000000">
      <w:pPr>
        <w:pStyle w:val="Normal32"/>
        <w:widowControl w:val="0"/>
        <w:spacing w:before="200" w:line="260" w:lineRule="atLeast"/>
        <w:jc w:val="both"/>
      </w:pPr>
      <w:bookmarkStart w:id="5649" w:name="Bookmark_para_3_31"/>
      <w:bookmarkEnd w:id="5649"/>
      <w:r>
        <w:rPr>
          <w:rFonts w:ascii="Arial" w:eastAsia="Arial" w:hAnsi="Arial" w:cs="Arial"/>
          <w:smallCaps/>
          <w:color w:val="000000"/>
          <w:sz w:val="20"/>
        </w:rPr>
        <w:t>Per Curiam</w:t>
      </w:r>
      <w:r>
        <w:rPr>
          <w:rFonts w:ascii="Arial" w:eastAsia="Arial" w:hAnsi="Arial" w:cs="Arial"/>
          <w:color w:val="000000"/>
          <w:sz w:val="20"/>
        </w:rPr>
        <w:t>:</w:t>
      </w:r>
      <w:r>
        <w:rPr>
          <w:rFonts w:ascii="Arial" w:eastAsia="Arial" w:hAnsi="Arial" w:cs="Arial"/>
          <w:vertAlign w:val="superscript"/>
        </w:rPr>
        <w:footnoteReference w:customMarkFollows="1" w:id="155"/>
        <w:t>*</w:t>
      </w:r>
    </w:p>
    <w:p w:rsidR="00022B47" w:rsidRDefault="00000000">
      <w:pPr>
        <w:pStyle w:val="Normal32"/>
        <w:widowControl w:val="0"/>
        <w:spacing w:before="200" w:line="260" w:lineRule="atLeast"/>
        <w:jc w:val="both"/>
      </w:pPr>
      <w:bookmarkStart w:id="5651" w:name="Bookmark_para_4_31"/>
      <w:bookmarkEnd w:id="5651"/>
      <w:r>
        <w:rPr>
          <w:rFonts w:ascii="Arial" w:eastAsia="Arial" w:hAnsi="Arial" w:cs="Arial"/>
          <w:color w:val="000000"/>
          <w:sz w:val="20"/>
        </w:rPr>
        <w:t>Todd Alan Feemster, Texas prisoner # 1539283, filed this 42 U.S.C. § 1983 action against the Texas Department of Criminal Justice (TDCJ) and numerous TDCJ officers, alleging that (1) they were deliberately indifferent to his serious medical needs and (2) they refused to accommodate his disabilities in violation of the Americans with Disabilities Act (ADA)</w:t>
      </w:r>
      <w:r>
        <w:rPr>
          <w:rFonts w:ascii="Arial" w:eastAsia="Arial" w:hAnsi="Arial" w:cs="Arial"/>
          <w:vertAlign w:val="superscript"/>
        </w:rPr>
        <w:footnoteReference w:customMarkFollows="1" w:id="156"/>
        <w:t>1</w:t>
      </w:r>
      <w:r>
        <w:rPr>
          <w:rFonts w:ascii="Arial" w:eastAsia="Arial" w:hAnsi="Arial" w:cs="Arial"/>
          <w:color w:val="000000"/>
          <w:sz w:val="20"/>
        </w:rPr>
        <w:t xml:space="preserve"> and the Rehabilitation Act (RA).</w:t>
      </w:r>
      <w:r>
        <w:rPr>
          <w:rFonts w:ascii="Arial" w:eastAsia="Arial" w:hAnsi="Arial" w:cs="Arial"/>
          <w:vertAlign w:val="superscript"/>
        </w:rPr>
        <w:footnoteReference w:customMarkFollows="1" w:id="157"/>
        <w:t>2</w:t>
      </w:r>
      <w:r>
        <w:rPr>
          <w:rFonts w:ascii="Arial" w:eastAsia="Arial" w:hAnsi="Arial" w:cs="Arial"/>
          <w:color w:val="000000"/>
          <w:sz w:val="20"/>
        </w:rPr>
        <w:t xml:space="preserve"> The district court granted the defendants' summary judgment motions, and Feemster timely appealed.</w:t>
      </w:r>
    </w:p>
    <w:p w:rsidR="00022B47" w:rsidRDefault="00000000">
      <w:pPr>
        <w:pStyle w:val="Normal32"/>
        <w:widowControl w:val="0"/>
        <w:spacing w:before="200" w:line="260" w:lineRule="atLeast"/>
        <w:jc w:val="both"/>
      </w:pPr>
      <w:bookmarkStart w:id="5654" w:name="Bookmark_para_5_31"/>
      <w:bookmarkStart w:id="5655" w:name="Bookmark_I64C12JP2HM65Y0020000400"/>
      <w:bookmarkEnd w:id="5654"/>
      <w:bookmarkEnd w:id="5655"/>
      <w:r>
        <w:rPr>
          <w:rFonts w:ascii="Arial" w:eastAsia="Arial" w:hAnsi="Arial" w:cs="Arial"/>
          <w:color w:val="000000"/>
          <w:sz w:val="20"/>
        </w:rPr>
        <w:t xml:space="preserve">This court reviews the grant of [*2]  summary judgment de novo, applying the same standards as were used by the district court. </w:t>
      </w:r>
      <w:bookmarkStart w:id="5656" w:name="Bookmark_I64C12JP2HM65Y0010000400"/>
      <w:bookmarkEnd w:id="5656"/>
      <w:r>
        <w:rPr>
          <w:rFonts w:ascii="Arial" w:eastAsia="Arial" w:hAnsi="Arial" w:cs="Arial"/>
          <w:i/>
          <w:color w:val="000000"/>
          <w:sz w:val="20"/>
        </w:rPr>
        <w:t>Austin v. Kroger Tex., L.P.</w:t>
      </w:r>
      <w:r>
        <w:rPr>
          <w:rFonts w:ascii="Arial" w:eastAsia="Arial" w:hAnsi="Arial" w:cs="Arial"/>
          <w:color w:val="000000"/>
          <w:sz w:val="20"/>
        </w:rPr>
        <w:t xml:space="preserve">, 864 F.3d 326, 328 (5th Cir. 2017). "The court shall grant summary judgment if the movant shows that there is no genuine dispute as to any material fact and the movant is entitled to judgment as a matter of law." </w:t>
      </w:r>
      <w:r>
        <w:rPr>
          <w:rFonts w:ascii="Arial" w:eastAsia="Arial" w:hAnsi="Arial" w:cs="Arial"/>
          <w:smallCaps/>
          <w:color w:val="000000"/>
          <w:sz w:val="20"/>
        </w:rPr>
        <w:t>Fed. R. Civ. P.</w:t>
      </w:r>
      <w:r>
        <w:rPr>
          <w:rFonts w:ascii="Arial" w:eastAsia="Arial" w:hAnsi="Arial" w:cs="Arial"/>
          <w:color w:val="000000"/>
          <w:sz w:val="20"/>
        </w:rPr>
        <w:t xml:space="preserve"> 56(a).</w:t>
      </w:r>
    </w:p>
    <w:p w:rsidR="00022B47" w:rsidRDefault="00000000">
      <w:pPr>
        <w:pStyle w:val="Normal32"/>
        <w:widowControl w:val="0"/>
        <w:spacing w:before="200" w:line="260" w:lineRule="atLeast"/>
        <w:jc w:val="both"/>
      </w:pPr>
      <w:bookmarkStart w:id="5657" w:name="Bookmark_para_6_31"/>
      <w:bookmarkStart w:id="5658" w:name="Bookmark_I64C12JP2HM65Y0040000400"/>
      <w:bookmarkEnd w:id="5657"/>
      <w:bookmarkEnd w:id="5658"/>
      <w:r>
        <w:rPr>
          <w:rFonts w:ascii="Arial" w:eastAsia="Arial" w:hAnsi="Arial" w:cs="Arial"/>
          <w:color w:val="000000"/>
          <w:sz w:val="20"/>
        </w:rPr>
        <w:t xml:space="preserve">The district court did not err in declining to consider as competent summary judgment evidence Feemster's amended complaints, which did not include a declaration that they were signed under penalty of perjury. </w:t>
      </w:r>
      <w:r>
        <w:rPr>
          <w:rFonts w:ascii="Arial" w:eastAsia="Arial" w:hAnsi="Arial" w:cs="Arial"/>
          <w:i/>
          <w:color w:val="000000"/>
          <w:sz w:val="20"/>
        </w:rPr>
        <w:t>See</w:t>
      </w:r>
      <w:r>
        <w:rPr>
          <w:rFonts w:ascii="Arial" w:eastAsia="Arial" w:hAnsi="Arial" w:cs="Arial"/>
          <w:color w:val="000000"/>
          <w:sz w:val="20"/>
        </w:rPr>
        <w:t xml:space="preserve"> 28 U.S.C. § 1746; </w:t>
      </w:r>
      <w:bookmarkStart w:id="5659" w:name="Bookmark_I64C12JP2HM65Y0030000400"/>
      <w:bookmarkEnd w:id="5659"/>
      <w:r>
        <w:rPr>
          <w:rFonts w:ascii="Arial" w:eastAsia="Arial" w:hAnsi="Arial" w:cs="Arial"/>
          <w:i/>
          <w:color w:val="000000"/>
          <w:sz w:val="20"/>
        </w:rPr>
        <w:t>Nissho-Iwai Amer. Corp. v. Kline</w:t>
      </w:r>
      <w:r>
        <w:rPr>
          <w:rFonts w:ascii="Arial" w:eastAsia="Arial" w:hAnsi="Arial" w:cs="Arial"/>
          <w:color w:val="000000"/>
          <w:sz w:val="20"/>
        </w:rPr>
        <w:t>, 845 F.2d 1300, 1305-06 (5th Cir. 1988). With respect to Feemster's argument that the district court clerk's office omitted some pages from documents he filed, he does not show that any error led to incorrect findings by the district court or affected the district court's decision to grant summary judgment.</w:t>
      </w:r>
    </w:p>
    <w:p w:rsidR="00022B47" w:rsidRDefault="00000000">
      <w:pPr>
        <w:pStyle w:val="Normal32"/>
        <w:widowControl w:val="0"/>
        <w:spacing w:before="200" w:line="260" w:lineRule="atLeast"/>
        <w:jc w:val="both"/>
      </w:pPr>
      <w:bookmarkStart w:id="5660" w:name="Bookmark_para_7_31"/>
      <w:bookmarkStart w:id="5661" w:name="Bookmark_I64C12JR28T3YP0010000400"/>
      <w:bookmarkEnd w:id="5660"/>
      <w:bookmarkEnd w:id="5661"/>
      <w:r>
        <w:rPr>
          <w:rFonts w:ascii="Arial" w:eastAsia="Arial" w:hAnsi="Arial" w:cs="Arial"/>
          <w:color w:val="000000"/>
          <w:sz w:val="20"/>
        </w:rPr>
        <w:t xml:space="preserve">Arguably, Feemster has abandoned any challenge to the district court's grant of summary judgment by failing to set forth the material facts that were genuinely in dispute, supported by "citations to the authorities and parts of the record on which [he] relies." </w:t>
      </w:r>
      <w:r>
        <w:rPr>
          <w:rFonts w:ascii="Arial" w:eastAsia="Arial" w:hAnsi="Arial" w:cs="Arial"/>
          <w:smallCaps/>
          <w:color w:val="000000"/>
          <w:sz w:val="20"/>
        </w:rPr>
        <w:t>Fed. R. App. P.</w:t>
      </w:r>
      <w:r>
        <w:rPr>
          <w:rFonts w:ascii="Arial" w:eastAsia="Arial" w:hAnsi="Arial" w:cs="Arial"/>
          <w:color w:val="000000"/>
          <w:sz w:val="20"/>
        </w:rPr>
        <w:t xml:space="preserve"> 28(a)(8); </w:t>
      </w:r>
      <w:r>
        <w:rPr>
          <w:rFonts w:ascii="Arial" w:eastAsia="Arial" w:hAnsi="Arial" w:cs="Arial"/>
          <w:i/>
          <w:color w:val="000000"/>
          <w:sz w:val="20"/>
        </w:rPr>
        <w:t xml:space="preserve">see also </w:t>
      </w:r>
      <w:bookmarkStart w:id="5662" w:name="Bookmark_I64C12JP2HM65Y0050000400"/>
      <w:bookmarkEnd w:id="5662"/>
      <w:r>
        <w:rPr>
          <w:rFonts w:ascii="Arial" w:eastAsia="Arial" w:hAnsi="Arial" w:cs="Arial"/>
          <w:i/>
          <w:color w:val="000000"/>
          <w:sz w:val="20"/>
        </w:rPr>
        <w:t>Yohey v. Collins</w:t>
      </w:r>
      <w:r>
        <w:rPr>
          <w:rFonts w:ascii="Arial" w:eastAsia="Arial" w:hAnsi="Arial" w:cs="Arial"/>
          <w:color w:val="000000"/>
          <w:sz w:val="20"/>
        </w:rPr>
        <w:t xml:space="preserve">, 985 F.2d 222, 224-25 (5th Cir. 1993); </w:t>
      </w:r>
      <w:bookmarkStart w:id="5663" w:name="Bookmark_I64C12JR28T3YP0020000400"/>
      <w:bookmarkEnd w:id="5663"/>
      <w:r>
        <w:rPr>
          <w:rFonts w:ascii="Arial" w:eastAsia="Arial" w:hAnsi="Arial" w:cs="Arial"/>
          <w:i/>
          <w:color w:val="000000"/>
          <w:sz w:val="20"/>
        </w:rPr>
        <w:t>Brinkmann v. Dallas Cty. Deputy Sheriff Abner</w:t>
      </w:r>
      <w:r>
        <w:rPr>
          <w:rFonts w:ascii="Arial" w:eastAsia="Arial" w:hAnsi="Arial" w:cs="Arial"/>
          <w:color w:val="000000"/>
          <w:sz w:val="20"/>
        </w:rPr>
        <w:t>, 813 F.2d 744, 748 (5th Cir. 1987).</w:t>
      </w:r>
    </w:p>
    <w:p w:rsidR="00022B47" w:rsidRDefault="00000000">
      <w:pPr>
        <w:pStyle w:val="Normal32"/>
        <w:widowControl w:val="0"/>
        <w:spacing w:before="200" w:line="260" w:lineRule="atLeast"/>
        <w:jc w:val="both"/>
      </w:pPr>
      <w:bookmarkStart w:id="5664" w:name="Bookmark_para_8_30"/>
      <w:bookmarkStart w:id="5665" w:name="Bookmark_I64C12JR28T3YP0050000400"/>
      <w:bookmarkEnd w:id="5664"/>
      <w:bookmarkEnd w:id="5665"/>
      <w:r>
        <w:rPr>
          <w:rFonts w:ascii="Arial" w:eastAsia="Arial" w:hAnsi="Arial" w:cs="Arial"/>
          <w:color w:val="000000"/>
          <w:sz w:val="20"/>
        </w:rPr>
        <w:t xml:space="preserve">Regardless, the district court did not err in granting summary judgment on Feemster's deliberate indifference claim. "Deliberate indifference 'is an extremely high standard [*3]  to meet.'" </w:t>
      </w:r>
      <w:bookmarkStart w:id="5666" w:name="Bookmark_I64C12JR28T3YP0040000400"/>
      <w:bookmarkEnd w:id="5666"/>
      <w:r>
        <w:rPr>
          <w:rFonts w:ascii="Arial" w:eastAsia="Arial" w:hAnsi="Arial" w:cs="Arial"/>
          <w:i/>
          <w:color w:val="000000"/>
          <w:sz w:val="20"/>
        </w:rPr>
        <w:t>Gobert v. Caldwell</w:t>
      </w:r>
      <w:r>
        <w:rPr>
          <w:rFonts w:ascii="Arial" w:eastAsia="Arial" w:hAnsi="Arial" w:cs="Arial"/>
          <w:color w:val="000000"/>
          <w:sz w:val="20"/>
        </w:rPr>
        <w:t xml:space="preserve">, 463 F.3d 339, 346 (5th Cir. 2006) (citation omitted). Based on Feemster's medical records, the district court correctly found there was no evidence that defendants "refused to treat him, ignored his complaints, intentionally treated him incorrectly, or engaged in any similar conduct that would clearly evince a wanton disregard for any serious medical needs." </w:t>
      </w:r>
      <w:r>
        <w:rPr>
          <w:rFonts w:ascii="Arial" w:eastAsia="Arial" w:hAnsi="Arial" w:cs="Arial"/>
          <w:i/>
          <w:color w:val="000000"/>
          <w:sz w:val="20"/>
        </w:rPr>
        <w:t>Id.</w:t>
      </w:r>
      <w:r>
        <w:rPr>
          <w:rFonts w:ascii="Arial" w:eastAsia="Arial" w:hAnsi="Arial" w:cs="Arial"/>
          <w:color w:val="000000"/>
          <w:sz w:val="20"/>
        </w:rPr>
        <w:t xml:space="preserve"> Feemster's disagreement with Dr. Tupa's medical judgment is insufficient to support a claim of a constitutional violation. </w:t>
      </w:r>
      <w:r>
        <w:rPr>
          <w:rFonts w:ascii="Arial" w:eastAsia="Arial" w:hAnsi="Arial" w:cs="Arial"/>
          <w:i/>
          <w:color w:val="000000"/>
          <w:sz w:val="20"/>
        </w:rPr>
        <w:t>See id.</w:t>
      </w:r>
    </w:p>
    <w:p w:rsidR="00022B47" w:rsidRDefault="00000000">
      <w:pPr>
        <w:pStyle w:val="Normal32"/>
        <w:widowControl w:val="0"/>
        <w:spacing w:before="200" w:line="260" w:lineRule="atLeast"/>
        <w:jc w:val="both"/>
      </w:pPr>
      <w:bookmarkStart w:id="5667" w:name="Bookmark_para_9_30"/>
      <w:bookmarkEnd w:id="5667"/>
      <w:r>
        <w:rPr>
          <w:rFonts w:ascii="Arial" w:eastAsia="Arial" w:hAnsi="Arial" w:cs="Arial"/>
          <w:color w:val="000000"/>
          <w:sz w:val="20"/>
        </w:rPr>
        <w:t xml:space="preserve">The district court also did not err in granting summary judgment on Feemster's ADA/RA claim. </w:t>
      </w:r>
      <w:bookmarkStart w:id="5668" w:name="Bookmark_I64C12JS28T3YV0020000400"/>
      <w:bookmarkEnd w:id="5668"/>
      <w:r>
        <w:rPr>
          <w:rFonts w:ascii="Arial" w:eastAsia="Arial" w:hAnsi="Arial" w:cs="Arial"/>
          <w:color w:val="000000"/>
          <w:sz w:val="20"/>
        </w:rPr>
        <w:t xml:space="preserve">Feemster did not present any competent summary judgment evidence showing that his kitchen and janitor job assignments were inconsistent with his medical work restrictions. Further, he failed to point to any evidence that the defendants either denied him benefits or intentionally discriminated against him on account of a disability or knew of his disability and failed to make reasonable accommodations. </w:t>
      </w:r>
      <w:r>
        <w:rPr>
          <w:rFonts w:ascii="Arial" w:eastAsia="Arial" w:hAnsi="Arial" w:cs="Arial"/>
          <w:i/>
          <w:color w:val="000000"/>
          <w:sz w:val="20"/>
        </w:rPr>
        <w:t xml:space="preserve">See </w:t>
      </w:r>
      <w:bookmarkStart w:id="5669" w:name="Bookmark_I64C12JS28T3YV0010000400"/>
      <w:bookmarkEnd w:id="5669"/>
      <w:r>
        <w:rPr>
          <w:rFonts w:ascii="Arial" w:eastAsia="Arial" w:hAnsi="Arial" w:cs="Arial"/>
          <w:i/>
          <w:color w:val="000000"/>
          <w:sz w:val="20"/>
        </w:rPr>
        <w:t>Hale v. King</w:t>
      </w:r>
      <w:r>
        <w:rPr>
          <w:rFonts w:ascii="Arial" w:eastAsia="Arial" w:hAnsi="Arial" w:cs="Arial"/>
          <w:color w:val="000000"/>
          <w:sz w:val="20"/>
        </w:rPr>
        <w:t xml:space="preserve">, 642 F.3d 492, 499 (5th Cir. 2011); </w:t>
      </w:r>
      <w:bookmarkStart w:id="5670" w:name="Bookmark_I64C12JS28T3YV0030000400"/>
      <w:bookmarkEnd w:id="5670"/>
      <w:r>
        <w:rPr>
          <w:rFonts w:ascii="Arial" w:eastAsia="Arial" w:hAnsi="Arial" w:cs="Arial"/>
          <w:i/>
          <w:color w:val="000000"/>
          <w:sz w:val="20"/>
        </w:rPr>
        <w:t>Smith v. Harris Cty.</w:t>
      </w:r>
      <w:r>
        <w:rPr>
          <w:rFonts w:ascii="Arial" w:eastAsia="Arial" w:hAnsi="Arial" w:cs="Arial"/>
          <w:color w:val="000000"/>
          <w:sz w:val="20"/>
        </w:rPr>
        <w:t>, 956 F.3d 311, 317 (5th Cir. 2020).</w:t>
      </w:r>
    </w:p>
    <w:p w:rsidR="00022B47" w:rsidRDefault="00000000">
      <w:pPr>
        <w:pStyle w:val="Normal32"/>
        <w:widowControl w:val="0"/>
        <w:spacing w:before="200" w:line="260" w:lineRule="atLeast"/>
        <w:jc w:val="both"/>
      </w:pPr>
      <w:bookmarkStart w:id="5671" w:name="Bookmark_para_10_30"/>
      <w:bookmarkEnd w:id="5671"/>
      <w:r>
        <w:rPr>
          <w:rFonts w:ascii="Arial" w:eastAsia="Arial" w:hAnsi="Arial" w:cs="Arial"/>
          <w:color w:val="000000"/>
          <w:sz w:val="20"/>
        </w:rPr>
        <w:t xml:space="preserve">Finally, Feemster argues that the district court and the magistrate judge made numerous errors over the course of the proceedings, listing 21 separate rulings that he seeks to challenge. </w:t>
      </w:r>
      <w:bookmarkStart w:id="5672" w:name="Bookmark_I64C12JS2D6NH60010000400"/>
      <w:bookmarkEnd w:id="5672"/>
      <w:r>
        <w:rPr>
          <w:rFonts w:ascii="Arial" w:eastAsia="Arial" w:hAnsi="Arial" w:cs="Arial"/>
          <w:color w:val="000000"/>
          <w:sz w:val="20"/>
        </w:rPr>
        <w:t xml:space="preserve">However, Feemster did not brief the [*4]  reasons he deserves the requested relief with legal and record citations, as required by Rule 28 of the Federal Rules of Appellate Procedure. Moreover, he does not address the district court's findings that he failed to exhaust his individual capacity claims against the TDCJ defendants and that his claims for injunctive relief were moot. Thus, he has abandoned these issues by failing to brief them adequately. </w:t>
      </w:r>
      <w:r>
        <w:rPr>
          <w:rFonts w:ascii="Arial" w:eastAsia="Arial" w:hAnsi="Arial" w:cs="Arial"/>
          <w:i/>
          <w:color w:val="000000"/>
          <w:sz w:val="20"/>
        </w:rPr>
        <w:t xml:space="preserve">See </w:t>
      </w:r>
      <w:bookmarkStart w:id="5673" w:name="Bookmark_I64C12JS28T3YV0050000400"/>
      <w:bookmarkEnd w:id="5673"/>
      <w:r>
        <w:rPr>
          <w:rFonts w:ascii="Arial" w:eastAsia="Arial" w:hAnsi="Arial" w:cs="Arial"/>
          <w:i/>
          <w:color w:val="000000"/>
          <w:sz w:val="20"/>
        </w:rPr>
        <w:t>Yohey</w:t>
      </w:r>
      <w:r>
        <w:rPr>
          <w:rFonts w:ascii="Arial" w:eastAsia="Arial" w:hAnsi="Arial" w:cs="Arial"/>
          <w:color w:val="000000"/>
          <w:sz w:val="20"/>
        </w:rPr>
        <w:t xml:space="preserve">, 985 F.2d at 225; </w:t>
      </w:r>
      <w:bookmarkStart w:id="5674" w:name="Bookmark_I64C12JS2D6NH60020000400"/>
      <w:bookmarkEnd w:id="5674"/>
      <w:r>
        <w:rPr>
          <w:rFonts w:ascii="Arial" w:eastAsia="Arial" w:hAnsi="Arial" w:cs="Arial"/>
          <w:i/>
          <w:color w:val="000000"/>
          <w:sz w:val="20"/>
        </w:rPr>
        <w:t>Brinkmann</w:t>
      </w:r>
      <w:r>
        <w:rPr>
          <w:rFonts w:ascii="Arial" w:eastAsia="Arial" w:hAnsi="Arial" w:cs="Arial"/>
          <w:color w:val="000000"/>
          <w:sz w:val="20"/>
        </w:rPr>
        <w:t>, 813 F.2d at 748.</w:t>
      </w:r>
    </w:p>
    <w:p w:rsidR="00022B47" w:rsidRDefault="00000000">
      <w:pPr>
        <w:pStyle w:val="Normal32"/>
        <w:widowControl w:val="0"/>
        <w:spacing w:before="200" w:line="260" w:lineRule="atLeast"/>
        <w:jc w:val="both"/>
      </w:pPr>
      <w:bookmarkStart w:id="5675" w:name="Bookmark_para_11_30"/>
      <w:bookmarkStart w:id="5676" w:name="Bookmark_I64C12JS2D6NH60050000400"/>
      <w:bookmarkEnd w:id="5675"/>
      <w:bookmarkEnd w:id="5676"/>
      <w:r>
        <w:rPr>
          <w:rFonts w:ascii="Arial" w:eastAsia="Arial" w:hAnsi="Arial" w:cs="Arial"/>
          <w:color w:val="000000"/>
          <w:sz w:val="20"/>
        </w:rPr>
        <w:t xml:space="preserve">For the foregoing reasons, the district court's judgment is AFFIRMED. Additionally, Feemster's motion for appointment of counsel on appeal is DENIED. </w:t>
      </w:r>
      <w:r>
        <w:rPr>
          <w:rFonts w:ascii="Arial" w:eastAsia="Arial" w:hAnsi="Arial" w:cs="Arial"/>
          <w:i/>
          <w:color w:val="000000"/>
          <w:sz w:val="20"/>
        </w:rPr>
        <w:t xml:space="preserve">See </w:t>
      </w:r>
      <w:bookmarkStart w:id="5677" w:name="Bookmark_I64C12JS2D6NH60040000400"/>
      <w:bookmarkEnd w:id="5677"/>
      <w:r>
        <w:rPr>
          <w:rFonts w:ascii="Arial" w:eastAsia="Arial" w:hAnsi="Arial" w:cs="Arial"/>
          <w:i/>
          <w:color w:val="000000"/>
          <w:sz w:val="20"/>
        </w:rPr>
        <w:t>Cupit v. Jones</w:t>
      </w:r>
      <w:r>
        <w:rPr>
          <w:rFonts w:ascii="Arial" w:eastAsia="Arial" w:hAnsi="Arial" w:cs="Arial"/>
          <w:color w:val="000000"/>
          <w:sz w:val="20"/>
        </w:rPr>
        <w:t xml:space="preserve">, 835 F.2d 82, 86 (5th Cir. 1987); </w:t>
      </w:r>
      <w:bookmarkStart w:id="5678" w:name="Bookmark_I64C12JS2HM6690010000400"/>
      <w:bookmarkEnd w:id="5678"/>
      <w:r>
        <w:rPr>
          <w:rFonts w:ascii="Arial" w:eastAsia="Arial" w:hAnsi="Arial" w:cs="Arial"/>
          <w:i/>
          <w:color w:val="000000"/>
          <w:sz w:val="20"/>
        </w:rPr>
        <w:t>Ulmer v. Chancellor</w:t>
      </w:r>
      <w:r>
        <w:rPr>
          <w:rFonts w:ascii="Arial" w:eastAsia="Arial" w:hAnsi="Arial" w:cs="Arial"/>
          <w:color w:val="000000"/>
          <w:sz w:val="20"/>
        </w:rPr>
        <w:t>, 691 F.2d 209, 212 (5th Cir. 1982).</w:t>
      </w:r>
    </w:p>
    <w:p w:rsidR="00022B47" w:rsidRDefault="00022B47">
      <w:pPr>
        <w:pStyle w:val="Normal32"/>
      </w:pPr>
    </w:p>
    <w:p w:rsidR="00022B47" w:rsidRDefault="00000000">
      <w:pPr>
        <w:pStyle w:val="Normal32"/>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27872"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969196173"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8291D0" id="Line 70"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33"/>
        <w:sectPr w:rsidR="00022B47">
          <w:headerReference w:type="even" r:id="rId205"/>
          <w:headerReference w:type="default" r:id="rId206"/>
          <w:footerReference w:type="even" r:id="rId207"/>
          <w:footerReference w:type="default" r:id="rId208"/>
          <w:headerReference w:type="first" r:id="rId209"/>
          <w:footerReference w:type="first" r:id="rId210"/>
          <w:pgSz w:w="12240" w:h="15840"/>
          <w:pgMar w:top="840" w:right="1000" w:bottom="840" w:left="1000" w:header="400" w:footer="400" w:gutter="0"/>
          <w:cols w:space="720"/>
          <w:titlePg/>
        </w:sectPr>
      </w:pPr>
    </w:p>
    <w:p w:rsidR="00022B47" w:rsidRDefault="00022B47">
      <w:pPr>
        <w:pStyle w:val="Normal33"/>
      </w:pPr>
    </w:p>
    <w:p w:rsidR="00022B47" w:rsidRDefault="00000000">
      <w:pPr>
        <w:pStyle w:val="Heading132"/>
        <w:keepNext w:val="0"/>
        <w:widowControl w:val="0"/>
        <w:spacing w:after="200" w:line="340" w:lineRule="atLeast"/>
        <w:jc w:val="center"/>
      </w:pPr>
      <w:r>
        <w:rPr>
          <w:rFonts w:eastAsia="Arial"/>
          <w:color w:val="000000"/>
          <w:sz w:val="28"/>
        </w:rPr>
        <w:t>Powell v. Columbus Med. Enters., LLC</w:t>
      </w:r>
    </w:p>
    <w:p w:rsidR="00022B47" w:rsidRDefault="00000000">
      <w:pPr>
        <w:pStyle w:val="Normal33"/>
        <w:widowControl w:val="0"/>
        <w:spacing w:before="120" w:line="260" w:lineRule="atLeast"/>
        <w:jc w:val="center"/>
      </w:pPr>
      <w:r>
        <w:rPr>
          <w:rFonts w:ascii="Arial" w:eastAsia="Arial" w:hAnsi="Arial" w:cs="Arial"/>
          <w:color w:val="000000"/>
          <w:sz w:val="20"/>
        </w:rPr>
        <w:t>United States Court of Appeals for the Sixth Circuit</w:t>
      </w:r>
    </w:p>
    <w:p w:rsidR="00022B47" w:rsidRDefault="00000000">
      <w:pPr>
        <w:pStyle w:val="Normal33"/>
        <w:widowControl w:val="0"/>
        <w:spacing w:before="120" w:line="260" w:lineRule="atLeast"/>
        <w:jc w:val="center"/>
      </w:pPr>
      <w:r>
        <w:rPr>
          <w:rFonts w:ascii="Arial" w:eastAsia="Arial" w:hAnsi="Arial" w:cs="Arial"/>
          <w:color w:val="000000"/>
          <w:sz w:val="20"/>
        </w:rPr>
        <w:t>December 13, 2021, Filed</w:t>
      </w:r>
    </w:p>
    <w:p w:rsidR="00022B47" w:rsidRDefault="00000000">
      <w:pPr>
        <w:pStyle w:val="Normal33"/>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21-3351</w:t>
      </w:r>
    </w:p>
    <w:p w:rsidR="00022B47" w:rsidRDefault="00022B47">
      <w:pPr>
        <w:pStyle w:val="Normal33"/>
        <w:widowControl w:val="0"/>
        <w:spacing w:line="240" w:lineRule="atLeast"/>
        <w:jc w:val="both"/>
      </w:pPr>
      <w:bookmarkStart w:id="5679" w:name="Bookmark_34"/>
      <w:bookmarkEnd w:id="5679"/>
    </w:p>
    <w:p w:rsidR="00022B47" w:rsidRDefault="00000000">
      <w:pPr>
        <w:pStyle w:val="Normal33"/>
        <w:widowControl w:val="0"/>
        <w:spacing w:before="200" w:line="240" w:lineRule="atLeast"/>
      </w:pPr>
      <w:bookmarkStart w:id="5680" w:name="Reporter_32"/>
      <w:bookmarkEnd w:id="5680"/>
      <w:r>
        <w:rPr>
          <w:rFonts w:ascii="Arial" w:eastAsia="Arial" w:hAnsi="Arial" w:cs="Arial"/>
          <w:b/>
          <w:color w:val="000000"/>
          <w:sz w:val="18"/>
        </w:rPr>
        <w:t>Reporter</w:t>
      </w:r>
    </w:p>
    <w:p w:rsidR="00022B47" w:rsidRDefault="00000000">
      <w:pPr>
        <w:pStyle w:val="Normal33"/>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2021 U.S. App. LEXIS 36781 *; 2021 WL 8053886</w:t>
      </w:r>
    </w:p>
    <w:p w:rsidR="00022B47" w:rsidRDefault="00000000">
      <w:pPr>
        <w:pStyle w:val="Normal33"/>
        <w:widowControl w:val="0"/>
        <w:spacing w:before="120" w:line="260" w:lineRule="atLeast"/>
      </w:pPr>
      <w:r>
        <w:rPr>
          <w:rFonts w:ascii="Arial" w:eastAsia="Arial" w:hAnsi="Arial" w:cs="Arial"/>
          <w:color w:val="000000"/>
          <w:sz w:val="20"/>
        </w:rPr>
        <w:t>ADAM D. POWELL, Plaintiff-Appellant, v. COLUMBUS MEDICAL ENTERPRISES, LLC, d/b/a Bartlett Medical Clinic and Wellness Center; HEATHER K. BARTLETT, Defendants-Appellees.</w:t>
      </w:r>
    </w:p>
    <w:p w:rsidR="00022B47" w:rsidRDefault="00000000">
      <w:pPr>
        <w:pStyle w:val="Normal33"/>
        <w:widowControl w:val="0"/>
        <w:spacing w:before="240" w:line="260" w:lineRule="atLeast"/>
        <w:jc w:val="both"/>
      </w:pPr>
      <w:bookmarkStart w:id="5681" w:name="Notice_16"/>
      <w:bookmarkEnd w:id="5681"/>
      <w:r>
        <w:rPr>
          <w:rFonts w:ascii="Arial" w:eastAsia="Arial" w:hAnsi="Arial" w:cs="Arial"/>
          <w:b/>
          <w:color w:val="000000"/>
          <w:sz w:val="20"/>
        </w:rPr>
        <w:t>Notice:</w:t>
      </w:r>
      <w:r>
        <w:rPr>
          <w:rFonts w:ascii="Arial" w:eastAsia="Arial" w:hAnsi="Arial" w:cs="Arial"/>
          <w:color w:val="000000"/>
          <w:sz w:val="20"/>
        </w:rPr>
        <w:t> </w:t>
      </w:r>
      <w:bookmarkStart w:id="5682" w:name="Bookmark_para_1_32"/>
      <w:bookmarkEnd w:id="5682"/>
      <w:r>
        <w:rPr>
          <w:rFonts w:ascii="Arial" w:eastAsia="Arial" w:hAnsi="Arial" w:cs="Arial"/>
          <w:color w:val="000000"/>
          <w:sz w:val="20"/>
        </w:rPr>
        <w:t>NOT RECOMMENDED FOR FULL-TEXT PUBLICATION. SIXTH CIRCUIT RULE 28 LIMITS CITATION TO SPECIFIC SITUATIONS. PLEASE SEE RULE 28 BEFORE CITING IN A PROCEEDING IN A COURT IN THE SIXTH CIRCUIT. IF CITED, A COPY MUST BE SERVED ON OTHER PARTIES AND THE COURT. THIS NOTICE IS TO BE PROMINENTLY DISPLAYED IF THIS DECISION IS REPRODUCED.</w:t>
      </w:r>
    </w:p>
    <w:p w:rsidR="00022B47" w:rsidRDefault="00000000">
      <w:pPr>
        <w:pStyle w:val="Normal33"/>
        <w:widowControl w:val="0"/>
        <w:spacing w:before="240" w:line="260" w:lineRule="atLeast"/>
        <w:jc w:val="both"/>
      </w:pPr>
      <w:bookmarkStart w:id="5683" w:name="Prior_History_32"/>
      <w:bookmarkEnd w:id="5683"/>
      <w:r>
        <w:rPr>
          <w:rFonts w:ascii="Arial" w:eastAsia="Arial" w:hAnsi="Arial" w:cs="Arial"/>
          <w:b/>
          <w:color w:val="000000"/>
          <w:sz w:val="20"/>
        </w:rPr>
        <w:t>Prior History:</w:t>
      </w:r>
      <w:r>
        <w:rPr>
          <w:rFonts w:ascii="Arial" w:eastAsia="Arial" w:hAnsi="Arial" w:cs="Arial"/>
          <w:color w:val="000000"/>
          <w:sz w:val="20"/>
        </w:rPr>
        <w:t> </w:t>
      </w:r>
      <w:bookmarkStart w:id="5684" w:name="Bookmark_para_2_32"/>
      <w:bookmarkEnd w:id="5684"/>
      <w:r>
        <w:rPr>
          <w:rFonts w:ascii="Arial" w:eastAsia="Arial" w:hAnsi="Arial" w:cs="Arial"/>
          <w:color w:val="000000"/>
          <w:sz w:val="20"/>
        </w:rPr>
        <w:t> [*1] ON APPEAL FROM THE UNITED STATES DISTRICT COURT FOR THE SOUTHERN DISTRICT OF OHIO.</w:t>
      </w:r>
    </w:p>
    <w:p w:rsidR="00022B47" w:rsidRDefault="00000000">
      <w:pPr>
        <w:pStyle w:val="Normal33"/>
        <w:widowControl w:val="0"/>
        <w:spacing w:before="120" w:line="260" w:lineRule="atLeast"/>
      </w:pPr>
      <w:r>
        <w:rPr>
          <w:rFonts w:ascii="Arial" w:eastAsia="Arial" w:hAnsi="Arial" w:cs="Arial"/>
          <w:color w:val="000000"/>
          <w:sz w:val="20"/>
        </w:rPr>
        <w:t>Powell v. Bartlett Med. Clinic &amp; Wellness Ctr., 2021 U.S. Dist. LEXIS 12970, 2021 WL 243194 (S.D. Ohio, Jan. 25, 2021)</w:t>
      </w:r>
    </w:p>
    <w:p w:rsidR="00022B47" w:rsidRDefault="00000000">
      <w:pPr>
        <w:pStyle w:val="Normal33"/>
        <w:widowControl w:val="0"/>
        <w:spacing w:before="240" w:line="260" w:lineRule="atLeast"/>
      </w:pPr>
      <w:bookmarkStart w:id="5685" w:name="Counsel_32"/>
      <w:bookmarkEnd w:id="5685"/>
      <w:r>
        <w:rPr>
          <w:rFonts w:ascii="Arial" w:eastAsia="Arial" w:hAnsi="Arial" w:cs="Arial"/>
          <w:b/>
          <w:color w:val="000000"/>
          <w:sz w:val="20"/>
        </w:rPr>
        <w:t>Counsel:</w:t>
      </w:r>
      <w:r>
        <w:rPr>
          <w:rFonts w:ascii="Arial" w:eastAsia="Arial" w:hAnsi="Arial" w:cs="Arial"/>
          <w:color w:val="000000"/>
          <w:sz w:val="20"/>
        </w:rPr>
        <w:t> ADAM D. POWELL, Plaintiff - Appellant, Pro se, Columbus, OH.</w:t>
      </w:r>
    </w:p>
    <w:p w:rsidR="00022B47" w:rsidRDefault="00000000">
      <w:pPr>
        <w:pStyle w:val="Normal33"/>
        <w:widowControl w:val="0"/>
        <w:spacing w:before="120" w:line="260" w:lineRule="atLeast"/>
      </w:pPr>
      <w:r>
        <w:rPr>
          <w:rFonts w:ascii="Arial" w:eastAsia="Arial" w:hAnsi="Arial" w:cs="Arial"/>
          <w:color w:val="000000"/>
          <w:sz w:val="20"/>
        </w:rPr>
        <w:t>For COLUMBUS MEDICAL ENTERPRISES, LLC, Defendant - Appellee: Michael F. Lyon, Lindhorst &amp; Dreidame, Cincinnati, OH.</w:t>
      </w:r>
    </w:p>
    <w:p w:rsidR="00022B47" w:rsidRDefault="00000000">
      <w:pPr>
        <w:pStyle w:val="Normal33"/>
        <w:widowControl w:val="0"/>
        <w:spacing w:before="120" w:line="260" w:lineRule="atLeast"/>
      </w:pPr>
      <w:r>
        <w:rPr>
          <w:rFonts w:ascii="Arial" w:eastAsia="Arial" w:hAnsi="Arial" w:cs="Arial"/>
          <w:color w:val="000000"/>
          <w:sz w:val="20"/>
        </w:rPr>
        <w:t>For HEATHER K. BARTLETT, Defendant - Appellee: Michael F. Lyon, Lindhorst &amp; Dreidame, Cincinnati, OH.</w:t>
      </w:r>
    </w:p>
    <w:p w:rsidR="00022B47" w:rsidRDefault="00000000">
      <w:pPr>
        <w:pStyle w:val="Normal33"/>
        <w:widowControl w:val="0"/>
        <w:spacing w:before="240" w:line="260" w:lineRule="atLeast"/>
      </w:pPr>
      <w:bookmarkStart w:id="5686" w:name="Judges_32"/>
      <w:bookmarkEnd w:id="5686"/>
      <w:r>
        <w:rPr>
          <w:rFonts w:ascii="Arial" w:eastAsia="Arial" w:hAnsi="Arial" w:cs="Arial"/>
          <w:b/>
          <w:color w:val="000000"/>
          <w:sz w:val="20"/>
        </w:rPr>
        <w:t>Judges:</w:t>
      </w:r>
      <w:r>
        <w:rPr>
          <w:rFonts w:ascii="Arial" w:eastAsia="Arial" w:hAnsi="Arial" w:cs="Arial"/>
          <w:color w:val="000000"/>
          <w:sz w:val="20"/>
        </w:rPr>
        <w:t> Before: MOORE, GILMAN, and KETHLEDGE, Circuit Judges.</w:t>
      </w:r>
    </w:p>
    <w:p w:rsidR="00022B47" w:rsidRDefault="00000000">
      <w:pPr>
        <w:pStyle w:val="Normal33"/>
        <w:keepNext/>
        <w:widowControl w:val="0"/>
        <w:spacing w:before="240" w:line="340" w:lineRule="atLeast"/>
      </w:pPr>
      <w:bookmarkStart w:id="5687" w:name="Opinion_32"/>
      <w:bookmarkEnd w:id="5687"/>
      <w:r>
        <w:rPr>
          <w:rFonts w:ascii="Arial" w:eastAsia="Arial" w:hAnsi="Arial" w:cs="Arial"/>
          <w:b/>
          <w:color w:val="000000"/>
          <w:sz w:val="28"/>
        </w:rPr>
        <w:t>Opinion</w:t>
      </w:r>
    </w:p>
    <w:p w:rsidR="00022B47" w:rsidRDefault="0025213E">
      <w:pPr>
        <w:pStyle w:val="Normal33"/>
        <w:spacing w:line="60" w:lineRule="exact"/>
      </w:pPr>
      <w:r>
        <w:rPr>
          <w:noProof/>
        </w:rPr>
        <mc:AlternateContent>
          <mc:Choice Requires="wps">
            <w:drawing>
              <wp:anchor distT="0" distB="0" distL="114300" distR="114300" simplePos="0" relativeHeight="251728896"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913747649"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F07EE4" id="Line 71"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33"/>
        <w:spacing w:line="120" w:lineRule="exact"/>
      </w:pPr>
    </w:p>
    <w:p w:rsidR="00022B47" w:rsidRDefault="00000000">
      <w:pPr>
        <w:pStyle w:val="Normal33"/>
        <w:widowControl w:val="0"/>
        <w:spacing w:before="240" w:line="260" w:lineRule="atLeast"/>
      </w:pPr>
      <w:r>
        <w:br/>
      </w:r>
      <w:r>
        <w:rPr>
          <w:rFonts w:ascii="Arial" w:eastAsia="Arial" w:hAnsi="Arial" w:cs="Arial"/>
          <w:color w:val="000000"/>
          <w:sz w:val="20"/>
          <w:u w:val="single"/>
        </w:rPr>
        <w:t>ORDER</w:t>
      </w:r>
    </w:p>
    <w:p w:rsidR="00022B47" w:rsidRDefault="00000000">
      <w:pPr>
        <w:pStyle w:val="Normal33"/>
        <w:widowControl w:val="0"/>
        <w:spacing w:before="200" w:line="260" w:lineRule="atLeast"/>
        <w:jc w:val="both"/>
      </w:pPr>
      <w:bookmarkStart w:id="5688" w:name="Bookmark_para_3_32"/>
      <w:bookmarkEnd w:id="5688"/>
      <w:r>
        <w:rPr>
          <w:rFonts w:ascii="Arial" w:eastAsia="Arial" w:hAnsi="Arial" w:cs="Arial"/>
          <w:color w:val="000000"/>
          <w:sz w:val="20"/>
        </w:rPr>
        <w:t xml:space="preserve">Adam Powell, a pro se Ohio litigant, appeals a district court's judgment dismissing his civil suit filed pursuant to Title III of the Americans with Disabilities Act ("ADA"), 42 U.S.C. § 12182. This case has been referred to a panel of the court that, upon examination, unanimously agrees that oral argument is not needed. </w:t>
      </w:r>
      <w:r>
        <w:rPr>
          <w:rFonts w:ascii="Arial" w:eastAsia="Arial" w:hAnsi="Arial" w:cs="Arial"/>
          <w:i/>
          <w:color w:val="000000"/>
          <w:sz w:val="20"/>
        </w:rPr>
        <w:t>See</w:t>
      </w:r>
      <w:r>
        <w:rPr>
          <w:rFonts w:ascii="Arial" w:eastAsia="Arial" w:hAnsi="Arial" w:cs="Arial"/>
          <w:color w:val="000000"/>
          <w:sz w:val="20"/>
        </w:rPr>
        <w:t xml:space="preserve"> Fed. R. App. P. 34(a).</w:t>
      </w:r>
    </w:p>
    <w:p w:rsidR="00022B47" w:rsidRDefault="00000000">
      <w:pPr>
        <w:pStyle w:val="Normal33"/>
        <w:widowControl w:val="0"/>
        <w:spacing w:before="200" w:line="260" w:lineRule="atLeast"/>
        <w:jc w:val="both"/>
      </w:pPr>
      <w:bookmarkStart w:id="5689" w:name="Bookmark_para_4_32"/>
      <w:bookmarkEnd w:id="5689"/>
      <w:r>
        <w:rPr>
          <w:rFonts w:ascii="Arial" w:eastAsia="Arial" w:hAnsi="Arial" w:cs="Arial"/>
          <w:color w:val="000000"/>
          <w:sz w:val="20"/>
        </w:rPr>
        <w:t>Powell commenced this action in April 2020 against Columbus Medical Enterprises, LLC d/b/a The Bartlett Medical Clinic and Wellness Center (the Clinic) and its sole physician, Heather K. Bartlett (Dr. Bartlett).</w:t>
      </w:r>
    </w:p>
    <w:p w:rsidR="00022B47" w:rsidRDefault="00000000">
      <w:pPr>
        <w:pStyle w:val="Normal33"/>
        <w:widowControl w:val="0"/>
        <w:spacing w:before="200" w:line="260" w:lineRule="atLeast"/>
        <w:jc w:val="both"/>
      </w:pPr>
      <w:bookmarkStart w:id="5690" w:name="Bookmark_para_5_32"/>
      <w:bookmarkEnd w:id="5690"/>
      <w:r>
        <w:rPr>
          <w:rFonts w:ascii="Arial" w:eastAsia="Arial" w:hAnsi="Arial" w:cs="Arial"/>
          <w:color w:val="000000"/>
          <w:sz w:val="20"/>
        </w:rPr>
        <w:t>Powell suffers from attention deficit hyperactivity disorder (ADHD). He alleges that, from May 2017 until March 2020, he was under Dr. Bartlett's care and utilized a medication subscription service offered by the Clinic. According to Powell, on March 23, 2018, he received an email from the defendants with the subject line [*2]  "Spring allergies; Appointment planning request; Updated Policy: ADHD, ADD as of March 23, 2018." Powell alleges that this email "singled out" his ADHD diagnosis, suggested that ADHD is not a "real condition," and transmitted updated "policies" that he found "disparaging" but did not think were applicable to him.</w:t>
      </w:r>
    </w:p>
    <w:p w:rsidR="00022B47" w:rsidRDefault="00000000">
      <w:pPr>
        <w:pStyle w:val="Normal33"/>
        <w:widowControl w:val="0"/>
        <w:spacing w:before="200" w:line="260" w:lineRule="atLeast"/>
        <w:jc w:val="both"/>
      </w:pPr>
      <w:bookmarkStart w:id="5691" w:name="Bookmark_para_6_32"/>
      <w:bookmarkEnd w:id="5691"/>
      <w:r>
        <w:rPr>
          <w:rFonts w:ascii="Arial" w:eastAsia="Arial" w:hAnsi="Arial" w:cs="Arial"/>
          <w:color w:val="000000"/>
          <w:sz w:val="20"/>
        </w:rPr>
        <w:t>At least one year later—after "amicable but uneventful care" at the Clinic—Powell sought to change medications to one that was prescribed to him by previous doctors. But according to Powell, that change "didn't go smoothly" in view of the "sentiments expressed" in the March 23, 2018, email that "doubt[ed] the legitimacy of ADHD." Powell further alleges that Dr. Bartlett rebuffed his request to change medications because of her purported dislike of treating patients with ADHD. According to Powell, this led to an exchange of emails between him and Dr. Bartlett, following which their doctor-patient relationship "deteriorated" and which ultimately resulted in Powell being "terminated from the practice." As a result of this termination, Powell alleges, he ran out of medication and "spent the next month . . . struggling with the symptoms he has struggled with all his life without [*3]  appropriate treatment."</w:t>
      </w:r>
    </w:p>
    <w:p w:rsidR="00022B47" w:rsidRDefault="00000000">
      <w:pPr>
        <w:pStyle w:val="Normal33"/>
        <w:widowControl w:val="0"/>
        <w:spacing w:before="200" w:line="260" w:lineRule="atLeast"/>
        <w:jc w:val="both"/>
      </w:pPr>
      <w:bookmarkStart w:id="5692" w:name="Bookmark_para_7_32"/>
      <w:bookmarkEnd w:id="5692"/>
      <w:r>
        <w:rPr>
          <w:rFonts w:ascii="Arial" w:eastAsia="Arial" w:hAnsi="Arial" w:cs="Arial"/>
          <w:color w:val="000000"/>
          <w:sz w:val="20"/>
        </w:rPr>
        <w:t>Based on the foregoing allegations, Powell's complaint, as amended, raises claims under Title III of the ADA and state law.</w:t>
      </w:r>
    </w:p>
    <w:p w:rsidR="00022B47" w:rsidRDefault="00000000">
      <w:pPr>
        <w:pStyle w:val="Normal33"/>
        <w:widowControl w:val="0"/>
        <w:spacing w:before="200" w:line="260" w:lineRule="atLeast"/>
        <w:jc w:val="both"/>
      </w:pPr>
      <w:bookmarkStart w:id="5693" w:name="Bookmark_para_8_31"/>
      <w:bookmarkEnd w:id="5693"/>
      <w:r>
        <w:rPr>
          <w:rFonts w:ascii="Arial" w:eastAsia="Arial" w:hAnsi="Arial" w:cs="Arial"/>
          <w:color w:val="000000"/>
          <w:sz w:val="20"/>
        </w:rPr>
        <w:t>The district court granted the defendants' motion to dismiss. It (1) rejected the defendants' argument that Powell lacked standing to bring a claim under Title III of the ADA, but (2) explained that Powell nevertheless failed to state a claim for relief under Title III, and (3) declined to exercise supplemental jurisdiction over any state-law claims.</w:t>
      </w:r>
    </w:p>
    <w:p w:rsidR="00022B47" w:rsidRDefault="00000000">
      <w:pPr>
        <w:pStyle w:val="Normal33"/>
        <w:widowControl w:val="0"/>
        <w:spacing w:before="240" w:line="260" w:lineRule="atLeast"/>
      </w:pPr>
      <w:r>
        <w:br/>
      </w:r>
      <w:r>
        <w:rPr>
          <w:rFonts w:ascii="Arial" w:eastAsia="Arial" w:hAnsi="Arial" w:cs="Arial"/>
          <w:color w:val="000000"/>
          <w:sz w:val="20"/>
          <w:u w:val="single"/>
        </w:rPr>
        <w:t>Forfeiture on Appeal</w:t>
      </w:r>
    </w:p>
    <w:p w:rsidR="00022B47" w:rsidRDefault="00000000">
      <w:pPr>
        <w:pStyle w:val="Normal33"/>
        <w:widowControl w:val="0"/>
        <w:spacing w:before="200" w:line="260" w:lineRule="atLeast"/>
        <w:jc w:val="both"/>
      </w:pPr>
      <w:bookmarkStart w:id="5694" w:name="Bookmark_para_9_31"/>
      <w:bookmarkStart w:id="5695" w:name="Bookmark_I64B55MR2D6NMH0020000400"/>
      <w:bookmarkEnd w:id="5694"/>
      <w:bookmarkEnd w:id="5695"/>
      <w:r>
        <w:rPr>
          <w:rFonts w:ascii="Arial" w:eastAsia="Arial" w:hAnsi="Arial" w:cs="Arial"/>
          <w:color w:val="000000"/>
          <w:sz w:val="20"/>
        </w:rPr>
        <w:t xml:space="preserve">As an initial matter, Powell does not challenge several rulings in the district court's order granting the defendants' motion to dismiss—namely, the denial of his motions for leave to file a second amended complaint, for a protective order, and for review by the attorney general or his designee. Powell has thus forfeited any challenge to the denial of those motions. </w:t>
      </w:r>
      <w:r>
        <w:rPr>
          <w:rFonts w:ascii="Arial" w:eastAsia="Arial" w:hAnsi="Arial" w:cs="Arial"/>
          <w:i/>
          <w:color w:val="000000"/>
          <w:sz w:val="20"/>
        </w:rPr>
        <w:t xml:space="preserve">See </w:t>
      </w:r>
      <w:bookmarkStart w:id="5696" w:name="Bookmark_I64B55MR2D6NMH0010000400"/>
      <w:bookmarkEnd w:id="5696"/>
      <w:r>
        <w:rPr>
          <w:rFonts w:ascii="Arial" w:eastAsia="Arial" w:hAnsi="Arial" w:cs="Arial"/>
          <w:i/>
          <w:color w:val="000000"/>
          <w:sz w:val="20"/>
        </w:rPr>
        <w:t>Scott v. First S. Nat'l Bank</w:t>
      </w:r>
      <w:r>
        <w:rPr>
          <w:rFonts w:ascii="Arial" w:eastAsia="Arial" w:hAnsi="Arial" w:cs="Arial"/>
          <w:color w:val="000000"/>
          <w:sz w:val="20"/>
        </w:rPr>
        <w:t xml:space="preserve">, 936 F.3d 509, 522 (6th Cir. 2019) ("[A]n appellant forfeits an argument that he fails to raise in his opening brief."); </w:t>
      </w:r>
      <w:bookmarkStart w:id="5697" w:name="Bookmark_I64B55MR2D6NMH0030000400"/>
      <w:bookmarkEnd w:id="5697"/>
      <w:r>
        <w:rPr>
          <w:rFonts w:ascii="Arial" w:eastAsia="Arial" w:hAnsi="Arial" w:cs="Arial"/>
          <w:i/>
          <w:color w:val="000000"/>
          <w:sz w:val="20"/>
        </w:rPr>
        <w:t>Geboy v. Brigano</w:t>
      </w:r>
      <w:r>
        <w:rPr>
          <w:rFonts w:ascii="Arial" w:eastAsia="Arial" w:hAnsi="Arial" w:cs="Arial"/>
          <w:color w:val="000000"/>
          <w:sz w:val="20"/>
        </w:rPr>
        <w:t>, 489 F.3d 752, 767 (6th Cir. 2007) (concluding that the pro se petitioner had forfeited certain claims by failing to "advance[] any sort of argument for the reversal of the district court's rulings").</w:t>
      </w:r>
    </w:p>
    <w:p w:rsidR="00022B47" w:rsidRDefault="00000000">
      <w:pPr>
        <w:pStyle w:val="Normal33"/>
        <w:widowControl w:val="0"/>
        <w:spacing w:before="240" w:line="260" w:lineRule="atLeast"/>
      </w:pPr>
      <w:r>
        <w:br/>
      </w:r>
      <w:r>
        <w:rPr>
          <w:rFonts w:ascii="Arial" w:eastAsia="Arial" w:hAnsi="Arial" w:cs="Arial"/>
          <w:color w:val="000000"/>
          <w:sz w:val="20"/>
          <w:u w:val="single"/>
        </w:rPr>
        <w:t>Standard of Review — Motion to Dismiss</w:t>
      </w:r>
    </w:p>
    <w:p w:rsidR="00022B47" w:rsidRDefault="00000000">
      <w:pPr>
        <w:pStyle w:val="Normal33"/>
        <w:widowControl w:val="0"/>
        <w:spacing w:before="200" w:line="260" w:lineRule="atLeast"/>
        <w:jc w:val="both"/>
      </w:pPr>
      <w:bookmarkStart w:id="5698" w:name="Bookmark_para_10_31"/>
      <w:bookmarkStart w:id="5699" w:name="Bookmark_I64B55MT2HM69V0010000400"/>
      <w:bookmarkStart w:id="5700" w:name="Bookmark_I64B55MT2HM69V0030000400"/>
      <w:bookmarkStart w:id="5701" w:name="Bookmark_LNHNREFclscc1_29"/>
      <w:bookmarkEnd w:id="5698"/>
      <w:bookmarkEnd w:id="5699"/>
      <w:bookmarkEnd w:id="5700"/>
      <w:bookmarkEnd w:id="5701"/>
      <w:r>
        <w:rPr>
          <w:rFonts w:ascii="Arial" w:eastAsia="Arial" w:hAnsi="Arial" w:cs="Arial"/>
          <w:color w:val="000000"/>
          <w:sz w:val="20"/>
        </w:rPr>
        <w:t xml:space="preserve">We review de novo a district court's dismissal of a complaint [*4]  pursuant to Rule 12(b)(6) for failure to state a claim upon which relief can be granted. </w:t>
      </w:r>
      <w:bookmarkStart w:id="5702" w:name="Bookmark_I64B55MT28T43J0020000400"/>
      <w:bookmarkStart w:id="5703" w:name="Bookmark_I64B55MR2D6NMH0050000400"/>
      <w:bookmarkEnd w:id="5702"/>
      <w:bookmarkEnd w:id="5703"/>
      <w:r>
        <w:rPr>
          <w:rFonts w:ascii="Arial" w:eastAsia="Arial" w:hAnsi="Arial" w:cs="Arial"/>
          <w:i/>
          <w:color w:val="000000"/>
          <w:sz w:val="20"/>
        </w:rPr>
        <w:t>Willman v. AG of the United States</w:t>
      </w:r>
      <w:r>
        <w:rPr>
          <w:rFonts w:ascii="Arial" w:eastAsia="Arial" w:hAnsi="Arial" w:cs="Arial"/>
          <w:color w:val="000000"/>
          <w:sz w:val="20"/>
        </w:rPr>
        <w:t xml:space="preserve">, 972 F.3d 819, 822 (6th Cir. 2020). To avoid dismissal, "a complaint must contain sufficient factual matter, accepted as true, to 'state a claim to relief that is plausible on its face.'" </w:t>
      </w:r>
      <w:bookmarkStart w:id="5704" w:name="Bookmark_I64B55MT2HM69V0020000400"/>
      <w:bookmarkEnd w:id="5704"/>
      <w:r>
        <w:rPr>
          <w:rFonts w:ascii="Arial" w:eastAsia="Arial" w:hAnsi="Arial" w:cs="Arial"/>
          <w:i/>
          <w:color w:val="000000"/>
          <w:sz w:val="20"/>
        </w:rPr>
        <w:t>Ashcroft v. Iqbal</w:t>
      </w:r>
      <w:r>
        <w:rPr>
          <w:rFonts w:ascii="Arial" w:eastAsia="Arial" w:hAnsi="Arial" w:cs="Arial"/>
          <w:color w:val="000000"/>
          <w:sz w:val="20"/>
        </w:rPr>
        <w:t xml:space="preserve">, 556 U.S. 662, 678, 129 S. Ct. 1937, 173 L. Ed. 2d 868 (2009) (quoting </w:t>
      </w:r>
      <w:bookmarkStart w:id="5705" w:name="Bookmark_I64B55MT2HM69V0040000400"/>
      <w:bookmarkEnd w:id="5705"/>
      <w:r>
        <w:rPr>
          <w:rFonts w:ascii="Arial" w:eastAsia="Arial" w:hAnsi="Arial" w:cs="Arial"/>
          <w:i/>
          <w:color w:val="000000"/>
          <w:sz w:val="20"/>
        </w:rPr>
        <w:t>Bell Atl. Corp. v. Twombly</w:t>
      </w:r>
      <w:r>
        <w:rPr>
          <w:rFonts w:ascii="Arial" w:eastAsia="Arial" w:hAnsi="Arial" w:cs="Arial"/>
          <w:color w:val="000000"/>
          <w:sz w:val="20"/>
        </w:rPr>
        <w:t xml:space="preserve">, 550 U.S. 544, 570, 127 S. Ct. 1955, 167 L. Ed. 2d 929 (2007)). </w:t>
      </w:r>
      <w:bookmarkStart w:id="5706" w:name="Bookmark_I64B55MT28T43J0020000400_2"/>
      <w:bookmarkEnd w:id="5706"/>
      <w:r>
        <w:rPr>
          <w:rFonts w:ascii="Arial" w:eastAsia="Arial" w:hAnsi="Arial" w:cs="Arial"/>
          <w:color w:val="000000"/>
          <w:sz w:val="20"/>
        </w:rPr>
        <w:t xml:space="preserve">"[C]onclusory allegations or legal conclusions masquerading as factual allegations will not suffice." </w:t>
      </w:r>
      <w:bookmarkStart w:id="5707" w:name="Bookmark_I64B55MT28T43J0010000400"/>
      <w:bookmarkEnd w:id="5707"/>
      <w:r>
        <w:rPr>
          <w:rFonts w:ascii="Arial" w:eastAsia="Arial" w:hAnsi="Arial" w:cs="Arial"/>
          <w:i/>
          <w:color w:val="000000"/>
          <w:sz w:val="20"/>
        </w:rPr>
        <w:t>Willman</w:t>
      </w:r>
      <w:r>
        <w:rPr>
          <w:rFonts w:ascii="Arial" w:eastAsia="Arial" w:hAnsi="Arial" w:cs="Arial"/>
          <w:color w:val="000000"/>
          <w:sz w:val="20"/>
        </w:rPr>
        <w:t xml:space="preserve">, 972 F.3d at 823 (quoting </w:t>
      </w:r>
      <w:bookmarkStart w:id="5708" w:name="Bookmark_I64B55MT28T43J0030000400"/>
      <w:bookmarkEnd w:id="5708"/>
      <w:r>
        <w:rPr>
          <w:rFonts w:ascii="Arial" w:eastAsia="Arial" w:hAnsi="Arial" w:cs="Arial"/>
          <w:i/>
          <w:color w:val="000000"/>
          <w:sz w:val="20"/>
        </w:rPr>
        <w:t>Terry v. Tyson Farms, Inc.</w:t>
      </w:r>
      <w:r>
        <w:rPr>
          <w:rFonts w:ascii="Arial" w:eastAsia="Arial" w:hAnsi="Arial" w:cs="Arial"/>
          <w:color w:val="000000"/>
          <w:sz w:val="20"/>
        </w:rPr>
        <w:t>, 604 F.3d 272, 276 (6th Cir. 2010)).</w:t>
      </w:r>
    </w:p>
    <w:p w:rsidR="00022B47" w:rsidRDefault="00000000">
      <w:pPr>
        <w:pStyle w:val="Normal33"/>
        <w:widowControl w:val="0"/>
        <w:spacing w:before="240" w:line="260" w:lineRule="atLeast"/>
      </w:pPr>
      <w:r>
        <w:br/>
      </w:r>
      <w:r>
        <w:rPr>
          <w:rFonts w:ascii="Arial" w:eastAsia="Arial" w:hAnsi="Arial" w:cs="Arial"/>
          <w:color w:val="000000"/>
          <w:sz w:val="20"/>
          <w:u w:val="single"/>
        </w:rPr>
        <w:t>Dismissal of ADA Claims</w:t>
      </w:r>
    </w:p>
    <w:p w:rsidR="00022B47" w:rsidRDefault="00000000">
      <w:pPr>
        <w:pStyle w:val="Normal33"/>
        <w:widowControl w:val="0"/>
        <w:spacing w:before="200" w:line="260" w:lineRule="atLeast"/>
        <w:jc w:val="both"/>
      </w:pPr>
      <w:bookmarkStart w:id="5709" w:name="Bookmark_para_11_31"/>
      <w:bookmarkStart w:id="5710" w:name="Bookmark_I64B55MT2N1PPC0010000400"/>
      <w:bookmarkStart w:id="5711" w:name="Bookmark_LNHNREFclscc2_29"/>
      <w:bookmarkEnd w:id="5709"/>
      <w:bookmarkEnd w:id="5710"/>
      <w:bookmarkEnd w:id="5711"/>
      <w:r>
        <w:rPr>
          <w:rFonts w:ascii="Arial" w:eastAsia="Arial" w:hAnsi="Arial" w:cs="Arial"/>
          <w:color w:val="000000"/>
          <w:sz w:val="20"/>
        </w:rPr>
        <w:t xml:space="preserve">Title III of the ADA provides that "[n]o individual shall be discriminated against on the basis of disability in the full and equal enjoyment of the goods, services, facilities, privileges, advantages, or accommodations of any place of public accommodation by any person who owns, leases (or leases to), or operates a place of public accommodation." 42 U.S.C. § 12182(a). To state a claim under Title III, a plaintiff must allege "(1) that she is disabled within the meaning of the ADA; (2) that defendants own, lease, or operate a place of public accommodation; and (3) that defendants discriminated against her by denying her a full and fair opportunity to enjoy the services defendants provide." </w:t>
      </w:r>
      <w:bookmarkStart w:id="5712" w:name="Bookmark_I64B55MT28T43J0050000400"/>
      <w:bookmarkEnd w:id="5712"/>
      <w:r>
        <w:rPr>
          <w:rFonts w:ascii="Arial" w:eastAsia="Arial" w:hAnsi="Arial" w:cs="Arial"/>
          <w:i/>
          <w:color w:val="000000"/>
          <w:sz w:val="20"/>
        </w:rPr>
        <w:t>Camarillo v. Carrols Corp.</w:t>
      </w:r>
      <w:r>
        <w:rPr>
          <w:rFonts w:ascii="Arial" w:eastAsia="Arial" w:hAnsi="Arial" w:cs="Arial"/>
          <w:color w:val="000000"/>
          <w:sz w:val="20"/>
        </w:rPr>
        <w:t>, 518 F.3d 153, 156 (2d Cir. 2008).</w:t>
      </w:r>
    </w:p>
    <w:p w:rsidR="00022B47" w:rsidRDefault="00000000">
      <w:pPr>
        <w:pStyle w:val="Normal33"/>
        <w:widowControl w:val="0"/>
        <w:spacing w:before="200" w:line="260" w:lineRule="atLeast"/>
        <w:jc w:val="both"/>
      </w:pPr>
      <w:bookmarkStart w:id="5713" w:name="Bookmark_para_12_30"/>
      <w:bookmarkStart w:id="5714" w:name="Bookmark_LNHNREFclscc3_29"/>
      <w:bookmarkEnd w:id="5713"/>
      <w:bookmarkEnd w:id="5714"/>
      <w:r>
        <w:rPr>
          <w:rFonts w:ascii="Arial" w:eastAsia="Arial" w:hAnsi="Arial" w:cs="Arial"/>
          <w:color w:val="000000"/>
          <w:sz w:val="20"/>
        </w:rPr>
        <w:t>The "professional office of a health care provider" is considered a public accommodation for purposes of the ADA. 42 U.S.C. § 12181(7)(F). But even assuming, as the [*5]  district court did, that Powell is deemed "disabled" under the ADA in view of his ADHD diagnosis, he has not alleged sufficient facts to show that the defendants discriminated based on this disability.</w:t>
      </w:r>
    </w:p>
    <w:p w:rsidR="00022B47" w:rsidRDefault="00000000">
      <w:pPr>
        <w:pStyle w:val="Normal33"/>
        <w:widowControl w:val="0"/>
        <w:spacing w:before="200" w:line="260" w:lineRule="atLeast"/>
        <w:jc w:val="both"/>
      </w:pPr>
      <w:bookmarkStart w:id="5715" w:name="Bookmark_para_13_30"/>
      <w:bookmarkStart w:id="5716" w:name="Bookmark_I64B55MT2N1PPC0030000400"/>
      <w:bookmarkEnd w:id="5715"/>
      <w:bookmarkEnd w:id="5716"/>
      <w:r>
        <w:rPr>
          <w:rFonts w:ascii="Arial" w:eastAsia="Arial" w:hAnsi="Arial" w:cs="Arial"/>
          <w:color w:val="000000"/>
          <w:sz w:val="20"/>
        </w:rPr>
        <w:t xml:space="preserve">Powell does not allege that he was denied medical care or treatment based on his disability. Rather, he acknowledges that he received "amicable" care at the Clinic for some time; he merely voices his dissatisfaction with Dr. Bartlett's apparent refusal of his request to change his medications. This dissatisfaction necessarily sounds in medical malpractice, which, "by itself, does not state a claim under the ADA." </w:t>
      </w:r>
      <w:bookmarkStart w:id="5717" w:name="Bookmark_I64B55MT2N1PPC0020000400"/>
      <w:bookmarkEnd w:id="5717"/>
      <w:r>
        <w:rPr>
          <w:rFonts w:ascii="Arial" w:eastAsia="Arial" w:hAnsi="Arial" w:cs="Arial"/>
          <w:i/>
          <w:color w:val="000000"/>
          <w:sz w:val="20"/>
        </w:rPr>
        <w:t>Jones v. Willie</w:t>
      </w:r>
      <w:r>
        <w:rPr>
          <w:rFonts w:ascii="Arial" w:eastAsia="Arial" w:hAnsi="Arial" w:cs="Arial"/>
          <w:color w:val="000000"/>
          <w:sz w:val="20"/>
        </w:rPr>
        <w:t xml:space="preserve">, No. 15-5658, 2016 U.S. App. LEXIS 23617, at *8 (6th Cir. Jan. 28, 2016) (citing </w:t>
      </w:r>
      <w:bookmarkStart w:id="5718" w:name="Bookmark_I64B55MT2N1PPC0040000400"/>
      <w:bookmarkEnd w:id="5718"/>
      <w:r>
        <w:rPr>
          <w:rFonts w:ascii="Arial" w:eastAsia="Arial" w:hAnsi="Arial" w:cs="Arial"/>
          <w:i/>
          <w:color w:val="000000"/>
          <w:sz w:val="20"/>
        </w:rPr>
        <w:t>Simmons v. Navajo County</w:t>
      </w:r>
      <w:r>
        <w:rPr>
          <w:rFonts w:ascii="Arial" w:eastAsia="Arial" w:hAnsi="Arial" w:cs="Arial"/>
          <w:color w:val="000000"/>
          <w:sz w:val="20"/>
        </w:rPr>
        <w:t xml:space="preserve">, 609 F.3d 1011, 1022 (9th Cir. 2010); </w:t>
      </w:r>
      <w:bookmarkStart w:id="5719" w:name="Bookmark_I64B55MV2N1PPD0010000400"/>
      <w:bookmarkEnd w:id="5719"/>
      <w:r>
        <w:rPr>
          <w:rFonts w:ascii="Arial" w:eastAsia="Arial" w:hAnsi="Arial" w:cs="Arial"/>
          <w:i/>
          <w:color w:val="000000"/>
          <w:sz w:val="20"/>
        </w:rPr>
        <w:t>Kiman v. N.H. Dep't of Corr.</w:t>
      </w:r>
      <w:r>
        <w:rPr>
          <w:rFonts w:ascii="Arial" w:eastAsia="Arial" w:hAnsi="Arial" w:cs="Arial"/>
          <w:color w:val="000000"/>
          <w:sz w:val="20"/>
        </w:rPr>
        <w:t xml:space="preserve">, 451 F.3d 274, 284 (1st Cir. 2006); </w:t>
      </w:r>
      <w:bookmarkStart w:id="5720" w:name="Bookmark_I64B55MV2N1PPD0030000400"/>
      <w:bookmarkEnd w:id="5720"/>
      <w:r>
        <w:rPr>
          <w:rFonts w:ascii="Arial" w:eastAsia="Arial" w:hAnsi="Arial" w:cs="Arial"/>
          <w:i/>
          <w:color w:val="000000"/>
          <w:sz w:val="20"/>
        </w:rPr>
        <w:t>Fitzgerald v. Corr. Corp. of Am.</w:t>
      </w:r>
      <w:r>
        <w:rPr>
          <w:rFonts w:ascii="Arial" w:eastAsia="Arial" w:hAnsi="Arial" w:cs="Arial"/>
          <w:color w:val="000000"/>
          <w:sz w:val="20"/>
        </w:rPr>
        <w:t xml:space="preserve">, 403 F.3d 1134, 1144 (10th Cir. 2005); </w:t>
      </w:r>
      <w:bookmarkStart w:id="5721" w:name="Bookmark_I64B55MV2N1PPD0050000400"/>
      <w:bookmarkEnd w:id="5721"/>
      <w:r>
        <w:rPr>
          <w:rFonts w:ascii="Arial" w:eastAsia="Arial" w:hAnsi="Arial" w:cs="Arial"/>
          <w:i/>
          <w:color w:val="000000"/>
          <w:sz w:val="20"/>
        </w:rPr>
        <w:t>Bryant v. Madigan</w:t>
      </w:r>
      <w:r>
        <w:rPr>
          <w:rFonts w:ascii="Arial" w:eastAsia="Arial" w:hAnsi="Arial" w:cs="Arial"/>
          <w:color w:val="000000"/>
          <w:sz w:val="20"/>
        </w:rPr>
        <w:t xml:space="preserve">, 84 F.3d 246, 249 (7th Cir. 1996)); </w:t>
      </w:r>
      <w:r>
        <w:rPr>
          <w:rFonts w:ascii="Arial" w:eastAsia="Arial" w:hAnsi="Arial" w:cs="Arial"/>
          <w:i/>
          <w:color w:val="000000"/>
          <w:sz w:val="20"/>
        </w:rPr>
        <w:t xml:space="preserve">see also </w:t>
      </w:r>
      <w:bookmarkStart w:id="5722" w:name="Bookmark_I64B55MV2D6NN00020000400"/>
      <w:bookmarkEnd w:id="5722"/>
      <w:r>
        <w:rPr>
          <w:rFonts w:ascii="Arial" w:eastAsia="Arial" w:hAnsi="Arial" w:cs="Arial"/>
          <w:i/>
          <w:color w:val="000000"/>
          <w:sz w:val="20"/>
        </w:rPr>
        <w:t>Burger v. Bloomberg</w:t>
      </w:r>
      <w:r>
        <w:rPr>
          <w:rFonts w:ascii="Arial" w:eastAsia="Arial" w:hAnsi="Arial" w:cs="Arial"/>
          <w:color w:val="000000"/>
          <w:sz w:val="20"/>
        </w:rPr>
        <w:t>, 418 F.3d 882, 883 (8th Cir. 2005) (concluding that an ADA lawsuit "cannot be based on medical treatment decisions").</w:t>
      </w:r>
    </w:p>
    <w:p w:rsidR="00022B47" w:rsidRDefault="00000000">
      <w:pPr>
        <w:pStyle w:val="Normal33"/>
        <w:widowControl w:val="0"/>
        <w:spacing w:before="200" w:line="260" w:lineRule="atLeast"/>
        <w:jc w:val="both"/>
      </w:pPr>
      <w:bookmarkStart w:id="5723" w:name="Bookmark_para_14_30"/>
      <w:bookmarkEnd w:id="5723"/>
      <w:r>
        <w:rPr>
          <w:rFonts w:ascii="Arial" w:eastAsia="Arial" w:hAnsi="Arial" w:cs="Arial"/>
          <w:color w:val="000000"/>
          <w:sz w:val="20"/>
        </w:rPr>
        <w:t xml:space="preserve">In addition, Powell's allegations about the March 23, 2018, email and the updated policies included therein do not support his ADA claim. On appeal, Powell describes these "discriminatory" policies as the basis for his lawsuit, asserting that they imposed more onerous procedures on ADHD patients and were intended to discourage their participation in the defendants' medical practice. But he provides no specific facts to support his conclusory allegation that these policies [*6]  were discriminatory. In his amended complaint, he concedes that he believed that the updated policies were inapplicable to him and describes them as "mostly sensible precautions" regarding treatment protocols. </w:t>
      </w:r>
      <w:bookmarkStart w:id="5724" w:name="Bookmark_I64B55MV2D6NN00050000400"/>
      <w:bookmarkEnd w:id="5724"/>
      <w:r>
        <w:rPr>
          <w:rFonts w:ascii="Arial" w:eastAsia="Arial" w:hAnsi="Arial" w:cs="Arial"/>
          <w:color w:val="000000"/>
          <w:sz w:val="20"/>
        </w:rPr>
        <w:t xml:space="preserve">Although Powell characterizes the policies as disparaging in tone, this allegation falls far short of showing that the policies denied him the opportunity to participate in or benefit from the Clinic's services based on his disability. </w:t>
      </w:r>
      <w:r>
        <w:rPr>
          <w:rFonts w:ascii="Arial" w:eastAsia="Arial" w:hAnsi="Arial" w:cs="Arial"/>
          <w:i/>
          <w:color w:val="000000"/>
          <w:sz w:val="20"/>
        </w:rPr>
        <w:t>See</w:t>
      </w:r>
      <w:r>
        <w:rPr>
          <w:rFonts w:ascii="Arial" w:eastAsia="Arial" w:hAnsi="Arial" w:cs="Arial"/>
          <w:color w:val="000000"/>
          <w:sz w:val="20"/>
        </w:rPr>
        <w:t xml:space="preserve"> 42 U.S.C. § 12182(b)(1)(A). His vague reference to the email, without any factual support, is insufficient to state a plausible claim that the defendants initiated any policy that discriminated against individuals with ADHD. </w:t>
      </w:r>
      <w:r>
        <w:rPr>
          <w:rFonts w:ascii="Arial" w:eastAsia="Arial" w:hAnsi="Arial" w:cs="Arial"/>
          <w:i/>
          <w:color w:val="000000"/>
          <w:sz w:val="20"/>
        </w:rPr>
        <w:t xml:space="preserve">Cf. </w:t>
      </w:r>
      <w:bookmarkStart w:id="5725" w:name="Bookmark_I64B55MV2D6NN00040000400"/>
      <w:bookmarkEnd w:id="5725"/>
      <w:r>
        <w:rPr>
          <w:rFonts w:ascii="Arial" w:eastAsia="Arial" w:hAnsi="Arial" w:cs="Arial"/>
          <w:i/>
          <w:color w:val="000000"/>
          <w:sz w:val="20"/>
        </w:rPr>
        <w:t>Iqbal</w:t>
      </w:r>
      <w:r>
        <w:rPr>
          <w:rFonts w:ascii="Arial" w:eastAsia="Arial" w:hAnsi="Arial" w:cs="Arial"/>
          <w:color w:val="000000"/>
          <w:sz w:val="20"/>
        </w:rPr>
        <w:t xml:space="preserve">, 556 U.S. at 678 </w:t>
      </w:r>
      <w:bookmarkStart w:id="5726" w:name="Bookmark_LNHNREFclscc4_29"/>
      <w:bookmarkEnd w:id="5726"/>
      <w:r>
        <w:rPr>
          <w:rFonts w:ascii="Arial" w:eastAsia="Arial" w:hAnsi="Arial" w:cs="Arial"/>
          <w:color w:val="000000"/>
          <w:sz w:val="20"/>
        </w:rPr>
        <w:t>("A claim has facial plausibility when the plaintiff pleads factual content that allows the court to draw the reasonable inference that the defendant is liable for the misconduct alleged.").</w:t>
      </w:r>
    </w:p>
    <w:p w:rsidR="00022B47" w:rsidRDefault="00000000">
      <w:pPr>
        <w:pStyle w:val="Normal33"/>
        <w:widowControl w:val="0"/>
        <w:spacing w:before="240" w:line="260" w:lineRule="atLeast"/>
      </w:pPr>
      <w:r>
        <w:br/>
      </w:r>
      <w:r>
        <w:rPr>
          <w:rFonts w:ascii="Arial" w:eastAsia="Arial" w:hAnsi="Arial" w:cs="Arial"/>
          <w:color w:val="000000"/>
          <w:sz w:val="20"/>
          <w:u w:val="single"/>
        </w:rPr>
        <w:t>State-Law Claims</w:t>
      </w:r>
    </w:p>
    <w:p w:rsidR="00022B47" w:rsidRDefault="00000000">
      <w:pPr>
        <w:pStyle w:val="Normal33"/>
        <w:widowControl w:val="0"/>
        <w:spacing w:before="200" w:line="260" w:lineRule="atLeast"/>
        <w:jc w:val="both"/>
      </w:pPr>
      <w:bookmarkStart w:id="5727" w:name="Bookmark_para_15_29"/>
      <w:bookmarkStart w:id="5728" w:name="Bookmark_I64B55MW2SF84G0020000400"/>
      <w:bookmarkEnd w:id="5727"/>
      <w:bookmarkEnd w:id="5728"/>
      <w:r>
        <w:rPr>
          <w:rFonts w:ascii="Arial" w:eastAsia="Arial" w:hAnsi="Arial" w:cs="Arial"/>
          <w:color w:val="000000"/>
          <w:sz w:val="20"/>
        </w:rPr>
        <w:t xml:space="preserve">Finally, the district court did not abuse its discretion when it declined to exercise supplemental jurisdiction over Powell's state-law claims (presumably, for medical malpractice) after dismissing his federal claims. </w:t>
      </w:r>
      <w:r>
        <w:rPr>
          <w:rFonts w:ascii="Arial" w:eastAsia="Arial" w:hAnsi="Arial" w:cs="Arial"/>
          <w:i/>
          <w:color w:val="000000"/>
          <w:sz w:val="20"/>
        </w:rPr>
        <w:t xml:space="preserve">See </w:t>
      </w:r>
      <w:bookmarkStart w:id="5729" w:name="Bookmark_I64B55MW2SF84G0010000400"/>
      <w:bookmarkEnd w:id="5729"/>
      <w:r>
        <w:rPr>
          <w:rFonts w:ascii="Arial" w:eastAsia="Arial" w:hAnsi="Arial" w:cs="Arial"/>
          <w:i/>
          <w:color w:val="000000"/>
          <w:sz w:val="20"/>
        </w:rPr>
        <w:t>Robert N. Clemens Tr. v. Morgan Stanley DW, Inc.</w:t>
      </w:r>
      <w:r>
        <w:rPr>
          <w:rFonts w:ascii="Arial" w:eastAsia="Arial" w:hAnsi="Arial" w:cs="Arial"/>
          <w:color w:val="000000"/>
          <w:sz w:val="20"/>
        </w:rPr>
        <w:t>, 485 F.3d 840, 853 (6th Cir. 2007).</w:t>
      </w:r>
    </w:p>
    <w:p w:rsidR="00022B47" w:rsidRDefault="00000000">
      <w:pPr>
        <w:pStyle w:val="Normal33"/>
        <w:widowControl w:val="0"/>
        <w:spacing w:before="240" w:line="260" w:lineRule="atLeast"/>
      </w:pPr>
      <w:r>
        <w:br/>
      </w:r>
      <w:r>
        <w:rPr>
          <w:rFonts w:ascii="Arial" w:eastAsia="Arial" w:hAnsi="Arial" w:cs="Arial"/>
          <w:color w:val="000000"/>
          <w:sz w:val="20"/>
          <w:u w:val="single"/>
        </w:rPr>
        <w:t>Motion for the Appointment Counsel</w:t>
      </w:r>
    </w:p>
    <w:p w:rsidR="00022B47" w:rsidRDefault="00000000">
      <w:pPr>
        <w:pStyle w:val="Normal33"/>
        <w:widowControl w:val="0"/>
        <w:spacing w:before="200" w:line="260" w:lineRule="atLeast"/>
        <w:jc w:val="both"/>
      </w:pPr>
      <w:bookmarkStart w:id="5730" w:name="Bookmark_para_16_29"/>
      <w:bookmarkStart w:id="5731" w:name="Bookmark_I64B55MW2SF84G0040000400"/>
      <w:bookmarkStart w:id="5732" w:name="Bookmark_I64B55MW28T43S0010000400"/>
      <w:bookmarkEnd w:id="5730"/>
      <w:bookmarkEnd w:id="5731"/>
      <w:bookmarkEnd w:id="5732"/>
      <w:r>
        <w:rPr>
          <w:rFonts w:ascii="Arial" w:eastAsia="Arial" w:hAnsi="Arial" w:cs="Arial"/>
          <w:color w:val="000000"/>
          <w:sz w:val="20"/>
        </w:rPr>
        <w:t xml:space="preserve">The district court also did not abuse its discretion by denying Powell's motion for [*7]  the appointment of counsel. </w:t>
      </w:r>
      <w:bookmarkStart w:id="5733" w:name="Bookmark_LNHNREFclscc5_29"/>
      <w:bookmarkEnd w:id="5733"/>
      <w:r>
        <w:rPr>
          <w:rFonts w:ascii="Arial" w:eastAsia="Arial" w:hAnsi="Arial" w:cs="Arial"/>
          <w:color w:val="000000"/>
          <w:sz w:val="20"/>
        </w:rPr>
        <w:t xml:space="preserve">A plaintiff does not have a constitutional right to counsel in a civil case; rather, the appointment of counsel is "justified only by exceptional circumstances." </w:t>
      </w:r>
      <w:bookmarkStart w:id="5734" w:name="Bookmark_I64B55MW2SF84G0030000400"/>
      <w:bookmarkEnd w:id="5734"/>
      <w:r>
        <w:rPr>
          <w:rFonts w:ascii="Arial" w:eastAsia="Arial" w:hAnsi="Arial" w:cs="Arial"/>
          <w:i/>
          <w:color w:val="000000"/>
          <w:sz w:val="20"/>
        </w:rPr>
        <w:t>Lavado v. Keohane</w:t>
      </w:r>
      <w:r>
        <w:rPr>
          <w:rFonts w:ascii="Arial" w:eastAsia="Arial" w:hAnsi="Arial" w:cs="Arial"/>
          <w:color w:val="000000"/>
          <w:sz w:val="20"/>
        </w:rPr>
        <w:t xml:space="preserve">, 992 F.2d 601, 605-06 (6th Cir. 1993). Proper considerations in determining whether to appoint counsel include the plaintiff's ability to represent himself, the type of case, and the "complexity of the factual and legal issues involved." </w:t>
      </w:r>
      <w:bookmarkStart w:id="5735" w:name="Bookmark_I64B55MW2SF84G0050000400"/>
      <w:bookmarkEnd w:id="5735"/>
      <w:r>
        <w:rPr>
          <w:rFonts w:ascii="Arial" w:eastAsia="Arial" w:hAnsi="Arial" w:cs="Arial"/>
          <w:i/>
          <w:color w:val="000000"/>
          <w:sz w:val="20"/>
        </w:rPr>
        <w:t>Id.</w:t>
      </w:r>
      <w:r>
        <w:rPr>
          <w:rFonts w:ascii="Arial" w:eastAsia="Arial" w:hAnsi="Arial" w:cs="Arial"/>
          <w:color w:val="000000"/>
          <w:sz w:val="20"/>
        </w:rPr>
        <w:t xml:space="preserve"> at 606 (quoting </w:t>
      </w:r>
      <w:bookmarkStart w:id="5736" w:name="Bookmark_I64B55MW28T43S0020000400"/>
      <w:bookmarkEnd w:id="5736"/>
      <w:r>
        <w:rPr>
          <w:rFonts w:ascii="Arial" w:eastAsia="Arial" w:hAnsi="Arial" w:cs="Arial"/>
          <w:i/>
          <w:color w:val="000000"/>
          <w:sz w:val="20"/>
        </w:rPr>
        <w:t>Cookish v. Cunningham</w:t>
      </w:r>
      <w:r>
        <w:rPr>
          <w:rFonts w:ascii="Arial" w:eastAsia="Arial" w:hAnsi="Arial" w:cs="Arial"/>
          <w:color w:val="000000"/>
          <w:sz w:val="20"/>
        </w:rPr>
        <w:t>, 787 F.2d 1, 3 (1st Cir. 1986)). Powell has not demonstrated that such exceptional circumstances exist in this case.</w:t>
      </w:r>
    </w:p>
    <w:p w:rsidR="00022B47" w:rsidRDefault="00000000">
      <w:pPr>
        <w:pStyle w:val="Normal33"/>
        <w:widowControl w:val="0"/>
        <w:spacing w:before="200" w:line="260" w:lineRule="atLeast"/>
        <w:jc w:val="both"/>
      </w:pPr>
      <w:bookmarkStart w:id="5737" w:name="Bookmark_para_17_28"/>
      <w:bookmarkEnd w:id="5737"/>
      <w:r>
        <w:rPr>
          <w:rFonts w:ascii="Arial" w:eastAsia="Arial" w:hAnsi="Arial" w:cs="Arial"/>
          <w:color w:val="000000"/>
          <w:sz w:val="20"/>
        </w:rPr>
        <w:t xml:space="preserve">Accordingly, we </w:t>
      </w:r>
      <w:r>
        <w:rPr>
          <w:rFonts w:ascii="Arial" w:eastAsia="Arial" w:hAnsi="Arial" w:cs="Arial"/>
          <w:b/>
          <w:color w:val="000000"/>
          <w:sz w:val="20"/>
        </w:rPr>
        <w:t>AFFIRM</w:t>
      </w:r>
      <w:r>
        <w:rPr>
          <w:rFonts w:ascii="Arial" w:eastAsia="Arial" w:hAnsi="Arial" w:cs="Arial"/>
          <w:color w:val="000000"/>
          <w:sz w:val="20"/>
        </w:rPr>
        <w:t xml:space="preserve"> the district court's judgment.</w:t>
      </w:r>
    </w:p>
    <w:p w:rsidR="00022B47" w:rsidRDefault="00022B47">
      <w:pPr>
        <w:pStyle w:val="Normal33"/>
      </w:pPr>
    </w:p>
    <w:p w:rsidR="00022B47" w:rsidRDefault="00000000">
      <w:pPr>
        <w:pStyle w:val="Normal33"/>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29920"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700816126"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1BD3B3" id="Line 72"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34"/>
        <w:sectPr w:rsidR="00022B47">
          <w:headerReference w:type="even" r:id="rId211"/>
          <w:headerReference w:type="default" r:id="rId212"/>
          <w:footerReference w:type="even" r:id="rId213"/>
          <w:footerReference w:type="default" r:id="rId214"/>
          <w:headerReference w:type="first" r:id="rId215"/>
          <w:footerReference w:type="first" r:id="rId216"/>
          <w:pgSz w:w="12240" w:h="15840"/>
          <w:pgMar w:top="840" w:right="1000" w:bottom="840" w:left="1000" w:header="400" w:footer="400" w:gutter="0"/>
          <w:cols w:space="720"/>
          <w:titlePg/>
        </w:sectPr>
      </w:pPr>
    </w:p>
    <w:p w:rsidR="00022B47" w:rsidRDefault="00022B47">
      <w:pPr>
        <w:pStyle w:val="Normal34"/>
      </w:pPr>
    </w:p>
    <w:p w:rsidR="00022B47" w:rsidRDefault="00000000">
      <w:pPr>
        <w:pStyle w:val="Heading133"/>
        <w:keepNext w:val="0"/>
        <w:widowControl w:val="0"/>
        <w:spacing w:after="200" w:line="340" w:lineRule="atLeast"/>
        <w:jc w:val="center"/>
      </w:pPr>
      <w:r>
        <w:rPr>
          <w:rFonts w:eastAsia="Arial"/>
          <w:color w:val="000000"/>
          <w:sz w:val="28"/>
        </w:rPr>
        <w:t>Cooks v. Contra Costa Cty.</w:t>
      </w:r>
    </w:p>
    <w:p w:rsidR="00022B47" w:rsidRDefault="00000000">
      <w:pPr>
        <w:pStyle w:val="Normal34"/>
        <w:widowControl w:val="0"/>
        <w:spacing w:before="120" w:line="260" w:lineRule="atLeast"/>
        <w:jc w:val="center"/>
      </w:pPr>
      <w:r>
        <w:rPr>
          <w:rFonts w:ascii="Arial" w:eastAsia="Arial" w:hAnsi="Arial" w:cs="Arial"/>
          <w:color w:val="000000"/>
          <w:sz w:val="20"/>
        </w:rPr>
        <w:t>United States Court of Appeals for the Ninth Circuit</w:t>
      </w:r>
    </w:p>
    <w:p w:rsidR="00022B47" w:rsidRDefault="00000000">
      <w:pPr>
        <w:pStyle w:val="Normal34"/>
        <w:widowControl w:val="0"/>
        <w:spacing w:before="120" w:line="260" w:lineRule="atLeast"/>
        <w:jc w:val="center"/>
      </w:pPr>
      <w:r>
        <w:rPr>
          <w:rFonts w:ascii="Arial" w:eastAsia="Arial" w:hAnsi="Arial" w:cs="Arial"/>
          <w:color w:val="000000"/>
          <w:sz w:val="20"/>
        </w:rPr>
        <w:t>November 18, 2021</w:t>
      </w:r>
      <w:r>
        <w:rPr>
          <w:rFonts w:ascii="Arial" w:eastAsia="Arial" w:hAnsi="Arial" w:cs="Arial"/>
          <w:vertAlign w:val="superscript"/>
        </w:rPr>
        <w:footnoteReference w:customMarkFollows="1" w:id="158"/>
        <w:t>**</w:t>
      </w:r>
      <w:r>
        <w:rPr>
          <w:rFonts w:ascii="Arial" w:eastAsia="Arial" w:hAnsi="Arial" w:cs="Arial"/>
          <w:color w:val="000000"/>
          <w:sz w:val="20"/>
        </w:rPr>
        <w:t>, Submitted, San Francisco, California; November 23, 2021, Filed</w:t>
      </w:r>
    </w:p>
    <w:p w:rsidR="00022B47" w:rsidRDefault="00000000">
      <w:pPr>
        <w:pStyle w:val="Normal34"/>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20-17516</w:t>
      </w:r>
    </w:p>
    <w:p w:rsidR="00022B47" w:rsidRDefault="00022B47">
      <w:pPr>
        <w:pStyle w:val="Normal34"/>
        <w:widowControl w:val="0"/>
        <w:spacing w:line="240" w:lineRule="atLeast"/>
        <w:jc w:val="both"/>
      </w:pPr>
      <w:bookmarkStart w:id="5739" w:name="Bookmark_35"/>
      <w:bookmarkEnd w:id="5739"/>
    </w:p>
    <w:p w:rsidR="00022B47" w:rsidRDefault="00000000">
      <w:pPr>
        <w:pStyle w:val="Normal34"/>
        <w:widowControl w:val="0"/>
        <w:spacing w:before="200" w:line="240" w:lineRule="atLeast"/>
      </w:pPr>
      <w:bookmarkStart w:id="5740" w:name="Reporter_33"/>
      <w:bookmarkEnd w:id="5740"/>
      <w:r>
        <w:rPr>
          <w:rFonts w:ascii="Arial" w:eastAsia="Arial" w:hAnsi="Arial" w:cs="Arial"/>
          <w:b/>
          <w:color w:val="000000"/>
          <w:sz w:val="18"/>
        </w:rPr>
        <w:t>Reporter</w:t>
      </w:r>
    </w:p>
    <w:p w:rsidR="00022B47" w:rsidRDefault="00000000">
      <w:pPr>
        <w:pStyle w:val="Normal34"/>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2021 U.S. App. LEXIS 34803 *; 2021 WL 5492985</w:t>
      </w:r>
    </w:p>
    <w:p w:rsidR="00022B47" w:rsidRDefault="00000000">
      <w:pPr>
        <w:pStyle w:val="Normal34"/>
        <w:widowControl w:val="0"/>
        <w:spacing w:before="120" w:line="260" w:lineRule="atLeast"/>
      </w:pPr>
      <w:r>
        <w:rPr>
          <w:rFonts w:ascii="Arial" w:eastAsia="Arial" w:hAnsi="Arial" w:cs="Arial"/>
          <w:color w:val="000000"/>
          <w:sz w:val="20"/>
        </w:rPr>
        <w:t>PETER COOKS, Plaintiff-Appellant, v. CONTRA COSTA COUNTY, Defendant-Appellee.</w:t>
      </w:r>
    </w:p>
    <w:p w:rsidR="00022B47" w:rsidRDefault="00000000">
      <w:pPr>
        <w:pStyle w:val="Normal34"/>
        <w:widowControl w:val="0"/>
        <w:spacing w:before="240" w:line="260" w:lineRule="atLeast"/>
        <w:jc w:val="both"/>
      </w:pPr>
      <w:bookmarkStart w:id="5741" w:name="Notice_17"/>
      <w:bookmarkEnd w:id="5741"/>
      <w:r>
        <w:rPr>
          <w:rFonts w:ascii="Arial" w:eastAsia="Arial" w:hAnsi="Arial" w:cs="Arial"/>
          <w:b/>
          <w:color w:val="000000"/>
          <w:sz w:val="20"/>
        </w:rPr>
        <w:t>Notice:</w:t>
      </w:r>
      <w:r>
        <w:rPr>
          <w:rFonts w:ascii="Arial" w:eastAsia="Arial" w:hAnsi="Arial" w:cs="Arial"/>
          <w:color w:val="000000"/>
          <w:sz w:val="20"/>
        </w:rPr>
        <w:t> </w:t>
      </w:r>
      <w:bookmarkStart w:id="5742" w:name="Bookmark_para_1_33"/>
      <w:bookmarkEnd w:id="5742"/>
      <w:r>
        <w:rPr>
          <w:rFonts w:ascii="Arial" w:eastAsia="Arial" w:hAnsi="Arial" w:cs="Arial"/>
          <w:color w:val="000000"/>
          <w:sz w:val="20"/>
        </w:rPr>
        <w:t>PLEASE REFER TO FEDERAL RULES OF APPELLATE PROCEDURE RULE 32.1 GOVERNING THE CITATION TO UNPUBLISHED OPINIONS.</w:t>
      </w:r>
    </w:p>
    <w:p w:rsidR="00022B47" w:rsidRDefault="00000000">
      <w:pPr>
        <w:pStyle w:val="Normal34"/>
        <w:widowControl w:val="0"/>
        <w:spacing w:before="240" w:line="260" w:lineRule="atLeast"/>
      </w:pPr>
      <w:bookmarkStart w:id="5743" w:name="Subsequent_History_5"/>
      <w:bookmarkEnd w:id="5743"/>
      <w:r>
        <w:rPr>
          <w:rFonts w:ascii="Arial" w:eastAsia="Arial" w:hAnsi="Arial" w:cs="Arial"/>
          <w:b/>
          <w:color w:val="000000"/>
          <w:sz w:val="20"/>
        </w:rPr>
        <w:t>Subsequent History:</w:t>
      </w:r>
      <w:r>
        <w:rPr>
          <w:rFonts w:ascii="Arial" w:eastAsia="Arial" w:hAnsi="Arial" w:cs="Arial"/>
          <w:color w:val="000000"/>
          <w:sz w:val="20"/>
        </w:rPr>
        <w:t> Motion denied by Cooks v. Contra Costa Cnty., 142 S. Ct. 2737, 212 L. Ed. 2d 795, 2022 U.S. LEXIS 2506, 2022 WL 1611784 (U.S., May 23, 2022)</w:t>
      </w:r>
    </w:p>
    <w:p w:rsidR="00022B47" w:rsidRDefault="00000000">
      <w:pPr>
        <w:pStyle w:val="Normal34"/>
        <w:widowControl w:val="0"/>
        <w:spacing w:before="120" w:line="260" w:lineRule="atLeast"/>
      </w:pPr>
      <w:r>
        <w:rPr>
          <w:rFonts w:ascii="Arial" w:eastAsia="Arial" w:hAnsi="Arial" w:cs="Arial"/>
          <w:color w:val="000000"/>
          <w:sz w:val="20"/>
        </w:rPr>
        <w:t>US Supreme Court certiorari denied by Cooks, Peter v. Contra Costa Cnty., 2022 U.S. LEXIS 3710 (U.S., Oct. 3, 2022)</w:t>
      </w:r>
    </w:p>
    <w:p w:rsidR="00022B47" w:rsidRDefault="00000000">
      <w:pPr>
        <w:pStyle w:val="Normal34"/>
        <w:widowControl w:val="0"/>
        <w:spacing w:before="240" w:line="260" w:lineRule="atLeast"/>
        <w:jc w:val="both"/>
      </w:pPr>
      <w:bookmarkStart w:id="5744" w:name="Prior_History_33"/>
      <w:bookmarkEnd w:id="5744"/>
      <w:r>
        <w:rPr>
          <w:rFonts w:ascii="Arial" w:eastAsia="Arial" w:hAnsi="Arial" w:cs="Arial"/>
          <w:b/>
          <w:color w:val="000000"/>
          <w:sz w:val="20"/>
        </w:rPr>
        <w:t>Prior History:</w:t>
      </w:r>
      <w:r>
        <w:rPr>
          <w:rFonts w:ascii="Arial" w:eastAsia="Arial" w:hAnsi="Arial" w:cs="Arial"/>
          <w:color w:val="000000"/>
          <w:sz w:val="20"/>
        </w:rPr>
        <w:t> </w:t>
      </w:r>
      <w:bookmarkStart w:id="5745" w:name="Bookmark_para_2_33"/>
      <w:bookmarkEnd w:id="5745"/>
      <w:r>
        <w:rPr>
          <w:rFonts w:ascii="Arial" w:eastAsia="Arial" w:hAnsi="Arial" w:cs="Arial"/>
          <w:color w:val="000000"/>
          <w:sz w:val="20"/>
        </w:rPr>
        <w:t> [*1] Appeal from the United States District Court for the Northern District of California. D.C. No. 4:20-cv-02695-PJH. Phyllis J. Hamilton, Senior District Judge, Presiding.</w:t>
      </w:r>
    </w:p>
    <w:p w:rsidR="00022B47" w:rsidRDefault="00000000">
      <w:pPr>
        <w:pStyle w:val="Normal34"/>
        <w:widowControl w:val="0"/>
        <w:spacing w:before="120" w:line="260" w:lineRule="atLeast"/>
      </w:pPr>
      <w:r>
        <w:rPr>
          <w:rFonts w:ascii="Arial" w:eastAsia="Arial" w:hAnsi="Arial" w:cs="Arial"/>
          <w:color w:val="000000"/>
          <w:sz w:val="20"/>
        </w:rPr>
        <w:t>Cooks v. Contra Costa Cty., 2020 U.S. Dist. LEXIS 223715, 2020 WL 7025137 (N.D. Cal., Nov. 30, 2020)</w:t>
      </w:r>
    </w:p>
    <w:p w:rsidR="00022B47" w:rsidRDefault="00000000">
      <w:pPr>
        <w:pStyle w:val="Normal34"/>
        <w:widowControl w:val="0"/>
        <w:spacing w:before="240" w:line="260" w:lineRule="atLeast"/>
        <w:jc w:val="both"/>
      </w:pPr>
      <w:bookmarkStart w:id="5746" w:name="Disposition_5"/>
      <w:bookmarkEnd w:id="5746"/>
      <w:r>
        <w:rPr>
          <w:rFonts w:ascii="Arial" w:eastAsia="Arial" w:hAnsi="Arial" w:cs="Arial"/>
          <w:b/>
          <w:color w:val="000000"/>
          <w:sz w:val="20"/>
        </w:rPr>
        <w:t>Disposition:</w:t>
      </w:r>
      <w:r>
        <w:rPr>
          <w:rFonts w:ascii="Arial" w:eastAsia="Arial" w:hAnsi="Arial" w:cs="Arial"/>
          <w:color w:val="000000"/>
          <w:sz w:val="20"/>
        </w:rPr>
        <w:t> </w:t>
      </w:r>
      <w:bookmarkStart w:id="5747" w:name="Bookmark_clspara_1_0"/>
      <w:bookmarkEnd w:id="5747"/>
      <w:r>
        <w:rPr>
          <w:rFonts w:ascii="Arial" w:eastAsia="Arial" w:hAnsi="Arial" w:cs="Arial"/>
          <w:color w:val="000000"/>
          <w:sz w:val="20"/>
        </w:rPr>
        <w:t>AFFIRMED.</w:t>
      </w:r>
    </w:p>
    <w:p w:rsidR="00022B47" w:rsidRDefault="00000000">
      <w:pPr>
        <w:pStyle w:val="Normal34"/>
        <w:widowControl w:val="0"/>
        <w:spacing w:before="240" w:line="260" w:lineRule="atLeast"/>
      </w:pPr>
      <w:bookmarkStart w:id="5748" w:name="Counsel_33"/>
      <w:bookmarkEnd w:id="5748"/>
      <w:r>
        <w:rPr>
          <w:rFonts w:ascii="Arial" w:eastAsia="Arial" w:hAnsi="Arial" w:cs="Arial"/>
          <w:b/>
          <w:color w:val="000000"/>
          <w:sz w:val="20"/>
        </w:rPr>
        <w:t>Counsel:</w:t>
      </w:r>
      <w:r>
        <w:rPr>
          <w:rFonts w:ascii="Arial" w:eastAsia="Arial" w:hAnsi="Arial" w:cs="Arial"/>
          <w:color w:val="000000"/>
          <w:sz w:val="20"/>
        </w:rPr>
        <w:t> For PETER JAMES COOKS, Plaintiff - Appellant: Roderick Cooks, Attorney, Lee David Winston, Winston Cooks, LLC, Birmingham, AL.</w:t>
      </w:r>
    </w:p>
    <w:p w:rsidR="00022B47" w:rsidRDefault="00000000">
      <w:pPr>
        <w:pStyle w:val="Normal34"/>
        <w:widowControl w:val="0"/>
        <w:spacing w:before="120" w:line="260" w:lineRule="atLeast"/>
      </w:pPr>
      <w:r>
        <w:rPr>
          <w:rFonts w:ascii="Arial" w:eastAsia="Arial" w:hAnsi="Arial" w:cs="Arial"/>
          <w:color w:val="000000"/>
          <w:sz w:val="20"/>
        </w:rPr>
        <w:t>For CONTRA COSTA COUNTY, Defendant - Appellee: Sean Michael Rodriquez, Office of County Counsel, Martinez, CA.</w:t>
      </w:r>
    </w:p>
    <w:p w:rsidR="00022B47" w:rsidRDefault="00000000">
      <w:pPr>
        <w:pStyle w:val="Normal34"/>
        <w:widowControl w:val="0"/>
        <w:spacing w:before="240" w:line="260" w:lineRule="atLeast"/>
      </w:pPr>
      <w:bookmarkStart w:id="5749" w:name="Judges_33"/>
      <w:bookmarkEnd w:id="5749"/>
      <w:r>
        <w:rPr>
          <w:rFonts w:ascii="Arial" w:eastAsia="Arial" w:hAnsi="Arial" w:cs="Arial"/>
          <w:b/>
          <w:color w:val="000000"/>
          <w:sz w:val="20"/>
        </w:rPr>
        <w:t>Judges:</w:t>
      </w:r>
      <w:r>
        <w:rPr>
          <w:rFonts w:ascii="Arial" w:eastAsia="Arial" w:hAnsi="Arial" w:cs="Arial"/>
          <w:color w:val="000000"/>
          <w:sz w:val="20"/>
        </w:rPr>
        <w:t> Before: THOMAS, Chief Judge, MCKEOWN, Circuit Judge, and MOLLOY,</w:t>
      </w:r>
      <w:r>
        <w:rPr>
          <w:rFonts w:ascii="Arial" w:eastAsia="Arial" w:hAnsi="Arial" w:cs="Arial"/>
          <w:vertAlign w:val="superscript"/>
        </w:rPr>
        <w:footnoteReference w:customMarkFollows="1" w:id="159"/>
        <w:t>***</w:t>
      </w:r>
      <w:r>
        <w:rPr>
          <w:rFonts w:ascii="Arial" w:eastAsia="Arial" w:hAnsi="Arial" w:cs="Arial"/>
          <w:color w:val="000000"/>
          <w:sz w:val="20"/>
        </w:rPr>
        <w:t xml:space="preserve"> District Judge.</w:t>
      </w:r>
    </w:p>
    <w:p w:rsidR="00022B47" w:rsidRDefault="00000000">
      <w:pPr>
        <w:pStyle w:val="Normal34"/>
        <w:keepNext/>
        <w:widowControl w:val="0"/>
        <w:spacing w:before="240" w:line="340" w:lineRule="atLeast"/>
      </w:pPr>
      <w:bookmarkStart w:id="5751" w:name="Opinion_33"/>
      <w:bookmarkEnd w:id="5751"/>
      <w:r>
        <w:rPr>
          <w:rFonts w:ascii="Arial" w:eastAsia="Arial" w:hAnsi="Arial" w:cs="Arial"/>
          <w:b/>
          <w:color w:val="000000"/>
          <w:sz w:val="28"/>
        </w:rPr>
        <w:t>Opinion</w:t>
      </w:r>
    </w:p>
    <w:p w:rsidR="00022B47" w:rsidRDefault="0025213E">
      <w:pPr>
        <w:pStyle w:val="Normal34"/>
        <w:spacing w:line="60" w:lineRule="exact"/>
      </w:pPr>
      <w:r>
        <w:rPr>
          <w:noProof/>
        </w:rPr>
        <mc:AlternateContent>
          <mc:Choice Requires="wps">
            <w:drawing>
              <wp:anchor distT="0" distB="0" distL="114300" distR="114300" simplePos="0" relativeHeight="251730944"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559024428"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C3B05" id="Line 73"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34"/>
        <w:spacing w:line="120" w:lineRule="exact"/>
      </w:pPr>
    </w:p>
    <w:p w:rsidR="00022B47" w:rsidRDefault="00000000">
      <w:pPr>
        <w:pStyle w:val="Normal34"/>
        <w:widowControl w:val="0"/>
        <w:spacing w:before="120" w:line="260" w:lineRule="atLeast"/>
      </w:pPr>
      <w:r>
        <w:rPr>
          <w:rFonts w:ascii="Arial" w:eastAsia="Arial" w:hAnsi="Arial" w:cs="Arial"/>
          <w:color w:val="000000"/>
          <w:sz w:val="20"/>
        </w:rPr>
        <w:t>MEMORANDUM</w:t>
      </w:r>
      <w:r>
        <w:rPr>
          <w:rFonts w:ascii="Arial" w:eastAsia="Arial" w:hAnsi="Arial" w:cs="Arial"/>
          <w:vertAlign w:val="superscript"/>
        </w:rPr>
        <w:footnoteReference w:customMarkFollows="1" w:id="160"/>
        <w:t>*</w:t>
      </w:r>
    </w:p>
    <w:p w:rsidR="00022B47" w:rsidRDefault="00000000">
      <w:pPr>
        <w:pStyle w:val="Normal34"/>
        <w:widowControl w:val="0"/>
        <w:spacing w:before="200" w:line="260" w:lineRule="atLeast"/>
        <w:jc w:val="both"/>
      </w:pPr>
      <w:bookmarkStart w:id="5753" w:name="Bookmark_para_3_33"/>
      <w:bookmarkEnd w:id="5753"/>
      <w:r>
        <w:rPr>
          <w:rFonts w:ascii="Arial" w:eastAsia="Arial" w:hAnsi="Arial" w:cs="Arial"/>
          <w:color w:val="000000"/>
          <w:sz w:val="20"/>
        </w:rPr>
        <w:t>Following his termination, Peter Cooks sued his former employer, Contra Costa County (the "County"), for violations of the Rehabilitation Act of 1973 and the Uniformed Services Employment and Reemployment Rights Act of 1994 ("Uniformed Services Act"). The district court granted the County's second motion to dismiss, concluding that Cooks's Rehabilitation Act was time barred and that he failed to state a claim under the Uniformed Services Act. We have jurisdiction pursuant to 28 U.S.C. § 1291, and we affirm.</w:t>
      </w:r>
    </w:p>
    <w:p w:rsidR="00022B47" w:rsidRDefault="00000000">
      <w:pPr>
        <w:pStyle w:val="Normal34"/>
        <w:widowControl w:val="0"/>
        <w:spacing w:before="200" w:line="260" w:lineRule="atLeast"/>
        <w:jc w:val="both"/>
      </w:pPr>
      <w:bookmarkStart w:id="5754" w:name="Bookmark_para_4_33"/>
      <w:bookmarkStart w:id="5755" w:name="Bookmark_I646RMGC2D6NCT0020000400"/>
      <w:bookmarkEnd w:id="5754"/>
      <w:bookmarkEnd w:id="5755"/>
      <w:r>
        <w:rPr>
          <w:rFonts w:ascii="Arial" w:eastAsia="Arial" w:hAnsi="Arial" w:cs="Arial"/>
          <w:color w:val="000000"/>
          <w:sz w:val="20"/>
        </w:rPr>
        <w:t xml:space="preserve">1. Cooks's Rehabilitation Act claim is time barred. The federal four-year statute of limitations under 28 U.S.C. § 1658 applies only to federal claims that were "made possible by a post-1990 amendment." </w:t>
      </w:r>
      <w:bookmarkStart w:id="5756" w:name="Bookmark_I646RMGC2D6NCT0010000400"/>
      <w:bookmarkEnd w:id="5756"/>
      <w:r>
        <w:rPr>
          <w:rFonts w:ascii="Arial" w:eastAsia="Arial" w:hAnsi="Arial" w:cs="Arial"/>
          <w:i/>
          <w:color w:val="000000"/>
          <w:sz w:val="20"/>
        </w:rPr>
        <w:t>Jones v. R.R. Donnelley &amp; Sons Co.</w:t>
      </w:r>
      <w:r>
        <w:rPr>
          <w:rFonts w:ascii="Arial" w:eastAsia="Arial" w:hAnsi="Arial" w:cs="Arial"/>
          <w:color w:val="000000"/>
          <w:sz w:val="20"/>
        </w:rPr>
        <w:t>, 541 U.S. 369, 382, 124 S. Ct. 1836, 158 L. Ed. 2d 645 (2004). While amendments to the Rehabilitation Act in 1992 and 2008 did create new causes of action, Cooks's alleged facts are insufficient [*2]  to give rise to a claim based on either amendment.</w:t>
      </w:r>
    </w:p>
    <w:p w:rsidR="00022B47" w:rsidRDefault="00000000">
      <w:pPr>
        <w:pStyle w:val="Normal34"/>
        <w:widowControl w:val="0"/>
        <w:spacing w:before="200" w:line="260" w:lineRule="atLeast"/>
        <w:jc w:val="both"/>
      </w:pPr>
      <w:bookmarkStart w:id="5757" w:name="Bookmark_para_5_33"/>
      <w:bookmarkStart w:id="5758" w:name="Bookmark_I646RMGC2D6NCT0040000400"/>
      <w:bookmarkEnd w:id="5757"/>
      <w:bookmarkEnd w:id="5758"/>
      <w:r>
        <w:rPr>
          <w:rFonts w:ascii="Arial" w:eastAsia="Arial" w:hAnsi="Arial" w:cs="Arial"/>
          <w:color w:val="000000"/>
          <w:sz w:val="20"/>
        </w:rPr>
        <w:t xml:space="preserve">The 1992 amendment incorporated the Americans with Disabilities Act ("ADA") "reasonable accommodations" standard, </w:t>
      </w:r>
      <w:r>
        <w:rPr>
          <w:rFonts w:ascii="Arial" w:eastAsia="Arial" w:hAnsi="Arial" w:cs="Arial"/>
          <w:i/>
          <w:color w:val="000000"/>
          <w:sz w:val="20"/>
        </w:rPr>
        <w:t>see</w:t>
      </w:r>
      <w:r>
        <w:rPr>
          <w:rFonts w:ascii="Arial" w:eastAsia="Arial" w:hAnsi="Arial" w:cs="Arial"/>
          <w:color w:val="000000"/>
          <w:sz w:val="20"/>
        </w:rPr>
        <w:t xml:space="preserve"> 42 U.S.C. § 12112(b)(5)(A), which includes "reassignment to a vacant position," </w:t>
      </w:r>
      <w:r>
        <w:rPr>
          <w:rFonts w:ascii="Arial" w:eastAsia="Arial" w:hAnsi="Arial" w:cs="Arial"/>
          <w:i/>
          <w:color w:val="000000"/>
          <w:sz w:val="20"/>
        </w:rPr>
        <w:t>id.</w:t>
      </w:r>
      <w:r>
        <w:rPr>
          <w:rFonts w:ascii="Arial" w:eastAsia="Arial" w:hAnsi="Arial" w:cs="Arial"/>
          <w:color w:val="000000"/>
          <w:sz w:val="20"/>
        </w:rPr>
        <w:t xml:space="preserve"> § 12111(9)(B); Pub. L. No. 102-569, 106 Stat. 4344 (1992). However, Cooks's second amended complaint does not allege that Cooks sought reassignment. While Cooks suggested his request "may have meant being considered for transfer/reassignment" in his motion for leave to amend, courts consider only factual allegations in the complaint that "plausibly give rise to an entitlement to relief." </w:t>
      </w:r>
      <w:bookmarkStart w:id="5759" w:name="Bookmark_I646RMGC2D6NCT0030000400"/>
      <w:bookmarkEnd w:id="5759"/>
      <w:r>
        <w:rPr>
          <w:rFonts w:ascii="Arial" w:eastAsia="Arial" w:hAnsi="Arial" w:cs="Arial"/>
          <w:i/>
          <w:color w:val="000000"/>
          <w:sz w:val="20"/>
        </w:rPr>
        <w:t>Ashcroft v. Iqbal</w:t>
      </w:r>
      <w:r>
        <w:rPr>
          <w:rFonts w:ascii="Arial" w:eastAsia="Arial" w:hAnsi="Arial" w:cs="Arial"/>
          <w:color w:val="000000"/>
          <w:sz w:val="20"/>
        </w:rPr>
        <w:t>, 556 U.S. 662, 679, 129 S. Ct. 1937, 173 L. Ed. 2d 868 (2009). Absent facts pled in support, his claim was not made possible by the 1992 amendment.</w:t>
      </w:r>
    </w:p>
    <w:p w:rsidR="00022B47" w:rsidRDefault="00000000">
      <w:pPr>
        <w:pStyle w:val="Normal34"/>
        <w:widowControl w:val="0"/>
        <w:spacing w:before="200" w:line="260" w:lineRule="atLeast"/>
        <w:jc w:val="both"/>
      </w:pPr>
      <w:bookmarkStart w:id="5760" w:name="Bookmark_para_6_33"/>
      <w:bookmarkStart w:id="5761" w:name="Bookmark_I646RMGD2N1RSS0010000400"/>
      <w:bookmarkEnd w:id="5760"/>
      <w:bookmarkEnd w:id="5761"/>
      <w:r>
        <w:rPr>
          <w:rFonts w:ascii="Arial" w:eastAsia="Arial" w:hAnsi="Arial" w:cs="Arial"/>
          <w:color w:val="000000"/>
          <w:sz w:val="20"/>
        </w:rPr>
        <w:t xml:space="preserve">In 2008, Congress amended the Rehabilitation Act's definition of "disability" to align it with the ADA's definition, meaning plaintiffs are no longer required to prove an impairment was perceived to limit a major life activity. </w:t>
      </w:r>
      <w:r>
        <w:rPr>
          <w:rFonts w:ascii="Arial" w:eastAsia="Arial" w:hAnsi="Arial" w:cs="Arial"/>
          <w:i/>
          <w:color w:val="000000"/>
          <w:sz w:val="20"/>
        </w:rPr>
        <w:t>See</w:t>
      </w:r>
      <w:r>
        <w:rPr>
          <w:rFonts w:ascii="Arial" w:eastAsia="Arial" w:hAnsi="Arial" w:cs="Arial"/>
          <w:color w:val="000000"/>
          <w:sz w:val="20"/>
        </w:rPr>
        <w:t xml:space="preserve"> 42 U.S.C. § 12102(3); Pub. L. No. 110-325, 122 Stat. 3553 (2008). However, Cooks's claims are based on an alleged disability arising out of his psychosis and paranoia, and federal courts adjudicated Rehabilitation Act claims that stemmed from paranoia-related disabilities prior to the enactment of the 2008 amendment, </w:t>
      </w:r>
      <w:r>
        <w:rPr>
          <w:rFonts w:ascii="Arial" w:eastAsia="Arial" w:hAnsi="Arial" w:cs="Arial"/>
          <w:i/>
          <w:color w:val="000000"/>
          <w:sz w:val="20"/>
        </w:rPr>
        <w:t xml:space="preserve">see, e.g., </w:t>
      </w:r>
      <w:bookmarkStart w:id="5762" w:name="Bookmark_I646RMGC2D6NCT0050000400"/>
      <w:bookmarkEnd w:id="5762"/>
      <w:r>
        <w:rPr>
          <w:rFonts w:ascii="Arial" w:eastAsia="Arial" w:hAnsi="Arial" w:cs="Arial"/>
          <w:i/>
          <w:color w:val="000000"/>
          <w:sz w:val="20"/>
        </w:rPr>
        <w:t>Fredenberg v. Contra Costa Cnty. Dep't of Health Servs.</w:t>
      </w:r>
      <w:r>
        <w:rPr>
          <w:rFonts w:ascii="Arial" w:eastAsia="Arial" w:hAnsi="Arial" w:cs="Arial"/>
          <w:color w:val="000000"/>
          <w:sz w:val="20"/>
        </w:rPr>
        <w:t xml:space="preserve">, 172 F.3d 1176 (9th Cir. 1999); </w:t>
      </w:r>
      <w:bookmarkStart w:id="5763" w:name="Bookmark_I646RMGD2N1RSS0020000400"/>
      <w:bookmarkEnd w:id="5763"/>
      <w:r>
        <w:rPr>
          <w:rFonts w:ascii="Arial" w:eastAsia="Arial" w:hAnsi="Arial" w:cs="Arial"/>
          <w:i/>
          <w:color w:val="000000"/>
          <w:sz w:val="20"/>
        </w:rPr>
        <w:t>Johnston v. Horne</w:t>
      </w:r>
      <w:r>
        <w:rPr>
          <w:rFonts w:ascii="Arial" w:eastAsia="Arial" w:hAnsi="Arial" w:cs="Arial"/>
          <w:color w:val="000000"/>
          <w:sz w:val="20"/>
        </w:rPr>
        <w:t>, 875 F.2d 1415 (9th Cir. 1989). The facts alleged by Cooks do not distinguish his case from pre-2008 complaints.</w:t>
      </w:r>
    </w:p>
    <w:p w:rsidR="00022B47" w:rsidRDefault="00000000">
      <w:pPr>
        <w:pStyle w:val="Normal34"/>
        <w:widowControl w:val="0"/>
        <w:spacing w:before="200" w:line="260" w:lineRule="atLeast"/>
        <w:jc w:val="both"/>
      </w:pPr>
      <w:bookmarkStart w:id="5764" w:name="Bookmark_para_7_33"/>
      <w:bookmarkStart w:id="5765" w:name="Bookmark_I646RMGD2N1RSS0050000400"/>
      <w:bookmarkStart w:id="5766" w:name="Bookmark_I646RMGF28T4GB0020000400"/>
      <w:bookmarkEnd w:id="5764"/>
      <w:bookmarkEnd w:id="5765"/>
      <w:bookmarkEnd w:id="5766"/>
      <w:r>
        <w:rPr>
          <w:rFonts w:ascii="Arial" w:eastAsia="Arial" w:hAnsi="Arial" w:cs="Arial"/>
          <w:color w:val="000000"/>
          <w:sz w:val="20"/>
        </w:rPr>
        <w:t xml:space="preserve">Because Cooks's Rehabilitation Act claim was [*3]  not made possible by either the 1992 or 2008 amendments, the analogous state statute of limitations applies. </w:t>
      </w:r>
      <w:bookmarkStart w:id="5767" w:name="Bookmark_I646RMGD2N1RSS0040000400"/>
      <w:bookmarkEnd w:id="5767"/>
      <w:r>
        <w:rPr>
          <w:rFonts w:ascii="Arial" w:eastAsia="Arial" w:hAnsi="Arial" w:cs="Arial"/>
          <w:i/>
          <w:color w:val="000000"/>
          <w:sz w:val="20"/>
        </w:rPr>
        <w:t>Sharkey v. O'Neal</w:t>
      </w:r>
      <w:r>
        <w:rPr>
          <w:rFonts w:ascii="Arial" w:eastAsia="Arial" w:hAnsi="Arial" w:cs="Arial"/>
          <w:color w:val="000000"/>
          <w:sz w:val="20"/>
        </w:rPr>
        <w:t xml:space="preserve">, 778 F.3d 767, 770 (9th Cir. 2015). Even assuming that California's longer, three-year statute applies, </w:t>
      </w:r>
      <w:r>
        <w:rPr>
          <w:rFonts w:ascii="Arial" w:eastAsia="Arial" w:hAnsi="Arial" w:cs="Arial"/>
          <w:i/>
          <w:color w:val="000000"/>
          <w:sz w:val="20"/>
        </w:rPr>
        <w:t xml:space="preserve">see </w:t>
      </w:r>
      <w:bookmarkStart w:id="5768" w:name="Bookmark_I646RMGF28T4GB0010000400"/>
      <w:bookmarkEnd w:id="5768"/>
      <w:r>
        <w:rPr>
          <w:rFonts w:ascii="Arial" w:eastAsia="Arial" w:hAnsi="Arial" w:cs="Arial"/>
          <w:i/>
          <w:color w:val="000000"/>
          <w:sz w:val="20"/>
        </w:rPr>
        <w:t>id.</w:t>
      </w:r>
      <w:r>
        <w:rPr>
          <w:rFonts w:ascii="Arial" w:eastAsia="Arial" w:hAnsi="Arial" w:cs="Arial"/>
          <w:color w:val="000000"/>
          <w:sz w:val="20"/>
        </w:rPr>
        <w:t xml:space="preserve"> at 770-73, Cooks's claims are untimely.</w:t>
      </w:r>
    </w:p>
    <w:p w:rsidR="00022B47" w:rsidRDefault="00000000">
      <w:pPr>
        <w:pStyle w:val="Normal34"/>
        <w:widowControl w:val="0"/>
        <w:spacing w:before="200" w:line="260" w:lineRule="atLeast"/>
        <w:jc w:val="both"/>
      </w:pPr>
      <w:bookmarkStart w:id="5769" w:name="Bookmark_para_8_32"/>
      <w:bookmarkEnd w:id="5769"/>
      <w:r>
        <w:rPr>
          <w:rFonts w:ascii="Arial" w:eastAsia="Arial" w:hAnsi="Arial" w:cs="Arial"/>
          <w:color w:val="000000"/>
          <w:sz w:val="20"/>
        </w:rPr>
        <w:t xml:space="preserve">2. Under the Uniformed Services Act, current, former, and prospective members of uniformed services "shall not be denied initial employment, reemployment, retention in employment, promotion, or any benefit of employment by an employer on the basis of that membership." 38 U.S.C. § 4311(a). Employers are in violation of the Act if an employee's military service is a "motivating factor" for any of the aforementioned actions. </w:t>
      </w:r>
      <w:r>
        <w:rPr>
          <w:rFonts w:ascii="Arial" w:eastAsia="Arial" w:hAnsi="Arial" w:cs="Arial"/>
          <w:i/>
          <w:color w:val="000000"/>
          <w:sz w:val="20"/>
        </w:rPr>
        <w:t>Id.</w:t>
      </w:r>
      <w:r>
        <w:rPr>
          <w:rFonts w:ascii="Arial" w:eastAsia="Arial" w:hAnsi="Arial" w:cs="Arial"/>
          <w:color w:val="000000"/>
          <w:sz w:val="20"/>
        </w:rPr>
        <w:t xml:space="preserve"> § 4311(c)(1). Cooks fails to state a claim under the Act because he does not allege his military background was a motivating factor behind the alleged discrimination. Simply put, § 4311 does not prohibit discrimination based on a disability, which is what is alleged here. The district court properly dismissed Cooks's claim.</w:t>
      </w:r>
    </w:p>
    <w:p w:rsidR="00022B47" w:rsidRDefault="00000000">
      <w:pPr>
        <w:pStyle w:val="Normal34"/>
        <w:widowControl w:val="0"/>
        <w:spacing w:before="200" w:line="260" w:lineRule="atLeast"/>
        <w:jc w:val="both"/>
      </w:pPr>
      <w:bookmarkStart w:id="5770" w:name="Bookmark_para_9_32"/>
      <w:bookmarkStart w:id="5771" w:name="Bookmark_I646RMGF28T4GB0040000400"/>
      <w:bookmarkEnd w:id="5770"/>
      <w:bookmarkEnd w:id="5771"/>
      <w:r>
        <w:rPr>
          <w:rFonts w:ascii="Arial" w:eastAsia="Arial" w:hAnsi="Arial" w:cs="Arial"/>
          <w:color w:val="000000"/>
          <w:sz w:val="20"/>
        </w:rPr>
        <w:t xml:space="preserve">3. The final inquiry is whether Cooks should have been given another opportunity to amend his complaint. Denial of leave to amend is "proper only when amendment would be clearly frivolous, unduly prejudicial, cause undue delay or a finding of bad faith is made." </w:t>
      </w:r>
      <w:bookmarkStart w:id="5772" w:name="Bookmark_I646RMGF28T4GB0030000400"/>
      <w:bookmarkEnd w:id="5772"/>
      <w:r>
        <w:rPr>
          <w:rFonts w:ascii="Arial" w:eastAsia="Arial" w:hAnsi="Arial" w:cs="Arial"/>
          <w:i/>
          <w:color w:val="000000"/>
          <w:sz w:val="20"/>
        </w:rPr>
        <w:t>United Union of Roofers v. Ins. Corp. of Am.</w:t>
      </w:r>
      <w:r>
        <w:rPr>
          <w:rFonts w:ascii="Arial" w:eastAsia="Arial" w:hAnsi="Arial" w:cs="Arial"/>
          <w:color w:val="000000"/>
          <w:sz w:val="20"/>
        </w:rPr>
        <w:t>, 919 F.2d 1398, 1402 (9th Cir. 1990). Despite [*4]  a previous opportunity to amend Cooks failed to include additional facts in support of either his Rehabilitation Act or Uniformed Services Act claims. Moreover, Cooks did not seek further amendment in response to the County's second motion to dismiss. Accordingly, the district court properly dismissed the Amended Complaint with prejudice.</w:t>
      </w:r>
    </w:p>
    <w:p w:rsidR="00022B47" w:rsidRDefault="00000000">
      <w:pPr>
        <w:pStyle w:val="Normal34"/>
        <w:widowControl w:val="0"/>
        <w:spacing w:before="200" w:line="260" w:lineRule="atLeast"/>
        <w:jc w:val="both"/>
      </w:pPr>
      <w:bookmarkStart w:id="5773" w:name="Bookmark_para_10_32"/>
      <w:bookmarkEnd w:id="5773"/>
      <w:r>
        <w:rPr>
          <w:rFonts w:ascii="Arial" w:eastAsia="Arial" w:hAnsi="Arial" w:cs="Arial"/>
          <w:b/>
          <w:color w:val="000000"/>
          <w:sz w:val="20"/>
        </w:rPr>
        <w:t>AFFIRMED</w:t>
      </w:r>
      <w:r>
        <w:rPr>
          <w:rFonts w:ascii="Arial" w:eastAsia="Arial" w:hAnsi="Arial" w:cs="Arial"/>
          <w:color w:val="000000"/>
          <w:sz w:val="20"/>
        </w:rPr>
        <w:t>.</w:t>
      </w:r>
    </w:p>
    <w:p w:rsidR="00022B47" w:rsidRDefault="00022B47">
      <w:pPr>
        <w:pStyle w:val="Normal34"/>
      </w:pPr>
    </w:p>
    <w:p w:rsidR="00022B47" w:rsidRDefault="00000000">
      <w:pPr>
        <w:pStyle w:val="Normal34"/>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31968"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637114061"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1AAA56" id="Line 74"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35"/>
        <w:sectPr w:rsidR="00022B47">
          <w:headerReference w:type="even" r:id="rId217"/>
          <w:headerReference w:type="default" r:id="rId218"/>
          <w:footerReference w:type="even" r:id="rId219"/>
          <w:footerReference w:type="default" r:id="rId220"/>
          <w:headerReference w:type="first" r:id="rId221"/>
          <w:footerReference w:type="first" r:id="rId222"/>
          <w:pgSz w:w="12240" w:h="15840"/>
          <w:pgMar w:top="840" w:right="1000" w:bottom="840" w:left="1000" w:header="400" w:footer="400" w:gutter="0"/>
          <w:cols w:space="720"/>
          <w:titlePg/>
        </w:sectPr>
      </w:pPr>
    </w:p>
    <w:p w:rsidR="00022B47" w:rsidRDefault="00022B47">
      <w:pPr>
        <w:pStyle w:val="Normal35"/>
      </w:pPr>
    </w:p>
    <w:p w:rsidR="00022B47" w:rsidRDefault="00000000">
      <w:pPr>
        <w:pStyle w:val="Heading134"/>
        <w:keepNext w:val="0"/>
        <w:widowControl w:val="0"/>
        <w:spacing w:after="200" w:line="340" w:lineRule="atLeast"/>
        <w:jc w:val="center"/>
      </w:pPr>
      <w:r>
        <w:rPr>
          <w:rFonts w:eastAsia="Arial"/>
          <w:color w:val="000000"/>
          <w:sz w:val="28"/>
        </w:rPr>
        <w:t>Dayton Veterans Residences Ltd. P'ship v. Dayton Metro. Hous. Auth.</w:t>
      </w:r>
    </w:p>
    <w:p w:rsidR="00022B47" w:rsidRDefault="00000000">
      <w:pPr>
        <w:pStyle w:val="Normal35"/>
        <w:widowControl w:val="0"/>
        <w:spacing w:before="120" w:line="260" w:lineRule="atLeast"/>
        <w:jc w:val="center"/>
      </w:pPr>
      <w:r>
        <w:rPr>
          <w:rFonts w:ascii="Arial" w:eastAsia="Arial" w:hAnsi="Arial" w:cs="Arial"/>
          <w:color w:val="000000"/>
          <w:sz w:val="20"/>
        </w:rPr>
        <w:t>United States Court of Appeals for the Sixth Circuit</w:t>
      </w:r>
    </w:p>
    <w:p w:rsidR="00022B47" w:rsidRDefault="00000000">
      <w:pPr>
        <w:pStyle w:val="Normal35"/>
        <w:widowControl w:val="0"/>
        <w:spacing w:before="120" w:line="260" w:lineRule="atLeast"/>
        <w:jc w:val="center"/>
      </w:pPr>
      <w:r>
        <w:rPr>
          <w:rFonts w:ascii="Arial" w:eastAsia="Arial" w:hAnsi="Arial" w:cs="Arial"/>
          <w:color w:val="000000"/>
          <w:sz w:val="20"/>
        </w:rPr>
        <w:t>November 19, 2021, Filed</w:t>
      </w:r>
    </w:p>
    <w:p w:rsidR="00022B47" w:rsidRDefault="00000000">
      <w:pPr>
        <w:pStyle w:val="Normal35"/>
        <w:widowControl w:val="0"/>
        <w:spacing w:before="120" w:line="260" w:lineRule="atLeast"/>
        <w:jc w:val="center"/>
      </w:pPr>
      <w:r>
        <w:rPr>
          <w:rFonts w:ascii="Arial" w:eastAsia="Arial" w:hAnsi="Arial" w:cs="Arial"/>
          <w:color w:val="000000"/>
          <w:sz w:val="20"/>
        </w:rPr>
        <w:t>File Name: 21a0530n.06</w:t>
      </w:r>
    </w:p>
    <w:p w:rsidR="00022B47" w:rsidRDefault="00000000">
      <w:pPr>
        <w:pStyle w:val="Normal35"/>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21-3090</w:t>
      </w:r>
    </w:p>
    <w:p w:rsidR="00022B47" w:rsidRDefault="00022B47">
      <w:pPr>
        <w:pStyle w:val="Normal35"/>
        <w:widowControl w:val="0"/>
        <w:spacing w:line="240" w:lineRule="atLeast"/>
        <w:jc w:val="both"/>
      </w:pPr>
      <w:bookmarkStart w:id="5774" w:name="Bookmark_36"/>
      <w:bookmarkEnd w:id="5774"/>
    </w:p>
    <w:p w:rsidR="00022B47" w:rsidRDefault="00000000">
      <w:pPr>
        <w:pStyle w:val="Normal35"/>
        <w:widowControl w:val="0"/>
        <w:spacing w:before="200" w:line="240" w:lineRule="atLeast"/>
      </w:pPr>
      <w:bookmarkStart w:id="5775" w:name="Reporter_34"/>
      <w:bookmarkEnd w:id="5775"/>
      <w:r>
        <w:rPr>
          <w:rFonts w:ascii="Arial" w:eastAsia="Arial" w:hAnsi="Arial" w:cs="Arial"/>
          <w:b/>
          <w:color w:val="000000"/>
          <w:sz w:val="18"/>
        </w:rPr>
        <w:t>Reporter</w:t>
      </w:r>
    </w:p>
    <w:p w:rsidR="00022B47" w:rsidRDefault="00000000">
      <w:pPr>
        <w:pStyle w:val="Normal35"/>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2021 U.S. App. LEXIS 34511 *; 2021 FED App. 0530N (6th Cir.); 2021 WL 5411220</w:t>
      </w:r>
    </w:p>
    <w:p w:rsidR="00022B47" w:rsidRDefault="00000000">
      <w:pPr>
        <w:pStyle w:val="Normal35"/>
        <w:widowControl w:val="0"/>
        <w:spacing w:before="120" w:line="260" w:lineRule="atLeast"/>
      </w:pPr>
      <w:r>
        <w:rPr>
          <w:rFonts w:ascii="Arial" w:eastAsia="Arial" w:hAnsi="Arial" w:cs="Arial"/>
          <w:color w:val="000000"/>
          <w:sz w:val="20"/>
        </w:rPr>
        <w:t>DAYTON VETERANS RESIDENCES LIMITED PARTNERSHIP, dba Freedom's Path at Dayton, a Florida limited partnership authorized to do business in the State of Ohio, Plaintiff-Appellant, v. DAYTON METROPOLITAN HOUSING AUTHORITY, an Ohio public housing authority, dba Greater Dayton Premier Management, Defendant-Appellee.</w:t>
      </w:r>
    </w:p>
    <w:p w:rsidR="00022B47" w:rsidRDefault="00000000">
      <w:pPr>
        <w:pStyle w:val="Normal35"/>
        <w:widowControl w:val="0"/>
        <w:spacing w:before="240" w:line="260" w:lineRule="atLeast"/>
        <w:jc w:val="both"/>
      </w:pPr>
      <w:bookmarkStart w:id="5776" w:name="Notice_18"/>
      <w:bookmarkEnd w:id="5776"/>
      <w:r>
        <w:rPr>
          <w:rFonts w:ascii="Arial" w:eastAsia="Arial" w:hAnsi="Arial" w:cs="Arial"/>
          <w:b/>
          <w:color w:val="000000"/>
          <w:sz w:val="20"/>
        </w:rPr>
        <w:t>Notice:</w:t>
      </w:r>
      <w:r>
        <w:rPr>
          <w:rFonts w:ascii="Arial" w:eastAsia="Arial" w:hAnsi="Arial" w:cs="Arial"/>
          <w:color w:val="000000"/>
          <w:sz w:val="20"/>
        </w:rPr>
        <w:t> </w:t>
      </w:r>
      <w:bookmarkStart w:id="5777" w:name="Bookmark_para_1_34"/>
      <w:bookmarkEnd w:id="5777"/>
      <w:r>
        <w:rPr>
          <w:rFonts w:ascii="Arial" w:eastAsia="Arial" w:hAnsi="Arial" w:cs="Arial"/>
          <w:color w:val="000000"/>
          <w:sz w:val="20"/>
        </w:rPr>
        <w:t>NOT RECOMMENDED FOR FULL-TEXT PUBLICATION. SIXTH CIRCUIT RULE 28 LIMITS CITATION TO SPECIFIC SITUATIONS. PLEASE SEE RULE 28 BEFORE CITING IN A PROCEEDING IN A COURT IN THE SIXTH CIRCUIT. IF CITED, A COPY MUST BE SERVED ON OTHER PARTIES AND THE COURT. THIS NOTICE IS TO BE PROMINENTLY DISPLAYED IF THIS DECISION IS REPRODUCED.</w:t>
      </w:r>
    </w:p>
    <w:p w:rsidR="00022B47" w:rsidRDefault="00000000">
      <w:pPr>
        <w:pStyle w:val="Normal35"/>
        <w:widowControl w:val="0"/>
        <w:spacing w:before="240" w:line="260" w:lineRule="atLeast"/>
        <w:jc w:val="both"/>
      </w:pPr>
      <w:bookmarkStart w:id="5778" w:name="Prior_History_34"/>
      <w:bookmarkEnd w:id="5778"/>
      <w:r>
        <w:rPr>
          <w:rFonts w:ascii="Arial" w:eastAsia="Arial" w:hAnsi="Arial" w:cs="Arial"/>
          <w:b/>
          <w:color w:val="000000"/>
          <w:sz w:val="20"/>
        </w:rPr>
        <w:t>Prior History:</w:t>
      </w:r>
      <w:r>
        <w:rPr>
          <w:rFonts w:ascii="Arial" w:eastAsia="Arial" w:hAnsi="Arial" w:cs="Arial"/>
          <w:color w:val="000000"/>
          <w:sz w:val="20"/>
        </w:rPr>
        <w:t> </w:t>
      </w:r>
      <w:bookmarkStart w:id="5779" w:name="Bookmark_para_2_34"/>
      <w:bookmarkEnd w:id="5779"/>
      <w:r>
        <w:rPr>
          <w:rFonts w:ascii="Arial" w:eastAsia="Arial" w:hAnsi="Arial" w:cs="Arial"/>
          <w:color w:val="000000"/>
          <w:sz w:val="20"/>
        </w:rPr>
        <w:t> [*1] ON APPEAL FROM THE UNITED STATES DISTRICT COURT FOR THE SOUTHERN DISTRICT OF OHIO.</w:t>
      </w:r>
    </w:p>
    <w:p w:rsidR="00022B47" w:rsidRDefault="00000000">
      <w:pPr>
        <w:pStyle w:val="Normal35"/>
        <w:widowControl w:val="0"/>
        <w:spacing w:before="120" w:line="260" w:lineRule="atLeast"/>
      </w:pPr>
      <w:r>
        <w:rPr>
          <w:rFonts w:ascii="Arial" w:eastAsia="Arial" w:hAnsi="Arial" w:cs="Arial"/>
          <w:color w:val="000000"/>
          <w:sz w:val="20"/>
        </w:rPr>
        <w:t>Freedom's Path at Dayton v. Dayton Metro. Hous. Auth., 2021 U.S. Dist. LEXIS 1378, 2021 WL 38270 (S.D. Ohio, Jan. 5, 2021)</w:t>
      </w:r>
    </w:p>
    <w:p w:rsidR="00022B47" w:rsidRDefault="00000000">
      <w:pPr>
        <w:pStyle w:val="Normal35"/>
        <w:widowControl w:val="0"/>
        <w:spacing w:before="240" w:line="260" w:lineRule="atLeast"/>
      </w:pPr>
      <w:bookmarkStart w:id="5780" w:name="Counsel_34"/>
      <w:bookmarkEnd w:id="5780"/>
      <w:r>
        <w:rPr>
          <w:rFonts w:ascii="Arial" w:eastAsia="Arial" w:hAnsi="Arial" w:cs="Arial"/>
          <w:b/>
          <w:color w:val="000000"/>
          <w:sz w:val="20"/>
        </w:rPr>
        <w:t>Counsel:</w:t>
      </w:r>
      <w:r>
        <w:rPr>
          <w:rFonts w:ascii="Arial" w:eastAsia="Arial" w:hAnsi="Arial" w:cs="Arial"/>
          <w:color w:val="000000"/>
          <w:sz w:val="20"/>
        </w:rPr>
        <w:t> For DAYTON VETERANS RESIDENCES LIMITED PARTNERSHIP, dba: Freedom's Path at Dayton, a Florida limited partnership authorized to do business in the State of Ohio, Plaintiff - Appellant: James Kellogg Green, Law Office, West Palm Beach, FL; Mark R. Brown, Professor of Law, Capital University Law School, Columbus, OH.</w:t>
      </w:r>
    </w:p>
    <w:p w:rsidR="00022B47" w:rsidRDefault="00000000">
      <w:pPr>
        <w:pStyle w:val="Normal35"/>
        <w:widowControl w:val="0"/>
        <w:spacing w:before="120" w:line="260" w:lineRule="atLeast"/>
      </w:pPr>
      <w:r>
        <w:rPr>
          <w:rFonts w:ascii="Arial" w:eastAsia="Arial" w:hAnsi="Arial" w:cs="Arial"/>
          <w:color w:val="000000"/>
          <w:sz w:val="20"/>
        </w:rPr>
        <w:t>For DAYTON METROPOLITAN HOUSING AUTHORITY, an Ohio public housing authority, dba: Greater Dayton Premier Management, Defendant - Appellee: Ray C. Freudiger, Marshall, Dennehey, Warner, Coleman &amp; Goggin, Cincinnati, OH; Carol VanderWoude, Marshall, Dennehey, Warner, Coleman, &amp; Goggin, Philadelphia, PA.</w:t>
      </w:r>
    </w:p>
    <w:p w:rsidR="00022B47" w:rsidRDefault="00000000">
      <w:pPr>
        <w:pStyle w:val="Normal35"/>
        <w:widowControl w:val="0"/>
        <w:spacing w:before="240" w:line="260" w:lineRule="atLeast"/>
      </w:pPr>
      <w:bookmarkStart w:id="5781" w:name="Judges_34"/>
      <w:bookmarkEnd w:id="5781"/>
      <w:r>
        <w:rPr>
          <w:rFonts w:ascii="Arial" w:eastAsia="Arial" w:hAnsi="Arial" w:cs="Arial"/>
          <w:b/>
          <w:color w:val="000000"/>
          <w:sz w:val="20"/>
        </w:rPr>
        <w:t>Judges:</w:t>
      </w:r>
      <w:r>
        <w:rPr>
          <w:rFonts w:ascii="Arial" w:eastAsia="Arial" w:hAnsi="Arial" w:cs="Arial"/>
          <w:color w:val="000000"/>
          <w:sz w:val="20"/>
        </w:rPr>
        <w:t> Before: MOORE, KETHLEDGE, and DONALD, Circuit Judges.</w:t>
      </w:r>
    </w:p>
    <w:p w:rsidR="00022B47" w:rsidRDefault="00000000">
      <w:pPr>
        <w:pStyle w:val="Normal35"/>
        <w:keepNext/>
        <w:widowControl w:val="0"/>
        <w:spacing w:before="240" w:line="340" w:lineRule="atLeast"/>
      </w:pPr>
      <w:bookmarkStart w:id="5782" w:name="Opinion_34"/>
      <w:bookmarkEnd w:id="5782"/>
      <w:r>
        <w:rPr>
          <w:rFonts w:ascii="Arial" w:eastAsia="Arial" w:hAnsi="Arial" w:cs="Arial"/>
          <w:b/>
          <w:color w:val="000000"/>
          <w:sz w:val="28"/>
        </w:rPr>
        <w:t>Opinion</w:t>
      </w:r>
    </w:p>
    <w:p w:rsidR="00022B47" w:rsidRDefault="0025213E">
      <w:pPr>
        <w:pStyle w:val="Normal35"/>
        <w:spacing w:line="60" w:lineRule="exact"/>
      </w:pPr>
      <w:r>
        <w:rPr>
          <w:noProof/>
        </w:rPr>
        <mc:AlternateContent>
          <mc:Choice Requires="wps">
            <w:drawing>
              <wp:anchor distT="0" distB="0" distL="114300" distR="114300" simplePos="0" relativeHeight="251732992"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820907022"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B5890A" id="Line 75"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35"/>
      </w:pPr>
    </w:p>
    <w:p w:rsidR="00022B47" w:rsidRDefault="00000000">
      <w:pPr>
        <w:pStyle w:val="Normal35"/>
        <w:widowControl w:val="0"/>
        <w:spacing w:before="200" w:line="260" w:lineRule="atLeast"/>
        <w:jc w:val="both"/>
      </w:pPr>
      <w:bookmarkStart w:id="5783" w:name="Bookmark_para_3_34"/>
      <w:bookmarkEnd w:id="5783"/>
      <w:r>
        <w:rPr>
          <w:rFonts w:ascii="Arial" w:eastAsia="Arial" w:hAnsi="Arial" w:cs="Arial"/>
          <w:b/>
          <w:color w:val="000000"/>
          <w:sz w:val="20"/>
        </w:rPr>
        <w:t>KAREN NELSON MOORE, Circuit Judge</w:t>
      </w:r>
      <w:r>
        <w:rPr>
          <w:rFonts w:ascii="Arial" w:eastAsia="Arial" w:hAnsi="Arial" w:cs="Arial"/>
          <w:color w:val="000000"/>
          <w:sz w:val="20"/>
        </w:rPr>
        <w:t xml:space="preserve">. Seeking to provide housing for disabled homeless veterans in the Dayton, Ohio area, a private developer contacted a local public housing authority for assistance in securing federal subsidies essential to the project's success. </w:t>
      </w:r>
      <w:bookmarkStart w:id="5784" w:name="Bookmark_I6457R9J2HM64M0010000400"/>
      <w:bookmarkEnd w:id="5784"/>
      <w:r>
        <w:rPr>
          <w:rFonts w:ascii="Arial" w:eastAsia="Arial" w:hAnsi="Arial" w:cs="Arial"/>
          <w:color w:val="000000"/>
          <w:sz w:val="20"/>
        </w:rPr>
        <w:t>The housing authority refused, and the developer sued it for violations of the Americans with Disabilities Act (ADA) and Fair Housing Act (FHA). A district judge initially denied the housing authority summary judgment on the developer's [*2]  reasonable-accommodation claim, finding that the developer requested an accommodation for disabled persons that a jury could find reasonable. Following the initial district judge's recusal, the successor judge sua sponte reversed on an issue not raised in the initial summary-judgment briefing. Finding there was no causal nexus between the proposed tenants' disabilities and the developer's requested accommodation, the successor judge entered judgment in the housing authority's favor. We hold that a reasonable jury could find that the developer's proposed accommodation was necessary to ameliorate the effects of homeless veterans' disabilities. Accordingly, we REVERSE.</w:t>
      </w:r>
    </w:p>
    <w:p w:rsidR="00022B47" w:rsidRDefault="00000000">
      <w:pPr>
        <w:pStyle w:val="Normal35"/>
        <w:widowControl w:val="0"/>
        <w:spacing w:before="240" w:line="260" w:lineRule="atLeast"/>
      </w:pPr>
      <w:r>
        <w:br/>
      </w:r>
      <w:r>
        <w:rPr>
          <w:rFonts w:ascii="Arial" w:eastAsia="Arial" w:hAnsi="Arial" w:cs="Arial"/>
          <w:b/>
          <w:color w:val="000000"/>
          <w:sz w:val="20"/>
        </w:rPr>
        <w:t>I. BACKGROUND</w:t>
      </w:r>
    </w:p>
    <w:p w:rsidR="00022B47" w:rsidRDefault="00000000">
      <w:pPr>
        <w:pStyle w:val="Normal35"/>
        <w:widowControl w:val="0"/>
        <w:spacing w:before="240" w:line="260" w:lineRule="atLeast"/>
      </w:pPr>
      <w:r>
        <w:br/>
      </w:r>
      <w:r>
        <w:rPr>
          <w:rFonts w:ascii="Arial" w:eastAsia="Arial" w:hAnsi="Arial" w:cs="Arial"/>
          <w:b/>
          <w:color w:val="000000"/>
          <w:sz w:val="20"/>
        </w:rPr>
        <w:t>A. Factual Background</w:t>
      </w:r>
    </w:p>
    <w:p w:rsidR="00022B47" w:rsidRDefault="00000000">
      <w:pPr>
        <w:pStyle w:val="Normal35"/>
        <w:widowControl w:val="0"/>
        <w:spacing w:before="200" w:line="260" w:lineRule="atLeast"/>
        <w:jc w:val="both"/>
      </w:pPr>
      <w:bookmarkStart w:id="5785" w:name="Bookmark_para_4_34"/>
      <w:bookmarkEnd w:id="5785"/>
      <w:r>
        <w:rPr>
          <w:rFonts w:ascii="Arial" w:eastAsia="Arial" w:hAnsi="Arial" w:cs="Arial"/>
          <w:color w:val="000000"/>
          <w:sz w:val="20"/>
        </w:rPr>
        <w:t>Dayton Veterans Residences Limited Partnership, an organization doing business as Freedom's Path, planned to develop approximately sixty units of affordable housing for homeless veterans near the Veterans Affairs Medical Center in Dayton, Ohio. R. 6 (Am. Compl. ¶ 5, 15) (Page ID #48, 50). In late 2011, the U.S. Department of Veterans Affairs awarded Freedom's Path an Enhanced-Use Lease for a tract of land on the campus. R. 43-16 (Enhanced-Use Lease at 1) (Page ID #1743). To build the housing [*3]  units on that land, Freedom's Path needed to obtain low-income housing tax credits from the Ohio Housing Finance Authority (OHFA) and rental subsidies from the U.S. Department of Housing and Urban Development (HUD). R. 31-1 (Taylor Dep. at 33) (Page ID #520). Defendant Greater Dayton Premier Management (GDPM) serves Dayton as its public housing authority and administers HUD grants. R. 43-12 (Heapy Dep. at 8-9) (Page ID #1516).</w:t>
      </w:r>
    </w:p>
    <w:p w:rsidR="00022B47" w:rsidRDefault="00000000">
      <w:pPr>
        <w:pStyle w:val="Normal35"/>
        <w:widowControl w:val="0"/>
        <w:spacing w:before="200" w:line="260" w:lineRule="atLeast"/>
        <w:jc w:val="both"/>
      </w:pPr>
      <w:bookmarkStart w:id="5786" w:name="Bookmark_para_5_34"/>
      <w:bookmarkEnd w:id="5786"/>
      <w:r>
        <w:rPr>
          <w:rFonts w:ascii="Arial" w:eastAsia="Arial" w:hAnsi="Arial" w:cs="Arial"/>
          <w:color w:val="000000"/>
          <w:sz w:val="20"/>
        </w:rPr>
        <w:t xml:space="preserve">Freedom's Path sought rental subsidies called project-based vouchers, which HUD's Veterans Affairs Supportive Housing (VASH) program administered. R. 31-1 (Taylor Dep. at 39) (Page ID #526); R. 43-12 (Heapy Dep. at 12-13) (Page ID #1517). Freedom's Path preferred project-based vouchers to individual tenant-based housing vouchers because the former would help Freedom's Path overcome challenges that might face individual veteran renters. R. 31-1 (Taylor Dep. at 68-69) (Page ID #555-56). For example, homeless veterans with criminal records or histories of eviction may not be able to lease housing with individual-based housing vouchers. </w:t>
      </w:r>
      <w:r>
        <w:rPr>
          <w:rFonts w:ascii="Arial" w:eastAsia="Arial" w:hAnsi="Arial" w:cs="Arial"/>
          <w:i/>
          <w:color w:val="000000"/>
          <w:sz w:val="20"/>
        </w:rPr>
        <w:t>Id.</w:t>
      </w:r>
      <w:r>
        <w:rPr>
          <w:rFonts w:ascii="Arial" w:eastAsia="Arial" w:hAnsi="Arial" w:cs="Arial"/>
          <w:color w:val="000000"/>
          <w:sz w:val="20"/>
        </w:rPr>
        <w:t xml:space="preserve"> Freedom's Path also preferred VASH vouchers to similar project-based vouchers available under Section 8 of the Housing Act of 1937 because [*4]  VASH vouchers subsidized veterans-specific programs in ways that Section 8 vouchers did not. </w:t>
      </w:r>
      <w:r>
        <w:rPr>
          <w:rFonts w:ascii="Arial" w:eastAsia="Arial" w:hAnsi="Arial" w:cs="Arial"/>
          <w:i/>
          <w:color w:val="000000"/>
          <w:sz w:val="20"/>
        </w:rPr>
        <w:t>Id.</w:t>
      </w:r>
      <w:r>
        <w:rPr>
          <w:rFonts w:ascii="Arial" w:eastAsia="Arial" w:hAnsi="Arial" w:cs="Arial"/>
          <w:color w:val="000000"/>
          <w:sz w:val="20"/>
        </w:rPr>
        <w:t xml:space="preserve"> at 24-25; 97-98 (Page ID #511-12, 584-8).</w:t>
      </w:r>
    </w:p>
    <w:p w:rsidR="00022B47" w:rsidRDefault="00000000">
      <w:pPr>
        <w:pStyle w:val="Normal35"/>
        <w:widowControl w:val="0"/>
        <w:spacing w:before="200" w:line="260" w:lineRule="atLeast"/>
        <w:jc w:val="both"/>
      </w:pPr>
      <w:bookmarkStart w:id="5787" w:name="Bookmark_para_6_34"/>
      <w:bookmarkEnd w:id="5787"/>
      <w:r>
        <w:rPr>
          <w:rFonts w:ascii="Arial" w:eastAsia="Arial" w:hAnsi="Arial" w:cs="Arial"/>
          <w:color w:val="000000"/>
          <w:sz w:val="20"/>
        </w:rPr>
        <w:t xml:space="preserve">Freedom's Path also needed project-based vouchers to receive low-income tax credits from the OHFA. </w:t>
      </w:r>
      <w:r>
        <w:rPr>
          <w:rFonts w:ascii="Arial" w:eastAsia="Arial" w:hAnsi="Arial" w:cs="Arial"/>
          <w:i/>
          <w:color w:val="000000"/>
          <w:sz w:val="20"/>
        </w:rPr>
        <w:t>Id.</w:t>
      </w:r>
      <w:r>
        <w:rPr>
          <w:rFonts w:ascii="Arial" w:eastAsia="Arial" w:hAnsi="Arial" w:cs="Arial"/>
          <w:color w:val="000000"/>
          <w:sz w:val="20"/>
        </w:rPr>
        <w:t xml:space="preserve"> at 33 (Page ID #520). Before issuing the tax credits to a developer, the OHFA required a public-housing authority to commit to a number of project-based vouchers equivalent to fifty percent of the proposed units. </w:t>
      </w:r>
      <w:r>
        <w:rPr>
          <w:rFonts w:ascii="Arial" w:eastAsia="Arial" w:hAnsi="Arial" w:cs="Arial"/>
          <w:i/>
          <w:color w:val="000000"/>
          <w:sz w:val="20"/>
        </w:rPr>
        <w:t>Id.</w:t>
      </w:r>
      <w:r>
        <w:rPr>
          <w:rFonts w:ascii="Arial" w:eastAsia="Arial" w:hAnsi="Arial" w:cs="Arial"/>
          <w:color w:val="000000"/>
          <w:sz w:val="20"/>
        </w:rPr>
        <w:t xml:space="preserve"> Freedom's Path was proposing a sixty-six-unit project, so it needed GDPM to commit to thirty-three project-based vouchers to receive the tax credits. </w:t>
      </w:r>
      <w:r>
        <w:rPr>
          <w:rFonts w:ascii="Arial" w:eastAsia="Arial" w:hAnsi="Arial" w:cs="Arial"/>
          <w:i/>
          <w:color w:val="000000"/>
          <w:sz w:val="20"/>
        </w:rPr>
        <w:t>Id.</w:t>
      </w:r>
      <w:r>
        <w:rPr>
          <w:rFonts w:ascii="Arial" w:eastAsia="Arial" w:hAnsi="Arial" w:cs="Arial"/>
          <w:color w:val="000000"/>
          <w:sz w:val="20"/>
        </w:rPr>
        <w:t xml:space="preserve"> at 39-40 (Page ID #526-27); R. 40-2 (Email exchange between Jennifer Heapy and Kim Powell at 1-2) (Page ID #913-14). Because only a public housing authority could, on behalf of itself or another entity, apply to HUD for project-based vouchers, GDPM's assistance was essential for Freedom's Path to pursue the development project. R. 43-14 (Taylor Decl. ¶ 19) (Page ID #1722).</w:t>
      </w:r>
    </w:p>
    <w:p w:rsidR="00022B47" w:rsidRDefault="00000000">
      <w:pPr>
        <w:pStyle w:val="Normal35"/>
        <w:widowControl w:val="0"/>
        <w:spacing w:before="200" w:line="260" w:lineRule="atLeast"/>
        <w:jc w:val="both"/>
      </w:pPr>
      <w:bookmarkStart w:id="5788" w:name="Bookmark_para_7_34"/>
      <w:bookmarkEnd w:id="5788"/>
      <w:r>
        <w:rPr>
          <w:rFonts w:ascii="Arial" w:eastAsia="Arial" w:hAnsi="Arial" w:cs="Arial"/>
          <w:color w:val="000000"/>
          <w:sz w:val="20"/>
        </w:rPr>
        <w:t xml:space="preserve">In April 2013, GDPM's Interim Chief Executive Officer, Alphonzio Prude, committed in a letter to granting Freedom's Path thirty-three Section 8 project-based vouchers. R. 43-12 (Heapy Dep. at 87-89) (Page ID #1536); R. 6-1 [*5]  (Letter from Alphonzio Prude to Don Paxton) (Page ID #62). After receiving this commitment and a $1 million grant from the Department of Veterans Affairs, Freedom's Path applied for low-income housing tax credits with OHFA. R. 31-1 (Taylor Dep. at 44-45, 54) (Page ID #531-32, 541). OHFA rejected Freedom's Path's application but encouraged it to reapply later. </w:t>
      </w:r>
      <w:r>
        <w:rPr>
          <w:rFonts w:ascii="Arial" w:eastAsia="Arial" w:hAnsi="Arial" w:cs="Arial"/>
          <w:i/>
          <w:color w:val="000000"/>
          <w:sz w:val="20"/>
        </w:rPr>
        <w:t>Id.</w:t>
      </w:r>
      <w:r>
        <w:rPr>
          <w:rFonts w:ascii="Arial" w:eastAsia="Arial" w:hAnsi="Arial" w:cs="Arial"/>
          <w:color w:val="000000"/>
          <w:sz w:val="20"/>
        </w:rPr>
        <w:t xml:space="preserve"> at 44-45 (Page ID #531-32).</w:t>
      </w:r>
    </w:p>
    <w:p w:rsidR="00022B47" w:rsidRDefault="00000000">
      <w:pPr>
        <w:pStyle w:val="Normal35"/>
        <w:widowControl w:val="0"/>
        <w:spacing w:before="200" w:line="260" w:lineRule="atLeast"/>
        <w:jc w:val="both"/>
      </w:pPr>
      <w:bookmarkStart w:id="5789" w:name="Bookmark_para_8_33"/>
      <w:bookmarkEnd w:id="5789"/>
      <w:r>
        <w:rPr>
          <w:rFonts w:ascii="Arial" w:eastAsia="Arial" w:hAnsi="Arial" w:cs="Arial"/>
          <w:color w:val="000000"/>
          <w:sz w:val="20"/>
        </w:rPr>
        <w:t xml:space="preserve">In his efforts to reapply to OHFA, Craig Taylor, the head of Freedom's Path, contacted GDPM. Because it would increase the chance that Freedom's Path would be awarded tax credits, Taylor asked GDPM to support his request for a letter of recommendation from the local county Housing Advisory Board. </w:t>
      </w:r>
      <w:r>
        <w:rPr>
          <w:rFonts w:ascii="Arial" w:eastAsia="Arial" w:hAnsi="Arial" w:cs="Arial"/>
          <w:i/>
          <w:color w:val="000000"/>
          <w:sz w:val="20"/>
        </w:rPr>
        <w:t>Id.</w:t>
      </w:r>
      <w:r>
        <w:rPr>
          <w:rFonts w:ascii="Arial" w:eastAsia="Arial" w:hAnsi="Arial" w:cs="Arial"/>
          <w:color w:val="000000"/>
          <w:sz w:val="20"/>
        </w:rPr>
        <w:t xml:space="preserve"> at 99-100 (Page ID #586-87). Taylor also asked for a further commitment of VASH vouchers from GDPM. </w:t>
      </w:r>
      <w:r>
        <w:rPr>
          <w:rFonts w:ascii="Arial" w:eastAsia="Arial" w:hAnsi="Arial" w:cs="Arial"/>
          <w:i/>
          <w:color w:val="000000"/>
          <w:sz w:val="20"/>
        </w:rPr>
        <w:t>Id.</w:t>
      </w:r>
      <w:r>
        <w:rPr>
          <w:rFonts w:ascii="Arial" w:eastAsia="Arial" w:hAnsi="Arial" w:cs="Arial"/>
          <w:color w:val="000000"/>
          <w:sz w:val="20"/>
        </w:rPr>
        <w:t xml:space="preserve"> at 96-97 (Page ID #583-84).</w:t>
      </w:r>
    </w:p>
    <w:p w:rsidR="00022B47" w:rsidRDefault="00000000">
      <w:pPr>
        <w:pStyle w:val="Normal35"/>
        <w:widowControl w:val="0"/>
        <w:spacing w:before="200" w:line="260" w:lineRule="atLeast"/>
        <w:jc w:val="both"/>
      </w:pPr>
      <w:bookmarkStart w:id="5790" w:name="Bookmark_para_9_33"/>
      <w:bookmarkEnd w:id="5790"/>
      <w:r>
        <w:rPr>
          <w:rFonts w:ascii="Arial" w:eastAsia="Arial" w:hAnsi="Arial" w:cs="Arial"/>
          <w:color w:val="000000"/>
          <w:sz w:val="20"/>
        </w:rPr>
        <w:t xml:space="preserve">In general, GDPM could obtain VASH vouchers by applying for them when HUD issued a Notice of Funding Availability. R. 43-14 (Taylor Decl. ¶ 21) (Page ID #1723). GDPM could apply for the vouchers on its own behalf or on behalf of another entity. </w:t>
      </w:r>
      <w:r>
        <w:rPr>
          <w:rFonts w:ascii="Arial" w:eastAsia="Arial" w:hAnsi="Arial" w:cs="Arial"/>
          <w:i/>
          <w:color w:val="000000"/>
          <w:sz w:val="20"/>
        </w:rPr>
        <w:t>Id.</w:t>
      </w:r>
      <w:r>
        <w:rPr>
          <w:rFonts w:ascii="Arial" w:eastAsia="Arial" w:hAnsi="Arial" w:cs="Arial"/>
          <w:color w:val="000000"/>
          <w:sz w:val="20"/>
        </w:rPr>
        <w:t xml:space="preserve"> ¶ 22-25 (Page ID #1723). To encourage the development of specific projects, HUD awarded more points to applications in which [*6]  the public housing authority applies on behalf of an entity. </w:t>
      </w:r>
      <w:r>
        <w:rPr>
          <w:rFonts w:ascii="Arial" w:eastAsia="Arial" w:hAnsi="Arial" w:cs="Arial"/>
          <w:i/>
          <w:color w:val="000000"/>
          <w:sz w:val="20"/>
        </w:rPr>
        <w:t>Id.</w:t>
      </w:r>
      <w:r>
        <w:rPr>
          <w:rFonts w:ascii="Arial" w:eastAsia="Arial" w:hAnsi="Arial" w:cs="Arial"/>
          <w:color w:val="000000"/>
          <w:sz w:val="20"/>
        </w:rPr>
        <w:t xml:space="preserve"> ¶ 24 (Page ID #1723). Taylor hoped that GDPM would apply for sixty VASH vouchers on behalf of Freedom's Path, thus increasing the likelihood that HUD would issue them. R. 31-1 (Taylor Dep. at 59-61) (Page ID #546-48). If GDPM were able to obtain the number of VASH vouchers he needed, Taylor planned to return the thirty-three Section 8 vouchers Prude previously committed to GDPM in exchange. </w:t>
      </w:r>
      <w:r>
        <w:rPr>
          <w:rFonts w:ascii="Arial" w:eastAsia="Arial" w:hAnsi="Arial" w:cs="Arial"/>
          <w:i/>
          <w:color w:val="000000"/>
          <w:sz w:val="20"/>
        </w:rPr>
        <w:t>Id.</w:t>
      </w:r>
    </w:p>
    <w:p w:rsidR="00022B47" w:rsidRDefault="00000000">
      <w:pPr>
        <w:pStyle w:val="Normal35"/>
        <w:widowControl w:val="0"/>
        <w:spacing w:before="200" w:line="260" w:lineRule="atLeast"/>
        <w:jc w:val="both"/>
      </w:pPr>
      <w:bookmarkStart w:id="5791" w:name="Bookmark_para_10_33"/>
      <w:bookmarkEnd w:id="5791"/>
      <w:r>
        <w:rPr>
          <w:rFonts w:ascii="Arial" w:eastAsia="Arial" w:hAnsi="Arial" w:cs="Arial"/>
          <w:color w:val="000000"/>
          <w:sz w:val="20"/>
        </w:rPr>
        <w:t>Taylor initially reached out to GDPM in December 2015. In response to Taylor's inquiries, the new CEO of GDPM, Jennifer Heapy, explained to a colleague communicating with Taylor that GDPM could not honor Prude's previous commitment or apply for VASH vouchers on Freedom's Path's behalf due to a HUD regulation governing a public housing authority's selection of project-based voucher proposals. R. 40-2 (Email exchange between Jennifer Heapy and Kim Powell at 1-2) (Page ID #913-14). That regulation, 24 C.F.R. § 983.51(b), provides that a public housing authority can select project-based voucher proposals only through the procedures in the authority's administrative plan. The administrative plan must select such proposals through either (1) its own competitive [*7]  process or (2) a previous selection based on a program requiring competition, if it took place within the past three years and did not involve any consideration that the project would receive project-based voucher assistance. At the time, GDPM's Administrative Plan provided for project-based assistance via only the first method, i.e., "by a competitive request for proposals initiated by GDPM." R. 42-21 (GDPM Administrative Plan at 1) (Page ID #1081). According to Heapy, Prude's previous commitment did not reflect Freedom's Path's participation in the competitive process, so GDPM could not abide by Prude's commitment while adhering to federal regulations. R. 40-3 (Email from Heapy to Taylor at 2) (Page ID #916).</w:t>
      </w:r>
    </w:p>
    <w:p w:rsidR="00022B47" w:rsidRDefault="00000000">
      <w:pPr>
        <w:pStyle w:val="Normal35"/>
        <w:widowControl w:val="0"/>
        <w:spacing w:before="200" w:line="260" w:lineRule="atLeast"/>
        <w:jc w:val="both"/>
      </w:pPr>
      <w:bookmarkStart w:id="5792" w:name="Bookmark_para_11_32"/>
      <w:bookmarkEnd w:id="5792"/>
      <w:r>
        <w:rPr>
          <w:rFonts w:ascii="Arial" w:eastAsia="Arial" w:hAnsi="Arial" w:cs="Arial"/>
          <w:color w:val="000000"/>
          <w:sz w:val="20"/>
        </w:rPr>
        <w:t xml:space="preserve">In response to Heapy's concerns, Taylor proposed working with GDPM and HUD to amend GDPM's Administrative Plan so it could comport with the third-party competition exception that the regulations permitted. R. 40-12 (Email exchange between Jennifer Heapy and Craig Taylor) (Page ID #959). Taylor stated that he had faced similar obstacles in applying for vouchers for different projects in the past and offered to provide examples of language provided to other public housing authorities. [*8]  </w:t>
      </w:r>
      <w:r>
        <w:rPr>
          <w:rFonts w:ascii="Arial" w:eastAsia="Arial" w:hAnsi="Arial" w:cs="Arial"/>
          <w:i/>
          <w:color w:val="000000"/>
          <w:sz w:val="20"/>
        </w:rPr>
        <w:t>Id.</w:t>
      </w:r>
    </w:p>
    <w:p w:rsidR="00022B47" w:rsidRDefault="00000000">
      <w:pPr>
        <w:pStyle w:val="Normal35"/>
        <w:widowControl w:val="0"/>
        <w:spacing w:before="200" w:line="260" w:lineRule="atLeast"/>
        <w:jc w:val="both"/>
      </w:pPr>
      <w:bookmarkStart w:id="5793" w:name="Bookmark_para_12_31"/>
      <w:bookmarkEnd w:id="5793"/>
      <w:r>
        <w:rPr>
          <w:rFonts w:ascii="Arial" w:eastAsia="Arial" w:hAnsi="Arial" w:cs="Arial"/>
          <w:color w:val="000000"/>
          <w:sz w:val="20"/>
        </w:rPr>
        <w:t xml:space="preserve">Extensive communications with Freedom's Path, GDPM, and their respective counsel, followed. GDPM continued to assert that it would not honor Prude's April 2013 commitment because it had expired and was impermissible under federal regulations. R. 40-3 (Email from Heapy to Taylor at 2) (Page ID #916); R. 40-4 (Email from Heapy to Taylor et al. at 1) (Page ID #918); R. 40-5 (Email from Heapy to Paxton at 2) (Page ID #921). In response, Freedom's Path insisted that it had expended two years of effort in reliance on Prude's letter in pursuing the project. R. 42-6 (Email Exchange between Freedom's Path and GDPM at 1) (Page ID #1012). Freedom's Path continued to ask GDPM to amend its Administrative Plan so that GDPM could comply with regulations and apply for vouchers on Freedom's Path's behalf. </w:t>
      </w:r>
      <w:r>
        <w:rPr>
          <w:rFonts w:ascii="Arial" w:eastAsia="Arial" w:hAnsi="Arial" w:cs="Arial"/>
          <w:i/>
          <w:color w:val="000000"/>
          <w:sz w:val="20"/>
        </w:rPr>
        <w:t>Id.</w:t>
      </w:r>
    </w:p>
    <w:p w:rsidR="00022B47" w:rsidRDefault="00000000">
      <w:pPr>
        <w:pStyle w:val="Normal35"/>
        <w:widowControl w:val="0"/>
        <w:spacing w:before="200" w:line="260" w:lineRule="atLeast"/>
        <w:jc w:val="both"/>
      </w:pPr>
      <w:bookmarkStart w:id="5794" w:name="Bookmark_para_13_31"/>
      <w:bookmarkEnd w:id="5794"/>
      <w:r>
        <w:rPr>
          <w:rFonts w:ascii="Arial" w:eastAsia="Arial" w:hAnsi="Arial" w:cs="Arial"/>
          <w:color w:val="000000"/>
          <w:sz w:val="20"/>
        </w:rPr>
        <w:t xml:space="preserve">In February 2016, Freedom's Path reapplied for low-income tax credits to OHFA, submitting Prude's letter and a newly obtained letter of recommendation from the Housing Advisory Board in support of its application. </w:t>
      </w:r>
      <w:r>
        <w:rPr>
          <w:rFonts w:ascii="Arial" w:eastAsia="Arial" w:hAnsi="Arial" w:cs="Arial"/>
          <w:i/>
          <w:color w:val="000000"/>
          <w:sz w:val="20"/>
        </w:rPr>
        <w:t>See</w:t>
      </w:r>
      <w:r>
        <w:rPr>
          <w:rFonts w:ascii="Arial" w:eastAsia="Arial" w:hAnsi="Arial" w:cs="Arial"/>
          <w:color w:val="000000"/>
          <w:sz w:val="20"/>
        </w:rPr>
        <w:t xml:space="preserve"> R. 31-1 (Taylor Dep. at 47, 118) (Page ID #534, 605); R. 30-1 (Paxton Dep. at 74-75) (Page ID #426-27). Later that year, OHFA granted Freedom's Path's application. R. 43-7 (Thomas [*9]  Aff. at 1) (Page ID #1120). Freedom's Path suggested to GDPM that its success in OHFA's competitive process could allow GDPM to submit VASH vouchers on Freedom's Path's behalf under the HUD regulations. R. 42-9 (Email exchange between GDPM and Paxton at 2) (Page ID #1024). Freedom's Path asserted that GDPM needed only to modify its Administrative Plan. In response, GDPM insisted that it was close to its twenty-percent limit on project-based vouchers and reiterated that applying for the VASH vouchers would be impossible under the regulations. </w:t>
      </w:r>
      <w:r>
        <w:rPr>
          <w:rFonts w:ascii="Arial" w:eastAsia="Arial" w:hAnsi="Arial" w:cs="Arial"/>
          <w:i/>
          <w:color w:val="000000"/>
          <w:sz w:val="20"/>
        </w:rPr>
        <w:t>Id.</w:t>
      </w:r>
      <w:r>
        <w:rPr>
          <w:rFonts w:ascii="Arial" w:eastAsia="Arial" w:hAnsi="Arial" w:cs="Arial"/>
          <w:color w:val="000000"/>
          <w:sz w:val="20"/>
        </w:rPr>
        <w:t xml:space="preserve"> at 1, 3 (Page ID #1023, 1025). Eventually, GDPM informed Freedom's Path that GDPM would be applying for thirty-five VASH vouchers on its own behalf. </w:t>
      </w:r>
      <w:r>
        <w:rPr>
          <w:rFonts w:ascii="Arial" w:eastAsia="Arial" w:hAnsi="Arial" w:cs="Arial"/>
          <w:i/>
          <w:color w:val="000000"/>
          <w:sz w:val="20"/>
        </w:rPr>
        <w:t>Id.</w:t>
      </w:r>
      <w:r>
        <w:rPr>
          <w:rFonts w:ascii="Arial" w:eastAsia="Arial" w:hAnsi="Arial" w:cs="Arial"/>
          <w:color w:val="000000"/>
          <w:sz w:val="20"/>
        </w:rPr>
        <w:t xml:space="preserve"> at 10-11 (Page ID #1031-32). Freedom's Path continued to ask GDPM to apply for the sixty VASH vouchers on Freedom's Path's behalf. </w:t>
      </w:r>
      <w:r>
        <w:rPr>
          <w:rFonts w:ascii="Arial" w:eastAsia="Arial" w:hAnsi="Arial" w:cs="Arial"/>
          <w:i/>
          <w:color w:val="000000"/>
          <w:sz w:val="20"/>
        </w:rPr>
        <w:t>Id.</w:t>
      </w:r>
      <w:r>
        <w:rPr>
          <w:rFonts w:ascii="Arial" w:eastAsia="Arial" w:hAnsi="Arial" w:cs="Arial"/>
          <w:color w:val="000000"/>
          <w:sz w:val="20"/>
        </w:rPr>
        <w:t xml:space="preserve"> at 10 (Page ID #1031).</w:t>
      </w:r>
    </w:p>
    <w:p w:rsidR="00022B47" w:rsidRDefault="00000000">
      <w:pPr>
        <w:pStyle w:val="Normal35"/>
        <w:widowControl w:val="0"/>
        <w:spacing w:before="200" w:line="260" w:lineRule="atLeast"/>
        <w:jc w:val="both"/>
      </w:pPr>
      <w:bookmarkStart w:id="5795" w:name="Bookmark_para_14_31"/>
      <w:bookmarkEnd w:id="5795"/>
      <w:r>
        <w:rPr>
          <w:rFonts w:ascii="Arial" w:eastAsia="Arial" w:hAnsi="Arial" w:cs="Arial"/>
          <w:color w:val="000000"/>
          <w:sz w:val="20"/>
        </w:rPr>
        <w:t xml:space="preserve">On September 2, 2016, one week before HUD's deadline for requesting VASH vouchers, Freedom's Path emailed GDPM requesting a "reasonable accommodation" under the ADA and FHA. R. 40-10 (Letter from Freedom's Path's counsel to Heapy) (Page ID #952-53). Freedom's Path's counsel informed GDPM that GDPM must amend its Administrative Plan to allow [*10]  for third-party competitive processes in order to provide Freedom's Path with a reasonable accommodation. </w:t>
      </w:r>
      <w:r>
        <w:rPr>
          <w:rFonts w:ascii="Arial" w:eastAsia="Arial" w:hAnsi="Arial" w:cs="Arial"/>
          <w:i/>
          <w:color w:val="000000"/>
          <w:sz w:val="20"/>
        </w:rPr>
        <w:t>Id.</w:t>
      </w:r>
      <w:r>
        <w:rPr>
          <w:rFonts w:ascii="Arial" w:eastAsia="Arial" w:hAnsi="Arial" w:cs="Arial"/>
          <w:color w:val="000000"/>
          <w:sz w:val="20"/>
        </w:rPr>
        <w:t xml:space="preserve"> Freedom's Path reiterated its request for GDPM to apply for the sixty project-based VASH vouchers, or at least provide twenty-five of the previously committed Section 8 vouchers in the alternative. </w:t>
      </w:r>
      <w:r>
        <w:rPr>
          <w:rFonts w:ascii="Arial" w:eastAsia="Arial" w:hAnsi="Arial" w:cs="Arial"/>
          <w:i/>
          <w:color w:val="000000"/>
          <w:sz w:val="20"/>
        </w:rPr>
        <w:t>Id.</w:t>
      </w:r>
      <w:r>
        <w:rPr>
          <w:rFonts w:ascii="Arial" w:eastAsia="Arial" w:hAnsi="Arial" w:cs="Arial"/>
          <w:color w:val="000000"/>
          <w:sz w:val="20"/>
        </w:rPr>
        <w:t xml:space="preserve"> GDPM denied Freedom's Path's request as "unreasonable or contrary to federal regulations." R. 40-11 (Letter from GDPM's Counsel to Freedom's Path's counsel at 3) (Page ID #957).</w:t>
      </w:r>
    </w:p>
    <w:p w:rsidR="00022B47" w:rsidRDefault="00000000">
      <w:pPr>
        <w:pStyle w:val="Normal35"/>
        <w:widowControl w:val="0"/>
        <w:spacing w:before="200" w:line="260" w:lineRule="atLeast"/>
        <w:jc w:val="both"/>
      </w:pPr>
      <w:bookmarkStart w:id="5796" w:name="Bookmark_para_15_30"/>
      <w:bookmarkEnd w:id="5796"/>
      <w:r>
        <w:rPr>
          <w:rFonts w:ascii="Arial" w:eastAsia="Arial" w:hAnsi="Arial" w:cs="Arial"/>
          <w:color w:val="000000"/>
          <w:sz w:val="20"/>
        </w:rPr>
        <w:t xml:space="preserve">GDPM applied to HUD for thirty-five VASH vouchers in its own name in September 2016. R. 43-12 (Heapy Dep. at 190-91) (Page ID #1562). None were awarded. </w:t>
      </w:r>
      <w:r>
        <w:rPr>
          <w:rFonts w:ascii="Arial" w:eastAsia="Arial" w:hAnsi="Arial" w:cs="Arial"/>
          <w:i/>
          <w:color w:val="000000"/>
          <w:sz w:val="20"/>
        </w:rPr>
        <w:t>Id.</w:t>
      </w:r>
      <w:r>
        <w:rPr>
          <w:rFonts w:ascii="Arial" w:eastAsia="Arial" w:hAnsi="Arial" w:cs="Arial"/>
          <w:color w:val="000000"/>
          <w:sz w:val="20"/>
        </w:rPr>
        <w:t xml:space="preserve"> Approximately one month later, GDPM's Board of Housing Commissioners approved Freedom's Path's requested amendment to GDPM's Administrative Plan. </w:t>
      </w:r>
      <w:r>
        <w:rPr>
          <w:rFonts w:ascii="Arial" w:eastAsia="Arial" w:hAnsi="Arial" w:cs="Arial"/>
          <w:i/>
          <w:color w:val="000000"/>
          <w:sz w:val="20"/>
        </w:rPr>
        <w:t>Id.</w:t>
      </w:r>
      <w:r>
        <w:rPr>
          <w:rFonts w:ascii="Arial" w:eastAsia="Arial" w:hAnsi="Arial" w:cs="Arial"/>
          <w:color w:val="000000"/>
          <w:sz w:val="20"/>
        </w:rPr>
        <w:t xml:space="preserve"> at 107-08. (Page ID #1541). GDPM had begun drafting the amendment in July 2016 but did not inform Freedom's Path. R. 52-1 (Heapy Suppl. Aff. ¶ 8) (Page ID #1953). By this point, however, the amendments were of no use to Freedom's Path because low-income tax credits had been canceled and its five-year lease from the VA had expired. R. 31-1 (Taylor Dep. at 184) (Page ID #671).</w:t>
      </w:r>
    </w:p>
    <w:p w:rsidR="00022B47" w:rsidRDefault="00000000">
      <w:pPr>
        <w:pStyle w:val="Normal35"/>
        <w:widowControl w:val="0"/>
        <w:spacing w:before="240" w:line="260" w:lineRule="atLeast"/>
      </w:pPr>
      <w:r>
        <w:br/>
      </w:r>
      <w:r>
        <w:rPr>
          <w:rFonts w:ascii="Arial" w:eastAsia="Arial" w:hAnsi="Arial" w:cs="Arial"/>
          <w:b/>
          <w:color w:val="000000"/>
          <w:sz w:val="20"/>
        </w:rPr>
        <w:t>B. Procedural History</w:t>
      </w:r>
    </w:p>
    <w:p w:rsidR="00022B47" w:rsidRDefault="00000000">
      <w:pPr>
        <w:pStyle w:val="Normal35"/>
        <w:widowControl w:val="0"/>
        <w:spacing w:before="200" w:line="260" w:lineRule="atLeast"/>
        <w:jc w:val="both"/>
      </w:pPr>
      <w:bookmarkStart w:id="5797" w:name="Bookmark_para_16_30"/>
      <w:bookmarkEnd w:id="5797"/>
      <w:r>
        <w:rPr>
          <w:rFonts w:ascii="Arial" w:eastAsia="Arial" w:hAnsi="Arial" w:cs="Arial"/>
          <w:color w:val="000000"/>
          <w:sz w:val="20"/>
        </w:rPr>
        <w:t xml:space="preserve">In November [*11]  2016, Freedom's Path sued GDPM, alleging violations of the FHA as amended and Title II of the ADA. R. 1 (Compl. ¶ 54-72). In its Amended Complaint, Freedom's Path alleged that HUD would have awarded GDPM the VASH vouchers had GDPM complied with Freedom's Path's requests to amend GDPM's Administrative Plan and apply for vouchers on Freedom's Path's behalf. R. 6 (Am. Compl. ¶ 36-39). Its complaint alleged that GDPM intentionally discriminated against disabled persons, that GDPM's actions had the effect of discriminating against disabled persons, and that GDPM denied disabled persons a reasonable accommodation. </w:t>
      </w:r>
      <w:r>
        <w:rPr>
          <w:rFonts w:ascii="Arial" w:eastAsia="Arial" w:hAnsi="Arial" w:cs="Arial"/>
          <w:i/>
          <w:color w:val="000000"/>
          <w:sz w:val="20"/>
        </w:rPr>
        <w:t>Id.</w:t>
      </w:r>
    </w:p>
    <w:p w:rsidR="00022B47" w:rsidRDefault="00000000">
      <w:pPr>
        <w:pStyle w:val="Normal35"/>
        <w:widowControl w:val="0"/>
        <w:spacing w:before="200" w:line="260" w:lineRule="atLeast"/>
        <w:jc w:val="both"/>
      </w:pPr>
      <w:bookmarkStart w:id="5798" w:name="Bookmark_para_17_29"/>
      <w:bookmarkEnd w:id="5798"/>
      <w:r>
        <w:rPr>
          <w:rFonts w:ascii="Arial" w:eastAsia="Arial" w:hAnsi="Arial" w:cs="Arial"/>
          <w:color w:val="000000"/>
          <w:sz w:val="20"/>
        </w:rPr>
        <w:t xml:space="preserve">GDPM moved for summary judgment, arguing that Freedom's Path did not demonstrate that it intentionally discriminated against disabled persons. R. 40 (Mot. for Summ. J. at 12-22); (Page ID #893-903). As for the reasonable accommodation claim, GDPM argued that it could not have granted Freedom's Path's accommodation because federal regulations "categorically precluded" GDPM from granting it. </w:t>
      </w:r>
      <w:r>
        <w:rPr>
          <w:rFonts w:ascii="Arial" w:eastAsia="Arial" w:hAnsi="Arial" w:cs="Arial"/>
          <w:i/>
          <w:color w:val="000000"/>
          <w:sz w:val="20"/>
        </w:rPr>
        <w:t>Id.</w:t>
      </w:r>
      <w:r>
        <w:rPr>
          <w:rFonts w:ascii="Arial" w:eastAsia="Arial" w:hAnsi="Arial" w:cs="Arial"/>
          <w:color w:val="000000"/>
          <w:sz w:val="20"/>
        </w:rPr>
        <w:t xml:space="preserve"> at 11-15 (Page ID #892-96). According to GDPM, Freedom's Path's requested accommodation was unreasonable because it would have required GDPM to violate federal regulations, violate the [*12]  procedures outlined in its Administrative Plan, and impose a fundamental alteration to its operations. </w:t>
      </w:r>
      <w:r>
        <w:rPr>
          <w:rFonts w:ascii="Arial" w:eastAsia="Arial" w:hAnsi="Arial" w:cs="Arial"/>
          <w:i/>
          <w:color w:val="000000"/>
          <w:sz w:val="20"/>
        </w:rPr>
        <w:t>Id.</w:t>
      </w:r>
      <w:r>
        <w:rPr>
          <w:rFonts w:ascii="Arial" w:eastAsia="Arial" w:hAnsi="Arial" w:cs="Arial"/>
          <w:color w:val="000000"/>
          <w:sz w:val="20"/>
        </w:rPr>
        <w:t xml:space="preserve"> at 24 (Page ID #905). Freedom's Path opposed the motion, arguing that its "accommodation requests were reasonable because they would not have required [GDPM] to violate federal regulations or its own policies and procedures." R. 47 (Opp'n to Summ. J. at 3) (Page ID #1846).</w:t>
      </w:r>
    </w:p>
    <w:p w:rsidR="00022B47" w:rsidRDefault="00000000">
      <w:pPr>
        <w:pStyle w:val="Normal35"/>
        <w:widowControl w:val="0"/>
        <w:spacing w:before="200" w:line="260" w:lineRule="atLeast"/>
        <w:jc w:val="both"/>
      </w:pPr>
      <w:bookmarkStart w:id="5799" w:name="Bookmark_para_18_28"/>
      <w:bookmarkEnd w:id="5799"/>
      <w:r>
        <w:rPr>
          <w:rFonts w:ascii="Arial" w:eastAsia="Arial" w:hAnsi="Arial" w:cs="Arial"/>
          <w:color w:val="000000"/>
          <w:sz w:val="20"/>
        </w:rPr>
        <w:t>Judge Rice in the U.S. District Court for the Southern District of Ohio granted summary judgment on Freedom's Path's intentional discrimination and disparate impact claims but denied summary judgment on the reasonable-accommodation claim.</w:t>
      </w:r>
      <w:r>
        <w:rPr>
          <w:rFonts w:ascii="Arial" w:eastAsia="Arial" w:hAnsi="Arial" w:cs="Arial"/>
          <w:vertAlign w:val="superscript"/>
        </w:rPr>
        <w:footnoteReference w:customMarkFollows="1" w:id="161"/>
        <w:t>1</w:t>
      </w:r>
      <w:r>
        <w:rPr>
          <w:rFonts w:ascii="Arial" w:eastAsia="Arial" w:hAnsi="Arial" w:cs="Arial"/>
          <w:color w:val="000000"/>
          <w:sz w:val="20"/>
        </w:rPr>
        <w:t xml:space="preserve"> R. 65 (3/25/2019 Dist. Ct. Order at 55) (Page ID #2159). Judge Rice first noted facts that were not in dispute: GDPM knew that many of Freedom's Path's tenants were disabled persons and that Freedom's Path requested an accommodation in asking GDPM to amend its Administrative Plan. </w:t>
      </w:r>
      <w:r>
        <w:rPr>
          <w:rFonts w:ascii="Arial" w:eastAsia="Arial" w:hAnsi="Arial" w:cs="Arial"/>
          <w:i/>
          <w:color w:val="000000"/>
          <w:sz w:val="20"/>
        </w:rPr>
        <w:t>Id.</w:t>
      </w:r>
      <w:r>
        <w:rPr>
          <w:rFonts w:ascii="Arial" w:eastAsia="Arial" w:hAnsi="Arial" w:cs="Arial"/>
          <w:color w:val="000000"/>
          <w:sz w:val="20"/>
        </w:rPr>
        <w:t xml:space="preserve"> at 45-46 (Page ID #2149-50). Judge Rice also acknowledged that GDPM was categorically prohibited from applying for VASH vouchers under its Administrative Plan during the relevant period. </w:t>
      </w:r>
      <w:r>
        <w:rPr>
          <w:rFonts w:ascii="Arial" w:eastAsia="Arial" w:hAnsi="Arial" w:cs="Arial"/>
          <w:i/>
          <w:color w:val="000000"/>
          <w:sz w:val="20"/>
        </w:rPr>
        <w:t>Id.</w:t>
      </w:r>
      <w:r>
        <w:rPr>
          <w:rFonts w:ascii="Arial" w:eastAsia="Arial" w:hAnsi="Arial" w:cs="Arial"/>
          <w:color w:val="000000"/>
          <w:sz w:val="20"/>
        </w:rPr>
        <w:t xml:space="preserve"> at 46-47 (Page ID #2150-51). He found, however, that genuine disputes of material fact existed regarding [*13]  the reasonableness of Freedom's Path's request to amend GDPM's Administrative Plan. </w:t>
      </w:r>
      <w:r>
        <w:rPr>
          <w:rFonts w:ascii="Arial" w:eastAsia="Arial" w:hAnsi="Arial" w:cs="Arial"/>
          <w:i/>
          <w:color w:val="000000"/>
          <w:sz w:val="20"/>
        </w:rPr>
        <w:t>Id.</w:t>
      </w:r>
      <w:r>
        <w:rPr>
          <w:rFonts w:ascii="Arial" w:eastAsia="Arial" w:hAnsi="Arial" w:cs="Arial"/>
          <w:color w:val="000000"/>
          <w:sz w:val="20"/>
        </w:rPr>
        <w:t xml:space="preserve"> at 50 (Page ID #2154). According to Judge Rice, a reasonable juror could determine that Taylor's December 2015 email correspondence and related conversations with GDPM could be construed as a request for a reasonable accommodation. </w:t>
      </w:r>
      <w:r>
        <w:rPr>
          <w:rFonts w:ascii="Arial" w:eastAsia="Arial" w:hAnsi="Arial" w:cs="Arial"/>
          <w:i/>
          <w:color w:val="000000"/>
          <w:sz w:val="20"/>
        </w:rPr>
        <w:t>Id.</w:t>
      </w:r>
      <w:r>
        <w:rPr>
          <w:rFonts w:ascii="Arial" w:eastAsia="Arial" w:hAnsi="Arial" w:cs="Arial"/>
          <w:color w:val="000000"/>
          <w:sz w:val="20"/>
        </w:rPr>
        <w:t xml:space="preserve"> A juror could also determine, according to Judge Rice, that GDPM could have reasonably amended its Administrative Plan "well before the September 9, 2016 deadline for submitting applications for VASH vouchers" had it started the process in December 2015. </w:t>
      </w:r>
      <w:r>
        <w:rPr>
          <w:rFonts w:ascii="Arial" w:eastAsia="Arial" w:hAnsi="Arial" w:cs="Arial"/>
          <w:i/>
          <w:color w:val="000000"/>
          <w:sz w:val="20"/>
        </w:rPr>
        <w:t>Id.</w:t>
      </w:r>
    </w:p>
    <w:p w:rsidR="00022B47" w:rsidRDefault="00000000">
      <w:pPr>
        <w:pStyle w:val="Normal35"/>
        <w:widowControl w:val="0"/>
        <w:spacing w:before="200" w:line="260" w:lineRule="atLeast"/>
        <w:jc w:val="both"/>
      </w:pPr>
      <w:bookmarkStart w:id="5801" w:name="Bookmark_para_19_27"/>
      <w:bookmarkEnd w:id="5801"/>
      <w:r>
        <w:rPr>
          <w:rFonts w:ascii="Arial" w:eastAsia="Arial" w:hAnsi="Arial" w:cs="Arial"/>
          <w:color w:val="000000"/>
          <w:sz w:val="20"/>
        </w:rPr>
        <w:t xml:space="preserve">Five months later, GDPM moved for reconsideration of Judge Rice's opinion. R. 69 (Mot. for Recons. at 1) (Page ID #2165). GDPM argued that Freedom's Path's reasonable-accommodation claim must fail because there was no nexus between the requested accommodation and the disability. </w:t>
      </w:r>
      <w:r>
        <w:rPr>
          <w:rFonts w:ascii="Arial" w:eastAsia="Arial" w:hAnsi="Arial" w:cs="Arial"/>
          <w:i/>
          <w:color w:val="000000"/>
          <w:sz w:val="20"/>
        </w:rPr>
        <w:t>Id.</w:t>
      </w:r>
      <w:r>
        <w:rPr>
          <w:rFonts w:ascii="Arial" w:eastAsia="Arial" w:hAnsi="Arial" w:cs="Arial"/>
          <w:color w:val="000000"/>
          <w:sz w:val="20"/>
        </w:rPr>
        <w:t xml:space="preserve"> at 5-7 (Page ID #2169-71). In other words, GDPM argued that because it would have rejected Freedom's Path's proposal even if its tenants were not disabled, Freedom's Path's request could not be construed as a request to accommodate a disability. </w:t>
      </w:r>
      <w:r>
        <w:rPr>
          <w:rFonts w:ascii="Arial" w:eastAsia="Arial" w:hAnsi="Arial" w:cs="Arial"/>
          <w:i/>
          <w:color w:val="000000"/>
          <w:sz w:val="20"/>
        </w:rPr>
        <w:t>Id.</w:t>
      </w:r>
      <w:r>
        <w:rPr>
          <w:rFonts w:ascii="Arial" w:eastAsia="Arial" w:hAnsi="Arial" w:cs="Arial"/>
          <w:color w:val="000000"/>
          <w:sz w:val="20"/>
        </w:rPr>
        <w:t xml:space="preserve"> at 7 (Page ID #2171).</w:t>
      </w:r>
    </w:p>
    <w:p w:rsidR="00022B47" w:rsidRDefault="00000000">
      <w:pPr>
        <w:pStyle w:val="Normal35"/>
        <w:widowControl w:val="0"/>
        <w:spacing w:before="200" w:line="260" w:lineRule="atLeast"/>
        <w:jc w:val="both"/>
      </w:pPr>
      <w:bookmarkStart w:id="5802" w:name="Bookmark_para_20_27"/>
      <w:bookmarkEnd w:id="5802"/>
      <w:r>
        <w:rPr>
          <w:rFonts w:ascii="Arial" w:eastAsia="Arial" w:hAnsi="Arial" w:cs="Arial"/>
          <w:color w:val="000000"/>
          <w:sz w:val="20"/>
        </w:rPr>
        <w:t xml:space="preserve">Judge Rice declined to reconsider his previous order. R. 73 (11/13/19 [*14]  Dist. Ct. Order at 2) (Page ID #2216). Noting that GDPM failed to raise this "nexus" argument in its summaryjudgment briefing, he declined to consider it on reconsideration. </w:t>
      </w:r>
      <w:r>
        <w:rPr>
          <w:rFonts w:ascii="Arial" w:eastAsia="Arial" w:hAnsi="Arial" w:cs="Arial"/>
          <w:i/>
          <w:color w:val="000000"/>
          <w:sz w:val="20"/>
        </w:rPr>
        <w:t>Id.</w:t>
      </w:r>
      <w:r>
        <w:rPr>
          <w:rFonts w:ascii="Arial" w:eastAsia="Arial" w:hAnsi="Arial" w:cs="Arial"/>
          <w:color w:val="000000"/>
          <w:sz w:val="20"/>
        </w:rPr>
        <w:t xml:space="preserve"> at 4-6 (Page ID #2218-20). He did not address the merits of the argument.</w:t>
      </w:r>
      <w:r>
        <w:rPr>
          <w:rFonts w:ascii="Arial" w:eastAsia="Arial" w:hAnsi="Arial" w:cs="Arial"/>
          <w:vertAlign w:val="superscript"/>
        </w:rPr>
        <w:footnoteReference w:customMarkFollows="1" w:id="162"/>
        <w:t>2</w:t>
      </w:r>
      <w:r>
        <w:rPr>
          <w:rFonts w:ascii="Arial" w:eastAsia="Arial" w:hAnsi="Arial" w:cs="Arial"/>
          <w:i/>
          <w:color w:val="000000"/>
          <w:sz w:val="20"/>
        </w:rPr>
        <w:t>Id.</w:t>
      </w:r>
    </w:p>
    <w:p w:rsidR="00022B47" w:rsidRDefault="00000000">
      <w:pPr>
        <w:pStyle w:val="Normal35"/>
        <w:widowControl w:val="0"/>
        <w:spacing w:before="200" w:line="260" w:lineRule="atLeast"/>
        <w:jc w:val="both"/>
      </w:pPr>
      <w:bookmarkStart w:id="5804" w:name="Bookmark_para_21_26"/>
      <w:bookmarkEnd w:id="5804"/>
      <w:r>
        <w:rPr>
          <w:rFonts w:ascii="Arial" w:eastAsia="Arial" w:hAnsi="Arial" w:cs="Arial"/>
          <w:color w:val="000000"/>
          <w:sz w:val="20"/>
        </w:rPr>
        <w:t xml:space="preserve">In February 2020, Judge Rice recused himself from the case. R. 102 (Recusal Order) (Page ID #2818). The case was reassigned to Judge Rose, who began to preside over pre-trial proceedings. </w:t>
      </w:r>
      <w:r>
        <w:rPr>
          <w:rFonts w:ascii="Arial" w:eastAsia="Arial" w:hAnsi="Arial" w:cs="Arial"/>
          <w:i/>
          <w:color w:val="000000"/>
          <w:sz w:val="20"/>
        </w:rPr>
        <w:t>Id.</w:t>
      </w:r>
      <w:r>
        <w:rPr>
          <w:rFonts w:ascii="Arial" w:eastAsia="Arial" w:hAnsi="Arial" w:cs="Arial"/>
          <w:color w:val="000000"/>
          <w:sz w:val="20"/>
        </w:rPr>
        <w:t xml:space="preserve"> In January 2021, nearly a year after Judge Rice's recusal and almost two years after Judge Rice's denial of summary judgment to GDPM on the reasonable-accommodation claim, Judge Rose issued a sua sponte order granting summary judgment to GDPM and dismissing the case. R. 109 (1/5/2021 Dist. Ct. Order at 1-2) (Page ID #2871-72). Observing that an element of an FHA or ADA reasonable-accommodation claim is denial of "equal opportunity" to enjoy the housing of one's choice, Judge Rose found that Freedom's Path did not demonstrate the requisite nexus between the necessity of its proposed accommodation and such an equal opportunity. </w:t>
      </w:r>
      <w:r>
        <w:rPr>
          <w:rFonts w:ascii="Arial" w:eastAsia="Arial" w:hAnsi="Arial" w:cs="Arial"/>
          <w:i/>
          <w:color w:val="000000"/>
          <w:sz w:val="20"/>
        </w:rPr>
        <w:t>Id.</w:t>
      </w:r>
      <w:r>
        <w:rPr>
          <w:rFonts w:ascii="Arial" w:eastAsia="Arial" w:hAnsi="Arial" w:cs="Arial"/>
          <w:color w:val="000000"/>
          <w:sz w:val="20"/>
        </w:rPr>
        <w:t xml:space="preserve"> at 17 (Page ID #2886). Because Freedom's Path did not show that "but for the accommodation, [it] would likely [*15]  be denied an equal opportunity to enjoy the housing of [its] choice," there was no "genuine issue of material fact to dispute that GDPM provided [Freedom's Path] with equal opportunity." </w:t>
      </w:r>
      <w:r>
        <w:rPr>
          <w:rFonts w:ascii="Arial" w:eastAsia="Arial" w:hAnsi="Arial" w:cs="Arial"/>
          <w:i/>
          <w:color w:val="000000"/>
          <w:sz w:val="20"/>
        </w:rPr>
        <w:t>Id.</w:t>
      </w:r>
      <w:r>
        <w:rPr>
          <w:rFonts w:ascii="Arial" w:eastAsia="Arial" w:hAnsi="Arial" w:cs="Arial"/>
          <w:color w:val="000000"/>
          <w:sz w:val="20"/>
        </w:rPr>
        <w:t xml:space="preserve"> at 17-18 (Page ID #2886-87). Freedom's Path appeals the district court's grant of summary judgment to GDPM.</w:t>
      </w:r>
    </w:p>
    <w:p w:rsidR="00022B47" w:rsidRDefault="00000000">
      <w:pPr>
        <w:pStyle w:val="Normal35"/>
        <w:widowControl w:val="0"/>
        <w:spacing w:before="240" w:line="260" w:lineRule="atLeast"/>
      </w:pPr>
      <w:r>
        <w:br/>
      </w:r>
      <w:r>
        <w:rPr>
          <w:rFonts w:ascii="Arial" w:eastAsia="Arial" w:hAnsi="Arial" w:cs="Arial"/>
          <w:b/>
          <w:color w:val="000000"/>
          <w:sz w:val="20"/>
        </w:rPr>
        <w:t>II. ANALYSIS</w:t>
      </w:r>
    </w:p>
    <w:p w:rsidR="00022B47" w:rsidRDefault="00000000">
      <w:pPr>
        <w:pStyle w:val="Normal35"/>
        <w:widowControl w:val="0"/>
        <w:spacing w:before="240" w:line="260" w:lineRule="atLeast"/>
      </w:pPr>
      <w:r>
        <w:br/>
      </w:r>
      <w:r>
        <w:rPr>
          <w:rFonts w:ascii="Arial" w:eastAsia="Arial" w:hAnsi="Arial" w:cs="Arial"/>
          <w:b/>
          <w:color w:val="000000"/>
          <w:sz w:val="20"/>
        </w:rPr>
        <w:t>A. Judge Rose's Decision to Reconsider</w:t>
      </w:r>
    </w:p>
    <w:p w:rsidR="00022B47" w:rsidRDefault="00000000">
      <w:pPr>
        <w:pStyle w:val="Normal35"/>
        <w:widowControl w:val="0"/>
        <w:spacing w:before="200" w:line="260" w:lineRule="atLeast"/>
        <w:jc w:val="both"/>
      </w:pPr>
      <w:bookmarkStart w:id="5805" w:name="Bookmark_para_22_25"/>
      <w:bookmarkStart w:id="5806" w:name="Bookmark_I645FT5T2D6N7R0020000400"/>
      <w:bookmarkEnd w:id="5805"/>
      <w:bookmarkEnd w:id="5806"/>
      <w:r>
        <w:rPr>
          <w:rFonts w:ascii="Arial" w:eastAsia="Arial" w:hAnsi="Arial" w:cs="Arial"/>
          <w:color w:val="000000"/>
          <w:sz w:val="20"/>
        </w:rPr>
        <w:t xml:space="preserve">Freedom's Path first urges us to review Judge Rose's sua sponte reconsideration of Judge Rice's decision. </w:t>
      </w:r>
      <w:bookmarkStart w:id="5807" w:name="Bookmark_I645FT5T2D6N7R0040000400"/>
      <w:bookmarkStart w:id="5808" w:name="Bookmark_LNHNREFclscc1_30"/>
      <w:bookmarkEnd w:id="5807"/>
      <w:bookmarkEnd w:id="5808"/>
      <w:r>
        <w:rPr>
          <w:rFonts w:ascii="Arial" w:eastAsia="Arial" w:hAnsi="Arial" w:cs="Arial"/>
          <w:color w:val="000000"/>
          <w:sz w:val="20"/>
        </w:rPr>
        <w:t xml:space="preserve">We review for abuse of discretion a successor judge's decision to reconsider a previous judge's denial of summary judgment. </w:t>
      </w:r>
      <w:bookmarkStart w:id="5809" w:name="Bookmark_I645FT5W2N1RMP0010000400"/>
      <w:bookmarkStart w:id="5810" w:name="Bookmark_I645FT5T2D6N7R0010000400"/>
      <w:bookmarkEnd w:id="5809"/>
      <w:bookmarkEnd w:id="5810"/>
      <w:r>
        <w:rPr>
          <w:rFonts w:ascii="Arial" w:eastAsia="Arial" w:hAnsi="Arial" w:cs="Arial"/>
          <w:i/>
          <w:color w:val="000000"/>
          <w:sz w:val="20"/>
        </w:rPr>
        <w:t>Med. Ctr. at Elizabeth Place, LLC v. Atrium Health Sys.</w:t>
      </w:r>
      <w:r>
        <w:rPr>
          <w:rFonts w:ascii="Arial" w:eastAsia="Arial" w:hAnsi="Arial" w:cs="Arial"/>
          <w:color w:val="000000"/>
          <w:sz w:val="20"/>
        </w:rPr>
        <w:t xml:space="preserve">, 922 F.3d 713, 722 (6th Cir. 2019). </w:t>
      </w:r>
      <w:bookmarkStart w:id="5811" w:name="Bookmark_I645FT5W2N1RMP0010000400_2"/>
      <w:bookmarkStart w:id="5812" w:name="Bookmark_I645FT5T2D6N7R0040000400_2"/>
      <w:bookmarkStart w:id="5813" w:name="Bookmark_I645FT5W2N1RMP0030000400"/>
      <w:bookmarkEnd w:id="5811"/>
      <w:bookmarkEnd w:id="5812"/>
      <w:bookmarkEnd w:id="5813"/>
      <w:r>
        <w:rPr>
          <w:rFonts w:ascii="Arial" w:eastAsia="Arial" w:hAnsi="Arial" w:cs="Arial"/>
          <w:color w:val="000000"/>
          <w:sz w:val="20"/>
        </w:rPr>
        <w:t xml:space="preserve">The law-of-the-case doctrine discourages district court judges from "hastily disturb[ing]" the rulings of a previous judge in the same case. </w:t>
      </w:r>
      <w:bookmarkStart w:id="5814" w:name="Bookmark_I645FT5T2D6N7R0030000400"/>
      <w:bookmarkEnd w:id="5814"/>
      <w:r>
        <w:rPr>
          <w:rFonts w:ascii="Arial" w:eastAsia="Arial" w:hAnsi="Arial" w:cs="Arial"/>
          <w:i/>
          <w:color w:val="000000"/>
          <w:sz w:val="20"/>
        </w:rPr>
        <w:t>Gillig v. Advanced Cardiovascular Sys., Inc.</w:t>
      </w:r>
      <w:r>
        <w:rPr>
          <w:rFonts w:ascii="Arial" w:eastAsia="Arial" w:hAnsi="Arial" w:cs="Arial"/>
          <w:color w:val="000000"/>
          <w:sz w:val="20"/>
        </w:rPr>
        <w:t xml:space="preserve">, 67 F.3d 586, 590 (6th Cir. 1995). </w:t>
      </w:r>
      <w:bookmarkStart w:id="5815" w:name="Bookmark_I645FT5W2N1RMP0030000400_2"/>
      <w:bookmarkStart w:id="5816" w:name="Bookmark_I645FT5W2SF7TG0020000400"/>
      <w:bookmarkEnd w:id="5815"/>
      <w:bookmarkEnd w:id="5816"/>
      <w:r>
        <w:rPr>
          <w:rFonts w:ascii="Arial" w:eastAsia="Arial" w:hAnsi="Arial" w:cs="Arial"/>
          <w:color w:val="000000"/>
          <w:sz w:val="20"/>
        </w:rPr>
        <w:t xml:space="preserve">For this reason, lower courts generally grant reconsideration only when "there is (1) an intervening change of controlling law; (2) new evidence available; or (3) a need to correct a clear error or prevent manifest injustice." </w:t>
      </w:r>
      <w:bookmarkStart w:id="5817" w:name="Bookmark_I645FT5T2D6N7R0050000400"/>
      <w:bookmarkEnd w:id="5817"/>
      <w:r>
        <w:rPr>
          <w:rFonts w:ascii="Arial" w:eastAsia="Arial" w:hAnsi="Arial" w:cs="Arial"/>
          <w:i/>
          <w:color w:val="000000"/>
          <w:sz w:val="20"/>
        </w:rPr>
        <w:t>Rodriguez v. Tennessee Laborers Health &amp; Welfare Fund</w:t>
      </w:r>
      <w:r>
        <w:rPr>
          <w:rFonts w:ascii="Arial" w:eastAsia="Arial" w:hAnsi="Arial" w:cs="Arial"/>
          <w:color w:val="000000"/>
          <w:sz w:val="20"/>
        </w:rPr>
        <w:t xml:space="preserve">, 89 F. App'x 949, 959 (6th Cir. 2004). </w:t>
      </w:r>
      <w:bookmarkStart w:id="5818" w:name="Bookmark_I645FT5W2SF7TG0020000400_2"/>
      <w:bookmarkStart w:id="5819" w:name="Bookmark_I645FT5W2N1RMP0030000400_3"/>
      <w:bookmarkEnd w:id="5818"/>
      <w:bookmarkEnd w:id="5819"/>
      <w:r>
        <w:rPr>
          <w:rFonts w:ascii="Arial" w:eastAsia="Arial" w:hAnsi="Arial" w:cs="Arial"/>
          <w:color w:val="000000"/>
          <w:sz w:val="20"/>
        </w:rPr>
        <w:t xml:space="preserve">The law of the case, however, is "not a limit to [a court's] power." </w:t>
      </w:r>
      <w:bookmarkStart w:id="5820" w:name="Bookmark_I645FT5W2N1RMP0020000400"/>
      <w:bookmarkEnd w:id="5820"/>
      <w:r>
        <w:rPr>
          <w:rFonts w:ascii="Arial" w:eastAsia="Arial" w:hAnsi="Arial" w:cs="Arial"/>
          <w:i/>
          <w:color w:val="000000"/>
          <w:sz w:val="20"/>
        </w:rPr>
        <w:t>Elizabeth Place</w:t>
      </w:r>
      <w:r>
        <w:rPr>
          <w:rFonts w:ascii="Arial" w:eastAsia="Arial" w:hAnsi="Arial" w:cs="Arial"/>
          <w:color w:val="000000"/>
          <w:sz w:val="20"/>
        </w:rPr>
        <w:t xml:space="preserve">, 922 F.3d at 734 (Sutton, J., concurring) (quoting </w:t>
      </w:r>
      <w:bookmarkStart w:id="5821" w:name="Bookmark_I645FT5W2N1RMP0040000400"/>
      <w:bookmarkEnd w:id="5821"/>
      <w:r>
        <w:rPr>
          <w:rFonts w:ascii="Arial" w:eastAsia="Arial" w:hAnsi="Arial" w:cs="Arial"/>
          <w:i/>
          <w:color w:val="000000"/>
          <w:sz w:val="20"/>
        </w:rPr>
        <w:t>Messenger v. Anderson</w:t>
      </w:r>
      <w:r>
        <w:rPr>
          <w:rFonts w:ascii="Arial" w:eastAsia="Arial" w:hAnsi="Arial" w:cs="Arial"/>
          <w:color w:val="000000"/>
          <w:sz w:val="20"/>
        </w:rPr>
        <w:t xml:space="preserve">, 225 U.S. 436, 444, 32 S. Ct. 739, 56 L. Ed. 1152 (1912)). Under Federal Rule of Civil Procedure 54(b), a district court may revise a previous order "at any time before the entry of a judgment adjudicating all the claims and all the parties' [*16]  rights and liabilities." And although "we discourage granting summary judgment </w:t>
      </w:r>
      <w:r>
        <w:rPr>
          <w:rFonts w:ascii="Arial" w:eastAsia="Arial" w:hAnsi="Arial" w:cs="Arial"/>
          <w:i/>
          <w:color w:val="000000"/>
          <w:sz w:val="20"/>
        </w:rPr>
        <w:t>sua sponte</w:t>
      </w:r>
      <w:r>
        <w:rPr>
          <w:rFonts w:ascii="Arial" w:eastAsia="Arial" w:hAnsi="Arial" w:cs="Arial"/>
          <w:color w:val="000000"/>
          <w:sz w:val="20"/>
        </w:rPr>
        <w:t xml:space="preserve"> on grounds not urged by either party, . . . we do not prohibit the practice per se." </w:t>
      </w:r>
      <w:bookmarkStart w:id="5822" w:name="Bookmark_I645FT5W2SF7TG0010000400"/>
      <w:bookmarkEnd w:id="5822"/>
      <w:r>
        <w:rPr>
          <w:rFonts w:ascii="Arial" w:eastAsia="Arial" w:hAnsi="Arial" w:cs="Arial"/>
          <w:i/>
          <w:color w:val="000000"/>
          <w:sz w:val="20"/>
        </w:rPr>
        <w:t>Excel Energy, Inc. v. Cannelton Sales Co.</w:t>
      </w:r>
      <w:r>
        <w:rPr>
          <w:rFonts w:ascii="Arial" w:eastAsia="Arial" w:hAnsi="Arial" w:cs="Arial"/>
          <w:color w:val="000000"/>
          <w:sz w:val="20"/>
        </w:rPr>
        <w:t>, 246 F. App'x 953, 959 (6th Cir. 2007).</w:t>
      </w:r>
    </w:p>
    <w:p w:rsidR="00022B47" w:rsidRDefault="00000000">
      <w:pPr>
        <w:pStyle w:val="Normal35"/>
        <w:widowControl w:val="0"/>
        <w:spacing w:before="200" w:line="260" w:lineRule="atLeast"/>
        <w:jc w:val="both"/>
      </w:pPr>
      <w:bookmarkStart w:id="5823" w:name="Bookmark_para_23_24"/>
      <w:bookmarkStart w:id="5824" w:name="Bookmark_LNHNREFclscc2_30"/>
      <w:bookmarkEnd w:id="5823"/>
      <w:bookmarkEnd w:id="5824"/>
      <w:r>
        <w:rPr>
          <w:rFonts w:ascii="Arial" w:eastAsia="Arial" w:hAnsi="Arial" w:cs="Arial"/>
          <w:color w:val="000000"/>
          <w:sz w:val="20"/>
        </w:rPr>
        <w:t xml:space="preserve">A judge's discretion, however, is not unfettered. Judge Rose tested the limits of his discretion in several ways. First, he relied on an issue, the necessity of the proposed accommodation, that was raised for the first time in a motion to reconsider before Judge Rice. R. 73 (11/13/19 Dist. Ct. Order at 5-6) (Page ID #2219-20). </w:t>
      </w:r>
      <w:bookmarkStart w:id="5825" w:name="Bookmark_I645FT5W2SF7TG0040000400"/>
      <w:bookmarkEnd w:id="5825"/>
      <w:r>
        <w:rPr>
          <w:rFonts w:ascii="Arial" w:eastAsia="Arial" w:hAnsi="Arial" w:cs="Arial"/>
          <w:color w:val="000000"/>
          <w:sz w:val="20"/>
        </w:rPr>
        <w:t xml:space="preserve">GDPM did not explain why it waited until after summary-judgment briefing concluded to raise the argument. Judge Rose, moreover, did not explain why Judge Rice clearly erred in declining to consider this argument for the first time on reconsideration. </w:t>
      </w:r>
      <w:r>
        <w:rPr>
          <w:rFonts w:ascii="Arial" w:eastAsia="Arial" w:hAnsi="Arial" w:cs="Arial"/>
          <w:i/>
          <w:color w:val="000000"/>
          <w:sz w:val="20"/>
        </w:rPr>
        <w:t xml:space="preserve">See </w:t>
      </w:r>
      <w:bookmarkStart w:id="5826" w:name="Bookmark_I645FT5W2SF7TG0030000400"/>
      <w:bookmarkEnd w:id="5826"/>
      <w:r>
        <w:rPr>
          <w:rFonts w:ascii="Arial" w:eastAsia="Arial" w:hAnsi="Arial" w:cs="Arial"/>
          <w:i/>
          <w:color w:val="000000"/>
          <w:sz w:val="20"/>
        </w:rPr>
        <w:t>Roger Miller Music, Inc. v. Sony/ATV Publ'g, LLC</w:t>
      </w:r>
      <w:r>
        <w:rPr>
          <w:rFonts w:ascii="Arial" w:eastAsia="Arial" w:hAnsi="Arial" w:cs="Arial"/>
          <w:color w:val="000000"/>
          <w:sz w:val="20"/>
        </w:rPr>
        <w:t>, 477 F.3d 383, 395 (6th Cir. 2007) (</w:t>
      </w:r>
      <w:bookmarkStart w:id="5827" w:name="Bookmark_LNHNREFclscc3_30"/>
      <w:bookmarkEnd w:id="5827"/>
      <w:r>
        <w:rPr>
          <w:rFonts w:ascii="Arial" w:eastAsia="Arial" w:hAnsi="Arial" w:cs="Arial"/>
          <w:color w:val="000000"/>
          <w:sz w:val="20"/>
        </w:rPr>
        <w:t>"[P]arties cannot use a motion for reconsideration to raise new legal arguments that could have been raised before a judgment was issued."). Second, Judge Rose waited almost a year after inheriting the case from Judge Rice and almost two years after Judge Rice's summary-judgment decision to dismiss the case sua sponte. Especially when issued so long after summary judgment is denied, such unexpected decisions harm the reliance interests [*17]  of parties that were not expecting to relitigate matters.</w:t>
      </w:r>
    </w:p>
    <w:p w:rsidR="00022B47" w:rsidRDefault="00000000">
      <w:pPr>
        <w:pStyle w:val="Normal35"/>
        <w:widowControl w:val="0"/>
        <w:spacing w:before="200" w:line="260" w:lineRule="atLeast"/>
        <w:jc w:val="both"/>
      </w:pPr>
      <w:bookmarkStart w:id="5828" w:name="Bookmark_para_24_22"/>
      <w:bookmarkStart w:id="5829" w:name="Bookmark_I645FT5W2SF7TH0010000400"/>
      <w:bookmarkEnd w:id="5828"/>
      <w:bookmarkEnd w:id="5829"/>
      <w:r>
        <w:rPr>
          <w:rFonts w:ascii="Arial" w:eastAsia="Arial" w:hAnsi="Arial" w:cs="Arial"/>
          <w:color w:val="000000"/>
          <w:sz w:val="20"/>
        </w:rPr>
        <w:t xml:space="preserve">Judge Rose's choices are troubling, but it is unclear if they constitute an abuse of discretion given district courts' broad authority to revisit interlocutory orders such as denials of summary judgment. </w:t>
      </w:r>
      <w:bookmarkStart w:id="5830" w:name="Bookmark_I645FT5W2SF7TG0050000400"/>
      <w:bookmarkEnd w:id="5830"/>
      <w:r>
        <w:rPr>
          <w:rFonts w:ascii="Arial" w:eastAsia="Arial" w:hAnsi="Arial" w:cs="Arial"/>
          <w:i/>
          <w:color w:val="000000"/>
          <w:sz w:val="20"/>
        </w:rPr>
        <w:t>ACLU of Kentucky v. McCreary County</w:t>
      </w:r>
      <w:r>
        <w:rPr>
          <w:rFonts w:ascii="Arial" w:eastAsia="Arial" w:hAnsi="Arial" w:cs="Arial"/>
          <w:color w:val="000000"/>
          <w:sz w:val="20"/>
        </w:rPr>
        <w:t xml:space="preserve">, 607 F.3d 439, 450 (6th Cir. 2010) (noting that district courts may reconsider summary judgment decisions "for any reason" (quoting </w:t>
      </w:r>
      <w:bookmarkStart w:id="5831" w:name="Bookmark_I645FT5W2SF7TH0020000400"/>
      <w:bookmarkEnd w:id="5831"/>
      <w:r>
        <w:rPr>
          <w:rFonts w:ascii="Arial" w:eastAsia="Arial" w:hAnsi="Arial" w:cs="Arial"/>
          <w:i/>
          <w:color w:val="000000"/>
          <w:sz w:val="20"/>
        </w:rPr>
        <w:t>Cameron v. Ohio</w:t>
      </w:r>
      <w:r>
        <w:rPr>
          <w:rFonts w:ascii="Arial" w:eastAsia="Arial" w:hAnsi="Arial" w:cs="Arial"/>
          <w:color w:val="000000"/>
          <w:sz w:val="20"/>
        </w:rPr>
        <w:t xml:space="preserve">, 344 F. App'x 115, 118 (6th Cir. 2009)); </w:t>
      </w:r>
      <w:bookmarkStart w:id="5832" w:name="Bookmark_I645FT5W2SF7TH0040000400"/>
      <w:bookmarkEnd w:id="5832"/>
      <w:r>
        <w:rPr>
          <w:rFonts w:ascii="Arial" w:eastAsia="Arial" w:hAnsi="Arial" w:cs="Arial"/>
          <w:i/>
          <w:color w:val="000000"/>
          <w:sz w:val="20"/>
        </w:rPr>
        <w:t>Leelanau Wine Cellars, Ltd. v. Black &amp; Red, Inc.</w:t>
      </w:r>
      <w:r>
        <w:rPr>
          <w:rFonts w:ascii="Arial" w:eastAsia="Arial" w:hAnsi="Arial" w:cs="Arial"/>
          <w:color w:val="000000"/>
          <w:sz w:val="20"/>
        </w:rPr>
        <w:t>, 118 F. App'x 942, 945 (6th Cir. 2004) (noting that district court may reconsider interlocutory orders "at any time"). Ultimately, we decline to decide the issue because we hold on the merits that Judge Rose erred in granting GDPM summary judgment.</w:t>
      </w:r>
    </w:p>
    <w:p w:rsidR="00022B47" w:rsidRDefault="00000000">
      <w:pPr>
        <w:pStyle w:val="Normal35"/>
        <w:widowControl w:val="0"/>
        <w:spacing w:before="240" w:line="260" w:lineRule="atLeast"/>
      </w:pPr>
      <w:r>
        <w:br/>
      </w:r>
      <w:r>
        <w:rPr>
          <w:rFonts w:ascii="Arial" w:eastAsia="Arial" w:hAnsi="Arial" w:cs="Arial"/>
          <w:b/>
          <w:color w:val="000000"/>
          <w:sz w:val="20"/>
        </w:rPr>
        <w:t>B. Judge Rose's Grant of Summary Judgment</w:t>
      </w:r>
    </w:p>
    <w:p w:rsidR="00022B47" w:rsidRDefault="00000000">
      <w:pPr>
        <w:pStyle w:val="Normal35"/>
        <w:widowControl w:val="0"/>
        <w:spacing w:before="200" w:line="260" w:lineRule="atLeast"/>
        <w:jc w:val="both"/>
      </w:pPr>
      <w:bookmarkStart w:id="5833" w:name="Bookmark_para_25_21"/>
      <w:bookmarkStart w:id="5834" w:name="Bookmark_I645FT5X28T4BH0020000400"/>
      <w:bookmarkStart w:id="5835" w:name="Bookmark_I645FT5X28T4BH0040000400"/>
      <w:bookmarkStart w:id="5836" w:name="Bookmark_LNHNREFclscc4_30"/>
      <w:bookmarkEnd w:id="5833"/>
      <w:bookmarkEnd w:id="5834"/>
      <w:bookmarkEnd w:id="5835"/>
      <w:bookmarkEnd w:id="5836"/>
      <w:r>
        <w:rPr>
          <w:rFonts w:ascii="Arial" w:eastAsia="Arial" w:hAnsi="Arial" w:cs="Arial"/>
          <w:color w:val="000000"/>
          <w:sz w:val="20"/>
        </w:rPr>
        <w:t xml:space="preserve">We review de novo a successor judge's grant of summary judgment when the judge's application of the law is at issue. </w:t>
      </w:r>
      <w:bookmarkStart w:id="5837" w:name="Bookmark_I645FT5X28T4BH0010000400"/>
      <w:bookmarkEnd w:id="5837"/>
      <w:r>
        <w:rPr>
          <w:rFonts w:ascii="Arial" w:eastAsia="Arial" w:hAnsi="Arial" w:cs="Arial"/>
          <w:i/>
          <w:color w:val="000000"/>
          <w:sz w:val="20"/>
        </w:rPr>
        <w:t>Elizabeth Place</w:t>
      </w:r>
      <w:r>
        <w:rPr>
          <w:rFonts w:ascii="Arial" w:eastAsia="Arial" w:hAnsi="Arial" w:cs="Arial"/>
          <w:color w:val="000000"/>
          <w:sz w:val="20"/>
        </w:rPr>
        <w:t xml:space="preserve">, 922 F.3d at 723. "Summary judgment is warranted if, viewing the facts in the light most favorable to the nonmoving party, no material fact is subject to a genuine dispute." </w:t>
      </w:r>
      <w:bookmarkStart w:id="5838" w:name="Bookmark_I645FT5X28T4BH0030000400"/>
      <w:bookmarkEnd w:id="5838"/>
      <w:r>
        <w:rPr>
          <w:rFonts w:ascii="Arial" w:eastAsia="Arial" w:hAnsi="Arial" w:cs="Arial"/>
          <w:i/>
          <w:color w:val="000000"/>
          <w:sz w:val="20"/>
        </w:rPr>
        <w:t>Id.</w:t>
      </w:r>
      <w:r>
        <w:rPr>
          <w:rFonts w:ascii="Arial" w:eastAsia="Arial" w:hAnsi="Arial" w:cs="Arial"/>
          <w:color w:val="000000"/>
          <w:sz w:val="20"/>
        </w:rPr>
        <w:t xml:space="preserve"> at 722 (citing </w:t>
      </w:r>
      <w:bookmarkStart w:id="5839" w:name="Bookmark_I645FT5X28T4BH0050000400"/>
      <w:bookmarkEnd w:id="5839"/>
      <w:r>
        <w:rPr>
          <w:rFonts w:ascii="Arial" w:eastAsia="Arial" w:hAnsi="Arial" w:cs="Arial"/>
          <w:i/>
          <w:color w:val="000000"/>
          <w:sz w:val="20"/>
        </w:rPr>
        <w:t>Matsushita Elec. Indus. Co. v. Zenith Radio Corp.</w:t>
      </w:r>
      <w:r>
        <w:rPr>
          <w:rFonts w:ascii="Arial" w:eastAsia="Arial" w:hAnsi="Arial" w:cs="Arial"/>
          <w:color w:val="000000"/>
          <w:sz w:val="20"/>
        </w:rPr>
        <w:t>, 475 U.S. 574, 585-87, 106 S. Ct. 1348, 89 L. Ed. 2d 538 (1986)).</w:t>
      </w:r>
    </w:p>
    <w:p w:rsidR="00022B47" w:rsidRDefault="00000000">
      <w:pPr>
        <w:pStyle w:val="Normal35"/>
        <w:widowControl w:val="0"/>
        <w:spacing w:before="200" w:line="260" w:lineRule="atLeast"/>
        <w:jc w:val="both"/>
      </w:pPr>
      <w:bookmarkStart w:id="5840" w:name="Bookmark_para_26_19"/>
      <w:bookmarkStart w:id="5841" w:name="Bookmark_I645FT5X2N1RMY0030000400"/>
      <w:bookmarkStart w:id="5842" w:name="Bookmark_LNHNREFclscc5_30"/>
      <w:bookmarkEnd w:id="5840"/>
      <w:bookmarkEnd w:id="5841"/>
      <w:bookmarkEnd w:id="5842"/>
      <w:r>
        <w:rPr>
          <w:rFonts w:ascii="Arial" w:eastAsia="Arial" w:hAnsi="Arial" w:cs="Arial"/>
          <w:color w:val="000000"/>
          <w:sz w:val="20"/>
        </w:rPr>
        <w:t xml:space="preserve">Under the FHA, discrimination includes the "refusal to make reasonable accommodations in rules, policies, practices, or services, when such accommodations may be necessary to afford [a disabled] person equal opportunity to use and enjoy a dwelling." 42 U.S.C. § 3604(f)(3)(B). </w:t>
      </w:r>
      <w:bookmarkStart w:id="5843" w:name="Bookmark_I645FT5X2N1RMY0050000400"/>
      <w:bookmarkEnd w:id="5843"/>
      <w:r>
        <w:rPr>
          <w:rFonts w:ascii="Arial" w:eastAsia="Arial" w:hAnsi="Arial" w:cs="Arial"/>
          <w:color w:val="000000"/>
          <w:sz w:val="20"/>
        </w:rPr>
        <w:t xml:space="preserve">A public entity has an "affirmative duty" reasonably [*18]  to accommodate disabled persons under the FHA. </w:t>
      </w:r>
      <w:bookmarkStart w:id="5844" w:name="Bookmark_I645FT5X2N1RMY0020000400"/>
      <w:bookmarkEnd w:id="5844"/>
      <w:r>
        <w:rPr>
          <w:rFonts w:ascii="Arial" w:eastAsia="Arial" w:hAnsi="Arial" w:cs="Arial"/>
          <w:i/>
          <w:color w:val="000000"/>
          <w:sz w:val="20"/>
        </w:rPr>
        <w:t>Howard v. City of Beavercreek</w:t>
      </w:r>
      <w:r>
        <w:rPr>
          <w:rFonts w:ascii="Arial" w:eastAsia="Arial" w:hAnsi="Arial" w:cs="Arial"/>
          <w:color w:val="000000"/>
          <w:sz w:val="20"/>
        </w:rPr>
        <w:t xml:space="preserve">, 276 F.3d 802, 806 (6th Cir. 2002). Regulations implementing Title II of the ADA contain a similar prohibition on denying persons with disabilities reasonable accommodations: "[a] public entity shall make reasonable modifications in policies, practices, or procedures when the modifications are necessary to avoid discrimination on the basis of disability." 28 C.F.R. § 35.130(b)(7)(i). </w:t>
      </w:r>
      <w:bookmarkStart w:id="5845" w:name="Bookmark_I645FT5X2N1RMY0050000400_2"/>
      <w:bookmarkEnd w:id="5845"/>
      <w:r>
        <w:rPr>
          <w:rFonts w:ascii="Arial" w:eastAsia="Arial" w:hAnsi="Arial" w:cs="Arial"/>
          <w:color w:val="000000"/>
          <w:sz w:val="20"/>
        </w:rPr>
        <w:t xml:space="preserve">The parties agree that "[t]he requirements for reasonable accommodation under the ADA are the same as those under the FHAA." </w:t>
      </w:r>
      <w:bookmarkStart w:id="5846" w:name="Bookmark_I645FT5X2N1RMY0040000400"/>
      <w:bookmarkEnd w:id="5846"/>
      <w:r>
        <w:rPr>
          <w:rFonts w:ascii="Arial" w:eastAsia="Arial" w:hAnsi="Arial" w:cs="Arial"/>
          <w:i/>
          <w:color w:val="000000"/>
          <w:sz w:val="20"/>
        </w:rPr>
        <w:t>Oconomowoc Residential Programs, Inc. v. City of Milwaukee</w:t>
      </w:r>
      <w:r>
        <w:rPr>
          <w:rFonts w:ascii="Arial" w:eastAsia="Arial" w:hAnsi="Arial" w:cs="Arial"/>
          <w:color w:val="000000"/>
          <w:sz w:val="20"/>
        </w:rPr>
        <w:t>, 300 F.3d 775, 783 (7th Cir. 2002).</w:t>
      </w:r>
    </w:p>
    <w:p w:rsidR="00022B47" w:rsidRDefault="00000000">
      <w:pPr>
        <w:pStyle w:val="Normal35"/>
        <w:widowControl w:val="0"/>
        <w:spacing w:before="200" w:line="260" w:lineRule="atLeast"/>
        <w:jc w:val="both"/>
      </w:pPr>
      <w:bookmarkStart w:id="5847" w:name="Bookmark_para_27_19"/>
      <w:bookmarkStart w:id="5848" w:name="Bookmark_I5H32JM626P0000574W000BB"/>
      <w:bookmarkStart w:id="5849" w:name="Bookmark_I645FT5Y2SF7TR0020000400"/>
      <w:bookmarkStart w:id="5850" w:name="Bookmark_LNHNREFclscc6_25"/>
      <w:bookmarkEnd w:id="5847"/>
      <w:bookmarkEnd w:id="5848"/>
      <w:bookmarkEnd w:id="5849"/>
      <w:bookmarkEnd w:id="5850"/>
      <w:r>
        <w:rPr>
          <w:rFonts w:ascii="Arial" w:eastAsia="Arial" w:hAnsi="Arial" w:cs="Arial"/>
          <w:color w:val="000000"/>
          <w:sz w:val="20"/>
        </w:rPr>
        <w:t xml:space="preserve">To prevail on a failure-to-accommodate claim, "a plaintiff must prove that (1) she suffers from a disability . . . ; (2) the defendant knew or reasonably should have known of the disability; (3) the requested accommodation may be necessary to afford an equal opportunity to use and enjoy the dwelling; (4) the accommodation is reasonable, and (5) the defendant refused to make the accommodation." </w:t>
      </w:r>
      <w:bookmarkStart w:id="5851" w:name="Bookmark_I645FT5Y2SF7TR0010000400"/>
      <w:bookmarkEnd w:id="5851"/>
      <w:r>
        <w:rPr>
          <w:rFonts w:ascii="Arial" w:eastAsia="Arial" w:hAnsi="Arial" w:cs="Arial"/>
          <w:i/>
          <w:color w:val="000000"/>
          <w:sz w:val="20"/>
        </w:rPr>
        <w:t>Overlook Mut. Homes, Inc. v. Spencer</w:t>
      </w:r>
      <w:r>
        <w:rPr>
          <w:rFonts w:ascii="Arial" w:eastAsia="Arial" w:hAnsi="Arial" w:cs="Arial"/>
          <w:color w:val="000000"/>
          <w:sz w:val="20"/>
        </w:rPr>
        <w:t>, 415 F. App'x 617, 621 (6th Cir. 2011) (quotation omitted). GDPM addressed only the reasonableness of the accommodation in its initial summary-judgment briefing, and Judge Rice found a genuine dispute of material fact on that issue. In his subsequent sua sponte dismissal order, Judge Rose granted GDPM summary judgment because he found that [*19]  Freedom's Path insufficiently established the third factor, that the change to the Administrative Plan was necessary to afford proposed disabled tenants equal opportunity. R. 109 (1/5/2021 Dist. Ct. Order at 17) (Page ID #2886). On appeal, the parties address only Judge Rose's basis for granting summary judgment. Accordingly, we limit our discussion to the necessity of Freedom's Path's proposed accommodation.</w:t>
      </w:r>
    </w:p>
    <w:p w:rsidR="00022B47" w:rsidRDefault="00000000">
      <w:pPr>
        <w:pStyle w:val="Normal35"/>
        <w:widowControl w:val="0"/>
        <w:spacing w:before="200" w:line="260" w:lineRule="atLeast"/>
        <w:jc w:val="both"/>
      </w:pPr>
      <w:bookmarkStart w:id="5852" w:name="Bookmark_para_28_19"/>
      <w:bookmarkStart w:id="5853" w:name="Bookmark_I645FT5Y2SF7TR0040000400"/>
      <w:bookmarkEnd w:id="5852"/>
      <w:bookmarkEnd w:id="5853"/>
      <w:r>
        <w:rPr>
          <w:rFonts w:ascii="Arial" w:eastAsia="Arial" w:hAnsi="Arial" w:cs="Arial"/>
          <w:color w:val="000000"/>
          <w:sz w:val="20"/>
        </w:rPr>
        <w:t xml:space="preserve">We previously considered the relationship between the terms "equal opportunity" and "necessary" in </w:t>
      </w:r>
      <w:bookmarkStart w:id="5854" w:name="Bookmark_I645FT5Y2SF7TR0030000400"/>
      <w:bookmarkEnd w:id="5854"/>
      <w:r>
        <w:rPr>
          <w:rFonts w:ascii="Arial" w:eastAsia="Arial" w:hAnsi="Arial" w:cs="Arial"/>
          <w:i/>
          <w:color w:val="000000"/>
          <w:sz w:val="20"/>
        </w:rPr>
        <w:t>Smith &amp; Lee Associates, Inc. v. City of Taylor</w:t>
      </w:r>
      <w:r>
        <w:rPr>
          <w:rFonts w:ascii="Arial" w:eastAsia="Arial" w:hAnsi="Arial" w:cs="Arial"/>
          <w:color w:val="000000"/>
          <w:sz w:val="20"/>
        </w:rPr>
        <w:t>, 102 F.3d 781, 794 (6th Cir. 1996). We first noted that the House Report on the Fair Housing Amendments Act offered relevant context as to the meaning of "equal opportunity":</w:t>
      </w:r>
    </w:p>
    <w:p w:rsidR="00022B47" w:rsidRDefault="00000000">
      <w:pPr>
        <w:pStyle w:val="Normal35"/>
        <w:widowControl w:val="0"/>
        <w:spacing w:before="200" w:line="260" w:lineRule="atLeast"/>
        <w:ind w:left="400"/>
        <w:jc w:val="both"/>
      </w:pPr>
      <w:bookmarkStart w:id="5855" w:name="Bookmark_para_29_17"/>
      <w:bookmarkStart w:id="5856" w:name="Bookmark_I645FT5Y2SF7TR0040000400_2"/>
      <w:bookmarkStart w:id="5857" w:name="Bookmark_I645FT5Y2HM6150010000400"/>
      <w:bookmarkEnd w:id="5855"/>
      <w:bookmarkEnd w:id="5856"/>
      <w:bookmarkEnd w:id="5857"/>
      <w:r>
        <w:rPr>
          <w:rFonts w:ascii="Arial" w:eastAsia="Arial" w:hAnsi="Arial" w:cs="Arial"/>
          <w:color w:val="000000"/>
          <w:sz w:val="20"/>
        </w:rPr>
        <w:t xml:space="preserve">The Fair Housing Amendments Act, like Section 504 of the Rehabilitation Act of 1973, as amended, is a clear pronouncement of a national commitment </w:t>
      </w:r>
      <w:r>
        <w:rPr>
          <w:rFonts w:ascii="Arial" w:eastAsia="Arial" w:hAnsi="Arial" w:cs="Arial"/>
          <w:i/>
          <w:color w:val="000000"/>
          <w:sz w:val="20"/>
        </w:rPr>
        <w:t>to end the unnecessary exclusion of persons with handicaps from the American mainstream</w:t>
      </w:r>
      <w:r>
        <w:rPr>
          <w:rFonts w:ascii="Arial" w:eastAsia="Arial" w:hAnsi="Arial" w:cs="Arial"/>
          <w:color w:val="000000"/>
          <w:sz w:val="20"/>
        </w:rPr>
        <w:t>.</w:t>
      </w:r>
    </w:p>
    <w:p w:rsidR="00022B47" w:rsidRDefault="00000000">
      <w:pPr>
        <w:pStyle w:val="Normal35"/>
        <w:widowControl w:val="0"/>
        <w:spacing w:before="200" w:line="260" w:lineRule="atLeast"/>
        <w:jc w:val="both"/>
      </w:pPr>
      <w:bookmarkStart w:id="5858" w:name="Bookmark_I645FT5Y2HM6150010000400_2"/>
      <w:bookmarkEnd w:id="5858"/>
      <w:r>
        <w:rPr>
          <w:rFonts w:ascii="Arial" w:eastAsia="Arial" w:hAnsi="Arial" w:cs="Arial"/>
          <w:i/>
          <w:color w:val="000000"/>
          <w:sz w:val="20"/>
        </w:rPr>
        <w:t>Id.</w:t>
      </w:r>
      <w:r>
        <w:rPr>
          <w:rFonts w:ascii="Arial" w:eastAsia="Arial" w:hAnsi="Arial" w:cs="Arial"/>
          <w:color w:val="000000"/>
          <w:sz w:val="20"/>
        </w:rPr>
        <w:t xml:space="preserve"> (quoting H.R. Rep. No. 100-711, at 18 (1988)). We further found "persuasive the analysis of courts that define equal opportunity . . . as giving handicapped individuals the right to choose to live in single-family neighborhoods." </w:t>
      </w:r>
      <w:r>
        <w:rPr>
          <w:rFonts w:ascii="Arial" w:eastAsia="Arial" w:hAnsi="Arial" w:cs="Arial"/>
          <w:i/>
          <w:color w:val="000000"/>
          <w:sz w:val="20"/>
        </w:rPr>
        <w:t>Id.</w:t>
      </w:r>
      <w:r>
        <w:rPr>
          <w:rFonts w:ascii="Arial" w:eastAsia="Arial" w:hAnsi="Arial" w:cs="Arial"/>
          <w:color w:val="000000"/>
          <w:sz w:val="20"/>
        </w:rPr>
        <w:t xml:space="preserve"> </w:t>
      </w:r>
      <w:bookmarkStart w:id="5859" w:name="Bookmark_LNHNREFclscc7_24"/>
      <w:bookmarkEnd w:id="5859"/>
      <w:r>
        <w:rPr>
          <w:rFonts w:ascii="Arial" w:eastAsia="Arial" w:hAnsi="Arial" w:cs="Arial"/>
          <w:color w:val="000000"/>
          <w:sz w:val="20"/>
        </w:rPr>
        <w:t xml:space="preserve">Linking the term "'necessary' to the goal of equal opportunity," we held that "[p]laintiffs must show that, but for the accommodation, [*20]  they likely will be denied an equal opportunity to enjoy the housing of their choice." </w:t>
      </w:r>
      <w:bookmarkStart w:id="5860" w:name="Bookmark_I645FT5Y2SF7TR0050000400"/>
      <w:bookmarkEnd w:id="5860"/>
      <w:r>
        <w:rPr>
          <w:rFonts w:ascii="Arial" w:eastAsia="Arial" w:hAnsi="Arial" w:cs="Arial"/>
          <w:i/>
          <w:color w:val="000000"/>
          <w:sz w:val="20"/>
        </w:rPr>
        <w:t>Id.</w:t>
      </w:r>
      <w:r>
        <w:rPr>
          <w:rFonts w:ascii="Arial" w:eastAsia="Arial" w:hAnsi="Arial" w:cs="Arial"/>
          <w:color w:val="000000"/>
          <w:sz w:val="20"/>
        </w:rPr>
        <w:t xml:space="preserve"> at 795.</w:t>
      </w:r>
    </w:p>
    <w:p w:rsidR="00022B47" w:rsidRDefault="00000000">
      <w:pPr>
        <w:pStyle w:val="Normal35"/>
        <w:widowControl w:val="0"/>
        <w:spacing w:before="200" w:line="260" w:lineRule="atLeast"/>
        <w:jc w:val="both"/>
      </w:pPr>
      <w:bookmarkStart w:id="5861" w:name="Bookmark_para_30_16"/>
      <w:bookmarkStart w:id="5862" w:name="Bookmark_I645FT5Y2HM6150030000400"/>
      <w:bookmarkStart w:id="5863" w:name="Bookmark_I645FT5Y2HM6150050000400"/>
      <w:bookmarkEnd w:id="5861"/>
      <w:bookmarkEnd w:id="5862"/>
      <w:bookmarkEnd w:id="5863"/>
      <w:r>
        <w:rPr>
          <w:rFonts w:ascii="Arial" w:eastAsia="Arial" w:hAnsi="Arial" w:cs="Arial"/>
          <w:color w:val="000000"/>
          <w:sz w:val="20"/>
        </w:rPr>
        <w:t xml:space="preserve">We applied these principles to the facts of </w:t>
      </w:r>
      <w:bookmarkStart w:id="5864" w:name="Bookmark_I645FT5Y2HM6150020000400"/>
      <w:bookmarkEnd w:id="5864"/>
      <w:r>
        <w:rPr>
          <w:rFonts w:ascii="Arial" w:eastAsia="Arial" w:hAnsi="Arial" w:cs="Arial"/>
          <w:i/>
          <w:color w:val="000000"/>
          <w:sz w:val="20"/>
        </w:rPr>
        <w:t>Smith &amp; Lee</w:t>
      </w:r>
      <w:r>
        <w:rPr>
          <w:rFonts w:ascii="Arial" w:eastAsia="Arial" w:hAnsi="Arial" w:cs="Arial"/>
          <w:color w:val="000000"/>
          <w:sz w:val="20"/>
        </w:rPr>
        <w:t xml:space="preserve">, in which an adult foster home specializing in the care of elderly disabled persons requested that the City of Taylor allow it to house additional residents. </w:t>
      </w:r>
      <w:bookmarkStart w:id="5865" w:name="Bookmark_I645FT5Y2N1RN50020000400"/>
      <w:bookmarkStart w:id="5866" w:name="Bookmark_I645FT5Y2HM6150040000400"/>
      <w:bookmarkEnd w:id="5865"/>
      <w:bookmarkEnd w:id="5866"/>
      <w:r>
        <w:rPr>
          <w:rFonts w:ascii="Arial" w:eastAsia="Arial" w:hAnsi="Arial" w:cs="Arial"/>
          <w:i/>
          <w:color w:val="000000"/>
          <w:sz w:val="20"/>
        </w:rPr>
        <w:t>Id.</w:t>
      </w:r>
      <w:r>
        <w:rPr>
          <w:rFonts w:ascii="Arial" w:eastAsia="Arial" w:hAnsi="Arial" w:cs="Arial"/>
          <w:color w:val="000000"/>
          <w:sz w:val="20"/>
        </w:rPr>
        <w:t xml:space="preserve"> at 785-86. </w:t>
      </w:r>
      <w:bookmarkStart w:id="5867" w:name="Bookmark_I645FT5Y2N1RN50020000400_2"/>
      <w:bookmarkEnd w:id="5867"/>
      <w:r>
        <w:rPr>
          <w:rFonts w:ascii="Arial" w:eastAsia="Arial" w:hAnsi="Arial" w:cs="Arial"/>
          <w:color w:val="000000"/>
          <w:sz w:val="20"/>
        </w:rPr>
        <w:t xml:space="preserve">The city refused, explaining that expanding the allowed number of residents in the building would be inconsistent with the established single-family residential character of the neighborhood. </w:t>
      </w:r>
      <w:bookmarkStart w:id="5868" w:name="Bookmark_I645FT5Y2N1RN50040000400"/>
      <w:bookmarkStart w:id="5869" w:name="Bookmark_I645FT5Y2N1RN50010000400"/>
      <w:bookmarkEnd w:id="5868"/>
      <w:bookmarkEnd w:id="5869"/>
      <w:r>
        <w:rPr>
          <w:rFonts w:ascii="Arial" w:eastAsia="Arial" w:hAnsi="Arial" w:cs="Arial"/>
          <w:i/>
          <w:color w:val="000000"/>
          <w:sz w:val="20"/>
        </w:rPr>
        <w:t>Id.</w:t>
      </w:r>
      <w:r>
        <w:rPr>
          <w:rFonts w:ascii="Arial" w:eastAsia="Arial" w:hAnsi="Arial" w:cs="Arial"/>
          <w:color w:val="000000"/>
          <w:sz w:val="20"/>
        </w:rPr>
        <w:t xml:space="preserve"> at 785. </w:t>
      </w:r>
      <w:bookmarkStart w:id="5870" w:name="Bookmark_I645FT5Y2N1RN50040000400_2"/>
      <w:bookmarkStart w:id="5871" w:name="Bookmark_I645FT5Y2SF7TV0010000400"/>
      <w:bookmarkEnd w:id="5870"/>
      <w:bookmarkEnd w:id="5871"/>
      <w:r>
        <w:rPr>
          <w:rFonts w:ascii="Arial" w:eastAsia="Arial" w:hAnsi="Arial" w:cs="Arial"/>
          <w:color w:val="000000"/>
          <w:sz w:val="20"/>
        </w:rPr>
        <w:t xml:space="preserve">We held that in doing so, the city failed reasonably to accommodate Taylor's elderly disabled. </w:t>
      </w:r>
      <w:bookmarkStart w:id="5872" w:name="Bookmark_I645FT5Y2N1RN50030000400"/>
      <w:bookmarkEnd w:id="5872"/>
      <w:r>
        <w:rPr>
          <w:rFonts w:ascii="Arial" w:eastAsia="Arial" w:hAnsi="Arial" w:cs="Arial"/>
          <w:i/>
          <w:color w:val="000000"/>
          <w:sz w:val="20"/>
        </w:rPr>
        <w:t>Id.</w:t>
      </w:r>
      <w:r>
        <w:rPr>
          <w:rFonts w:ascii="Arial" w:eastAsia="Arial" w:hAnsi="Arial" w:cs="Arial"/>
          <w:color w:val="000000"/>
          <w:sz w:val="20"/>
        </w:rPr>
        <w:t xml:space="preserve"> at 795. </w:t>
      </w:r>
      <w:bookmarkStart w:id="5873" w:name="Bookmark_I645FT5Y2SF7TV0010000400_2"/>
      <w:bookmarkEnd w:id="5873"/>
      <w:r>
        <w:rPr>
          <w:rFonts w:ascii="Arial" w:eastAsia="Arial" w:hAnsi="Arial" w:cs="Arial"/>
          <w:color w:val="000000"/>
          <w:sz w:val="20"/>
        </w:rPr>
        <w:t xml:space="preserve">In holding that "Taylor's elderly disabled need an accommodation," we observed that adult foster-care homes "often provide the only means by which this population can continue to live in residential neighborhoods," and "are in insufficient supply." </w:t>
      </w:r>
      <w:bookmarkStart w:id="5874" w:name="Bookmark_I645FT5Y2N1RN50050000400"/>
      <w:bookmarkEnd w:id="5874"/>
      <w:r>
        <w:rPr>
          <w:rFonts w:ascii="Arial" w:eastAsia="Arial" w:hAnsi="Arial" w:cs="Arial"/>
          <w:i/>
          <w:color w:val="000000"/>
          <w:sz w:val="20"/>
        </w:rPr>
        <w:t>Id.</w:t>
      </w:r>
      <w:r>
        <w:rPr>
          <w:rFonts w:ascii="Arial" w:eastAsia="Arial" w:hAnsi="Arial" w:cs="Arial"/>
          <w:color w:val="000000"/>
          <w:sz w:val="20"/>
        </w:rPr>
        <w:t xml:space="preserve"> at 795-96.</w:t>
      </w:r>
    </w:p>
    <w:p w:rsidR="00022B47" w:rsidRDefault="00000000">
      <w:pPr>
        <w:pStyle w:val="Normal35"/>
        <w:widowControl w:val="0"/>
        <w:spacing w:before="200" w:line="260" w:lineRule="atLeast"/>
        <w:jc w:val="both"/>
      </w:pPr>
      <w:bookmarkStart w:id="5875" w:name="Bookmark_para_31_16"/>
      <w:bookmarkStart w:id="5876" w:name="Bookmark_I5H32JM60KP0000574W000B9"/>
      <w:bookmarkStart w:id="5877" w:name="Bookmark_I645FT5Y2SF7TV0030000400"/>
      <w:bookmarkEnd w:id="5875"/>
      <w:bookmarkEnd w:id="5876"/>
      <w:bookmarkEnd w:id="5877"/>
      <w:r>
        <w:rPr>
          <w:rFonts w:ascii="Arial" w:eastAsia="Arial" w:hAnsi="Arial" w:cs="Arial"/>
          <w:color w:val="000000"/>
          <w:sz w:val="20"/>
        </w:rPr>
        <w:t xml:space="preserve">Applying </w:t>
      </w:r>
      <w:bookmarkStart w:id="5878" w:name="Bookmark_I645FT5Y2SF7TV0020000400"/>
      <w:bookmarkEnd w:id="5878"/>
      <w:r>
        <w:rPr>
          <w:rFonts w:ascii="Arial" w:eastAsia="Arial" w:hAnsi="Arial" w:cs="Arial"/>
          <w:i/>
          <w:color w:val="000000"/>
          <w:sz w:val="20"/>
        </w:rPr>
        <w:t>Smith &amp; Lee</w:t>
      </w:r>
      <w:r>
        <w:rPr>
          <w:rFonts w:ascii="Arial" w:eastAsia="Arial" w:hAnsi="Arial" w:cs="Arial"/>
          <w:color w:val="000000"/>
          <w:sz w:val="20"/>
        </w:rPr>
        <w:t xml:space="preserve">'s necessity rule here, we must ask whether both disabled tenants and non-disabled tenants would have an equal opportunity to "enjoy the housing of their choice" but for GDPM's failure to amend its Administrative Plan. </w:t>
      </w:r>
      <w:bookmarkStart w:id="5879" w:name="Bookmark_I645FT5Y2SF7TV0040000400"/>
      <w:bookmarkEnd w:id="5879"/>
      <w:r>
        <w:rPr>
          <w:rFonts w:ascii="Arial" w:eastAsia="Arial" w:hAnsi="Arial" w:cs="Arial"/>
          <w:i/>
          <w:color w:val="000000"/>
          <w:sz w:val="20"/>
        </w:rPr>
        <w:t>Id.</w:t>
      </w:r>
      <w:r>
        <w:rPr>
          <w:rFonts w:ascii="Arial" w:eastAsia="Arial" w:hAnsi="Arial" w:cs="Arial"/>
          <w:color w:val="000000"/>
          <w:sz w:val="20"/>
        </w:rPr>
        <w:t xml:space="preserve"> at 795. The parties do not challenge this test but frame its application in different ways. GDPM argues that its refusal to amend its plan equally [*21]  deprived disabled and non-disabled persons of the opportunity </w:t>
      </w:r>
      <w:r>
        <w:rPr>
          <w:rFonts w:ascii="Arial" w:eastAsia="Arial" w:hAnsi="Arial" w:cs="Arial"/>
          <w:i/>
          <w:color w:val="000000"/>
          <w:sz w:val="20"/>
        </w:rPr>
        <w:t>to live in the proposed development</w:t>
      </w:r>
      <w:r>
        <w:rPr>
          <w:rFonts w:ascii="Arial" w:eastAsia="Arial" w:hAnsi="Arial" w:cs="Arial"/>
          <w:color w:val="000000"/>
          <w:sz w:val="20"/>
        </w:rPr>
        <w:t xml:space="preserve"> because, as the district court held, Freedom's Path "would not succeed" in obtaining the vouchers "just as non-disabled people would not succeed." Appellee's Br. at 20-21. Freedom's Path asks us to adopt a broader understanding of equal opportunity. It argues that GDPM's failure to apply for VASH vouchers deprived its disabled tenants of the opportunity </w:t>
      </w:r>
      <w:r>
        <w:rPr>
          <w:rFonts w:ascii="Arial" w:eastAsia="Arial" w:hAnsi="Arial" w:cs="Arial"/>
          <w:i/>
          <w:color w:val="000000"/>
          <w:sz w:val="20"/>
        </w:rPr>
        <w:t>to live in the Dayton community</w:t>
      </w:r>
      <w:r>
        <w:rPr>
          <w:rFonts w:ascii="Arial" w:eastAsia="Arial" w:hAnsi="Arial" w:cs="Arial"/>
          <w:color w:val="000000"/>
          <w:sz w:val="20"/>
        </w:rPr>
        <w:t xml:space="preserve"> equal to that of nondisabled persons in the community. Appellant's Br. at 41-42.</w:t>
      </w:r>
    </w:p>
    <w:p w:rsidR="00022B47" w:rsidRDefault="00000000">
      <w:pPr>
        <w:pStyle w:val="Normal35"/>
        <w:widowControl w:val="0"/>
        <w:spacing w:before="200" w:line="260" w:lineRule="atLeast"/>
        <w:jc w:val="both"/>
      </w:pPr>
      <w:bookmarkStart w:id="5880" w:name="Bookmark_para_32_16"/>
      <w:bookmarkStart w:id="5881" w:name="Bookmark_I645FT5Y2D6N8D0020000400"/>
      <w:bookmarkStart w:id="5882" w:name="Bookmark_I645FT5Y2D6N8D0040000400"/>
      <w:bookmarkEnd w:id="5880"/>
      <w:bookmarkEnd w:id="5881"/>
      <w:bookmarkEnd w:id="5882"/>
      <w:r>
        <w:rPr>
          <w:rFonts w:ascii="Arial" w:eastAsia="Arial" w:hAnsi="Arial" w:cs="Arial"/>
          <w:color w:val="000000"/>
          <w:sz w:val="20"/>
        </w:rPr>
        <w:t xml:space="preserve">Freedom's Path's framework better aligns with </w:t>
      </w:r>
      <w:bookmarkStart w:id="5883" w:name="Bookmark_I645FT5Y2D6N8D0010000400"/>
      <w:bookmarkEnd w:id="5883"/>
      <w:r>
        <w:rPr>
          <w:rFonts w:ascii="Arial" w:eastAsia="Arial" w:hAnsi="Arial" w:cs="Arial"/>
          <w:i/>
          <w:color w:val="000000"/>
          <w:sz w:val="20"/>
        </w:rPr>
        <w:t>Smith &amp; Lee</w:t>
      </w:r>
      <w:r>
        <w:rPr>
          <w:rFonts w:ascii="Arial" w:eastAsia="Arial" w:hAnsi="Arial" w:cs="Arial"/>
          <w:color w:val="000000"/>
          <w:sz w:val="20"/>
        </w:rPr>
        <w:t xml:space="preserve"> and the purpose of the Fair Housing Act Amendments. In </w:t>
      </w:r>
      <w:bookmarkStart w:id="5884" w:name="Bookmark_I645FT5Y2D6N8D0040000400_2"/>
      <w:bookmarkStart w:id="5885" w:name="Bookmark_I645FT5Y2D6N8D0020000400_2"/>
      <w:bookmarkStart w:id="5886" w:name="Bookmark_I645FT5Y2D6N8D0030000400"/>
      <w:bookmarkEnd w:id="5884"/>
      <w:bookmarkEnd w:id="5885"/>
      <w:bookmarkEnd w:id="5886"/>
      <w:r>
        <w:rPr>
          <w:rFonts w:ascii="Arial" w:eastAsia="Arial" w:hAnsi="Arial" w:cs="Arial"/>
          <w:i/>
          <w:color w:val="000000"/>
          <w:sz w:val="20"/>
        </w:rPr>
        <w:t>Smith &amp; Lee</w:t>
      </w:r>
      <w:bookmarkStart w:id="5887" w:name="Bookmark_I645FT5Y28T4BS0030000400"/>
      <w:bookmarkEnd w:id="5887"/>
      <w:r>
        <w:rPr>
          <w:rFonts w:ascii="Arial" w:eastAsia="Arial" w:hAnsi="Arial" w:cs="Arial"/>
          <w:color w:val="000000"/>
          <w:sz w:val="20"/>
        </w:rPr>
        <w:t xml:space="preserve">, we emphasized that the Fair Housing Act Amendments aimed "to </w:t>
      </w:r>
      <w:r>
        <w:rPr>
          <w:rFonts w:ascii="Arial" w:eastAsia="Arial" w:hAnsi="Arial" w:cs="Arial"/>
          <w:i/>
          <w:color w:val="000000"/>
          <w:sz w:val="20"/>
        </w:rPr>
        <w:t>end the unnecessary exclusion of persons with handicaps from the American mainstream</w:t>
      </w:r>
      <w:r>
        <w:rPr>
          <w:rFonts w:ascii="Arial" w:eastAsia="Arial" w:hAnsi="Arial" w:cs="Arial"/>
          <w:color w:val="000000"/>
          <w:sz w:val="20"/>
        </w:rPr>
        <w:t xml:space="preserve">." </w:t>
      </w:r>
      <w:bookmarkStart w:id="5888" w:name="Bookmark_I645FT5Y2D6N8D0050000400"/>
      <w:bookmarkEnd w:id="5888"/>
      <w:r>
        <w:rPr>
          <w:rFonts w:ascii="Arial" w:eastAsia="Arial" w:hAnsi="Arial" w:cs="Arial"/>
          <w:color w:val="000000"/>
          <w:sz w:val="20"/>
        </w:rPr>
        <w:t xml:space="preserve">102 F.3d at 794 (quoting H.R. Rep. No. 100-711, at 18 (1988)). Because the city's denial of the adult foster home's rezoning permit deprived the elderly disabled of places to live in an area where suitable dwellings were in short supply, we held that the accommodation was necessary. </w:t>
      </w:r>
      <w:bookmarkStart w:id="5889" w:name="Bookmark_I645FT5Y28T4BS0020000400"/>
      <w:bookmarkEnd w:id="5889"/>
      <w:r>
        <w:rPr>
          <w:rFonts w:ascii="Arial" w:eastAsia="Arial" w:hAnsi="Arial" w:cs="Arial"/>
          <w:i/>
          <w:color w:val="000000"/>
          <w:sz w:val="20"/>
        </w:rPr>
        <w:t>Id.</w:t>
      </w:r>
      <w:r>
        <w:rPr>
          <w:rFonts w:ascii="Arial" w:eastAsia="Arial" w:hAnsi="Arial" w:cs="Arial"/>
          <w:color w:val="000000"/>
          <w:sz w:val="20"/>
        </w:rPr>
        <w:t xml:space="preserve"> at 795-96. It was thus irrelevant that the city may have denied a rezoning permit to increase the occupancy limit in the building, [*22]  even if the occupants of the foster home had not been disabled. </w:t>
      </w:r>
      <w:bookmarkStart w:id="5890" w:name="Bookmark_I645FT5Y28T4BS0050000400"/>
      <w:bookmarkEnd w:id="5890"/>
      <w:r>
        <w:rPr>
          <w:rFonts w:ascii="Arial" w:eastAsia="Arial" w:hAnsi="Arial" w:cs="Arial"/>
          <w:color w:val="000000"/>
          <w:sz w:val="20"/>
        </w:rPr>
        <w:t xml:space="preserve">Here too, we must ask whether GDPM's successful procurement of VASH vouchers—which would allow Freedom's Path to create housing for disabled veterans—would accommodate disabled veterans by providing them access to housing more readily available to nondisabled persons. Specifically, we must ask whether a reasonable factfinder could determine that the accommodation is necessary to afford disabled persons an equal opportunity. </w:t>
      </w:r>
      <w:r>
        <w:rPr>
          <w:rFonts w:ascii="Arial" w:eastAsia="Arial" w:hAnsi="Arial" w:cs="Arial"/>
          <w:i/>
          <w:color w:val="000000"/>
          <w:sz w:val="20"/>
        </w:rPr>
        <w:t xml:space="preserve">See </w:t>
      </w:r>
      <w:bookmarkStart w:id="5891" w:name="Bookmark_I645FT5Y28T4BS0040000400"/>
      <w:bookmarkEnd w:id="5891"/>
      <w:r>
        <w:rPr>
          <w:rFonts w:ascii="Arial" w:eastAsia="Arial" w:hAnsi="Arial" w:cs="Arial"/>
          <w:i/>
          <w:color w:val="000000"/>
          <w:sz w:val="20"/>
        </w:rPr>
        <w:t>Anderson v. City of Blue Ash</w:t>
      </w:r>
      <w:r>
        <w:rPr>
          <w:rFonts w:ascii="Arial" w:eastAsia="Arial" w:hAnsi="Arial" w:cs="Arial"/>
          <w:color w:val="000000"/>
          <w:sz w:val="20"/>
        </w:rPr>
        <w:t>, 798 F.3d 338, 362 (6th Cir. 2015) (denying defendant summary judgment because reasonable jury could find that plaintiff's requested accommodation was necessary).</w:t>
      </w:r>
    </w:p>
    <w:p w:rsidR="00022B47" w:rsidRDefault="00000000">
      <w:pPr>
        <w:pStyle w:val="Normal35"/>
        <w:widowControl w:val="0"/>
        <w:spacing w:before="200" w:line="260" w:lineRule="atLeast"/>
        <w:jc w:val="both"/>
      </w:pPr>
      <w:bookmarkStart w:id="5892" w:name="Bookmark_para_33_15"/>
      <w:bookmarkEnd w:id="5892"/>
      <w:r>
        <w:rPr>
          <w:rFonts w:ascii="Arial" w:eastAsia="Arial" w:hAnsi="Arial" w:cs="Arial"/>
          <w:color w:val="000000"/>
          <w:sz w:val="20"/>
        </w:rPr>
        <w:t xml:space="preserve">A reasonable jury could find that but for GDPM's denial of Freedom's Path's proposed accommodation, disabled veterans would have an opportunity to live in the Dayton community more equal to the opportunity of nondisabled persons. In its opposition to summary judgment, Freedom's Path emphasized that "[t]here is a need for, and a short supply of, affordable housing for homeless and disabled veterans on the VA Medical Center . . . campus in Dayton and in the surrounding housing markets." R. 47 (Opp'n to Summ. J. at 4) (Page ID #1847). Taylor testified to the community's "extensive [*23]  need for homeless veterans housing," relying upon data from HUD's Annual Housing Assessment Report, the U.S. Department of Veterans Affairs, and Freedom's Path's own market data. R. 31-1 (Taylor Dep. at 178-79) (Page ID #666). In addition, the very nature of the proposed development and the VASH program aspired to provide supportive services to those with disabilities to enable them to live in the community. </w:t>
      </w:r>
      <w:r>
        <w:rPr>
          <w:rFonts w:ascii="Arial" w:eastAsia="Arial" w:hAnsi="Arial" w:cs="Arial"/>
          <w:i/>
          <w:color w:val="000000"/>
          <w:sz w:val="20"/>
        </w:rPr>
        <w:t>See</w:t>
      </w:r>
      <w:r>
        <w:rPr>
          <w:rFonts w:ascii="Arial" w:eastAsia="Arial" w:hAnsi="Arial" w:cs="Arial"/>
          <w:color w:val="000000"/>
          <w:sz w:val="20"/>
        </w:rPr>
        <w:t xml:space="preserve"> U.S. Dep't of Veterans Affs., </w:t>
      </w:r>
      <w:r>
        <w:rPr>
          <w:rFonts w:ascii="Arial" w:eastAsia="Arial" w:hAnsi="Arial" w:cs="Arial"/>
          <w:i/>
          <w:color w:val="000000"/>
          <w:sz w:val="20"/>
        </w:rPr>
        <w:t>HUD-VASH Eligibility Criteria</w:t>
      </w:r>
      <w:r>
        <w:rPr>
          <w:rFonts w:ascii="Arial" w:eastAsia="Arial" w:hAnsi="Arial" w:cs="Arial"/>
          <w:color w:val="000000"/>
          <w:sz w:val="20"/>
        </w:rPr>
        <w:t xml:space="preserve"> (Feb. 19, 2019), https://www.va.gov/homeless/hud-vash_eligibility.asp ("Veterans who are appropriate candidates for [the VASH] program demonstrate the most need or vulnerability and must need case management services in order to obtain and sustain independent community housing."). As Judge Rice noted, "the requested accommodation was necessary to afford disabled veterans the opportunity to live on the Veteran's Administration's Medical Campus with easy access to support services." R. 65 (3/25/2019 Dist. Ct. Order at 46) (Page ID #2150). A reasonable juror could thus conclude that allowing the Freedom's Path development was a necessary accommodation allowing for disabled veterans to live in the Dayton community.</w:t>
      </w:r>
    </w:p>
    <w:p w:rsidR="00022B47" w:rsidRDefault="00000000">
      <w:pPr>
        <w:pStyle w:val="Normal35"/>
        <w:widowControl w:val="0"/>
        <w:spacing w:before="200" w:line="260" w:lineRule="atLeast"/>
        <w:jc w:val="both"/>
      </w:pPr>
      <w:bookmarkStart w:id="5893" w:name="Bookmark_para_34_15"/>
      <w:bookmarkStart w:id="5894" w:name="Bookmark_I645FT5Y2D6N8G0020000400"/>
      <w:bookmarkEnd w:id="5893"/>
      <w:bookmarkEnd w:id="5894"/>
      <w:r>
        <w:rPr>
          <w:rFonts w:ascii="Arial" w:eastAsia="Arial" w:hAnsi="Arial" w:cs="Arial"/>
          <w:color w:val="000000"/>
          <w:sz w:val="20"/>
        </w:rPr>
        <w:t xml:space="preserve">Stating [*24]  that the proposed accommodation had "nothing to do with the alleged disabled status of any prospective tenants of the Freedom's Path project," GDPM argues that there is no "causal link" between Freedom's Path's requested accommodation and the disability of its proposed tenants. Appellee's Br. at 19, 20. </w:t>
      </w:r>
      <w:bookmarkStart w:id="5895" w:name="Bookmark_I645FT5Y2D6N8G0040000400"/>
      <w:bookmarkEnd w:id="5895"/>
      <w:r>
        <w:rPr>
          <w:rFonts w:ascii="Arial" w:eastAsia="Arial" w:hAnsi="Arial" w:cs="Arial"/>
          <w:color w:val="000000"/>
          <w:sz w:val="20"/>
        </w:rPr>
        <w:t xml:space="preserve">A reasonable accommodation is necessary, GDPM argues, "only when it allows the disabled to obtain benefits that they ordinarily could not have by reason of their disabilities, and not because of some quality that they share with the public generally." </w:t>
      </w:r>
      <w:r>
        <w:rPr>
          <w:rFonts w:ascii="Arial" w:eastAsia="Arial" w:hAnsi="Arial" w:cs="Arial"/>
          <w:i/>
          <w:color w:val="000000"/>
          <w:sz w:val="20"/>
        </w:rPr>
        <w:t>Id.</w:t>
      </w:r>
      <w:r>
        <w:rPr>
          <w:rFonts w:ascii="Arial" w:eastAsia="Arial" w:hAnsi="Arial" w:cs="Arial"/>
          <w:color w:val="000000"/>
          <w:sz w:val="20"/>
        </w:rPr>
        <w:t xml:space="preserve"> at 19 (quoting </w:t>
      </w:r>
      <w:bookmarkStart w:id="5896" w:name="Bookmark_I645FT5Y2D6N8G0010000400"/>
      <w:bookmarkEnd w:id="5896"/>
      <w:r>
        <w:rPr>
          <w:rFonts w:ascii="Arial" w:eastAsia="Arial" w:hAnsi="Arial" w:cs="Arial"/>
          <w:i/>
          <w:color w:val="000000"/>
          <w:sz w:val="20"/>
        </w:rPr>
        <w:t>Wisconsin Cmty. Servs., Inc. v. City of Milwaukee</w:t>
      </w:r>
      <w:r>
        <w:rPr>
          <w:rFonts w:ascii="Arial" w:eastAsia="Arial" w:hAnsi="Arial" w:cs="Arial"/>
          <w:color w:val="000000"/>
          <w:sz w:val="20"/>
        </w:rPr>
        <w:t xml:space="preserve">, 465 F.3d 737, 754 (7th Cir. 2006) (en banc)). </w:t>
      </w:r>
      <w:bookmarkStart w:id="5897" w:name="Bookmark_I645FT5Y2D6N8G0040000400_2"/>
      <w:bookmarkEnd w:id="5897"/>
      <w:r>
        <w:rPr>
          <w:rFonts w:ascii="Arial" w:eastAsia="Arial" w:hAnsi="Arial" w:cs="Arial"/>
          <w:color w:val="000000"/>
          <w:sz w:val="20"/>
        </w:rPr>
        <w:t xml:space="preserve">But a reasonable juror could find that the effect of a disability renders housing unavailable for disabled veterans. </w:t>
      </w:r>
      <w:bookmarkStart w:id="5898" w:name="Bookmark_I645FT5Y2D6N8G0030000400"/>
      <w:bookmarkEnd w:id="5898"/>
      <w:r>
        <w:rPr>
          <w:rFonts w:ascii="Arial" w:eastAsia="Arial" w:hAnsi="Arial" w:cs="Arial"/>
          <w:i/>
          <w:color w:val="000000"/>
          <w:sz w:val="20"/>
        </w:rPr>
        <w:t>Oconomowoc</w:t>
      </w:r>
      <w:r>
        <w:rPr>
          <w:rFonts w:ascii="Arial" w:eastAsia="Arial" w:hAnsi="Arial" w:cs="Arial"/>
          <w:color w:val="000000"/>
          <w:sz w:val="20"/>
        </w:rPr>
        <w:t>, 300 F.3d at 784 ("Often, a community-based residential facility provides the only means by which disabled persons can live in a residential neighborhood, either because they need more supportive services, for financial reasons, or both."). In other words, as Freedom's Path argues, a reasonable juror could find that "the disability of the homeless veterans is the cause in fact of their inability to obtain housing." Appellant's Reply Br. at 15. The proposed accommodation, GDPM's amending its Administrative [*25]  Plan to enable it to seek VASH vouchers, would allow Freedom's Plan to provide such housing, and thus redress the effects of the disability.</w:t>
      </w:r>
    </w:p>
    <w:p w:rsidR="00022B47" w:rsidRDefault="00000000">
      <w:pPr>
        <w:pStyle w:val="Normal35"/>
        <w:widowControl w:val="0"/>
        <w:spacing w:before="200" w:line="260" w:lineRule="atLeast"/>
        <w:jc w:val="both"/>
      </w:pPr>
      <w:bookmarkStart w:id="5899" w:name="Bookmark_para_35_15"/>
      <w:bookmarkStart w:id="5900" w:name="Bookmark_I645FT602N1RNB0010000400"/>
      <w:bookmarkStart w:id="5901" w:name="Bookmark_I645FT602N1RNB0030000400"/>
      <w:bookmarkEnd w:id="5899"/>
      <w:bookmarkEnd w:id="5900"/>
      <w:bookmarkEnd w:id="5901"/>
      <w:r>
        <w:rPr>
          <w:rFonts w:ascii="Arial" w:eastAsia="Arial" w:hAnsi="Arial" w:cs="Arial"/>
          <w:color w:val="000000"/>
          <w:sz w:val="20"/>
        </w:rPr>
        <w:t xml:space="preserve">GDPM cites several cases from outside the circuit to support its argument, but they do not compel a holding that Freedom's Path's proposed accommodation was unnecessary. In </w:t>
      </w:r>
      <w:r>
        <w:rPr>
          <w:rFonts w:ascii="Arial" w:eastAsia="Arial" w:hAnsi="Arial" w:cs="Arial"/>
          <w:i/>
          <w:color w:val="000000"/>
          <w:sz w:val="20"/>
        </w:rPr>
        <w:t>Good Shepherd Manor Foundation, Inc. v. City of Momence</w:t>
      </w:r>
      <w:r>
        <w:rPr>
          <w:rFonts w:ascii="Arial" w:eastAsia="Arial" w:hAnsi="Arial" w:cs="Arial"/>
          <w:color w:val="000000"/>
          <w:sz w:val="20"/>
        </w:rPr>
        <w:t xml:space="preserve">, the city shut off the water supply to a property housing disabled adult residents. </w:t>
      </w:r>
      <w:bookmarkStart w:id="5902" w:name="Bookmark_I645FT5Y2D6N8G0050000400"/>
      <w:bookmarkEnd w:id="5902"/>
      <w:r>
        <w:rPr>
          <w:rFonts w:ascii="Arial" w:eastAsia="Arial" w:hAnsi="Arial" w:cs="Arial"/>
          <w:color w:val="000000"/>
          <w:sz w:val="20"/>
        </w:rPr>
        <w:t xml:space="preserve">323 F.3d 557, 560 (7th Cir. 2003). The court held that by shutting off the water, the city hurt the disabled residents "solely by virtue of what they have in common with other people, the need of water." </w:t>
      </w:r>
      <w:bookmarkStart w:id="5903" w:name="Bookmark_I645FT602N1RNB0020000400"/>
      <w:bookmarkEnd w:id="5903"/>
      <w:r>
        <w:rPr>
          <w:rFonts w:ascii="Arial" w:eastAsia="Arial" w:hAnsi="Arial" w:cs="Arial"/>
          <w:i/>
          <w:color w:val="000000"/>
          <w:sz w:val="20"/>
        </w:rPr>
        <w:t>Id.</w:t>
      </w:r>
      <w:r>
        <w:rPr>
          <w:rFonts w:ascii="Arial" w:eastAsia="Arial" w:hAnsi="Arial" w:cs="Arial"/>
          <w:color w:val="000000"/>
          <w:sz w:val="20"/>
        </w:rPr>
        <w:t xml:space="preserve"> at 561 (quoting district court opinion). Here, GDPM's failure to amend its Administrative Plan hurt disabled residents by denying them supportive housing in the Dayton community, a need that a juror could find non-disabled persons do not share.</w:t>
      </w:r>
    </w:p>
    <w:p w:rsidR="00022B47" w:rsidRDefault="00000000">
      <w:pPr>
        <w:pStyle w:val="Normal35"/>
        <w:widowControl w:val="0"/>
        <w:spacing w:before="200" w:line="260" w:lineRule="atLeast"/>
        <w:jc w:val="both"/>
      </w:pPr>
      <w:bookmarkStart w:id="5904" w:name="Bookmark_para_36_15"/>
      <w:bookmarkStart w:id="5905" w:name="Bookmark_I645FT602N1RNB0050000400"/>
      <w:bookmarkEnd w:id="5904"/>
      <w:bookmarkEnd w:id="5905"/>
      <w:r>
        <w:rPr>
          <w:rFonts w:ascii="Arial" w:eastAsia="Arial" w:hAnsi="Arial" w:cs="Arial"/>
          <w:i/>
          <w:color w:val="000000"/>
          <w:sz w:val="20"/>
        </w:rPr>
        <w:t>Wisconsin Community Services</w:t>
      </w:r>
      <w:r>
        <w:rPr>
          <w:rFonts w:ascii="Arial" w:eastAsia="Arial" w:hAnsi="Arial" w:cs="Arial"/>
          <w:color w:val="000000"/>
          <w:sz w:val="20"/>
        </w:rPr>
        <w:t xml:space="preserve"> does not help GDPM either. </w:t>
      </w:r>
      <w:bookmarkStart w:id="5906" w:name="Bookmark_I645FT602N1RNC0020000400"/>
      <w:bookmarkEnd w:id="5906"/>
      <w:r>
        <w:rPr>
          <w:rFonts w:ascii="Arial" w:eastAsia="Arial" w:hAnsi="Arial" w:cs="Arial"/>
          <w:color w:val="000000"/>
          <w:sz w:val="20"/>
        </w:rPr>
        <w:t xml:space="preserve">In that case, a mental-health clinic requested a special-use permit from the City of Milwaukee that would allow it to move to a new neighborhood to avoid overcrowding. </w:t>
      </w:r>
      <w:bookmarkStart w:id="5907" w:name="Bookmark_I645FT602N1RNB0040000400"/>
      <w:bookmarkEnd w:id="5907"/>
      <w:r>
        <w:rPr>
          <w:rFonts w:ascii="Arial" w:eastAsia="Arial" w:hAnsi="Arial" w:cs="Arial"/>
          <w:color w:val="000000"/>
          <w:sz w:val="20"/>
        </w:rPr>
        <w:t xml:space="preserve">465 F.3d at 741. </w:t>
      </w:r>
      <w:bookmarkStart w:id="5908" w:name="Bookmark_I645FT602N1RNC0040000400"/>
      <w:bookmarkEnd w:id="5908"/>
      <w:r>
        <w:rPr>
          <w:rFonts w:ascii="Arial" w:eastAsia="Arial" w:hAnsi="Arial" w:cs="Arial"/>
          <w:color w:val="000000"/>
          <w:sz w:val="20"/>
        </w:rPr>
        <w:t xml:space="preserve">The city denied the permit, stating that the mental-health clinic would undermine the commercial aspirations of [*26]  the neighborhood. </w:t>
      </w:r>
      <w:bookmarkStart w:id="5909" w:name="Bookmark_I645FT602N1RNC0040000400_2"/>
      <w:bookmarkStart w:id="5910" w:name="Bookmark_I645FT602N1RNC0020000400_2"/>
      <w:bookmarkStart w:id="5911" w:name="Bookmark_I645FT6028T4C00010000400"/>
      <w:bookmarkStart w:id="5912" w:name="Bookmark_I645FT602N1RNC0010000400"/>
      <w:bookmarkEnd w:id="5909"/>
      <w:bookmarkEnd w:id="5910"/>
      <w:bookmarkEnd w:id="5911"/>
      <w:bookmarkEnd w:id="5912"/>
      <w:r>
        <w:rPr>
          <w:rFonts w:ascii="Arial" w:eastAsia="Arial" w:hAnsi="Arial" w:cs="Arial"/>
          <w:i/>
          <w:color w:val="000000"/>
          <w:sz w:val="20"/>
        </w:rPr>
        <w:t>Id.</w:t>
      </w:r>
      <w:r>
        <w:rPr>
          <w:rFonts w:ascii="Arial" w:eastAsia="Arial" w:hAnsi="Arial" w:cs="Arial"/>
          <w:color w:val="000000"/>
          <w:sz w:val="20"/>
        </w:rPr>
        <w:t xml:space="preserve"> at 742. </w:t>
      </w:r>
      <w:bookmarkStart w:id="5913" w:name="Bookmark_I645FT6028T4C00010000400_2"/>
      <w:bookmarkStart w:id="5914" w:name="Bookmark_I5H32JM670G0000574W000BF"/>
      <w:bookmarkStart w:id="5915" w:name="Bookmark_I645FT6028T4C00030000400"/>
      <w:bookmarkEnd w:id="5913"/>
      <w:bookmarkEnd w:id="5914"/>
      <w:bookmarkEnd w:id="5915"/>
      <w:r>
        <w:rPr>
          <w:rFonts w:ascii="Arial" w:eastAsia="Arial" w:hAnsi="Arial" w:cs="Arial"/>
          <w:color w:val="000000"/>
          <w:sz w:val="20"/>
        </w:rPr>
        <w:t xml:space="preserve">After the district court granted partial summary judgment to the clinic, the Seventh Circuit remanded the case to the district court to "afford the parties the opportunity to develop the question of whether [the clinic] has been prevented, because of its clients' disabilities, from locating a satisfactory new facility." </w:t>
      </w:r>
      <w:bookmarkStart w:id="5916" w:name="Bookmark_I645FT602N1RNC0030000400"/>
      <w:bookmarkEnd w:id="5916"/>
      <w:r>
        <w:rPr>
          <w:rFonts w:ascii="Arial" w:eastAsia="Arial" w:hAnsi="Arial" w:cs="Arial"/>
          <w:i/>
          <w:color w:val="000000"/>
          <w:sz w:val="20"/>
        </w:rPr>
        <w:t>Id.</w:t>
      </w:r>
      <w:r>
        <w:rPr>
          <w:rFonts w:ascii="Arial" w:eastAsia="Arial" w:hAnsi="Arial" w:cs="Arial"/>
          <w:color w:val="000000"/>
          <w:sz w:val="20"/>
        </w:rPr>
        <w:t xml:space="preserve"> at 755. </w:t>
      </w:r>
      <w:bookmarkStart w:id="5917" w:name="Bookmark_I645FT6028T4C00030000400_2"/>
      <w:bookmarkStart w:id="5918" w:name="Bookmark_I645FT6028T4C00010000400_3"/>
      <w:bookmarkEnd w:id="5917"/>
      <w:bookmarkEnd w:id="5918"/>
      <w:r>
        <w:rPr>
          <w:rFonts w:ascii="Arial" w:eastAsia="Arial" w:hAnsi="Arial" w:cs="Arial"/>
          <w:color w:val="000000"/>
          <w:sz w:val="20"/>
        </w:rPr>
        <w:t xml:space="preserve">The Seventh Circuit faulted the district court for "assuming that the proposed modification could be deemed 'necessary' even if the disabilities suffered by [the clinic's] patients were not the cause-in-fact of its inability to find a larger building." </w:t>
      </w:r>
      <w:r>
        <w:rPr>
          <w:rFonts w:ascii="Arial" w:eastAsia="Arial" w:hAnsi="Arial" w:cs="Arial"/>
          <w:i/>
          <w:color w:val="000000"/>
          <w:sz w:val="20"/>
        </w:rPr>
        <w:t>Id.</w:t>
      </w:r>
      <w:r>
        <w:rPr>
          <w:rFonts w:ascii="Arial" w:eastAsia="Arial" w:hAnsi="Arial" w:cs="Arial"/>
          <w:color w:val="000000"/>
          <w:sz w:val="20"/>
        </w:rPr>
        <w:t xml:space="preserve"> By contrast, here we ask whether GDPM's failure to amend its Administrative Plan would prevent disabled veterans from "enjoy[ing] the housing of their choice." </w:t>
      </w:r>
      <w:bookmarkStart w:id="5919" w:name="Bookmark_I645FT602N1RNC0050000400"/>
      <w:bookmarkEnd w:id="5919"/>
      <w:r>
        <w:rPr>
          <w:rFonts w:ascii="Arial" w:eastAsia="Arial" w:hAnsi="Arial" w:cs="Arial"/>
          <w:i/>
          <w:color w:val="000000"/>
          <w:sz w:val="20"/>
        </w:rPr>
        <w:t>Smith &amp; Lee</w:t>
      </w:r>
      <w:r>
        <w:rPr>
          <w:rFonts w:ascii="Arial" w:eastAsia="Arial" w:hAnsi="Arial" w:cs="Arial"/>
          <w:color w:val="000000"/>
          <w:sz w:val="20"/>
        </w:rPr>
        <w:t xml:space="preserve">, 102 F.3d at 795. And unlike in </w:t>
      </w:r>
      <w:bookmarkStart w:id="5920" w:name="Bookmark_I645FT6028T4C00020000400"/>
      <w:bookmarkEnd w:id="5920"/>
      <w:r>
        <w:rPr>
          <w:rFonts w:ascii="Arial" w:eastAsia="Arial" w:hAnsi="Arial" w:cs="Arial"/>
          <w:i/>
          <w:color w:val="000000"/>
          <w:sz w:val="20"/>
        </w:rPr>
        <w:t>Wisconsin Community Services</w:t>
      </w:r>
      <w:r>
        <w:rPr>
          <w:rFonts w:ascii="Arial" w:eastAsia="Arial" w:hAnsi="Arial" w:cs="Arial"/>
          <w:color w:val="000000"/>
          <w:sz w:val="20"/>
        </w:rPr>
        <w:t xml:space="preserve">, in which the court was reviewing a grant of summary judgment for plaintiffs, we merely ask whether a reasonable jury could determine that "the requested accommodation may be necessary to afford an equal opportunity to use and enjoy the dwelling[s]." </w:t>
      </w:r>
      <w:bookmarkStart w:id="5921" w:name="Bookmark_I645FT6028T4C00040000400"/>
      <w:bookmarkEnd w:id="5921"/>
      <w:r>
        <w:rPr>
          <w:rFonts w:ascii="Arial" w:eastAsia="Arial" w:hAnsi="Arial" w:cs="Arial"/>
          <w:i/>
          <w:color w:val="000000"/>
          <w:sz w:val="20"/>
        </w:rPr>
        <w:t>Overlook Mut. Homes</w:t>
      </w:r>
      <w:r>
        <w:rPr>
          <w:rFonts w:ascii="Arial" w:eastAsia="Arial" w:hAnsi="Arial" w:cs="Arial"/>
          <w:color w:val="000000"/>
          <w:sz w:val="20"/>
        </w:rPr>
        <w:t>, 415 F. App'x at 621 (quotation omitted). Because a jury could find that Freedom's Path's requested accommodation may be necessary, summary judgment for GDPM was improper. [*27] </w:t>
      </w:r>
    </w:p>
    <w:p w:rsidR="00022B47" w:rsidRDefault="00000000">
      <w:pPr>
        <w:pStyle w:val="Normal35"/>
        <w:widowControl w:val="0"/>
        <w:spacing w:before="200" w:line="260" w:lineRule="atLeast"/>
        <w:jc w:val="both"/>
      </w:pPr>
      <w:bookmarkStart w:id="5922" w:name="Bookmark_para_37_13"/>
      <w:bookmarkStart w:id="5923" w:name="Bookmark_I645FT602N1RND0020000400"/>
      <w:bookmarkStart w:id="5924" w:name="Bookmark_I5H32JM63T30000574W000BC"/>
      <w:bookmarkStart w:id="5925" w:name="Bookmark_I645FT602N1RND0040000400"/>
      <w:bookmarkEnd w:id="5922"/>
      <w:bookmarkEnd w:id="5923"/>
      <w:bookmarkEnd w:id="5924"/>
      <w:bookmarkEnd w:id="5925"/>
      <w:r>
        <w:rPr>
          <w:rFonts w:ascii="Arial" w:eastAsia="Arial" w:hAnsi="Arial" w:cs="Arial"/>
          <w:color w:val="000000"/>
          <w:sz w:val="20"/>
        </w:rPr>
        <w:t xml:space="preserve">It follows that Freedom's Plan's proposed accommodation would not afford disabled persons "an additional or better opportunity to obtain the desired project-based vouchers," a result GDPM argues the law does not compel. Appellee's Br. at 27, 33; </w:t>
      </w:r>
      <w:r>
        <w:rPr>
          <w:rFonts w:ascii="Arial" w:eastAsia="Arial" w:hAnsi="Arial" w:cs="Arial"/>
          <w:i/>
          <w:color w:val="000000"/>
          <w:sz w:val="20"/>
        </w:rPr>
        <w:t xml:space="preserve">see also </w:t>
      </w:r>
      <w:bookmarkStart w:id="5926" w:name="Bookmark_I645FT602N1RND0010000400"/>
      <w:bookmarkEnd w:id="5926"/>
      <w:r>
        <w:rPr>
          <w:rFonts w:ascii="Arial" w:eastAsia="Arial" w:hAnsi="Arial" w:cs="Arial"/>
          <w:i/>
          <w:color w:val="000000"/>
          <w:sz w:val="20"/>
        </w:rPr>
        <w:t>Cinnamon Hills Youth Crisis Ctr., Inc. v. Saint George City</w:t>
      </w:r>
      <w:r>
        <w:rPr>
          <w:rFonts w:ascii="Arial" w:eastAsia="Arial" w:hAnsi="Arial" w:cs="Arial"/>
          <w:color w:val="000000"/>
          <w:sz w:val="20"/>
        </w:rPr>
        <w:t xml:space="preserve">, 685 F.3d 917, 923 (10th Cir. 2012). </w:t>
      </w:r>
      <w:bookmarkStart w:id="5927" w:name="Bookmark_I645FT6028T4C10030000400"/>
      <w:bookmarkEnd w:id="5927"/>
      <w:r>
        <w:rPr>
          <w:rFonts w:ascii="Arial" w:eastAsia="Arial" w:hAnsi="Arial" w:cs="Arial"/>
          <w:color w:val="000000"/>
          <w:sz w:val="20"/>
        </w:rPr>
        <w:t xml:space="preserve">This case differs from </w:t>
      </w:r>
      <w:bookmarkStart w:id="5928" w:name="Bookmark_I645FT6028T4C10030000400_2"/>
      <w:bookmarkStart w:id="5929" w:name="Bookmark_I645FT602N1RND0040000400_2"/>
      <w:bookmarkStart w:id="5930" w:name="Bookmark_I645FT602N1RND0020000400_2"/>
      <w:bookmarkStart w:id="5931" w:name="Bookmark_I645FT602N1RND0030000400"/>
      <w:bookmarkEnd w:id="5928"/>
      <w:bookmarkEnd w:id="5929"/>
      <w:bookmarkEnd w:id="5930"/>
      <w:bookmarkEnd w:id="5931"/>
      <w:r>
        <w:rPr>
          <w:rFonts w:ascii="Arial" w:eastAsia="Arial" w:hAnsi="Arial" w:cs="Arial"/>
          <w:i/>
          <w:color w:val="000000"/>
          <w:sz w:val="20"/>
        </w:rPr>
        <w:t>Cinnamon Hills</w:t>
      </w:r>
      <w:r>
        <w:rPr>
          <w:rFonts w:ascii="Arial" w:eastAsia="Arial" w:hAnsi="Arial" w:cs="Arial"/>
          <w:color w:val="000000"/>
          <w:sz w:val="20"/>
        </w:rPr>
        <w:t xml:space="preserve">, in which Saint George City denied a residential-treatment facility's request to convert the top floor of a motel into a reentry program for young persons. </w:t>
      </w:r>
      <w:bookmarkStart w:id="5932" w:name="Bookmark_I645FT602N1RND0050000400"/>
      <w:bookmarkEnd w:id="5932"/>
      <w:r>
        <w:rPr>
          <w:rFonts w:ascii="Arial" w:eastAsia="Arial" w:hAnsi="Arial" w:cs="Arial"/>
          <w:color w:val="000000"/>
          <w:sz w:val="20"/>
        </w:rPr>
        <w:t xml:space="preserve">685 F.3d at 919. In that case, zoning requirements prevented anyone, "disabled or otherwise" from staying in a motel or residing in the commercial zone, so the residential facility was "seeking an opportunity that isn't available to others rather than one that is." </w:t>
      </w:r>
      <w:bookmarkStart w:id="5933" w:name="Bookmark_I645FT6028T4C10020000400"/>
      <w:bookmarkEnd w:id="5933"/>
      <w:r>
        <w:rPr>
          <w:rFonts w:ascii="Arial" w:eastAsia="Arial" w:hAnsi="Arial" w:cs="Arial"/>
          <w:i/>
          <w:color w:val="000000"/>
          <w:sz w:val="20"/>
        </w:rPr>
        <w:t>Id.</w:t>
      </w:r>
      <w:r>
        <w:rPr>
          <w:rFonts w:ascii="Arial" w:eastAsia="Arial" w:hAnsi="Arial" w:cs="Arial"/>
          <w:color w:val="000000"/>
          <w:sz w:val="20"/>
        </w:rPr>
        <w:t xml:space="preserve"> at 923-24. But as we have explained, here Freedom's Path is seeking an accommodation (i.e., an amendment to the Administrative Plan) that would provide an opportunity for disabled veterans—the ability to live in the Dayton community—that is generally available to non-disabled persons.</w:t>
      </w:r>
    </w:p>
    <w:p w:rsidR="00022B47" w:rsidRDefault="00000000">
      <w:pPr>
        <w:pStyle w:val="Normal35"/>
        <w:widowControl w:val="0"/>
        <w:spacing w:before="200" w:line="260" w:lineRule="atLeast"/>
        <w:jc w:val="both"/>
      </w:pPr>
      <w:bookmarkStart w:id="5934" w:name="Bookmark_para_38_13"/>
      <w:bookmarkStart w:id="5935" w:name="Bookmark_I645FT6028T4C10050000400"/>
      <w:bookmarkEnd w:id="5934"/>
      <w:bookmarkEnd w:id="5935"/>
      <w:r>
        <w:rPr>
          <w:rFonts w:ascii="Arial" w:eastAsia="Arial" w:hAnsi="Arial" w:cs="Arial"/>
          <w:color w:val="000000"/>
          <w:sz w:val="20"/>
        </w:rPr>
        <w:t xml:space="preserve">As then-Judge Gorsuch noted, "under the FHA it is sometimes necessary to dispense with formal equality of treatment in order to advance a more substantial equality of opportunity." </w:t>
      </w:r>
      <w:bookmarkStart w:id="5936" w:name="Bookmark_I645FT6028T4C10040000400"/>
      <w:bookmarkEnd w:id="5936"/>
      <w:r>
        <w:rPr>
          <w:rFonts w:ascii="Arial" w:eastAsia="Arial" w:hAnsi="Arial" w:cs="Arial"/>
          <w:i/>
          <w:color w:val="000000"/>
          <w:sz w:val="20"/>
        </w:rPr>
        <w:t>Id.</w:t>
      </w:r>
      <w:r>
        <w:rPr>
          <w:rFonts w:ascii="Arial" w:eastAsia="Arial" w:hAnsi="Arial" w:cs="Arial"/>
          <w:color w:val="000000"/>
          <w:sz w:val="20"/>
        </w:rPr>
        <w:t xml:space="preserve"> at 923. Viewing the facts and drawing all inferences in the light [*28]  most favorable to Freedom's Path, a jury could conclude that it was necessary for GDPM to amend its Administrative Plan to advance such equality of opportunity for disabled veterans. A reasonable jury could find that amending the plan would have afforded disabled veterans an opportunity to live near the VA campus and placed them on equal footing with non-disabled persons living in the Dayton community. Accordingly, we </w:t>
      </w:r>
      <w:r>
        <w:rPr>
          <w:rFonts w:ascii="Arial" w:eastAsia="Arial" w:hAnsi="Arial" w:cs="Arial"/>
          <w:b/>
          <w:color w:val="000000"/>
          <w:sz w:val="20"/>
        </w:rPr>
        <w:t>REVERSE</w:t>
      </w:r>
      <w:r>
        <w:rPr>
          <w:rFonts w:ascii="Arial" w:eastAsia="Arial" w:hAnsi="Arial" w:cs="Arial"/>
          <w:color w:val="000000"/>
          <w:sz w:val="20"/>
        </w:rPr>
        <w:t xml:space="preserve"> the judgment of the district court and </w:t>
      </w:r>
      <w:r>
        <w:rPr>
          <w:rFonts w:ascii="Arial" w:eastAsia="Arial" w:hAnsi="Arial" w:cs="Arial"/>
          <w:b/>
          <w:color w:val="000000"/>
          <w:sz w:val="20"/>
        </w:rPr>
        <w:t>REMAND</w:t>
      </w:r>
      <w:r>
        <w:rPr>
          <w:rFonts w:ascii="Arial" w:eastAsia="Arial" w:hAnsi="Arial" w:cs="Arial"/>
          <w:color w:val="000000"/>
          <w:sz w:val="20"/>
        </w:rPr>
        <w:t xml:space="preserve"> for further proceedings.</w:t>
      </w:r>
    </w:p>
    <w:p w:rsidR="00022B47" w:rsidRDefault="00022B47">
      <w:pPr>
        <w:pStyle w:val="Normal35"/>
      </w:pPr>
    </w:p>
    <w:p w:rsidR="00022B47" w:rsidRDefault="00000000">
      <w:pPr>
        <w:pStyle w:val="Normal35"/>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34016"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2130530276"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2B213B" id="Line 76"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36"/>
        <w:sectPr w:rsidR="00022B47">
          <w:headerReference w:type="even" r:id="rId223"/>
          <w:headerReference w:type="default" r:id="rId224"/>
          <w:footerReference w:type="even" r:id="rId225"/>
          <w:footerReference w:type="default" r:id="rId226"/>
          <w:headerReference w:type="first" r:id="rId227"/>
          <w:footerReference w:type="first" r:id="rId228"/>
          <w:pgSz w:w="12240" w:h="15840"/>
          <w:pgMar w:top="840" w:right="1000" w:bottom="840" w:left="1000" w:header="400" w:footer="400" w:gutter="0"/>
          <w:cols w:space="720"/>
          <w:titlePg/>
        </w:sectPr>
      </w:pPr>
    </w:p>
    <w:p w:rsidR="00022B47" w:rsidRDefault="00022B47">
      <w:pPr>
        <w:pStyle w:val="Normal36"/>
      </w:pPr>
    </w:p>
    <w:p w:rsidR="00022B47" w:rsidRDefault="00000000">
      <w:pPr>
        <w:pStyle w:val="Heading135"/>
        <w:keepNext w:val="0"/>
        <w:widowControl w:val="0"/>
        <w:spacing w:after="200" w:line="340" w:lineRule="atLeast"/>
        <w:jc w:val="center"/>
      </w:pPr>
      <w:r>
        <w:rPr>
          <w:rFonts w:eastAsia="Arial"/>
          <w:color w:val="000000"/>
          <w:sz w:val="28"/>
        </w:rPr>
        <w:t>Karantsalis v. City of Miami Springs</w:t>
      </w:r>
    </w:p>
    <w:p w:rsidR="00022B47" w:rsidRDefault="00000000">
      <w:pPr>
        <w:pStyle w:val="Normal36"/>
        <w:widowControl w:val="0"/>
        <w:spacing w:before="120" w:line="260" w:lineRule="atLeast"/>
        <w:jc w:val="center"/>
      </w:pPr>
      <w:r>
        <w:rPr>
          <w:rFonts w:ascii="Arial" w:eastAsia="Arial" w:hAnsi="Arial" w:cs="Arial"/>
          <w:color w:val="000000"/>
          <w:sz w:val="20"/>
        </w:rPr>
        <w:t>United States Court of Appeals for the Eleventh Circuit</w:t>
      </w:r>
    </w:p>
    <w:p w:rsidR="00022B47" w:rsidRDefault="00000000">
      <w:pPr>
        <w:pStyle w:val="Normal36"/>
        <w:widowControl w:val="0"/>
        <w:spacing w:before="120" w:line="260" w:lineRule="atLeast"/>
        <w:jc w:val="center"/>
      </w:pPr>
      <w:r>
        <w:rPr>
          <w:rFonts w:ascii="Arial" w:eastAsia="Arial" w:hAnsi="Arial" w:cs="Arial"/>
          <w:color w:val="000000"/>
          <w:sz w:val="20"/>
        </w:rPr>
        <w:t>November 12, 2021, Filed</w:t>
      </w:r>
    </w:p>
    <w:p w:rsidR="00022B47" w:rsidRDefault="00000000">
      <w:pPr>
        <w:pStyle w:val="Normal36"/>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20-11134</w:t>
      </w:r>
    </w:p>
    <w:p w:rsidR="00022B47" w:rsidRDefault="00022B47">
      <w:pPr>
        <w:pStyle w:val="Normal36"/>
        <w:widowControl w:val="0"/>
        <w:spacing w:line="240" w:lineRule="atLeast"/>
        <w:jc w:val="both"/>
      </w:pPr>
      <w:bookmarkStart w:id="5937" w:name="Bookmark_37"/>
      <w:bookmarkEnd w:id="5937"/>
    </w:p>
    <w:p w:rsidR="00022B47" w:rsidRDefault="00000000">
      <w:pPr>
        <w:pStyle w:val="Normal36"/>
        <w:widowControl w:val="0"/>
        <w:spacing w:before="200" w:line="240" w:lineRule="atLeast"/>
      </w:pPr>
      <w:bookmarkStart w:id="5938" w:name="Reporter_35"/>
      <w:bookmarkEnd w:id="5938"/>
      <w:r>
        <w:rPr>
          <w:rFonts w:ascii="Arial" w:eastAsia="Arial" w:hAnsi="Arial" w:cs="Arial"/>
          <w:b/>
          <w:color w:val="000000"/>
          <w:sz w:val="18"/>
        </w:rPr>
        <w:t>Reporter</w:t>
      </w:r>
    </w:p>
    <w:p w:rsidR="00022B47" w:rsidRDefault="00000000">
      <w:pPr>
        <w:pStyle w:val="Normal36"/>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17 F.4th 1316 *; 2021 U.S. App. LEXIS 33658 **; 29 Fla. L. Weekly Fed. C 564; 2021 WL 5279406</w:t>
      </w:r>
    </w:p>
    <w:p w:rsidR="00022B47" w:rsidRDefault="00000000">
      <w:pPr>
        <w:pStyle w:val="Normal36"/>
        <w:widowControl w:val="0"/>
        <w:spacing w:before="120" w:line="260" w:lineRule="atLeast"/>
      </w:pPr>
      <w:r>
        <w:rPr>
          <w:rFonts w:ascii="Arial" w:eastAsia="Arial" w:hAnsi="Arial" w:cs="Arial"/>
          <w:color w:val="000000"/>
          <w:sz w:val="20"/>
        </w:rPr>
        <w:t>THEODORE D. KARANTSALIS, Plaintiff-Appellant, versus CITY OF MIAMI SPRINGS, FLORIDA, Defendant-Appellee.</w:t>
      </w:r>
    </w:p>
    <w:p w:rsidR="00022B47" w:rsidRDefault="00000000">
      <w:pPr>
        <w:pStyle w:val="Normal36"/>
        <w:widowControl w:val="0"/>
        <w:spacing w:before="240" w:line="260" w:lineRule="atLeast"/>
        <w:jc w:val="both"/>
      </w:pPr>
      <w:bookmarkStart w:id="5939" w:name="Prior_History_35"/>
      <w:bookmarkEnd w:id="5939"/>
      <w:r>
        <w:rPr>
          <w:rFonts w:ascii="Arial" w:eastAsia="Arial" w:hAnsi="Arial" w:cs="Arial"/>
          <w:b/>
          <w:color w:val="000000"/>
          <w:sz w:val="20"/>
        </w:rPr>
        <w:t>Prior History:</w:t>
      </w:r>
      <w:r>
        <w:rPr>
          <w:rFonts w:ascii="Arial" w:eastAsia="Arial" w:hAnsi="Arial" w:cs="Arial"/>
          <w:color w:val="000000"/>
          <w:sz w:val="20"/>
        </w:rPr>
        <w:t> </w:t>
      </w:r>
      <w:bookmarkStart w:id="5940" w:name="Bookmark_para_1_35"/>
      <w:bookmarkEnd w:id="5940"/>
      <w:r>
        <w:rPr>
          <w:rFonts w:ascii="Arial" w:eastAsia="Arial" w:hAnsi="Arial" w:cs="Arial"/>
          <w:color w:val="000000"/>
          <w:sz w:val="20"/>
        </w:rPr>
        <w:t> [**1] Appeal from the United States District Court for the Southern District of Florida. D.C. Docket No. 1:19-cv-24123-UU.</w:t>
      </w:r>
    </w:p>
    <w:p w:rsidR="00022B47" w:rsidRDefault="00000000">
      <w:pPr>
        <w:pStyle w:val="Normal36"/>
        <w:widowControl w:val="0"/>
        <w:spacing w:before="240" w:line="260" w:lineRule="atLeast"/>
        <w:jc w:val="both"/>
      </w:pPr>
      <w:bookmarkStart w:id="5941" w:name="Disposition_6"/>
      <w:bookmarkEnd w:id="5941"/>
      <w:r>
        <w:rPr>
          <w:rFonts w:ascii="Arial" w:eastAsia="Arial" w:hAnsi="Arial" w:cs="Arial"/>
          <w:b/>
          <w:color w:val="000000"/>
          <w:sz w:val="20"/>
        </w:rPr>
        <w:t>Disposition:</w:t>
      </w:r>
      <w:r>
        <w:rPr>
          <w:rFonts w:ascii="Arial" w:eastAsia="Arial" w:hAnsi="Arial" w:cs="Arial"/>
          <w:color w:val="000000"/>
          <w:sz w:val="20"/>
        </w:rPr>
        <w:t> </w:t>
      </w:r>
      <w:bookmarkStart w:id="5942" w:name="Bookmark_clspara_4_5"/>
      <w:bookmarkEnd w:id="5942"/>
      <w:r>
        <w:rPr>
          <w:rFonts w:ascii="Arial" w:eastAsia="Arial" w:hAnsi="Arial" w:cs="Arial"/>
          <w:color w:val="000000"/>
          <w:sz w:val="20"/>
        </w:rPr>
        <w:t>REVERSED AND REMANDED.</w:t>
      </w:r>
    </w:p>
    <w:p w:rsidR="00022B47" w:rsidRDefault="00000000">
      <w:pPr>
        <w:pStyle w:val="Normal36"/>
        <w:widowControl w:val="0"/>
        <w:spacing w:before="240" w:line="260" w:lineRule="atLeast"/>
      </w:pPr>
      <w:bookmarkStart w:id="5943" w:name="Counsel_35"/>
      <w:bookmarkEnd w:id="5943"/>
      <w:r>
        <w:rPr>
          <w:rFonts w:ascii="Arial" w:eastAsia="Arial" w:hAnsi="Arial" w:cs="Arial"/>
          <w:b/>
          <w:color w:val="000000"/>
          <w:sz w:val="20"/>
        </w:rPr>
        <w:t>Counsel:</w:t>
      </w:r>
      <w:r>
        <w:rPr>
          <w:rFonts w:ascii="Arial" w:eastAsia="Arial" w:hAnsi="Arial" w:cs="Arial"/>
          <w:color w:val="000000"/>
          <w:sz w:val="20"/>
        </w:rPr>
        <w:t> For THEODORE D. KARANTSALIS, Plaintiff - Appellant: Matthew W. Dietz, Disability Independence Group, MIAMI, FL.</w:t>
      </w:r>
    </w:p>
    <w:p w:rsidR="00022B47" w:rsidRDefault="00000000">
      <w:pPr>
        <w:pStyle w:val="Normal36"/>
        <w:widowControl w:val="0"/>
        <w:spacing w:before="120" w:line="260" w:lineRule="atLeast"/>
      </w:pPr>
      <w:r>
        <w:rPr>
          <w:rFonts w:ascii="Arial" w:eastAsia="Arial" w:hAnsi="Arial" w:cs="Arial"/>
          <w:color w:val="000000"/>
          <w:sz w:val="20"/>
        </w:rPr>
        <w:t>For CITY OF MIAMI SPRINGS, Defendant - Appellee: Selena A. Gibson, Christopher J. Stearns, Johnson Anselmo Murdoch Burke Piper &amp; Hochman, PA FORT LAUDERDALE, FL.</w:t>
      </w:r>
    </w:p>
    <w:p w:rsidR="00022B47" w:rsidRDefault="00000000">
      <w:pPr>
        <w:pStyle w:val="Normal36"/>
        <w:widowControl w:val="0"/>
        <w:spacing w:before="120" w:line="260" w:lineRule="atLeast"/>
      </w:pPr>
      <w:r>
        <w:rPr>
          <w:rFonts w:ascii="Arial" w:eastAsia="Arial" w:hAnsi="Arial" w:cs="Arial"/>
          <w:color w:val="000000"/>
          <w:sz w:val="20"/>
        </w:rPr>
        <w:t>For DISABILITY RIGHTS FLORIDA INC, NATIONAL DISABILITY RIGHTS NETWORK, Amici Curiae: Stephen R. Senn, Peterson &amp; Myers, PA, LAKELAND, FL.</w:t>
      </w:r>
    </w:p>
    <w:p w:rsidR="00022B47" w:rsidRDefault="00000000">
      <w:pPr>
        <w:pStyle w:val="Normal36"/>
        <w:widowControl w:val="0"/>
        <w:spacing w:before="240" w:line="260" w:lineRule="atLeast"/>
      </w:pPr>
      <w:bookmarkStart w:id="5944" w:name="Judges_35"/>
      <w:bookmarkEnd w:id="5944"/>
      <w:r>
        <w:rPr>
          <w:rFonts w:ascii="Arial" w:eastAsia="Arial" w:hAnsi="Arial" w:cs="Arial"/>
          <w:b/>
          <w:color w:val="000000"/>
          <w:sz w:val="20"/>
        </w:rPr>
        <w:t>Judges:</w:t>
      </w:r>
      <w:r>
        <w:rPr>
          <w:rFonts w:ascii="Arial" w:eastAsia="Arial" w:hAnsi="Arial" w:cs="Arial"/>
          <w:color w:val="000000"/>
          <w:sz w:val="20"/>
        </w:rPr>
        <w:t> Before WILSON, ROSENBAUM, and HULL, Circuit Judges.</w:t>
      </w:r>
    </w:p>
    <w:p w:rsidR="00022B47" w:rsidRDefault="00000000">
      <w:pPr>
        <w:pStyle w:val="Normal36"/>
        <w:keepNext/>
        <w:widowControl w:val="0"/>
        <w:spacing w:before="240" w:line="340" w:lineRule="atLeast"/>
      </w:pPr>
      <w:bookmarkStart w:id="5945" w:name="Opinion_35"/>
      <w:bookmarkEnd w:id="5945"/>
      <w:r>
        <w:rPr>
          <w:rFonts w:ascii="Arial" w:eastAsia="Arial" w:hAnsi="Arial" w:cs="Arial"/>
          <w:b/>
          <w:color w:val="000000"/>
          <w:sz w:val="28"/>
        </w:rPr>
        <w:t>Opinion</w:t>
      </w:r>
    </w:p>
    <w:p w:rsidR="00022B47" w:rsidRDefault="0025213E">
      <w:pPr>
        <w:pStyle w:val="Normal36"/>
        <w:spacing w:line="60" w:lineRule="exact"/>
      </w:pPr>
      <w:r>
        <w:rPr>
          <w:noProof/>
        </w:rPr>
        <mc:AlternateContent>
          <mc:Choice Requires="wps">
            <w:drawing>
              <wp:anchor distT="0" distB="0" distL="114300" distR="114300" simplePos="0" relativeHeight="25173504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565006640"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87E144" id="Line 77"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36"/>
      </w:pPr>
    </w:p>
    <w:p w:rsidR="00022B47" w:rsidRDefault="00000000">
      <w:pPr>
        <w:pStyle w:val="Normal36"/>
        <w:widowControl w:val="0"/>
        <w:spacing w:before="200" w:line="260" w:lineRule="atLeast"/>
        <w:jc w:val="both"/>
      </w:pPr>
      <w:bookmarkStart w:id="5946" w:name="Bookmark_para_2_35"/>
      <w:bookmarkEnd w:id="5946"/>
      <w:r>
        <w:rPr>
          <w:rFonts w:ascii="Arial" w:eastAsia="Arial" w:hAnsi="Arial" w:cs="Arial"/>
          <w:color w:val="000000"/>
          <w:sz w:val="20"/>
        </w:rPr>
        <w:t> [*1319]  PER CURIAM:</w:t>
      </w:r>
    </w:p>
    <w:p w:rsidR="00022B47" w:rsidRDefault="00000000">
      <w:pPr>
        <w:pStyle w:val="Normal36"/>
        <w:widowControl w:val="0"/>
        <w:spacing w:before="200" w:line="260" w:lineRule="atLeast"/>
        <w:jc w:val="both"/>
      </w:pPr>
      <w:bookmarkStart w:id="5947" w:name="Bookmark_para_3_35"/>
      <w:bookmarkEnd w:id="5947"/>
      <w:r>
        <w:rPr>
          <w:rFonts w:ascii="Arial" w:eastAsia="Arial" w:hAnsi="Arial" w:cs="Arial"/>
          <w:color w:val="000000"/>
          <w:sz w:val="20"/>
        </w:rPr>
        <w:t>Plaintiff-Appellant Theodore D. Karantsalis is a resident of the City of Miami Springs (the City). In 2008, following a diagnosis of multiple sclerosis (MS), Karantsalis sued the City alleging that it violated Title II of the Americans with Disabilities Act (ADA) and the Rehabilitation Act of 1973 by failing to make its facilities and infrastructure accessible to individuals with disabilities. He later voluntarily dismissed the lawsuit based on his belief that he lacked constitutional standing because his symptoms were mild and did not prevent him from accessing and using the City's programs or services. At that [**2]  time, Karantsalis was able to walk, stand, routinely bicycle and jog, and participate in races.</w:t>
      </w:r>
    </w:p>
    <w:p w:rsidR="00022B47" w:rsidRDefault="00000000">
      <w:pPr>
        <w:pStyle w:val="Normal36"/>
        <w:widowControl w:val="0"/>
        <w:spacing w:before="200" w:line="260" w:lineRule="atLeast"/>
        <w:jc w:val="both"/>
      </w:pPr>
      <w:bookmarkStart w:id="5948" w:name="Bookmark_para_4_35"/>
      <w:bookmarkEnd w:id="5948"/>
      <w:r>
        <w:rPr>
          <w:rFonts w:ascii="Arial" w:eastAsia="Arial" w:hAnsi="Arial" w:cs="Arial"/>
          <w:color w:val="000000"/>
          <w:sz w:val="20"/>
        </w:rPr>
        <w:t>Over a decade later, in 2019, Karantsalis's MS and his symptoms had progressed dramatically. In 2017, he started falling, developed a limp, and needed a Florida disabled parking permit. By June 2019, his neurologist had prescribed a wheelchair. Also in 2019, he again sued the City under the ADA and Rehabilitation Act alleging the City's sidewalks, municipal gymnasium, and parking at public facilities were inaccessible. The district court dismissed the case with prejudice, holding that it was "barred by the statute of limitations" because the statute of limitations was triggered before or during 2008 when Karantsalis became aware of the undisputed fact of his MS diagnosis. The mere fact of his MS diagnosis in 2008, the district court in effect ruled, triggered the accrual of his cause of action and the running of the four-year statute of limitations.</w:t>
      </w:r>
    </w:p>
    <w:p w:rsidR="00022B47" w:rsidRDefault="00000000">
      <w:pPr>
        <w:pStyle w:val="Normal36"/>
        <w:widowControl w:val="0"/>
        <w:spacing w:before="200" w:line="260" w:lineRule="atLeast"/>
        <w:jc w:val="both"/>
      </w:pPr>
      <w:bookmarkStart w:id="5949" w:name="Bookmark_para_5_35"/>
      <w:bookmarkEnd w:id="5949"/>
      <w:r>
        <w:rPr>
          <w:rFonts w:ascii="Arial" w:eastAsia="Arial" w:hAnsi="Arial" w:cs="Arial"/>
          <w:color w:val="000000"/>
          <w:sz w:val="20"/>
        </w:rPr>
        <w:t>After review, and with the benefit of oral argument, we find that the district court erred in dismissing the action with prejudice. From the face of the Third Amended Complaint, Karantsalis's injury did not occur until at least 2017. As explained [**3]  below, it was not until 2017 that his ADA cause of action accrued, and he could sue. Karantsalis's 2019 Third Amended Complaint is thus not barred by the four-year statute of limitations. We therefore reverse and remand for further proceedings.</w:t>
      </w:r>
    </w:p>
    <w:p w:rsidR="00022B47" w:rsidRDefault="00000000">
      <w:pPr>
        <w:pStyle w:val="Normal36"/>
        <w:widowControl w:val="0"/>
        <w:spacing w:before="120" w:line="260" w:lineRule="atLeast"/>
      </w:pPr>
      <w:r>
        <w:rPr>
          <w:rFonts w:ascii="Arial" w:eastAsia="Arial" w:hAnsi="Arial" w:cs="Arial"/>
          <w:color w:val="000000"/>
          <w:sz w:val="20"/>
        </w:rPr>
        <w:t>I.</w:t>
      </w:r>
    </w:p>
    <w:p w:rsidR="00022B47" w:rsidRDefault="00000000">
      <w:pPr>
        <w:pStyle w:val="Normal36"/>
        <w:widowControl w:val="0"/>
        <w:spacing w:before="200" w:line="260" w:lineRule="atLeast"/>
        <w:jc w:val="both"/>
      </w:pPr>
      <w:bookmarkStart w:id="5950" w:name="Bookmark_para_6_35"/>
      <w:bookmarkStart w:id="5951" w:name="Bookmark_I643S2V92SF7RN0020000400"/>
      <w:bookmarkStart w:id="5952" w:name="Bookmark_LNHNREFclscc1_31"/>
      <w:bookmarkEnd w:id="5950"/>
      <w:bookmarkEnd w:id="5951"/>
      <w:bookmarkEnd w:id="5952"/>
      <w:r>
        <w:rPr>
          <w:rFonts w:ascii="Arial" w:eastAsia="Arial" w:hAnsi="Arial" w:cs="Arial"/>
          <w:color w:val="000000"/>
          <w:sz w:val="20"/>
        </w:rPr>
        <w:t xml:space="preserve">We review de novo a district court's dismissal of a complaint for failure to state a claim. </w:t>
      </w:r>
      <w:bookmarkStart w:id="5953" w:name="Bookmark_I643S2V92SF7RN0040000400"/>
      <w:bookmarkStart w:id="5954" w:name="Bookmark_I643S2V92SF7RN0010000400"/>
      <w:bookmarkEnd w:id="5953"/>
      <w:bookmarkEnd w:id="5954"/>
      <w:r>
        <w:rPr>
          <w:rFonts w:ascii="Arial" w:eastAsia="Arial" w:hAnsi="Arial" w:cs="Arial"/>
          <w:i/>
          <w:color w:val="000000"/>
          <w:sz w:val="20"/>
        </w:rPr>
        <w:t>Catron v. City of St. Petersburg</w:t>
      </w:r>
      <w:r>
        <w:rPr>
          <w:rFonts w:ascii="Arial" w:eastAsia="Arial" w:hAnsi="Arial" w:cs="Arial"/>
          <w:color w:val="000000"/>
          <w:sz w:val="20"/>
        </w:rPr>
        <w:t xml:space="preserve">, 658 F.3d 1260, 1264 (11th Cir. 2011). </w:t>
      </w:r>
      <w:bookmarkStart w:id="5955" w:name="Bookmark_I643S2VB2D6N6C0010000400"/>
      <w:bookmarkEnd w:id="5955"/>
      <w:r>
        <w:rPr>
          <w:rFonts w:ascii="Arial" w:eastAsia="Arial" w:hAnsi="Arial" w:cs="Arial"/>
          <w:color w:val="000000"/>
          <w:sz w:val="20"/>
        </w:rPr>
        <w:t xml:space="preserve">We also review de novo the district court's dismissal of the complaint for failure to satisfy the statute of limitations. </w:t>
      </w:r>
      <w:bookmarkStart w:id="5956" w:name="Bookmark_I643S2VB2D6N6C0010000400_2"/>
      <w:bookmarkStart w:id="5957" w:name="Bookmark_I643S2V92SF7RN0040000400_2"/>
      <w:bookmarkStart w:id="5958" w:name="Bookmark_I643S2VB2D6N6C0050000400"/>
      <w:bookmarkStart w:id="5959" w:name="Bookmark_I643S2V92SF7RN0030000400"/>
      <w:bookmarkEnd w:id="5956"/>
      <w:bookmarkEnd w:id="5957"/>
      <w:bookmarkEnd w:id="5958"/>
      <w:bookmarkEnd w:id="5959"/>
      <w:r>
        <w:rPr>
          <w:rFonts w:ascii="Arial" w:eastAsia="Arial" w:hAnsi="Arial" w:cs="Arial"/>
          <w:i/>
          <w:color w:val="000000"/>
          <w:sz w:val="20"/>
        </w:rPr>
        <w:t>Fedance v. Harris</w:t>
      </w:r>
      <w:r>
        <w:rPr>
          <w:rFonts w:ascii="Arial" w:eastAsia="Arial" w:hAnsi="Arial" w:cs="Arial"/>
          <w:color w:val="000000"/>
          <w:sz w:val="20"/>
        </w:rPr>
        <w:t xml:space="preserve">, 1 F.4th 1278, 1283 (11th Cir. 2021). </w:t>
      </w:r>
      <w:bookmarkStart w:id="5960" w:name="Bookmark_I643S2VB2D6N6C0050000400_2"/>
      <w:bookmarkEnd w:id="5960"/>
      <w:r>
        <w:rPr>
          <w:rFonts w:ascii="Arial" w:eastAsia="Arial" w:hAnsi="Arial" w:cs="Arial"/>
          <w:color w:val="000000"/>
          <w:sz w:val="20"/>
        </w:rPr>
        <w:t xml:space="preserve">In both instances, we "must view the allegations of the complaint in the light most favorable to Plaintiff, consider the allegations of the complaint as true, and accept all reasonable inferences therefrom." </w:t>
      </w:r>
      <w:bookmarkStart w:id="5961" w:name="Bookmark_I643S2V92SF7RN0050000400"/>
      <w:bookmarkEnd w:id="5961"/>
      <w:r>
        <w:rPr>
          <w:rFonts w:ascii="Arial" w:eastAsia="Arial" w:hAnsi="Arial" w:cs="Arial"/>
          <w:i/>
          <w:color w:val="000000"/>
          <w:sz w:val="20"/>
        </w:rPr>
        <w:t>Omar ex rel. Cannon v. Lindsey</w:t>
      </w:r>
      <w:r>
        <w:rPr>
          <w:rFonts w:ascii="Arial" w:eastAsia="Arial" w:hAnsi="Arial" w:cs="Arial"/>
          <w:color w:val="000000"/>
          <w:sz w:val="20"/>
        </w:rPr>
        <w:t xml:space="preserve">, 334 F.3d 1246, 1247 (11th Cir. 2003) (per curiam); </w:t>
      </w:r>
      <w:r>
        <w:rPr>
          <w:rFonts w:ascii="Arial" w:eastAsia="Arial" w:hAnsi="Arial" w:cs="Arial"/>
          <w:i/>
          <w:color w:val="000000"/>
          <w:sz w:val="20"/>
        </w:rPr>
        <w:t xml:space="preserve">see </w:t>
      </w:r>
      <w:bookmarkStart w:id="5962" w:name="Bookmark_I643S2VB2D6N6C0020000400"/>
      <w:bookmarkEnd w:id="5962"/>
      <w:r>
        <w:rPr>
          <w:rFonts w:ascii="Arial" w:eastAsia="Arial" w:hAnsi="Arial" w:cs="Arial"/>
          <w:i/>
          <w:color w:val="000000"/>
          <w:sz w:val="20"/>
        </w:rPr>
        <w:t>Fedance</w:t>
      </w:r>
      <w:r>
        <w:rPr>
          <w:rFonts w:ascii="Arial" w:eastAsia="Arial" w:hAnsi="Arial" w:cs="Arial"/>
          <w:color w:val="000000"/>
          <w:sz w:val="20"/>
        </w:rPr>
        <w:t xml:space="preserve">, 1 F.4th at 1283. </w:t>
      </w:r>
      <w:bookmarkStart w:id="5963" w:name="Bookmark_I643S2VB2D6N6C0050000400_3"/>
      <w:bookmarkEnd w:id="5963"/>
      <w:r>
        <w:rPr>
          <w:rFonts w:ascii="Arial" w:eastAsia="Arial" w:hAnsi="Arial" w:cs="Arial"/>
          <w:color w:val="000000"/>
          <w:sz w:val="20"/>
        </w:rPr>
        <w:t xml:space="preserve">But the plaintiff's "[f]actual allegations must be enough to raise a right to relief above the speculative level on the assumption that all the allegations in the complaint are true." </w:t>
      </w:r>
      <w:bookmarkStart w:id="5964" w:name="Bookmark_I643S2VB2D6N6C0040000400"/>
      <w:bookmarkEnd w:id="5964"/>
      <w:r>
        <w:rPr>
          <w:rFonts w:ascii="Arial" w:eastAsia="Arial" w:hAnsi="Arial" w:cs="Arial"/>
          <w:i/>
          <w:color w:val="000000"/>
          <w:sz w:val="20"/>
        </w:rPr>
        <w:t>Bell Atl. Corp. v. Twombly</w:t>
      </w:r>
      <w:r>
        <w:rPr>
          <w:rFonts w:ascii="Arial" w:eastAsia="Arial" w:hAnsi="Arial" w:cs="Arial"/>
          <w:color w:val="000000"/>
          <w:sz w:val="20"/>
        </w:rPr>
        <w:t>, 550 U.S. 544, 555, 127 S. Ct. 1955, 167 L. Ed. 2d 929 (2007) (internal citation and footnote omitted).</w:t>
      </w:r>
    </w:p>
    <w:p w:rsidR="00022B47" w:rsidRDefault="00000000">
      <w:pPr>
        <w:pStyle w:val="Normal36"/>
        <w:widowControl w:val="0"/>
        <w:spacing w:before="200" w:line="260" w:lineRule="atLeast"/>
        <w:jc w:val="both"/>
      </w:pPr>
      <w:bookmarkStart w:id="5965" w:name="Bookmark_para_7_35"/>
      <w:bookmarkStart w:id="5966" w:name="Bookmark_I643S2VB2N1RK40020000400"/>
      <w:bookmarkStart w:id="5967" w:name="Bookmark_I643S2VC2D6N6F0010000400"/>
      <w:bookmarkEnd w:id="5965"/>
      <w:bookmarkEnd w:id="5966"/>
      <w:bookmarkEnd w:id="5967"/>
      <w:r>
        <w:rPr>
          <w:rFonts w:ascii="Arial" w:eastAsia="Arial" w:hAnsi="Arial" w:cs="Arial"/>
          <w:color w:val="000000"/>
          <w:sz w:val="20"/>
        </w:rPr>
        <w:t>We have provided that</w:t>
      </w:r>
      <w:bookmarkStart w:id="5968" w:name="Bookmark_LNHNREFclscc2_31"/>
      <w:bookmarkEnd w:id="5968"/>
      <w:r>
        <w:rPr>
          <w:rFonts w:ascii="Arial" w:eastAsia="Arial" w:hAnsi="Arial" w:cs="Arial"/>
          <w:color w:val="000000"/>
          <w:sz w:val="20"/>
        </w:rPr>
        <w:t xml:space="preserve"> "dismissal for failure to state a claim on statute of limitations grounds is appropriate 'only if  [*1320]  it is apparent from the face of the complaint that the claim is time-barred.'" </w:t>
      </w:r>
      <w:bookmarkStart w:id="5969" w:name="Bookmark_I643S2VB2N1RK40010000400"/>
      <w:bookmarkEnd w:id="5969"/>
      <w:r>
        <w:rPr>
          <w:rFonts w:ascii="Arial" w:eastAsia="Arial" w:hAnsi="Arial" w:cs="Arial"/>
          <w:i/>
          <w:color w:val="000000"/>
          <w:sz w:val="20"/>
        </w:rPr>
        <w:t>United States ex rel. Hunt v. Cochise Consultancy, Inc.</w:t>
      </w:r>
      <w:r>
        <w:rPr>
          <w:rFonts w:ascii="Arial" w:eastAsia="Arial" w:hAnsi="Arial" w:cs="Arial"/>
          <w:color w:val="000000"/>
          <w:sz w:val="20"/>
        </w:rPr>
        <w:t xml:space="preserve">, 887 F.3d 1081, 1085 (11th Cir. 2018) (quoting </w:t>
      </w:r>
      <w:bookmarkStart w:id="5970" w:name="Bookmark_I643S2VB2N1RK40030000400"/>
      <w:bookmarkEnd w:id="5970"/>
      <w:r>
        <w:rPr>
          <w:rFonts w:ascii="Arial" w:eastAsia="Arial" w:hAnsi="Arial" w:cs="Arial"/>
          <w:i/>
          <w:color w:val="000000"/>
          <w:sz w:val="20"/>
        </w:rPr>
        <w:t>La Grasta v. First Union Sec., Inc.</w:t>
      </w:r>
      <w:r>
        <w:rPr>
          <w:rFonts w:ascii="Arial" w:eastAsia="Arial" w:hAnsi="Arial" w:cs="Arial"/>
          <w:color w:val="000000"/>
          <w:sz w:val="20"/>
        </w:rPr>
        <w:t xml:space="preserve">, 358 F.3d 840, 845 (11th Cir. 2004)). Neither Title II nor the Rehabilitation Act provide explicitly for a statute of limitations. [**4]  </w:t>
      </w:r>
      <w:bookmarkStart w:id="5971" w:name="Bookmark_I643S2VB2N1RK40050000400"/>
      <w:bookmarkEnd w:id="5971"/>
      <w:r>
        <w:rPr>
          <w:rFonts w:ascii="Arial" w:eastAsia="Arial" w:hAnsi="Arial" w:cs="Arial"/>
          <w:i/>
          <w:color w:val="000000"/>
          <w:sz w:val="20"/>
        </w:rPr>
        <w:t>Everett v. Cobb Cnty. Sch. Dist.</w:t>
      </w:r>
      <w:r>
        <w:rPr>
          <w:rFonts w:ascii="Arial" w:eastAsia="Arial" w:hAnsi="Arial" w:cs="Arial"/>
          <w:color w:val="000000"/>
          <w:sz w:val="20"/>
        </w:rPr>
        <w:t>, 138 F.3d 1407, 1409 (11th Cir. 1998).</w:t>
      </w:r>
    </w:p>
    <w:p w:rsidR="00022B47" w:rsidRDefault="00000000">
      <w:pPr>
        <w:pStyle w:val="Normal36"/>
        <w:widowControl w:val="0"/>
        <w:spacing w:before="200" w:line="260" w:lineRule="atLeast"/>
        <w:jc w:val="both"/>
      </w:pPr>
      <w:bookmarkStart w:id="5972" w:name="Bookmark_para_8_34"/>
      <w:bookmarkStart w:id="5973" w:name="Bookmark_I643S2VC2D6N6F0030000400"/>
      <w:bookmarkEnd w:id="5972"/>
      <w:bookmarkEnd w:id="5973"/>
      <w:r>
        <w:rPr>
          <w:rFonts w:ascii="Arial" w:eastAsia="Arial" w:hAnsi="Arial" w:cs="Arial"/>
          <w:color w:val="000000"/>
          <w:sz w:val="20"/>
        </w:rPr>
        <w:t xml:space="preserve">In </w:t>
      </w:r>
      <w:bookmarkStart w:id="5974" w:name="Bookmark_I643S2VC2D6N6F0020000400"/>
      <w:bookmarkEnd w:id="5974"/>
      <w:r>
        <w:rPr>
          <w:rFonts w:ascii="Arial" w:eastAsia="Arial" w:hAnsi="Arial" w:cs="Arial"/>
          <w:i/>
          <w:color w:val="000000"/>
          <w:sz w:val="20"/>
        </w:rPr>
        <w:t>Everett</w:t>
      </w:r>
      <w:bookmarkStart w:id="5975" w:name="Bookmark_I643S2VC2SF7RV0020000400"/>
      <w:bookmarkEnd w:id="5975"/>
      <w:r>
        <w:rPr>
          <w:rFonts w:ascii="Arial" w:eastAsia="Arial" w:hAnsi="Arial" w:cs="Arial"/>
          <w:color w:val="000000"/>
          <w:sz w:val="20"/>
        </w:rPr>
        <w:t xml:space="preserve">, we held that "[w]here a federal </w:t>
      </w:r>
      <w:bookmarkStart w:id="5976" w:name="Bookmark_LNHNREFclscc3_31"/>
      <w:bookmarkEnd w:id="5976"/>
      <w:r>
        <w:rPr>
          <w:rFonts w:ascii="Arial" w:eastAsia="Arial" w:hAnsi="Arial" w:cs="Arial"/>
          <w:color w:val="000000"/>
          <w:sz w:val="20"/>
        </w:rPr>
        <w:t xml:space="preserve">statute does not contain a limitations period[,] courts should look to the most analogous state statute of limitations." </w:t>
      </w:r>
      <w:r>
        <w:rPr>
          <w:rFonts w:ascii="Arial" w:eastAsia="Arial" w:hAnsi="Arial" w:cs="Arial"/>
          <w:i/>
          <w:color w:val="000000"/>
          <w:sz w:val="20"/>
        </w:rPr>
        <w:t>Id.</w:t>
      </w:r>
      <w:r>
        <w:rPr>
          <w:rFonts w:ascii="Arial" w:eastAsia="Arial" w:hAnsi="Arial" w:cs="Arial"/>
          <w:color w:val="000000"/>
          <w:sz w:val="20"/>
        </w:rPr>
        <w:t xml:space="preserve"> As such, this Court generally applies the state statute of limitations for personal injury actions in cases involving claims arising under the ADA and the Rehabilitation Act. </w:t>
      </w:r>
      <w:r>
        <w:rPr>
          <w:rFonts w:ascii="Arial" w:eastAsia="Arial" w:hAnsi="Arial" w:cs="Arial"/>
          <w:i/>
          <w:color w:val="000000"/>
          <w:sz w:val="20"/>
        </w:rPr>
        <w:t xml:space="preserve">See, e.g., </w:t>
      </w:r>
      <w:bookmarkStart w:id="5977" w:name="Bookmark_I643S2VC2D6N6F0040000400"/>
      <w:bookmarkEnd w:id="5977"/>
      <w:r>
        <w:rPr>
          <w:rFonts w:ascii="Arial" w:eastAsia="Arial" w:hAnsi="Arial" w:cs="Arial"/>
          <w:i/>
          <w:color w:val="000000"/>
          <w:sz w:val="20"/>
        </w:rPr>
        <w:t>id.</w:t>
      </w:r>
      <w:r>
        <w:rPr>
          <w:rFonts w:ascii="Arial" w:eastAsia="Arial" w:hAnsi="Arial" w:cs="Arial"/>
          <w:color w:val="000000"/>
          <w:sz w:val="20"/>
        </w:rPr>
        <w:t xml:space="preserve"> at 1409-10. In Florida, the most analogous state limitations period comes from personal injury actions, which provide a period of four years. </w:t>
      </w:r>
      <w:bookmarkStart w:id="5978" w:name="Bookmark_I643S2VC2SF7RV0020000400_2"/>
      <w:bookmarkEnd w:id="5978"/>
      <w:r>
        <w:rPr>
          <w:rFonts w:ascii="Arial" w:eastAsia="Arial" w:hAnsi="Arial" w:cs="Arial"/>
          <w:color w:val="000000"/>
          <w:sz w:val="20"/>
        </w:rPr>
        <w:t xml:space="preserve">Fla. Stat. § 95.11(3); </w:t>
      </w:r>
      <w:bookmarkStart w:id="5979" w:name="Bookmark_I643S2VC2SF7RV0010000400"/>
      <w:bookmarkEnd w:id="5979"/>
      <w:r>
        <w:rPr>
          <w:rFonts w:ascii="Arial" w:eastAsia="Arial" w:hAnsi="Arial" w:cs="Arial"/>
          <w:i/>
          <w:color w:val="000000"/>
          <w:sz w:val="20"/>
        </w:rPr>
        <w:t>Silva v. Baptist Health S. Fla., Inc.</w:t>
      </w:r>
      <w:r>
        <w:rPr>
          <w:rFonts w:ascii="Arial" w:eastAsia="Arial" w:hAnsi="Arial" w:cs="Arial"/>
          <w:color w:val="000000"/>
          <w:sz w:val="20"/>
        </w:rPr>
        <w:t>, 856 F.3d 824, 841 (11th Cir. 2017) (applying a four-year limitations period to claims under the ADA and Rehabilitation Act in Florida). We therefore must apply the statute of limitations for personal injury claims arising in Florida—four years.</w:t>
      </w:r>
    </w:p>
    <w:p w:rsidR="00022B47" w:rsidRDefault="00000000">
      <w:pPr>
        <w:pStyle w:val="Normal36"/>
        <w:widowControl w:val="0"/>
        <w:spacing w:before="120" w:line="260" w:lineRule="atLeast"/>
      </w:pPr>
      <w:r>
        <w:rPr>
          <w:rFonts w:ascii="Arial" w:eastAsia="Arial" w:hAnsi="Arial" w:cs="Arial"/>
          <w:color w:val="000000"/>
          <w:sz w:val="20"/>
        </w:rPr>
        <w:t>II.</w:t>
      </w:r>
    </w:p>
    <w:p w:rsidR="00022B47" w:rsidRDefault="00000000">
      <w:pPr>
        <w:pStyle w:val="Normal36"/>
        <w:widowControl w:val="0"/>
        <w:spacing w:before="200" w:line="260" w:lineRule="atLeast"/>
        <w:jc w:val="both"/>
      </w:pPr>
      <w:bookmarkStart w:id="5980" w:name="Bookmark_para_9_34"/>
      <w:bookmarkEnd w:id="5980"/>
      <w:r>
        <w:rPr>
          <w:rFonts w:ascii="Arial" w:eastAsia="Arial" w:hAnsi="Arial" w:cs="Arial"/>
          <w:color w:val="000000"/>
          <w:sz w:val="20"/>
        </w:rPr>
        <w:t>Karantsalis is a longtime resident of the City. Shortly before or during 2008, he was diagnosed with MS, a progressive and "unpredictable disease of the central nervous system" that interrupts the flow of information between the brain and other parts of the body.</w:t>
      </w:r>
      <w:r>
        <w:rPr>
          <w:rFonts w:ascii="Arial" w:eastAsia="Arial" w:hAnsi="Arial" w:cs="Arial"/>
          <w:vertAlign w:val="superscript"/>
        </w:rPr>
        <w:footnoteReference w:customMarkFollows="1" w:id="163"/>
        <w:t>1</w:t>
      </w:r>
      <w:r>
        <w:rPr>
          <w:rFonts w:ascii="Arial" w:eastAsia="Arial" w:hAnsi="Arial" w:cs="Arial"/>
          <w:color w:val="000000"/>
          <w:sz w:val="20"/>
        </w:rPr>
        <w:t xml:space="preserve"> Over time, most patients endure muscle weakness and difficulties with coordination and balance; many others experience cognitive impairments and abnormal sensory sensations.</w:t>
      </w:r>
      <w:r>
        <w:rPr>
          <w:rFonts w:ascii="Arial" w:eastAsia="Arial" w:hAnsi="Arial" w:cs="Arial"/>
          <w:vertAlign w:val="superscript"/>
        </w:rPr>
        <w:footnoteReference w:customMarkFollows="1" w:id="164"/>
        <w:t>2</w:t>
      </w:r>
      <w:r>
        <w:rPr>
          <w:rFonts w:ascii="Arial" w:eastAsia="Arial" w:hAnsi="Arial" w:cs="Arial"/>
          <w:color w:val="000000"/>
          <w:sz w:val="20"/>
        </w:rPr>
        <w:t xml:space="preserve"> Some patients' symptoms are severe enough to impair their ability [**5]  to walk and to stand, with the most severe cases resulting in partial or complete paralysis.</w:t>
      </w:r>
      <w:r>
        <w:rPr>
          <w:rFonts w:ascii="Arial" w:eastAsia="Arial" w:hAnsi="Arial" w:cs="Arial"/>
          <w:vertAlign w:val="superscript"/>
        </w:rPr>
        <w:footnoteReference w:customMarkFollows="1" w:id="165"/>
        <w:t>3</w:t>
      </w:r>
    </w:p>
    <w:p w:rsidR="00022B47" w:rsidRDefault="00000000">
      <w:pPr>
        <w:pStyle w:val="Normal36"/>
        <w:widowControl w:val="0"/>
        <w:spacing w:before="200" w:line="260" w:lineRule="atLeast"/>
        <w:jc w:val="both"/>
      </w:pPr>
      <w:bookmarkStart w:id="5984" w:name="Bookmark_para_10_34"/>
      <w:bookmarkEnd w:id="5984"/>
      <w:r>
        <w:rPr>
          <w:rFonts w:ascii="Arial" w:eastAsia="Arial" w:hAnsi="Arial" w:cs="Arial"/>
          <w:color w:val="000000"/>
          <w:sz w:val="20"/>
        </w:rPr>
        <w:t>In 2008, Karantsalis—then a member of the County Bicycle/Pedestrian Advisory Board Committee—filed a pro se complaint against the City, among other parties, regarding public rights-of-way. At that time, Karantsalis was able to walk and did not use a wheelchair nor require a disabled parking permit. After receiving guidance from the County Attorney that he lacked standing due to the then-limited impact of his MS on his mobility, Karantsalis voluntarily dismissed his complaint before the City was required to respond. Indeed, at that time, Karantsalis's MS condition manifested only as double-vision—fully managed by using prism glasses—and mild drop-foot. Even so, Karantsalis could drive, jog, and ride his bicycle. His MS condition did not prevent or hinder his access to or use of the programs and services of the City. Karantsalis participated in the community by serving on an advisory board and even placing in a local 5k race. Starting in 2017, however, Karantsalis's MS began to progress rapidly.</w:t>
      </w:r>
    </w:p>
    <w:p w:rsidR="00022B47" w:rsidRDefault="00000000">
      <w:pPr>
        <w:pStyle w:val="Normal36"/>
        <w:widowControl w:val="0"/>
        <w:spacing w:before="200" w:line="260" w:lineRule="atLeast"/>
        <w:jc w:val="both"/>
      </w:pPr>
      <w:bookmarkStart w:id="5985" w:name="Bookmark_para_11_33"/>
      <w:bookmarkEnd w:id="5985"/>
      <w:r>
        <w:rPr>
          <w:rFonts w:ascii="Arial" w:eastAsia="Arial" w:hAnsi="Arial" w:cs="Arial"/>
          <w:color w:val="000000"/>
          <w:sz w:val="20"/>
        </w:rPr>
        <w:t>Around January 2017, Karantsalis developed a limp and began [**6]  to fall more frequently. He received a Florida disabled parking permit in June 2017. By December 2018, he relied on crutches and stability devices to assist with walking. In February 2019, doctors diagnosed Karantsalis with psoriatic arthritis, further limiting his ability to walk. In June 2019, the same  [*1321]  month in which doctors found an increased number of lesions on his brain, Karantsalis began to suffer increased numbness, myoclonic jerks, and buckling knees. As treatment, doctors prescribed medication for Karantsalis's severe MS and recommended he use a manual wheelchair. Due to his condition, Karantsalis currently experiences hearing loss and various cognitive impairments.</w:t>
      </w:r>
    </w:p>
    <w:p w:rsidR="00022B47" w:rsidRDefault="00000000">
      <w:pPr>
        <w:pStyle w:val="Normal36"/>
        <w:widowControl w:val="0"/>
        <w:spacing w:before="200" w:line="260" w:lineRule="atLeast"/>
        <w:jc w:val="both"/>
      </w:pPr>
      <w:bookmarkStart w:id="5986" w:name="Bookmark_para_12_32"/>
      <w:bookmarkEnd w:id="5986"/>
      <w:r>
        <w:rPr>
          <w:rFonts w:ascii="Arial" w:eastAsia="Arial" w:hAnsi="Arial" w:cs="Arial"/>
          <w:color w:val="000000"/>
          <w:sz w:val="20"/>
        </w:rPr>
        <w:t>During 2017, Karantsalis's MS increasingly impacted his ability to navigate everyday life as it progressed. For example, Karantsalis experienced increasing difficulty in accessing and using the City's services and programs because the City has not made its facilities housing them accessible for individuals with physical disabilities. Consequently, since 2017, Karantsalis alleges he has become progressively limited in the public spaces that he can visit in the City; thus, since 2017, he has been excluded from or [**7]  denied certain City services and programs.</w:t>
      </w:r>
    </w:p>
    <w:p w:rsidR="00022B47" w:rsidRDefault="00000000">
      <w:pPr>
        <w:pStyle w:val="Normal36"/>
        <w:widowControl w:val="0"/>
        <w:spacing w:before="200" w:line="260" w:lineRule="atLeast"/>
        <w:jc w:val="both"/>
      </w:pPr>
      <w:bookmarkStart w:id="5987" w:name="Bookmark_para_13_32"/>
      <w:bookmarkEnd w:id="5987"/>
      <w:r>
        <w:rPr>
          <w:rFonts w:ascii="Arial" w:eastAsia="Arial" w:hAnsi="Arial" w:cs="Arial"/>
          <w:color w:val="000000"/>
          <w:sz w:val="20"/>
        </w:rPr>
        <w:t>Karantsalis filed the present suit against the City on October 7, 2019, seeking damages and injunctive relief for violations of Title II of the ADA and Section 504 of the Rehabilitation Act. Importantly, he alleged that he became injured in 2017. After Karantsalis filed a first and second amended complaint, the district court instructed him to amend his complaint, referencing his earlier 2008 claim and directing him to address the applicable statute of limitations. Given Karantsalis was now prescribed a wheelchair, his Third Amended Complaint contained the following allegations: (1) the City failed to ensure that Karantsalis has accessible sidewalks from his home to municipal facilities; (2) the City failed to ensure that Karantsalis can use the City's gymnasium by denying him an accessible path to equipment; and (3) the City failed to provide access to its programs and services by not having adequate parking spaces or having no disabled parking spaces.</w:t>
      </w:r>
    </w:p>
    <w:p w:rsidR="00022B47" w:rsidRDefault="00000000">
      <w:pPr>
        <w:pStyle w:val="Normal36"/>
        <w:widowControl w:val="0"/>
        <w:spacing w:before="200" w:line="260" w:lineRule="atLeast"/>
        <w:jc w:val="both"/>
      </w:pPr>
      <w:bookmarkStart w:id="5988" w:name="Bookmark_para_14_32"/>
      <w:bookmarkEnd w:id="5988"/>
      <w:r>
        <w:rPr>
          <w:rFonts w:ascii="Arial" w:eastAsia="Arial" w:hAnsi="Arial" w:cs="Arial"/>
          <w:color w:val="000000"/>
          <w:sz w:val="20"/>
        </w:rPr>
        <w:t>The City soon thereafter filed its motion to dismiss asserting that Karantsalis's Third Amended Complaint violated the applicable four-year statute of limitations and failed to state a claim under Fed. R. Civ. P. 12(b)(6). The City argued that because Karantsalis [**8]  knew of his MS diagnosis since at least 2008, and because his 2008 case broadly alleged non-compliant sidewalks, parking, and community centers in his neighborhood, the statute of limitations barred Karantsalis's action.</w:t>
      </w:r>
    </w:p>
    <w:p w:rsidR="00022B47" w:rsidRDefault="00000000">
      <w:pPr>
        <w:pStyle w:val="Normal36"/>
        <w:widowControl w:val="0"/>
        <w:spacing w:before="200" w:line="260" w:lineRule="atLeast"/>
        <w:jc w:val="both"/>
      </w:pPr>
      <w:bookmarkStart w:id="5989" w:name="Bookmark_para_15_31"/>
      <w:bookmarkEnd w:id="5989"/>
      <w:r>
        <w:rPr>
          <w:rFonts w:ascii="Arial" w:eastAsia="Arial" w:hAnsi="Arial" w:cs="Arial"/>
          <w:color w:val="000000"/>
          <w:sz w:val="20"/>
        </w:rPr>
        <w:t>The district court entered a final order granting the City's motion to dismiss. It found Karantsalis's Third Amended Complaint was time-barred by the applicable four-year statute of limitations; thus, it declined to address whether the complaint stated a claim for which relief could be granted. The district court reasoned that "[t]he progression of Plaintiff's multiple sclerosis does not change the triggering date of the statute of limitations," nor does it "create a new date of 'discovery.'" To support its reasoning, the district court emphasized that: (1) Karantsalis has had MS since 2008; and (2) he failed to allege "exactly when he discovered the City's purported violations." Noting a contradiction between Karantsalis's assertion that his disability began in 2017 and his having filed a case against the City due to failure to accommodate in 2008, the district court dismissed the suit with prejudice.</w:t>
      </w:r>
    </w:p>
    <w:p w:rsidR="00022B47" w:rsidRDefault="00000000">
      <w:pPr>
        <w:pStyle w:val="Normal36"/>
        <w:widowControl w:val="0"/>
        <w:spacing w:before="120" w:line="260" w:lineRule="atLeast"/>
      </w:pPr>
      <w:r>
        <w:rPr>
          <w:rFonts w:ascii="Arial" w:eastAsia="Arial" w:hAnsi="Arial" w:cs="Arial"/>
          <w:color w:val="000000"/>
          <w:sz w:val="20"/>
        </w:rPr>
        <w:t>III.</w:t>
      </w:r>
    </w:p>
    <w:p w:rsidR="00022B47" w:rsidRDefault="00000000">
      <w:pPr>
        <w:pStyle w:val="Normal36"/>
        <w:widowControl w:val="0"/>
        <w:spacing w:before="200" w:line="260" w:lineRule="atLeast"/>
        <w:jc w:val="both"/>
      </w:pPr>
      <w:bookmarkStart w:id="5990" w:name="Bookmark_para_16_31"/>
      <w:bookmarkStart w:id="5991" w:name="Bookmark_I643S2VC2SF7RV0040000400"/>
      <w:bookmarkStart w:id="5992" w:name="Bookmark_I643S2VD2SF7RY0010000400"/>
      <w:bookmarkStart w:id="5993" w:name="Bookmark_LNHNREFclscc4_31"/>
      <w:bookmarkEnd w:id="5990"/>
      <w:bookmarkEnd w:id="5991"/>
      <w:bookmarkEnd w:id="5992"/>
      <w:bookmarkEnd w:id="5993"/>
      <w:r>
        <w:rPr>
          <w:rFonts w:ascii="Arial" w:eastAsia="Arial" w:hAnsi="Arial" w:cs="Arial"/>
          <w:color w:val="000000"/>
          <w:sz w:val="20"/>
        </w:rPr>
        <w:t xml:space="preserve">Title II of the ADA "prohibits discrimination by public entities" [**9]  against disabled individuals. </w:t>
      </w:r>
      <w:bookmarkStart w:id="5994" w:name="Bookmark_I643S2VC2SF7RV0030000400"/>
      <w:bookmarkEnd w:id="5994"/>
      <w:r>
        <w:rPr>
          <w:rFonts w:ascii="Arial" w:eastAsia="Arial" w:hAnsi="Arial" w:cs="Arial"/>
          <w:i/>
          <w:color w:val="000000"/>
          <w:sz w:val="20"/>
        </w:rPr>
        <w:t>Garthright-Dietrich v. Atlanta Landmarks, Inc.</w:t>
      </w:r>
      <w:r>
        <w:rPr>
          <w:rFonts w:ascii="Arial" w:eastAsia="Arial" w:hAnsi="Arial" w:cs="Arial"/>
          <w:color w:val="000000"/>
          <w:sz w:val="20"/>
        </w:rPr>
        <w:t xml:space="preserve">, 452 F.3d 1269, 1272 (11th Cir. 2006); </w:t>
      </w:r>
      <w:r>
        <w:rPr>
          <w:rFonts w:ascii="Arial" w:eastAsia="Arial" w:hAnsi="Arial" w:cs="Arial"/>
          <w:i/>
          <w:color w:val="000000"/>
          <w:sz w:val="20"/>
        </w:rPr>
        <w:t>see also</w:t>
      </w:r>
      <w:r>
        <w:rPr>
          <w:rFonts w:ascii="Arial" w:eastAsia="Arial" w:hAnsi="Arial" w:cs="Arial"/>
          <w:color w:val="000000"/>
          <w:sz w:val="20"/>
        </w:rPr>
        <w:t xml:space="preserve"> 42 U.S.C. § 12132. Claims for discrimination under the Rehabilitation Act "are governed by the same standards" as the ADA. </w:t>
      </w:r>
      <w:bookmarkStart w:id="5995" w:name="Bookmark_I643S2VC2SF7RV0050000400"/>
      <w:bookmarkEnd w:id="5995"/>
      <w:r>
        <w:rPr>
          <w:rFonts w:ascii="Arial" w:eastAsia="Arial" w:hAnsi="Arial" w:cs="Arial"/>
          <w:i/>
          <w:color w:val="000000"/>
          <w:sz w:val="20"/>
        </w:rPr>
        <w:t>J.S., III  [*1322]  ex rel. J.S. Jr. v. Houston Cnty. Bd. of Educ.</w:t>
      </w:r>
      <w:r>
        <w:rPr>
          <w:rFonts w:ascii="Arial" w:eastAsia="Arial" w:hAnsi="Arial" w:cs="Arial"/>
          <w:color w:val="000000"/>
          <w:sz w:val="20"/>
        </w:rPr>
        <w:t xml:space="preserve">, 877 F.3d 979, 985 (11th Cir. 2017) (per curiam). Therefore, ADA and Rehabilitation Act claims are "generally discussed together." </w:t>
      </w:r>
      <w:r>
        <w:rPr>
          <w:rFonts w:ascii="Arial" w:eastAsia="Arial" w:hAnsi="Arial" w:cs="Arial"/>
          <w:i/>
          <w:color w:val="000000"/>
          <w:sz w:val="20"/>
        </w:rPr>
        <w:t>Id.</w:t>
      </w:r>
      <w:r>
        <w:rPr>
          <w:rFonts w:ascii="Arial" w:eastAsia="Arial" w:hAnsi="Arial" w:cs="Arial"/>
          <w:vertAlign w:val="superscript"/>
        </w:rPr>
        <w:footnoteReference w:customMarkFollows="1" w:id="166"/>
        <w:t>4</w:t>
      </w:r>
    </w:p>
    <w:p w:rsidR="00022B47" w:rsidRDefault="00000000">
      <w:pPr>
        <w:pStyle w:val="Normal36"/>
        <w:widowControl w:val="0"/>
        <w:spacing w:before="200" w:line="260" w:lineRule="atLeast"/>
        <w:jc w:val="both"/>
      </w:pPr>
      <w:bookmarkStart w:id="5997" w:name="Bookmark_para_17_30"/>
      <w:bookmarkStart w:id="5998" w:name="Bookmark_I643S2VD2SF7RY0030000400"/>
      <w:bookmarkStart w:id="5999" w:name="Bookmark_LNHNREFclscc5_31"/>
      <w:bookmarkEnd w:id="5997"/>
      <w:bookmarkEnd w:id="5998"/>
      <w:bookmarkEnd w:id="5999"/>
      <w:r>
        <w:rPr>
          <w:rFonts w:ascii="Arial" w:eastAsia="Arial" w:hAnsi="Arial" w:cs="Arial"/>
          <w:color w:val="000000"/>
          <w:sz w:val="20"/>
        </w:rPr>
        <w:t xml:space="preserve">To state an ADA claim under either Title II of the ADA or § 504, a plaintiff must establish three elements: "(1) that he is a qualified individual with a disability; (2) that he was either excluded from participation in or denied the benefits of a public entity's services, programs, activities, or otherwise discriminated against by the public entity; and (3) that the exclusion, denial of benefit, or discrimination was by reason of the plaintiff's disability." </w:t>
      </w:r>
      <w:bookmarkStart w:id="6000" w:name="Bookmark_I643S2VD2SF7RY0020000400"/>
      <w:bookmarkEnd w:id="6000"/>
      <w:r>
        <w:rPr>
          <w:rFonts w:ascii="Arial" w:eastAsia="Arial" w:hAnsi="Arial" w:cs="Arial"/>
          <w:i/>
          <w:color w:val="000000"/>
          <w:sz w:val="20"/>
        </w:rPr>
        <w:t>Silberman v. Miami Dade Transit</w:t>
      </w:r>
      <w:r>
        <w:rPr>
          <w:rFonts w:ascii="Arial" w:eastAsia="Arial" w:hAnsi="Arial" w:cs="Arial"/>
          <w:color w:val="000000"/>
          <w:sz w:val="20"/>
        </w:rPr>
        <w:t xml:space="preserve">, 927 F.3d 1123, 1134 (11th Cir. 2019) (quotation marks omitted); </w:t>
      </w:r>
      <w:bookmarkStart w:id="6001" w:name="Bookmark_I643S2VD2SF7RY0040000400"/>
      <w:bookmarkEnd w:id="6001"/>
      <w:r>
        <w:rPr>
          <w:rFonts w:ascii="Arial" w:eastAsia="Arial" w:hAnsi="Arial" w:cs="Arial"/>
          <w:i/>
          <w:color w:val="000000"/>
          <w:sz w:val="20"/>
        </w:rPr>
        <w:t>Am. Ass'n of People with Disabilities v. Harris</w:t>
      </w:r>
      <w:r>
        <w:rPr>
          <w:rFonts w:ascii="Arial" w:eastAsia="Arial" w:hAnsi="Arial" w:cs="Arial"/>
          <w:color w:val="000000"/>
          <w:sz w:val="20"/>
        </w:rPr>
        <w:t xml:space="preserve">, 647 F.3d 1093, 1101 (11th Cir. 2011); </w:t>
      </w:r>
      <w:bookmarkStart w:id="6002" w:name="Bookmark_I643S2VD2D6N6N0010000400"/>
      <w:bookmarkEnd w:id="6002"/>
      <w:r>
        <w:rPr>
          <w:rFonts w:ascii="Arial" w:eastAsia="Arial" w:hAnsi="Arial" w:cs="Arial"/>
          <w:i/>
          <w:color w:val="000000"/>
          <w:sz w:val="20"/>
        </w:rPr>
        <w:t>Shotz v. Cates</w:t>
      </w:r>
      <w:r>
        <w:rPr>
          <w:rFonts w:ascii="Arial" w:eastAsia="Arial" w:hAnsi="Arial" w:cs="Arial"/>
          <w:color w:val="000000"/>
          <w:sz w:val="20"/>
        </w:rPr>
        <w:t>, 256 F.3d 1077, 1079 (11th Cir. 2001) (quoting 42 U.S.C. § 12132).</w:t>
      </w:r>
      <w:r>
        <w:rPr>
          <w:rFonts w:ascii="Arial" w:eastAsia="Arial" w:hAnsi="Arial" w:cs="Arial"/>
          <w:vertAlign w:val="superscript"/>
        </w:rPr>
        <w:footnoteReference w:customMarkFollows="1" w:id="167"/>
        <w:t>5</w:t>
      </w:r>
    </w:p>
    <w:p w:rsidR="00022B47" w:rsidRDefault="00000000">
      <w:pPr>
        <w:pStyle w:val="Normal36"/>
        <w:widowControl w:val="0"/>
        <w:spacing w:before="200" w:line="260" w:lineRule="atLeast"/>
        <w:jc w:val="both"/>
      </w:pPr>
      <w:bookmarkStart w:id="6004" w:name="Bookmark_para_18_29"/>
      <w:bookmarkStart w:id="6005" w:name="Bookmark_I643S2VD2D6N6N0040000400"/>
      <w:bookmarkStart w:id="6006" w:name="Bookmark_LNHNREFclscc6_26"/>
      <w:bookmarkEnd w:id="6004"/>
      <w:bookmarkEnd w:id="6005"/>
      <w:bookmarkEnd w:id="6006"/>
      <w:r>
        <w:rPr>
          <w:rFonts w:ascii="Arial" w:eastAsia="Arial" w:hAnsi="Arial" w:cs="Arial"/>
          <w:color w:val="000000"/>
          <w:sz w:val="20"/>
        </w:rPr>
        <w:t xml:space="preserve">Further, as to existing facilities, a public entity must "operate each service, program, or activity so that the service, program, or activity, when viewed in its entirety, is readily accessible to and usable by individuals with disabilities." </w:t>
      </w:r>
      <w:bookmarkStart w:id="6007" w:name="Bookmark_I643S2VD2D6N6N0030000400"/>
      <w:bookmarkEnd w:id="6007"/>
      <w:r>
        <w:rPr>
          <w:rFonts w:ascii="Arial" w:eastAsia="Arial" w:hAnsi="Arial" w:cs="Arial"/>
          <w:i/>
          <w:color w:val="000000"/>
          <w:sz w:val="20"/>
        </w:rPr>
        <w:t>Shotz</w:t>
      </w:r>
      <w:r>
        <w:rPr>
          <w:rFonts w:ascii="Arial" w:eastAsia="Arial" w:hAnsi="Arial" w:cs="Arial"/>
          <w:color w:val="000000"/>
          <w:sz w:val="20"/>
        </w:rPr>
        <w:t xml:space="preserve">, 256 F.3d at 1080 (quoting 28 C.F.R. § 35.150); </w:t>
      </w:r>
      <w:r>
        <w:rPr>
          <w:rFonts w:ascii="Arial" w:eastAsia="Arial" w:hAnsi="Arial" w:cs="Arial"/>
          <w:i/>
          <w:color w:val="000000"/>
          <w:sz w:val="20"/>
        </w:rPr>
        <w:t>see also</w:t>
      </w:r>
      <w:r>
        <w:rPr>
          <w:rFonts w:ascii="Arial" w:eastAsia="Arial" w:hAnsi="Arial" w:cs="Arial"/>
          <w:color w:val="000000"/>
          <w:sz w:val="20"/>
        </w:rPr>
        <w:t xml:space="preserve"> 28 C.F.R. § 35.149 ("Except as otherwise provided in § 35.150, no qualified individual with a disability shall, because a public entity's facilities are inaccessible to or unusable by individuals with disabilities, be excluded from participation in, [**10]  or be denied the benefits of the services, program, or activities of a public entity."); 28 C.F.R. § 35.151 (requirements covering new and altered facilities).</w:t>
      </w:r>
      <w:r>
        <w:rPr>
          <w:rFonts w:ascii="Arial" w:eastAsia="Arial" w:hAnsi="Arial" w:cs="Arial"/>
          <w:vertAlign w:val="superscript"/>
        </w:rPr>
        <w:footnoteReference w:customMarkFollows="1" w:id="168"/>
        <w:t>6</w:t>
      </w:r>
    </w:p>
    <w:p w:rsidR="00022B47" w:rsidRDefault="00000000">
      <w:pPr>
        <w:pStyle w:val="Normal36"/>
        <w:widowControl w:val="0"/>
        <w:spacing w:before="200" w:line="260" w:lineRule="atLeast"/>
        <w:jc w:val="both"/>
      </w:pPr>
      <w:bookmarkStart w:id="6009" w:name="Bookmark_para_19_28"/>
      <w:bookmarkStart w:id="6010" w:name="Bookmark_I643S2VD2N1RKD0010000400"/>
      <w:bookmarkEnd w:id="6009"/>
      <w:bookmarkEnd w:id="6010"/>
      <w:r>
        <w:rPr>
          <w:rFonts w:ascii="Arial" w:eastAsia="Arial" w:hAnsi="Arial" w:cs="Arial"/>
          <w:color w:val="000000"/>
          <w:sz w:val="20"/>
        </w:rPr>
        <w:t xml:space="preserve">Accordingly, pursuant to these requirements as to existing facilities, the City is "obligated to ensure that each service, program, or activity at its [municipal facilities], when viewed in its entirety, [is] readily accessible to individuals with disabilities." </w:t>
      </w:r>
      <w:bookmarkStart w:id="6011" w:name="Bookmark_I643S2VD2D6N6N0050000400"/>
      <w:bookmarkEnd w:id="6011"/>
      <w:r>
        <w:rPr>
          <w:rFonts w:ascii="Arial" w:eastAsia="Arial" w:hAnsi="Arial" w:cs="Arial"/>
          <w:i/>
          <w:color w:val="000000"/>
          <w:sz w:val="20"/>
        </w:rPr>
        <w:t>Shotz</w:t>
      </w:r>
      <w:r>
        <w:rPr>
          <w:rFonts w:ascii="Arial" w:eastAsia="Arial" w:hAnsi="Arial" w:cs="Arial"/>
          <w:color w:val="000000"/>
          <w:sz w:val="20"/>
        </w:rPr>
        <w:t>, 256 F.3d at 1080 (citation omitted). Here, Karantsalis's ADA claim alleges that certain features of the City's facilities—the sidewalks, curbs, parking spaces, and narrow travel paths—now impede or prevent him in a walker or wheelchair from accessing and using the public services offered therein, and thereby deny him the benefits of those public services. Karantsalis identifies the City's services as those offered at the municipal swimming pool, the gymnasium, the picnic areas, the police station, the public works department, and city hall. Our inquiry becomes the question of when Karantsalis's ADA claim accrued.</w:t>
      </w:r>
    </w:p>
    <w:p w:rsidR="00022B47" w:rsidRDefault="00000000">
      <w:pPr>
        <w:pStyle w:val="Normal36"/>
        <w:widowControl w:val="0"/>
        <w:spacing w:before="120" w:line="260" w:lineRule="atLeast"/>
      </w:pPr>
      <w:r>
        <w:rPr>
          <w:rFonts w:ascii="Arial" w:eastAsia="Arial" w:hAnsi="Arial" w:cs="Arial"/>
          <w:color w:val="000000"/>
          <w:sz w:val="20"/>
        </w:rPr>
        <w:t>A.</w:t>
      </w:r>
    </w:p>
    <w:p w:rsidR="00022B47" w:rsidRDefault="00000000">
      <w:pPr>
        <w:pStyle w:val="Normal36"/>
        <w:widowControl w:val="0"/>
        <w:spacing w:before="200" w:line="260" w:lineRule="atLeast"/>
        <w:jc w:val="both"/>
      </w:pPr>
      <w:bookmarkStart w:id="6012" w:name="Bookmark_para_20_28"/>
      <w:bookmarkStart w:id="6013" w:name="Bookmark_I643S2VD2N1RKD0030000400"/>
      <w:bookmarkStart w:id="6014" w:name="Bookmark_I643S2VD2N1RKD0050000400"/>
      <w:bookmarkStart w:id="6015" w:name="Bookmark_LNHNREFclscc7_25"/>
      <w:bookmarkEnd w:id="6012"/>
      <w:bookmarkEnd w:id="6013"/>
      <w:bookmarkEnd w:id="6014"/>
      <w:bookmarkEnd w:id="6015"/>
      <w:r>
        <w:rPr>
          <w:rFonts w:ascii="Arial" w:eastAsia="Arial" w:hAnsi="Arial" w:cs="Arial"/>
          <w:color w:val="000000"/>
          <w:sz w:val="20"/>
        </w:rPr>
        <w:t xml:space="preserve">Federal law governs when a federal civil rights claim accrues. </w:t>
      </w:r>
      <w:bookmarkStart w:id="6016" w:name="Bookmark_I643S2VF2SF7S40020000400"/>
      <w:bookmarkStart w:id="6017" w:name="Bookmark_I643S2VD2N1RKD0020000400"/>
      <w:bookmarkEnd w:id="6016"/>
      <w:bookmarkEnd w:id="6017"/>
      <w:r>
        <w:rPr>
          <w:rFonts w:ascii="Arial" w:eastAsia="Arial" w:hAnsi="Arial" w:cs="Arial"/>
          <w:i/>
          <w:color w:val="000000"/>
          <w:sz w:val="20"/>
        </w:rPr>
        <w:t>Rozar v. Mullis</w:t>
      </w:r>
      <w:r>
        <w:rPr>
          <w:rFonts w:ascii="Arial" w:eastAsia="Arial" w:hAnsi="Arial" w:cs="Arial"/>
          <w:color w:val="000000"/>
          <w:sz w:val="20"/>
        </w:rPr>
        <w:t xml:space="preserve">, 85 F.3d 556, 561 (11th Cir. 1996). "The general federal rule is that the statute of limitations does not begin to run until the facts which would support a cause [**11]  of action are apparent or should be apparent to a person with a reasonably prudent regard for his rights." </w:t>
      </w:r>
      <w:bookmarkStart w:id="6018" w:name="Bookmark_I643S2VD2N1RKD0040000400"/>
      <w:bookmarkEnd w:id="6018"/>
      <w:r>
        <w:rPr>
          <w:rFonts w:ascii="Arial" w:eastAsia="Arial" w:hAnsi="Arial" w:cs="Arial"/>
          <w:i/>
          <w:color w:val="000000"/>
          <w:sz w:val="20"/>
        </w:rPr>
        <w:t>Id.</w:t>
      </w:r>
      <w:r>
        <w:rPr>
          <w:rFonts w:ascii="Arial" w:eastAsia="Arial" w:hAnsi="Arial" w:cs="Arial"/>
          <w:color w:val="000000"/>
          <w:sz w:val="20"/>
        </w:rPr>
        <w:t xml:space="preserve"> at 561-62 (internal quotation marks omitted and alterations adopted). </w:t>
      </w:r>
      <w:bookmarkStart w:id="6019" w:name="Bookmark_I643S2VF2SF7S40020000400_2"/>
      <w:bookmarkEnd w:id="6019"/>
      <w:r>
        <w:rPr>
          <w:rFonts w:ascii="Arial" w:eastAsia="Arial" w:hAnsi="Arial" w:cs="Arial"/>
          <w:color w:val="000000"/>
          <w:sz w:val="20"/>
        </w:rPr>
        <w:t xml:space="preserve">"Plaintiffs must know or have reason to know that they were injured, and must be aware or should be  [*1323]  aware of who inflicted the injury." </w:t>
      </w:r>
      <w:bookmarkStart w:id="6020" w:name="Bookmark_I643S2VF2SF7S40010000400"/>
      <w:bookmarkEnd w:id="6020"/>
      <w:r>
        <w:rPr>
          <w:rFonts w:ascii="Arial" w:eastAsia="Arial" w:hAnsi="Arial" w:cs="Arial"/>
          <w:i/>
          <w:color w:val="000000"/>
          <w:sz w:val="20"/>
        </w:rPr>
        <w:t>Id.</w:t>
      </w:r>
      <w:r>
        <w:rPr>
          <w:rFonts w:ascii="Arial" w:eastAsia="Arial" w:hAnsi="Arial" w:cs="Arial"/>
          <w:color w:val="000000"/>
          <w:sz w:val="20"/>
        </w:rPr>
        <w:t xml:space="preserve"> at 562. "This rule requires a court first to identify the alleged injuries, and then to determine when plaintiffs could have sued for them." </w:t>
      </w:r>
      <w:r>
        <w:rPr>
          <w:rFonts w:ascii="Arial" w:eastAsia="Arial" w:hAnsi="Arial" w:cs="Arial"/>
          <w:i/>
          <w:color w:val="000000"/>
          <w:sz w:val="20"/>
        </w:rPr>
        <w:t>Id.</w:t>
      </w:r>
    </w:p>
    <w:p w:rsidR="00022B47" w:rsidRDefault="00000000">
      <w:pPr>
        <w:pStyle w:val="Normal36"/>
        <w:widowControl w:val="0"/>
        <w:spacing w:before="200" w:line="260" w:lineRule="atLeast"/>
        <w:jc w:val="both"/>
      </w:pPr>
      <w:bookmarkStart w:id="6021" w:name="Bookmark_para_21_27"/>
      <w:bookmarkEnd w:id="6021"/>
      <w:r>
        <w:rPr>
          <w:rFonts w:ascii="Arial" w:eastAsia="Arial" w:hAnsi="Arial" w:cs="Arial"/>
          <w:color w:val="000000"/>
          <w:sz w:val="20"/>
        </w:rPr>
        <w:t>Here, for purposes of his ADA claim and taking all allegations as true, Karantsalis's injury did not occur until at least 2017, when his mobility decreased to the level that he could no longer readily access and use the City's public services because of its ADA non-compliant facilities. His ADA injury is the City's denial of the benefits of its public services. Stated another way, Karantsalis could not have sued the City before he lost his mobility and his ready access to and use of the City's public services.</w:t>
      </w:r>
    </w:p>
    <w:p w:rsidR="00022B47" w:rsidRDefault="00000000">
      <w:pPr>
        <w:pStyle w:val="Normal36"/>
        <w:widowControl w:val="0"/>
        <w:spacing w:before="200" w:line="260" w:lineRule="atLeast"/>
        <w:jc w:val="both"/>
      </w:pPr>
      <w:bookmarkStart w:id="6022" w:name="Bookmark_para_22_26"/>
      <w:bookmarkEnd w:id="6022"/>
      <w:r>
        <w:rPr>
          <w:rFonts w:ascii="Arial" w:eastAsia="Arial" w:hAnsi="Arial" w:cs="Arial"/>
          <w:color w:val="000000"/>
          <w:sz w:val="20"/>
        </w:rPr>
        <w:t>For sure, Karantsalis knew in 2008 that the City's facilities—its sidewalks, parking, curbs, and travel paths—were ADA non-compliant. Indeed, Karantsalis lives in the City of Miami Springs and frequently travels to the City's facilities. However, [**12]  to sue in federal court, Karantsalis must show that he had an injury. The difference between 2008 and 2017 was that Karantsalis, in 2017, had now lost the mobility necessary to readily access the services in these ADA non-compliant facilities. Only then did he first suffer his injury. Taking the allegations in his Third Amended Complaint in the light most favorable to Karantsalis, it was not until 2017 that his ADA cause of action accrued and he could sue.</w:t>
      </w:r>
    </w:p>
    <w:p w:rsidR="00022B47" w:rsidRDefault="00000000">
      <w:pPr>
        <w:pStyle w:val="Normal36"/>
        <w:widowControl w:val="0"/>
        <w:spacing w:before="200" w:line="260" w:lineRule="atLeast"/>
        <w:jc w:val="both"/>
      </w:pPr>
      <w:bookmarkStart w:id="6023" w:name="Bookmark_para_23_25"/>
      <w:bookmarkStart w:id="6024" w:name="Bookmark_I643S2VF2SF7S40040000400"/>
      <w:bookmarkEnd w:id="6023"/>
      <w:bookmarkEnd w:id="6024"/>
      <w:r>
        <w:rPr>
          <w:rFonts w:ascii="Arial" w:eastAsia="Arial" w:hAnsi="Arial" w:cs="Arial"/>
          <w:color w:val="000000"/>
          <w:sz w:val="20"/>
        </w:rPr>
        <w:t xml:space="preserve">That is not to say that a plaintiff must know or suffer the full extent of his injury before his cause of action accrues and the statute of limitations begins to run. Rather, a plaintiff must know or have reason to know that he was injured to some extent. </w:t>
      </w:r>
      <w:bookmarkStart w:id="6025" w:name="Bookmark_I643S2VF2SF7S40030000400"/>
      <w:bookmarkEnd w:id="6025"/>
      <w:r>
        <w:rPr>
          <w:rFonts w:ascii="Arial" w:eastAsia="Arial" w:hAnsi="Arial" w:cs="Arial"/>
          <w:i/>
          <w:color w:val="000000"/>
          <w:sz w:val="20"/>
        </w:rPr>
        <w:t>Rozar</w:t>
      </w:r>
      <w:r>
        <w:rPr>
          <w:rFonts w:ascii="Arial" w:eastAsia="Arial" w:hAnsi="Arial" w:cs="Arial"/>
          <w:color w:val="000000"/>
          <w:sz w:val="20"/>
        </w:rPr>
        <w:t>, 85 F.3d at 562. In this particular ADA-access case, that did not occur until Karantsalis's disease had progressed sufficiently enough for him to know or have reason to know he personally was denied the benefits of the City's public services. Generally, the injury inquiry will be a highly fact-specific determination, and at this motion to dismiss stage, we review the allegations in the light most favorable to Karantsalis.</w:t>
      </w:r>
    </w:p>
    <w:p w:rsidR="00022B47" w:rsidRDefault="00000000">
      <w:pPr>
        <w:pStyle w:val="Normal36"/>
        <w:widowControl w:val="0"/>
        <w:spacing w:before="200" w:line="260" w:lineRule="atLeast"/>
        <w:jc w:val="both"/>
      </w:pPr>
      <w:bookmarkStart w:id="6026" w:name="Bookmark_para_24_23"/>
      <w:bookmarkStart w:id="6027" w:name="Bookmark_I643S2VF2D6N6S0010000400"/>
      <w:bookmarkEnd w:id="6026"/>
      <w:bookmarkEnd w:id="6027"/>
      <w:r>
        <w:rPr>
          <w:rFonts w:ascii="Arial" w:eastAsia="Arial" w:hAnsi="Arial" w:cs="Arial"/>
          <w:color w:val="000000"/>
          <w:sz w:val="20"/>
        </w:rPr>
        <w:t xml:space="preserve">Because we find that it is not apparent from the face of Karantsalis's Third [**13]  Amended Complaint that his ADA claim is time-barred, the dismissal cannot stand. </w:t>
      </w:r>
      <w:r>
        <w:rPr>
          <w:rFonts w:ascii="Arial" w:eastAsia="Arial" w:hAnsi="Arial" w:cs="Arial"/>
          <w:i/>
          <w:color w:val="000000"/>
          <w:sz w:val="20"/>
        </w:rPr>
        <w:t xml:space="preserve">See </w:t>
      </w:r>
      <w:bookmarkStart w:id="6028" w:name="Bookmark_I643S2VF2SF7S40050000400"/>
      <w:bookmarkEnd w:id="6028"/>
      <w:r>
        <w:rPr>
          <w:rFonts w:ascii="Arial" w:eastAsia="Arial" w:hAnsi="Arial" w:cs="Arial"/>
          <w:i/>
          <w:color w:val="000000"/>
          <w:sz w:val="20"/>
        </w:rPr>
        <w:t>Cochise Consultancy</w:t>
      </w:r>
      <w:r>
        <w:rPr>
          <w:rFonts w:ascii="Arial" w:eastAsia="Arial" w:hAnsi="Arial" w:cs="Arial"/>
          <w:color w:val="000000"/>
          <w:sz w:val="20"/>
        </w:rPr>
        <w:t>, 887 F.3d at 1085. We also discuss the parties' arguments, and further explain why we reverse.</w:t>
      </w:r>
    </w:p>
    <w:p w:rsidR="00022B47" w:rsidRDefault="00000000">
      <w:pPr>
        <w:pStyle w:val="Normal36"/>
        <w:widowControl w:val="0"/>
        <w:spacing w:before="200" w:line="260" w:lineRule="atLeast"/>
        <w:jc w:val="both"/>
      </w:pPr>
      <w:bookmarkStart w:id="6029" w:name="Bookmark_para_25_22"/>
      <w:bookmarkEnd w:id="6029"/>
      <w:r>
        <w:rPr>
          <w:rFonts w:ascii="Arial" w:eastAsia="Arial" w:hAnsi="Arial" w:cs="Arial"/>
          <w:color w:val="000000"/>
          <w:sz w:val="20"/>
        </w:rPr>
        <w:t>The City argues that Karantsalis's claim is time-barred because his injury arose in 2008. In support of this conclusion, the City presents the following view: in both the 2008 and 2019 lawsuits, Karantsalis alleges that the City discriminated against him based on his MS by denying him the use and benefit of the City thoroughfares and facilities in violation of the ADA and the Rehabilitation Act. Because Karantsalis suffered from MS in 2008 and knew then about the City's alleged noncompliance with the ADA, his injury began then for statute of limitations purposes. The progression of his MS does not change this fact. Because the statute of limitations in this instance is four years and Karantsalis knew of his injury in 2008, the City asserts this suit is time-barred.</w:t>
      </w:r>
    </w:p>
    <w:p w:rsidR="00022B47" w:rsidRDefault="00000000">
      <w:pPr>
        <w:pStyle w:val="Normal36"/>
        <w:widowControl w:val="0"/>
        <w:spacing w:before="200" w:line="260" w:lineRule="atLeast"/>
        <w:jc w:val="both"/>
      </w:pPr>
      <w:bookmarkStart w:id="6030" w:name="Bookmark_para_26_20"/>
      <w:bookmarkEnd w:id="6030"/>
      <w:r>
        <w:rPr>
          <w:rFonts w:ascii="Arial" w:eastAsia="Arial" w:hAnsi="Arial" w:cs="Arial"/>
          <w:color w:val="000000"/>
          <w:sz w:val="20"/>
        </w:rPr>
        <w:t xml:space="preserve">Karantsalis argues on the other hand that the district court incorrectly determined that his claims accrued in 2008. </w:t>
      </w:r>
      <w:bookmarkStart w:id="6031" w:name="Bookmark_I643S2VF2D6N6S0030000400"/>
      <w:bookmarkEnd w:id="6031"/>
      <w:r>
        <w:rPr>
          <w:rFonts w:ascii="Arial" w:eastAsia="Arial" w:hAnsi="Arial" w:cs="Arial"/>
          <w:color w:val="000000"/>
          <w:sz w:val="20"/>
        </w:rPr>
        <w:t xml:space="preserve">Instead, he contends that his claims did not accrue until he had suffered both (1) a disability, and (2) an injury (his inability to readily access [**14]  and use the City's services by reason of his disability). Under the ADA, Karantsalis was not injured (and therefore did not have standing) until </w:t>
      </w:r>
      <w:r>
        <w:rPr>
          <w:rFonts w:ascii="Arial" w:eastAsia="Arial" w:hAnsi="Arial" w:cs="Arial"/>
          <w:i/>
          <w:color w:val="000000"/>
          <w:sz w:val="20"/>
        </w:rPr>
        <w:t>after</w:t>
      </w:r>
      <w:r>
        <w:rPr>
          <w:rFonts w:ascii="Arial" w:eastAsia="Arial" w:hAnsi="Arial" w:cs="Arial"/>
          <w:color w:val="000000"/>
          <w:sz w:val="20"/>
        </w:rPr>
        <w:t xml:space="preserve"> he was denied the benefits of the City's public services. </w:t>
      </w:r>
      <w:r>
        <w:rPr>
          <w:rFonts w:ascii="Arial" w:eastAsia="Arial" w:hAnsi="Arial" w:cs="Arial"/>
          <w:i/>
          <w:color w:val="000000"/>
          <w:sz w:val="20"/>
        </w:rPr>
        <w:t xml:space="preserve">See </w:t>
      </w:r>
      <w:bookmarkStart w:id="6032" w:name="Bookmark_I643S2VF2D6N6S0020000400"/>
      <w:bookmarkEnd w:id="6032"/>
      <w:r>
        <w:rPr>
          <w:rFonts w:ascii="Arial" w:eastAsia="Arial" w:hAnsi="Arial" w:cs="Arial"/>
          <w:i/>
          <w:color w:val="000000"/>
          <w:sz w:val="20"/>
        </w:rPr>
        <w:t>Frame v. City of Arlington</w:t>
      </w:r>
      <w:r>
        <w:rPr>
          <w:rFonts w:ascii="Arial" w:eastAsia="Arial" w:hAnsi="Arial" w:cs="Arial"/>
          <w:color w:val="000000"/>
          <w:sz w:val="20"/>
        </w:rPr>
        <w:t xml:space="preserve">, 657 F.3d 215, 238 (5th Cir. 2011)  [*1324]  (en banc); </w:t>
      </w:r>
      <w:bookmarkStart w:id="6033" w:name="Bookmark_I643S2VF2D6N6S0040000400"/>
      <w:bookmarkEnd w:id="6033"/>
      <w:r>
        <w:rPr>
          <w:rFonts w:ascii="Arial" w:eastAsia="Arial" w:hAnsi="Arial" w:cs="Arial"/>
          <w:i/>
          <w:color w:val="000000"/>
          <w:sz w:val="20"/>
        </w:rPr>
        <w:t>Disabled in Action of Pa. v. Se. Pa. Transp. Auth.</w:t>
      </w:r>
      <w:r>
        <w:rPr>
          <w:rFonts w:ascii="Arial" w:eastAsia="Arial" w:hAnsi="Arial" w:cs="Arial"/>
          <w:color w:val="000000"/>
          <w:sz w:val="20"/>
        </w:rPr>
        <w:t>, 539 F.3d 199, 214 (3d Cir. 2008). This was not until 2017, when his MS significantly progressed, and his mobility decreased to the point that the City's services were no longer readily accessible to him. He then filed the present action in 2019, which is within the four-year statute of limitations. Because we agree with Karantsalis, we reverse the district court's dismissal of this case. We now address the missteps in the analysis provided by the City and the district court in turn.</w:t>
      </w:r>
    </w:p>
    <w:p w:rsidR="00022B47" w:rsidRDefault="00000000">
      <w:pPr>
        <w:pStyle w:val="Normal36"/>
        <w:widowControl w:val="0"/>
        <w:spacing w:before="120" w:line="260" w:lineRule="atLeast"/>
      </w:pPr>
      <w:r>
        <w:rPr>
          <w:rFonts w:ascii="Arial" w:eastAsia="Arial" w:hAnsi="Arial" w:cs="Arial"/>
          <w:color w:val="000000"/>
          <w:sz w:val="20"/>
        </w:rPr>
        <w:t>B.</w:t>
      </w:r>
    </w:p>
    <w:p w:rsidR="00022B47" w:rsidRDefault="00000000">
      <w:pPr>
        <w:pStyle w:val="Normal36"/>
        <w:widowControl w:val="0"/>
        <w:spacing w:before="200" w:line="260" w:lineRule="atLeast"/>
        <w:jc w:val="both"/>
      </w:pPr>
      <w:bookmarkStart w:id="6034" w:name="Bookmark_para_27_20"/>
      <w:bookmarkStart w:id="6035" w:name="Bookmark_I643S2VF2HM5YM0020000400"/>
      <w:bookmarkEnd w:id="6034"/>
      <w:bookmarkEnd w:id="6035"/>
      <w:r>
        <w:rPr>
          <w:rFonts w:ascii="Arial" w:eastAsia="Arial" w:hAnsi="Arial" w:cs="Arial"/>
          <w:color w:val="000000"/>
          <w:sz w:val="20"/>
        </w:rPr>
        <w:t xml:space="preserve">The City's argument that the progression of Karantsalis's disease does not affect the accrual date in this case is misplaced. To support this argument, the City points to cases throughout its brief applying Florida law. </w:t>
      </w:r>
      <w:bookmarkStart w:id="6036" w:name="Bookmark_LNHNREFclscc8_22"/>
      <w:bookmarkEnd w:id="6036"/>
      <w:r>
        <w:rPr>
          <w:rFonts w:ascii="Arial" w:eastAsia="Arial" w:hAnsi="Arial" w:cs="Arial"/>
          <w:color w:val="000000"/>
          <w:sz w:val="20"/>
        </w:rPr>
        <w:t xml:space="preserve">But we apply </w:t>
      </w:r>
      <w:r>
        <w:rPr>
          <w:rFonts w:ascii="Arial" w:eastAsia="Arial" w:hAnsi="Arial" w:cs="Arial"/>
          <w:i/>
          <w:color w:val="000000"/>
          <w:sz w:val="20"/>
        </w:rPr>
        <w:t>federal</w:t>
      </w:r>
      <w:r>
        <w:rPr>
          <w:rFonts w:ascii="Arial" w:eastAsia="Arial" w:hAnsi="Arial" w:cs="Arial"/>
          <w:color w:val="000000"/>
          <w:sz w:val="20"/>
        </w:rPr>
        <w:t xml:space="preserve"> law to determine when a plaintiff's ADA claim accrues. </w:t>
      </w:r>
      <w:bookmarkStart w:id="6037" w:name="Bookmark_I643S2VF2HM5YM0040000400"/>
      <w:bookmarkStart w:id="6038" w:name="Bookmark_I643S2VF2HM5YM0010000400"/>
      <w:bookmarkEnd w:id="6037"/>
      <w:bookmarkEnd w:id="6038"/>
      <w:r>
        <w:rPr>
          <w:rFonts w:ascii="Arial" w:eastAsia="Arial" w:hAnsi="Arial" w:cs="Arial"/>
          <w:i/>
          <w:color w:val="000000"/>
          <w:sz w:val="20"/>
        </w:rPr>
        <w:t>Rozar</w:t>
      </w:r>
      <w:r>
        <w:rPr>
          <w:rFonts w:ascii="Arial" w:eastAsia="Arial" w:hAnsi="Arial" w:cs="Arial"/>
          <w:color w:val="000000"/>
          <w:sz w:val="20"/>
        </w:rPr>
        <w:t xml:space="preserve">, 85 F.3d at 561. </w:t>
      </w:r>
      <w:bookmarkStart w:id="6039" w:name="Bookmark_I643S2VF2HM5YM0040000400_2"/>
      <w:bookmarkEnd w:id="6039"/>
      <w:r>
        <w:rPr>
          <w:rFonts w:ascii="Arial" w:eastAsia="Arial" w:hAnsi="Arial" w:cs="Arial"/>
          <w:color w:val="000000"/>
          <w:sz w:val="20"/>
        </w:rPr>
        <w:t xml:space="preserve">We have relied upon Florida personal injury jurisprudence in ADA cases only to the extent that it sets the timeframe for a statute of limitations. </w:t>
      </w:r>
      <w:r>
        <w:rPr>
          <w:rFonts w:ascii="Arial" w:eastAsia="Arial" w:hAnsi="Arial" w:cs="Arial"/>
          <w:i/>
          <w:color w:val="000000"/>
          <w:sz w:val="20"/>
        </w:rPr>
        <w:t xml:space="preserve">See </w:t>
      </w:r>
      <w:bookmarkStart w:id="6040" w:name="Bookmark_I643S2VF2HM5YM0030000400"/>
      <w:bookmarkEnd w:id="6040"/>
      <w:r>
        <w:rPr>
          <w:rFonts w:ascii="Arial" w:eastAsia="Arial" w:hAnsi="Arial" w:cs="Arial"/>
          <w:i/>
          <w:color w:val="000000"/>
          <w:sz w:val="20"/>
        </w:rPr>
        <w:t>Silva</w:t>
      </w:r>
      <w:r>
        <w:rPr>
          <w:rFonts w:ascii="Arial" w:eastAsia="Arial" w:hAnsi="Arial" w:cs="Arial"/>
          <w:color w:val="000000"/>
          <w:sz w:val="20"/>
        </w:rPr>
        <w:t>, 856 F.3d at 841.</w:t>
      </w:r>
    </w:p>
    <w:p w:rsidR="00022B47" w:rsidRDefault="00000000">
      <w:pPr>
        <w:pStyle w:val="Normal36"/>
        <w:widowControl w:val="0"/>
        <w:spacing w:before="200" w:line="260" w:lineRule="atLeast"/>
        <w:jc w:val="both"/>
      </w:pPr>
      <w:bookmarkStart w:id="6041" w:name="Bookmark_para_28_20"/>
      <w:bookmarkEnd w:id="6041"/>
      <w:r>
        <w:rPr>
          <w:rFonts w:ascii="Arial" w:eastAsia="Arial" w:hAnsi="Arial" w:cs="Arial"/>
          <w:color w:val="000000"/>
          <w:sz w:val="20"/>
        </w:rPr>
        <w:t xml:space="preserve">The City also cites a litany of cases to support its ensuing position [**15]  that the "mere progression of a disease is not considered a second disease for the purpose of the statute of limitations." But these cases are not helpful to the City's argument for several reasons. First, Karantsalis does not allege that he suffers either in fact or in effect from a "second disease," itself a phrase that has no reference to the </w:t>
      </w:r>
      <w:r>
        <w:rPr>
          <w:rFonts w:ascii="Arial" w:eastAsia="Arial" w:hAnsi="Arial" w:cs="Arial"/>
          <w:i/>
          <w:color w:val="000000"/>
          <w:sz w:val="20"/>
        </w:rPr>
        <w:t>federal law</w:t>
      </w:r>
      <w:r>
        <w:rPr>
          <w:rFonts w:ascii="Arial" w:eastAsia="Arial" w:hAnsi="Arial" w:cs="Arial"/>
          <w:color w:val="000000"/>
          <w:sz w:val="20"/>
        </w:rPr>
        <w:t xml:space="preserve"> with which this case is concerned. Second, all the cases deal with personal injury claims. But a lawsuit filed under the ADA is a fundamentally different type of claim from any personal injury lawsuit. The function of Title II is to ensure the accessibility of public services for disabled people. It naturally follows then that a person would not suffer an injury (and therefore not have standing to sue) in a Title II ADA-access case unless they were unable to access a public service because of their disability. This is different from a personal injury case where the defendant allegedly causes the original injury that perhaps later progresses. Here, the injury is not Karantsalis's MS diagnosis itself; the injury is his inability to readily access the City's facilities and the resulting denial of the benefits of the City's public services [**16]  therein, which did not occur until 2017. His ADA cause of action for being denied the City's services by reason of his disability did not accrue until 2017. Third, and in any event, none of the City's cited cases involve the ADA or are binding precedent.</w:t>
      </w:r>
    </w:p>
    <w:p w:rsidR="00022B47" w:rsidRDefault="00000000">
      <w:pPr>
        <w:pStyle w:val="Normal36"/>
        <w:widowControl w:val="0"/>
        <w:spacing w:before="200" w:line="260" w:lineRule="atLeast"/>
        <w:jc w:val="both"/>
      </w:pPr>
      <w:bookmarkStart w:id="6042" w:name="Bookmark_para_29_18"/>
      <w:bookmarkStart w:id="6043" w:name="Bookmark_I643S2VF2HM5YN0010000400"/>
      <w:bookmarkEnd w:id="6042"/>
      <w:bookmarkEnd w:id="6043"/>
      <w:r>
        <w:rPr>
          <w:rFonts w:ascii="Arial" w:eastAsia="Arial" w:hAnsi="Arial" w:cs="Arial"/>
          <w:color w:val="000000"/>
          <w:sz w:val="20"/>
        </w:rPr>
        <w:t xml:space="preserve">Revealing a problematic underpinning of its argument, the City argues that in </w:t>
      </w:r>
      <w:r>
        <w:rPr>
          <w:rFonts w:ascii="Arial" w:eastAsia="Arial" w:hAnsi="Arial" w:cs="Arial"/>
          <w:i/>
          <w:color w:val="000000"/>
          <w:sz w:val="20"/>
        </w:rPr>
        <w:t>Chardon v. Fernandez</w:t>
      </w:r>
      <w:r>
        <w:rPr>
          <w:rFonts w:ascii="Arial" w:eastAsia="Arial" w:hAnsi="Arial" w:cs="Arial"/>
          <w:color w:val="000000"/>
          <w:sz w:val="20"/>
        </w:rPr>
        <w:t xml:space="preserve">, the Supreme Court held that to determine the accrual date of a discrimination claim, a court must focus on when the discriminatory act occurred, not when the effect of that act became painful. </w:t>
      </w:r>
      <w:bookmarkStart w:id="6044" w:name="Bookmark_I643S2VF2HM5YM0050000400"/>
      <w:bookmarkEnd w:id="6044"/>
      <w:r>
        <w:rPr>
          <w:rFonts w:ascii="Arial" w:eastAsia="Arial" w:hAnsi="Arial" w:cs="Arial"/>
          <w:color w:val="000000"/>
          <w:sz w:val="20"/>
        </w:rPr>
        <w:t>454 U.S. 6, 8, 102 S. Ct. 28, 70 L. Ed. 2d 6 (1981). But this misses the point here. Karantsalis argues exactly that the discriminatory act itself—the denial of the benefits of the City's services—occurred in 2017 because this is when he personally no longer had ready access to and use of the City's services and programs due to his advanced mobility impairment. Moreover, his current suit even involves some facilities that he did not include under his 2008 case and some facilities that were altered as late as 2016.</w:t>
      </w:r>
    </w:p>
    <w:p w:rsidR="00022B47" w:rsidRDefault="00000000">
      <w:pPr>
        <w:pStyle w:val="Normal36"/>
        <w:widowControl w:val="0"/>
        <w:spacing w:before="120" w:line="260" w:lineRule="atLeast"/>
      </w:pPr>
      <w:r>
        <w:rPr>
          <w:rFonts w:ascii="Arial" w:eastAsia="Arial" w:hAnsi="Arial" w:cs="Arial"/>
          <w:color w:val="000000"/>
          <w:sz w:val="20"/>
        </w:rPr>
        <w:t>C.</w:t>
      </w:r>
    </w:p>
    <w:p w:rsidR="00022B47" w:rsidRDefault="00000000">
      <w:pPr>
        <w:pStyle w:val="Normal36"/>
        <w:widowControl w:val="0"/>
        <w:spacing w:before="200" w:line="260" w:lineRule="atLeast"/>
        <w:jc w:val="both"/>
      </w:pPr>
      <w:bookmarkStart w:id="6045" w:name="Bookmark_para_30_17"/>
      <w:bookmarkEnd w:id="6045"/>
      <w:r>
        <w:rPr>
          <w:rFonts w:ascii="Arial" w:eastAsia="Arial" w:hAnsi="Arial" w:cs="Arial"/>
          <w:color w:val="000000"/>
          <w:sz w:val="20"/>
        </w:rPr>
        <w:t xml:space="preserve">In finding Karantsalis's suit to be time-barred, the district court improperly assessed when Karantsalis's injury occurred. The district court erroneously focused on the timing of Karantsalis's [**17]  </w:t>
      </w:r>
      <w:r>
        <w:rPr>
          <w:rFonts w:ascii="Arial" w:eastAsia="Arial" w:hAnsi="Arial" w:cs="Arial"/>
          <w:i/>
          <w:color w:val="000000"/>
          <w:sz w:val="20"/>
        </w:rPr>
        <w:t>diagnosis</w:t>
      </w:r>
      <w:r>
        <w:rPr>
          <w:rFonts w:ascii="Arial" w:eastAsia="Arial" w:hAnsi="Arial" w:cs="Arial"/>
          <w:color w:val="000000"/>
          <w:sz w:val="20"/>
        </w:rPr>
        <w:t xml:space="preserve"> instead of Karantsalis's </w:t>
      </w:r>
      <w:r>
        <w:rPr>
          <w:rFonts w:ascii="Arial" w:eastAsia="Arial" w:hAnsi="Arial" w:cs="Arial"/>
          <w:i/>
          <w:color w:val="000000"/>
          <w:sz w:val="20"/>
        </w:rPr>
        <w:t>injury</w:t>
      </w:r>
      <w:r>
        <w:rPr>
          <w:rFonts w:ascii="Arial" w:eastAsia="Arial" w:hAnsi="Arial" w:cs="Arial"/>
          <w:color w:val="000000"/>
          <w:sz w:val="20"/>
        </w:rPr>
        <w:t xml:space="preserve">. Although  [*1325]  Karantsalis had MS in both 2008 and 2017, the district court failed to establish that he was similarly </w:t>
      </w:r>
      <w:r>
        <w:rPr>
          <w:rFonts w:ascii="Arial" w:eastAsia="Arial" w:hAnsi="Arial" w:cs="Arial"/>
          <w:i/>
          <w:color w:val="000000"/>
          <w:sz w:val="20"/>
        </w:rPr>
        <w:t>injured</w:t>
      </w:r>
      <w:r>
        <w:rPr>
          <w:rFonts w:ascii="Arial" w:eastAsia="Arial" w:hAnsi="Arial" w:cs="Arial"/>
          <w:color w:val="000000"/>
          <w:sz w:val="20"/>
        </w:rPr>
        <w:t xml:space="preserve"> in both 2008 and 2017 before finding this suit time-barred. Because Karantsalis actually experienced his injury—the inability to access public facilities and the resulting denial of the benefits of public services—only in 2017, his resulting ADA claim against the City was not time-barred when he filed the complaint in this case in 2019.</w:t>
      </w:r>
    </w:p>
    <w:p w:rsidR="00022B47" w:rsidRDefault="00000000">
      <w:pPr>
        <w:pStyle w:val="Normal36"/>
        <w:widowControl w:val="0"/>
        <w:spacing w:before="200" w:line="260" w:lineRule="atLeast"/>
        <w:jc w:val="both"/>
      </w:pPr>
      <w:bookmarkStart w:id="6046" w:name="Bookmark_para_31_17"/>
      <w:bookmarkStart w:id="6047" w:name="Bookmark_I5VCKR5NHRV000057JK0003J"/>
      <w:bookmarkStart w:id="6048" w:name="Bookmark_I643S2VF2HM5YN0030000400"/>
      <w:bookmarkEnd w:id="6046"/>
      <w:bookmarkEnd w:id="6047"/>
      <w:bookmarkEnd w:id="6048"/>
      <w:r>
        <w:rPr>
          <w:rFonts w:ascii="Arial" w:eastAsia="Arial" w:hAnsi="Arial" w:cs="Arial"/>
          <w:color w:val="000000"/>
          <w:sz w:val="20"/>
        </w:rPr>
        <w:t xml:space="preserve">Our analysis above is consistent with the Fifth Circuit's reasoning in </w:t>
      </w:r>
      <w:bookmarkStart w:id="6049" w:name="Bookmark_I643S2VF2HM5YN0020000400"/>
      <w:bookmarkEnd w:id="6049"/>
      <w:r>
        <w:rPr>
          <w:rFonts w:ascii="Arial" w:eastAsia="Arial" w:hAnsi="Arial" w:cs="Arial"/>
          <w:i/>
          <w:color w:val="000000"/>
          <w:sz w:val="20"/>
        </w:rPr>
        <w:t>Frame v. City of Arlington</w:t>
      </w:r>
      <w:bookmarkStart w:id="6050" w:name="Bookmark_I643S2VF2D6N6X0020000400"/>
      <w:bookmarkEnd w:id="6050"/>
      <w:r>
        <w:rPr>
          <w:rFonts w:ascii="Arial" w:eastAsia="Arial" w:hAnsi="Arial" w:cs="Arial"/>
          <w:color w:val="000000"/>
          <w:sz w:val="20"/>
        </w:rPr>
        <w:t xml:space="preserve">, an ADA case wherein the court determined that a cause of action does not accrue until "a disabled individual has sufficient information to know that he has been denied the benefits of a service, program, or activity of a public entity." </w:t>
      </w:r>
      <w:bookmarkStart w:id="6051" w:name="Bookmark_I643S2VF2HM5YN0040000400"/>
      <w:bookmarkEnd w:id="6051"/>
      <w:r>
        <w:rPr>
          <w:rFonts w:ascii="Arial" w:eastAsia="Arial" w:hAnsi="Arial" w:cs="Arial"/>
          <w:color w:val="000000"/>
          <w:sz w:val="20"/>
        </w:rPr>
        <w:t xml:space="preserve">657 F.3d at 238. </w:t>
      </w:r>
      <w:bookmarkStart w:id="6052" w:name="Bookmark_LNHNREFclscc9_19"/>
      <w:bookmarkEnd w:id="6052"/>
      <w:r>
        <w:rPr>
          <w:rFonts w:ascii="Arial" w:eastAsia="Arial" w:hAnsi="Arial" w:cs="Arial"/>
          <w:color w:val="000000"/>
          <w:sz w:val="20"/>
        </w:rPr>
        <w:t xml:space="preserve">The "accrual date dovetails with the plaintiffs' standing to sue"—that is, a statute of limitations should not begin to run until a plaintiff was actually injured and has standing. </w:t>
      </w:r>
      <w:bookmarkStart w:id="6053" w:name="Bookmark_I643S2VF2D6N6X0020000400_2"/>
      <w:bookmarkEnd w:id="6053"/>
      <w:r>
        <w:rPr>
          <w:rFonts w:ascii="Arial" w:eastAsia="Arial" w:hAnsi="Arial" w:cs="Arial"/>
          <w:i/>
          <w:color w:val="000000"/>
          <w:sz w:val="20"/>
        </w:rPr>
        <w:t xml:space="preserve">Id.; see </w:t>
      </w:r>
      <w:bookmarkStart w:id="6054" w:name="Bookmark_I643S2VF2D6N6X0010000400"/>
      <w:bookmarkEnd w:id="6054"/>
      <w:r>
        <w:rPr>
          <w:rFonts w:ascii="Arial" w:eastAsia="Arial" w:hAnsi="Arial" w:cs="Arial"/>
          <w:i/>
          <w:color w:val="000000"/>
          <w:sz w:val="20"/>
        </w:rPr>
        <w:t>Disabled in Action of Pa.</w:t>
      </w:r>
      <w:r>
        <w:rPr>
          <w:rFonts w:ascii="Arial" w:eastAsia="Arial" w:hAnsi="Arial" w:cs="Arial"/>
          <w:color w:val="000000"/>
          <w:sz w:val="20"/>
        </w:rPr>
        <w:t xml:space="preserve">, 539 F.3d at 214 (explaining that "the discovery rule only </w:t>
      </w:r>
      <w:r>
        <w:rPr>
          <w:rFonts w:ascii="Arial" w:eastAsia="Arial" w:hAnsi="Arial" w:cs="Arial"/>
          <w:i/>
          <w:color w:val="000000"/>
          <w:sz w:val="20"/>
        </w:rPr>
        <w:t>postpones</w:t>
      </w:r>
      <w:r>
        <w:rPr>
          <w:rFonts w:ascii="Arial" w:eastAsia="Arial" w:hAnsi="Arial" w:cs="Arial"/>
          <w:color w:val="000000"/>
          <w:sz w:val="20"/>
        </w:rPr>
        <w:t xml:space="preserve"> the accrual date of a claim," and "does not </w:t>
      </w:r>
      <w:r>
        <w:rPr>
          <w:rFonts w:ascii="Arial" w:eastAsia="Arial" w:hAnsi="Arial" w:cs="Arial"/>
          <w:i/>
          <w:color w:val="000000"/>
          <w:sz w:val="20"/>
        </w:rPr>
        <w:t>accelerate</w:t>
      </w:r>
      <w:r>
        <w:rPr>
          <w:rFonts w:ascii="Arial" w:eastAsia="Arial" w:hAnsi="Arial" w:cs="Arial"/>
          <w:color w:val="000000"/>
          <w:sz w:val="20"/>
        </w:rPr>
        <w:t xml:space="preserve"> the accrual date when the plaintiff becomes aware that he will suffer injury in the future" [**18]  (internal quotation marks omitted and alterations adopted)).</w:t>
      </w:r>
    </w:p>
    <w:p w:rsidR="00022B47" w:rsidRDefault="00000000">
      <w:pPr>
        <w:pStyle w:val="Normal36"/>
        <w:widowControl w:val="0"/>
        <w:spacing w:before="200" w:line="260" w:lineRule="atLeast"/>
        <w:jc w:val="both"/>
      </w:pPr>
      <w:bookmarkStart w:id="6055" w:name="Bookmark_para_32_17"/>
      <w:bookmarkStart w:id="6056" w:name="Bookmark_I5VCKR5NG8H000057JK0003H"/>
      <w:bookmarkStart w:id="6057" w:name="Bookmark_I643S2VF2D6N6X0040000400"/>
      <w:bookmarkEnd w:id="6055"/>
      <w:bookmarkEnd w:id="6056"/>
      <w:bookmarkEnd w:id="6057"/>
      <w:r>
        <w:rPr>
          <w:rFonts w:ascii="Arial" w:eastAsia="Arial" w:hAnsi="Arial" w:cs="Arial"/>
          <w:color w:val="000000"/>
          <w:sz w:val="20"/>
        </w:rPr>
        <w:t xml:space="preserve">Similarly, our Circuit has held that </w:t>
      </w:r>
      <w:bookmarkStart w:id="6058" w:name="Bookmark_LNHNREFclscc10_17"/>
      <w:bookmarkEnd w:id="6058"/>
      <w:r>
        <w:rPr>
          <w:rFonts w:ascii="Arial" w:eastAsia="Arial" w:hAnsi="Arial" w:cs="Arial"/>
          <w:color w:val="000000"/>
          <w:sz w:val="20"/>
        </w:rPr>
        <w:t xml:space="preserve">Article III standing for injunctive relief in an ADA case requires "(1) injury-in-fact; (2) a causal connection between the asserted injury-in-fact and the challenged action of the defendant; and (3) that the injury will be redressed by a favorable decision." </w:t>
      </w:r>
      <w:bookmarkStart w:id="6059" w:name="Bookmark_I643S2VF2D6N6X0030000400"/>
      <w:bookmarkEnd w:id="6059"/>
      <w:r>
        <w:rPr>
          <w:rFonts w:ascii="Arial" w:eastAsia="Arial" w:hAnsi="Arial" w:cs="Arial"/>
          <w:i/>
          <w:color w:val="000000"/>
          <w:sz w:val="20"/>
        </w:rPr>
        <w:t>Houston v. Marod Supermarkets, Inc.</w:t>
      </w:r>
      <w:r>
        <w:rPr>
          <w:rFonts w:ascii="Arial" w:eastAsia="Arial" w:hAnsi="Arial" w:cs="Arial"/>
          <w:color w:val="000000"/>
          <w:sz w:val="20"/>
        </w:rPr>
        <w:t>, 733 F.3d 1323, 1328 (11th Cir. 2013) (internal quotation marks omitted)). As explained above, Karantsalis was not actually injured until at least 2017 when he could no longer access the public services in the City's ADA non-compliant facilities.</w:t>
      </w:r>
      <w:r>
        <w:rPr>
          <w:rFonts w:ascii="Arial" w:eastAsia="Arial" w:hAnsi="Arial" w:cs="Arial"/>
          <w:vertAlign w:val="superscript"/>
        </w:rPr>
        <w:footnoteReference w:customMarkFollows="1" w:id="169"/>
        <w:t>7</w:t>
      </w:r>
    </w:p>
    <w:p w:rsidR="00022B47" w:rsidRDefault="00000000">
      <w:pPr>
        <w:pStyle w:val="Normal36"/>
        <w:widowControl w:val="0"/>
        <w:spacing w:before="200" w:line="260" w:lineRule="atLeast"/>
        <w:jc w:val="both"/>
      </w:pPr>
      <w:bookmarkStart w:id="6064" w:name="Bookmark_para_33_16"/>
      <w:bookmarkEnd w:id="6064"/>
      <w:r>
        <w:rPr>
          <w:rFonts w:ascii="Arial" w:eastAsia="Arial" w:hAnsi="Arial" w:cs="Arial"/>
          <w:color w:val="000000"/>
          <w:sz w:val="20"/>
        </w:rPr>
        <w:t>If the City's position were correct, anyone diagnosed with a progressive illness would have to assume her condition would progress to the worst possible outcome at some point down the road and sue within the statutory period from the time the person was diagnosed with the condition—even if she showed no symptoms at the time. Not only would she lack standing at that time, but the law does not require the disabled to foresee the future.</w:t>
      </w:r>
    </w:p>
    <w:p w:rsidR="00022B47" w:rsidRDefault="00000000">
      <w:pPr>
        <w:pStyle w:val="Normal36"/>
        <w:widowControl w:val="0"/>
        <w:spacing w:before="120" w:line="260" w:lineRule="atLeast"/>
      </w:pPr>
      <w:r>
        <w:rPr>
          <w:rFonts w:ascii="Arial" w:eastAsia="Arial" w:hAnsi="Arial" w:cs="Arial"/>
          <w:color w:val="000000"/>
          <w:sz w:val="20"/>
        </w:rPr>
        <w:t>IV.</w:t>
      </w:r>
    </w:p>
    <w:p w:rsidR="00022B47" w:rsidRDefault="00000000">
      <w:pPr>
        <w:pStyle w:val="Normal36"/>
        <w:widowControl w:val="0"/>
        <w:spacing w:before="200" w:line="260" w:lineRule="atLeast"/>
        <w:jc w:val="both"/>
      </w:pPr>
      <w:bookmarkStart w:id="6065" w:name="Bookmark_para_34_16"/>
      <w:bookmarkStart w:id="6066" w:name="Bookmark_I643S2VF28T49B0030000400"/>
      <w:bookmarkStart w:id="6067" w:name="Bookmark_I643S2VF28T49B0050000400"/>
      <w:bookmarkEnd w:id="6065"/>
      <w:bookmarkEnd w:id="6066"/>
      <w:bookmarkEnd w:id="6067"/>
      <w:r>
        <w:rPr>
          <w:rFonts w:ascii="Arial" w:eastAsia="Arial" w:hAnsi="Arial" w:cs="Arial"/>
          <w:color w:val="000000"/>
          <w:sz w:val="20"/>
        </w:rPr>
        <w:t xml:space="preserve">After a thorough review of the record, we conclude that the district court erred in granting the City's motion to dismiss. </w:t>
      </w:r>
      <w:r>
        <w:rPr>
          <w:rFonts w:ascii="Arial" w:eastAsia="Arial" w:hAnsi="Arial" w:cs="Arial"/>
          <w:i/>
          <w:color w:val="000000"/>
          <w:sz w:val="20"/>
        </w:rPr>
        <w:t xml:space="preserve">See </w:t>
      </w:r>
      <w:bookmarkStart w:id="6068" w:name="Bookmark_I643S2VF28T49B0020000400"/>
      <w:bookmarkEnd w:id="6068"/>
      <w:r>
        <w:rPr>
          <w:rFonts w:ascii="Arial" w:eastAsia="Arial" w:hAnsi="Arial" w:cs="Arial"/>
          <w:i/>
          <w:color w:val="000000"/>
          <w:sz w:val="20"/>
        </w:rPr>
        <w:t>Cochise Consultancy</w:t>
      </w:r>
      <w:r>
        <w:rPr>
          <w:rFonts w:ascii="Arial" w:eastAsia="Arial" w:hAnsi="Arial" w:cs="Arial"/>
          <w:color w:val="000000"/>
          <w:sz w:val="20"/>
        </w:rPr>
        <w:t xml:space="preserve">, 887 F.3d at 1085. This is because, taking the facts in the light most favorable to Karantsalis, [**19]  in which his injuries started in 2017 instead of 2008, he brought his claim forward within the relevant statute of limitations and thus "raise[d] a right to relief above the  [*1326]  speculative level" at that time. </w:t>
      </w:r>
      <w:bookmarkStart w:id="6069" w:name="Bookmark_I643S2VF28T49B0040000400"/>
      <w:bookmarkEnd w:id="6069"/>
      <w:r>
        <w:rPr>
          <w:rFonts w:ascii="Arial" w:eastAsia="Arial" w:hAnsi="Arial" w:cs="Arial"/>
          <w:i/>
          <w:color w:val="000000"/>
          <w:sz w:val="20"/>
        </w:rPr>
        <w:t>Twombly</w:t>
      </w:r>
      <w:r>
        <w:rPr>
          <w:rFonts w:ascii="Arial" w:eastAsia="Arial" w:hAnsi="Arial" w:cs="Arial"/>
          <w:color w:val="000000"/>
          <w:sz w:val="20"/>
        </w:rPr>
        <w:t>, 550 U.S. at 555.</w:t>
      </w:r>
    </w:p>
    <w:p w:rsidR="00022B47" w:rsidRDefault="00000000">
      <w:pPr>
        <w:pStyle w:val="Normal36"/>
        <w:widowControl w:val="0"/>
        <w:spacing w:before="200" w:line="260" w:lineRule="atLeast"/>
        <w:jc w:val="both"/>
      </w:pPr>
      <w:bookmarkStart w:id="6070" w:name="Bookmark_para_35_16"/>
      <w:bookmarkEnd w:id="6070"/>
      <w:r>
        <w:rPr>
          <w:rFonts w:ascii="Arial" w:eastAsia="Arial" w:hAnsi="Arial" w:cs="Arial"/>
          <w:color w:val="000000"/>
          <w:sz w:val="20"/>
        </w:rPr>
        <w:t>We reverse and remand for further proceedings consistent with this opinion.</w:t>
      </w:r>
    </w:p>
    <w:p w:rsidR="00022B47" w:rsidRDefault="00000000">
      <w:pPr>
        <w:pStyle w:val="Normal36"/>
        <w:widowControl w:val="0"/>
        <w:spacing w:before="200" w:line="260" w:lineRule="atLeast"/>
        <w:jc w:val="both"/>
      </w:pPr>
      <w:bookmarkStart w:id="6071" w:name="Bookmark_para_36_16"/>
      <w:bookmarkEnd w:id="6071"/>
      <w:r>
        <w:rPr>
          <w:rFonts w:ascii="Arial" w:eastAsia="Arial" w:hAnsi="Arial" w:cs="Arial"/>
          <w:color w:val="000000"/>
          <w:sz w:val="20"/>
        </w:rPr>
        <w:t>REVERSED AND REMANDED.</w:t>
      </w:r>
    </w:p>
    <w:p w:rsidR="00022B47" w:rsidRDefault="00022B47">
      <w:pPr>
        <w:pStyle w:val="Normal36"/>
      </w:pPr>
    </w:p>
    <w:p w:rsidR="00022B47" w:rsidRDefault="00000000">
      <w:pPr>
        <w:pStyle w:val="Normal36"/>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3606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212394609"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0A0232" id="Line 78"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37"/>
        <w:sectPr w:rsidR="00022B47">
          <w:headerReference w:type="even" r:id="rId229"/>
          <w:headerReference w:type="default" r:id="rId230"/>
          <w:footerReference w:type="even" r:id="rId231"/>
          <w:footerReference w:type="default" r:id="rId232"/>
          <w:headerReference w:type="first" r:id="rId233"/>
          <w:footerReference w:type="first" r:id="rId234"/>
          <w:pgSz w:w="12240" w:h="15840"/>
          <w:pgMar w:top="840" w:right="1000" w:bottom="840" w:left="1000" w:header="400" w:footer="400" w:gutter="0"/>
          <w:cols w:space="720"/>
          <w:titlePg/>
        </w:sectPr>
      </w:pPr>
    </w:p>
    <w:p w:rsidR="00022B47" w:rsidRDefault="00022B47">
      <w:pPr>
        <w:pStyle w:val="Normal37"/>
      </w:pPr>
    </w:p>
    <w:p w:rsidR="00022B47" w:rsidRDefault="00000000">
      <w:pPr>
        <w:pStyle w:val="Heading136"/>
        <w:keepNext w:val="0"/>
        <w:widowControl w:val="0"/>
        <w:spacing w:after="200" w:line="340" w:lineRule="atLeast"/>
        <w:jc w:val="center"/>
      </w:pPr>
      <w:r>
        <w:rPr>
          <w:rFonts w:eastAsia="Arial"/>
          <w:color w:val="000000"/>
          <w:sz w:val="28"/>
        </w:rPr>
        <w:t>Whitaker v. 370 N. Canon Drive. LP</w:t>
      </w:r>
    </w:p>
    <w:p w:rsidR="00022B47" w:rsidRDefault="00000000">
      <w:pPr>
        <w:pStyle w:val="Normal37"/>
        <w:widowControl w:val="0"/>
        <w:spacing w:before="120" w:line="260" w:lineRule="atLeast"/>
        <w:jc w:val="center"/>
      </w:pPr>
      <w:r>
        <w:rPr>
          <w:rFonts w:ascii="Arial" w:eastAsia="Arial" w:hAnsi="Arial" w:cs="Arial"/>
          <w:color w:val="000000"/>
          <w:sz w:val="20"/>
        </w:rPr>
        <w:t>United States Court of Appeals for the Ninth Circuit</w:t>
      </w:r>
    </w:p>
    <w:p w:rsidR="00022B47" w:rsidRDefault="00000000">
      <w:pPr>
        <w:pStyle w:val="Normal37"/>
        <w:widowControl w:val="0"/>
        <w:spacing w:before="120" w:line="260" w:lineRule="atLeast"/>
        <w:jc w:val="center"/>
      </w:pPr>
      <w:r>
        <w:rPr>
          <w:rFonts w:ascii="Arial" w:eastAsia="Arial" w:hAnsi="Arial" w:cs="Arial"/>
          <w:color w:val="000000"/>
          <w:sz w:val="20"/>
        </w:rPr>
        <w:t>October 18, 2021</w:t>
      </w:r>
      <w:r>
        <w:rPr>
          <w:rFonts w:ascii="Arial" w:eastAsia="Arial" w:hAnsi="Arial" w:cs="Arial"/>
          <w:vertAlign w:val="superscript"/>
        </w:rPr>
        <w:footnoteReference w:customMarkFollows="1" w:id="170"/>
        <w:t>**</w:t>
      </w:r>
      <w:r>
        <w:rPr>
          <w:rFonts w:ascii="Arial" w:eastAsia="Arial" w:hAnsi="Arial" w:cs="Arial"/>
          <w:color w:val="000000"/>
          <w:sz w:val="20"/>
        </w:rPr>
        <w:t>, Submitted, Pasadena, California; October 20, 2021, Filed</w:t>
      </w:r>
    </w:p>
    <w:p w:rsidR="00022B47" w:rsidRDefault="00000000">
      <w:pPr>
        <w:pStyle w:val="Normal37"/>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20-56068</w:t>
      </w:r>
    </w:p>
    <w:p w:rsidR="00022B47" w:rsidRDefault="00022B47">
      <w:pPr>
        <w:pStyle w:val="Normal37"/>
        <w:widowControl w:val="0"/>
        <w:spacing w:line="240" w:lineRule="atLeast"/>
        <w:jc w:val="both"/>
      </w:pPr>
      <w:bookmarkStart w:id="6073" w:name="Bookmark_38"/>
      <w:bookmarkEnd w:id="6073"/>
    </w:p>
    <w:p w:rsidR="00022B47" w:rsidRDefault="00000000">
      <w:pPr>
        <w:pStyle w:val="Normal37"/>
        <w:widowControl w:val="0"/>
        <w:spacing w:before="200" w:line="240" w:lineRule="atLeast"/>
      </w:pPr>
      <w:bookmarkStart w:id="6074" w:name="Reporter_36"/>
      <w:bookmarkEnd w:id="6074"/>
      <w:r>
        <w:rPr>
          <w:rFonts w:ascii="Arial" w:eastAsia="Arial" w:hAnsi="Arial" w:cs="Arial"/>
          <w:b/>
          <w:color w:val="000000"/>
          <w:sz w:val="18"/>
        </w:rPr>
        <w:t>Reporter</w:t>
      </w:r>
    </w:p>
    <w:p w:rsidR="00022B47" w:rsidRDefault="00000000">
      <w:pPr>
        <w:pStyle w:val="Normal37"/>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2021 U.S. App. LEXIS 31535 *; 2021 WL 4892168</w:t>
      </w:r>
    </w:p>
    <w:p w:rsidR="00022B47" w:rsidRDefault="00000000">
      <w:pPr>
        <w:pStyle w:val="Normal37"/>
        <w:widowControl w:val="0"/>
        <w:spacing w:before="120" w:line="260" w:lineRule="atLeast"/>
      </w:pPr>
      <w:r>
        <w:rPr>
          <w:rFonts w:ascii="Arial" w:eastAsia="Arial" w:hAnsi="Arial" w:cs="Arial"/>
          <w:color w:val="000000"/>
          <w:sz w:val="20"/>
        </w:rPr>
        <w:t>BRIAN WHITAKER, Appellant, v. 370 NORTH CANON DRIVE, LP; TASHMAN MANAGEMENT, LLC; and ALO, LLC, Appellees.</w:t>
      </w:r>
    </w:p>
    <w:p w:rsidR="00022B47" w:rsidRDefault="00000000">
      <w:pPr>
        <w:pStyle w:val="Normal37"/>
        <w:widowControl w:val="0"/>
        <w:spacing w:before="240" w:line="260" w:lineRule="atLeast"/>
        <w:jc w:val="both"/>
      </w:pPr>
      <w:bookmarkStart w:id="6075" w:name="Notice_19"/>
      <w:bookmarkEnd w:id="6075"/>
      <w:r>
        <w:rPr>
          <w:rFonts w:ascii="Arial" w:eastAsia="Arial" w:hAnsi="Arial" w:cs="Arial"/>
          <w:b/>
          <w:color w:val="000000"/>
          <w:sz w:val="20"/>
        </w:rPr>
        <w:t>Notice:</w:t>
      </w:r>
      <w:r>
        <w:rPr>
          <w:rFonts w:ascii="Arial" w:eastAsia="Arial" w:hAnsi="Arial" w:cs="Arial"/>
          <w:color w:val="000000"/>
          <w:sz w:val="20"/>
        </w:rPr>
        <w:t> </w:t>
      </w:r>
      <w:bookmarkStart w:id="6076" w:name="Bookmark_para_1_36"/>
      <w:bookmarkEnd w:id="6076"/>
      <w:r>
        <w:rPr>
          <w:rFonts w:ascii="Arial" w:eastAsia="Arial" w:hAnsi="Arial" w:cs="Arial"/>
          <w:color w:val="000000"/>
          <w:sz w:val="20"/>
        </w:rPr>
        <w:t>PLEASE REFER TO FEDERAL RULES OF APPELLATE PROCEDURE RULE 32.1 GOVERNING THE CITATION TO UNPUBLISHED OPINIONS.</w:t>
      </w:r>
    </w:p>
    <w:p w:rsidR="00022B47" w:rsidRDefault="00000000">
      <w:pPr>
        <w:pStyle w:val="Normal37"/>
        <w:widowControl w:val="0"/>
        <w:spacing w:before="240" w:line="260" w:lineRule="atLeast"/>
        <w:jc w:val="both"/>
      </w:pPr>
      <w:bookmarkStart w:id="6077" w:name="Prior_History_36"/>
      <w:bookmarkEnd w:id="6077"/>
      <w:r>
        <w:rPr>
          <w:rFonts w:ascii="Arial" w:eastAsia="Arial" w:hAnsi="Arial" w:cs="Arial"/>
          <w:b/>
          <w:color w:val="000000"/>
          <w:sz w:val="20"/>
        </w:rPr>
        <w:t>Prior History:</w:t>
      </w:r>
      <w:r>
        <w:rPr>
          <w:rFonts w:ascii="Arial" w:eastAsia="Arial" w:hAnsi="Arial" w:cs="Arial"/>
          <w:color w:val="000000"/>
          <w:sz w:val="20"/>
        </w:rPr>
        <w:t> </w:t>
      </w:r>
      <w:bookmarkStart w:id="6078" w:name="Bookmark_para_2_36"/>
      <w:bookmarkEnd w:id="6078"/>
      <w:r>
        <w:rPr>
          <w:rFonts w:ascii="Arial" w:eastAsia="Arial" w:hAnsi="Arial" w:cs="Arial"/>
          <w:color w:val="000000"/>
          <w:sz w:val="20"/>
        </w:rPr>
        <w:t> [*1] Appeal from the United States District Court for the Central District of California. D.C. No. 2:19-cv-02918-CJC-GJS. Cormac J. Carney, District Judge, Presiding.</w:t>
      </w:r>
    </w:p>
    <w:p w:rsidR="00022B47" w:rsidRDefault="00000000">
      <w:pPr>
        <w:pStyle w:val="Normal37"/>
        <w:widowControl w:val="0"/>
        <w:spacing w:before="120" w:line="260" w:lineRule="atLeast"/>
      </w:pPr>
      <w:r>
        <w:rPr>
          <w:rFonts w:ascii="Arial" w:eastAsia="Arial" w:hAnsi="Arial" w:cs="Arial"/>
          <w:color w:val="000000"/>
          <w:sz w:val="20"/>
        </w:rPr>
        <w:t>Whitaker v. 370 N. Canon Drive, LP, 2020 U.S. Dist. LEXIS 195980 (C.D. Cal., Oct. 8, 2020)</w:t>
      </w:r>
    </w:p>
    <w:p w:rsidR="00022B47" w:rsidRDefault="00000000">
      <w:pPr>
        <w:pStyle w:val="Normal37"/>
        <w:widowControl w:val="0"/>
        <w:spacing w:before="240" w:line="260" w:lineRule="atLeast"/>
        <w:jc w:val="both"/>
      </w:pPr>
      <w:bookmarkStart w:id="6079" w:name="Disposition_7"/>
      <w:bookmarkEnd w:id="6079"/>
      <w:r>
        <w:rPr>
          <w:rFonts w:ascii="Arial" w:eastAsia="Arial" w:hAnsi="Arial" w:cs="Arial"/>
          <w:b/>
          <w:color w:val="000000"/>
          <w:sz w:val="20"/>
        </w:rPr>
        <w:t>Disposition:</w:t>
      </w:r>
      <w:r>
        <w:rPr>
          <w:rFonts w:ascii="Arial" w:eastAsia="Arial" w:hAnsi="Arial" w:cs="Arial"/>
          <w:color w:val="000000"/>
          <w:sz w:val="20"/>
        </w:rPr>
        <w:t> </w:t>
      </w:r>
      <w:bookmarkStart w:id="6080" w:name="Bookmark_clspara_1_1"/>
      <w:bookmarkEnd w:id="6080"/>
      <w:r>
        <w:rPr>
          <w:rFonts w:ascii="Arial" w:eastAsia="Arial" w:hAnsi="Arial" w:cs="Arial"/>
          <w:color w:val="000000"/>
          <w:sz w:val="20"/>
        </w:rPr>
        <w:t>AFFIRMED.</w:t>
      </w:r>
    </w:p>
    <w:p w:rsidR="00022B47" w:rsidRDefault="00000000">
      <w:pPr>
        <w:pStyle w:val="Normal37"/>
        <w:widowControl w:val="0"/>
        <w:spacing w:before="240" w:line="260" w:lineRule="atLeast"/>
      </w:pPr>
      <w:bookmarkStart w:id="6081" w:name="Counsel_36"/>
      <w:bookmarkEnd w:id="6081"/>
      <w:r>
        <w:rPr>
          <w:rFonts w:ascii="Arial" w:eastAsia="Arial" w:hAnsi="Arial" w:cs="Arial"/>
          <w:b/>
          <w:color w:val="000000"/>
          <w:sz w:val="20"/>
        </w:rPr>
        <w:t>Counsel:</w:t>
      </w:r>
      <w:r>
        <w:rPr>
          <w:rFonts w:ascii="Arial" w:eastAsia="Arial" w:hAnsi="Arial" w:cs="Arial"/>
          <w:color w:val="000000"/>
          <w:sz w:val="20"/>
        </w:rPr>
        <w:t> For BRIAN WHITAKER, Plaintiff - Appellant: Russell Clive Handy, Esquire, Dennis J. Price, II, Esquire, Mr., Potter Handy, LLP, San Diego, CA.</w:t>
      </w:r>
    </w:p>
    <w:p w:rsidR="00022B47" w:rsidRDefault="00000000">
      <w:pPr>
        <w:pStyle w:val="Normal37"/>
        <w:widowControl w:val="0"/>
        <w:spacing w:before="120" w:line="260" w:lineRule="atLeast"/>
      </w:pPr>
      <w:r>
        <w:rPr>
          <w:rFonts w:ascii="Arial" w:eastAsia="Arial" w:hAnsi="Arial" w:cs="Arial"/>
          <w:color w:val="000000"/>
          <w:sz w:val="20"/>
        </w:rPr>
        <w:t>For 370 NORTH CANON DRIVE, LP, a California Limited Partnership, TASHMAN MANAGEMENT, LLC, a California Limited Liability Company, ALO, LLC, a California Limited Liability Company, Defendants - Appellees: Andrew Patrick Holland, Dinah Ximena Ortiz, Attorney, Thoits Law, Los Altos, CA.</w:t>
      </w:r>
    </w:p>
    <w:p w:rsidR="00022B47" w:rsidRDefault="00000000">
      <w:pPr>
        <w:pStyle w:val="Normal37"/>
        <w:widowControl w:val="0"/>
        <w:spacing w:before="240" w:line="260" w:lineRule="atLeast"/>
      </w:pPr>
      <w:bookmarkStart w:id="6082" w:name="Judges_36"/>
      <w:bookmarkEnd w:id="6082"/>
      <w:r>
        <w:rPr>
          <w:rFonts w:ascii="Arial" w:eastAsia="Arial" w:hAnsi="Arial" w:cs="Arial"/>
          <w:b/>
          <w:color w:val="000000"/>
          <w:sz w:val="20"/>
        </w:rPr>
        <w:t>Judges:</w:t>
      </w:r>
      <w:r>
        <w:rPr>
          <w:rFonts w:ascii="Arial" w:eastAsia="Arial" w:hAnsi="Arial" w:cs="Arial"/>
          <w:color w:val="000000"/>
          <w:sz w:val="20"/>
        </w:rPr>
        <w:t> Before: CALLAHAN and FORREST, Circuit Judges, and AMON,</w:t>
      </w:r>
      <w:r>
        <w:rPr>
          <w:rFonts w:ascii="Arial" w:eastAsia="Arial" w:hAnsi="Arial" w:cs="Arial"/>
          <w:vertAlign w:val="superscript"/>
        </w:rPr>
        <w:footnoteReference w:customMarkFollows="1" w:id="171"/>
        <w:t>***</w:t>
      </w:r>
      <w:r>
        <w:rPr>
          <w:rFonts w:ascii="Arial" w:eastAsia="Arial" w:hAnsi="Arial" w:cs="Arial"/>
          <w:color w:val="000000"/>
          <w:sz w:val="20"/>
        </w:rPr>
        <w:t xml:space="preserve"> District Judge.</w:t>
      </w:r>
    </w:p>
    <w:p w:rsidR="00022B47" w:rsidRDefault="00000000">
      <w:pPr>
        <w:pStyle w:val="Normal37"/>
        <w:keepNext/>
        <w:widowControl w:val="0"/>
        <w:spacing w:before="240" w:line="340" w:lineRule="atLeast"/>
      </w:pPr>
      <w:bookmarkStart w:id="6084" w:name="Opinion_36"/>
      <w:bookmarkEnd w:id="6084"/>
      <w:r>
        <w:rPr>
          <w:rFonts w:ascii="Arial" w:eastAsia="Arial" w:hAnsi="Arial" w:cs="Arial"/>
          <w:b/>
          <w:color w:val="000000"/>
          <w:sz w:val="28"/>
        </w:rPr>
        <w:t>Opinion</w:t>
      </w:r>
    </w:p>
    <w:p w:rsidR="00022B47" w:rsidRDefault="0025213E">
      <w:pPr>
        <w:pStyle w:val="Normal37"/>
        <w:spacing w:line="60" w:lineRule="exact"/>
      </w:pPr>
      <w:r>
        <w:rPr>
          <w:noProof/>
        </w:rPr>
        <mc:AlternateContent>
          <mc:Choice Requires="wps">
            <w:drawing>
              <wp:anchor distT="0" distB="0" distL="114300" distR="114300" simplePos="0" relativeHeight="25173708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627953646"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D311F1" id="Line 79"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37"/>
        <w:spacing w:line="120" w:lineRule="exact"/>
      </w:pPr>
    </w:p>
    <w:p w:rsidR="00022B47" w:rsidRDefault="00000000">
      <w:pPr>
        <w:pStyle w:val="Normal37"/>
        <w:widowControl w:val="0"/>
        <w:spacing w:before="120" w:line="260" w:lineRule="atLeast"/>
      </w:pPr>
      <w:r>
        <w:rPr>
          <w:rFonts w:ascii="Arial" w:eastAsia="Arial" w:hAnsi="Arial" w:cs="Arial"/>
          <w:color w:val="000000"/>
          <w:sz w:val="20"/>
        </w:rPr>
        <w:t>MEMORANDUM</w:t>
      </w:r>
      <w:r>
        <w:rPr>
          <w:rFonts w:ascii="Arial" w:eastAsia="Arial" w:hAnsi="Arial" w:cs="Arial"/>
          <w:vertAlign w:val="superscript"/>
        </w:rPr>
        <w:footnoteReference w:customMarkFollows="1" w:id="172"/>
        <w:t>*</w:t>
      </w:r>
    </w:p>
    <w:p w:rsidR="00022B47" w:rsidRDefault="00000000">
      <w:pPr>
        <w:pStyle w:val="Normal37"/>
        <w:widowControl w:val="0"/>
        <w:spacing w:before="200" w:line="260" w:lineRule="atLeast"/>
        <w:jc w:val="both"/>
      </w:pPr>
      <w:bookmarkStart w:id="6086" w:name="Bookmark_para_3_36"/>
      <w:bookmarkStart w:id="6087" w:name="Bookmark_I63Y2HWM28T4410020000400"/>
      <w:bookmarkEnd w:id="6086"/>
      <w:bookmarkEnd w:id="6087"/>
      <w:r>
        <w:rPr>
          <w:rFonts w:ascii="Arial" w:eastAsia="Arial" w:hAnsi="Arial" w:cs="Arial"/>
          <w:color w:val="000000"/>
          <w:sz w:val="20"/>
        </w:rPr>
        <w:t xml:space="preserve">Brian Whitaker appeals the district court's award of attorney fees to Appellees. We have jurisdiction under 28 U.S.C. § 1291. Reviewing "the legal standard applied by a district court to rule on a request for attorney fees" de novo, </w:t>
      </w:r>
      <w:bookmarkStart w:id="6088" w:name="Bookmark_I63Y2HWM28T4410010000400"/>
      <w:bookmarkEnd w:id="6088"/>
      <w:r>
        <w:rPr>
          <w:rFonts w:ascii="Arial" w:eastAsia="Arial" w:hAnsi="Arial" w:cs="Arial"/>
          <w:i/>
          <w:color w:val="000000"/>
          <w:sz w:val="20"/>
        </w:rPr>
        <w:t>Jankey v. Poop Deck</w:t>
      </w:r>
      <w:r>
        <w:rPr>
          <w:rFonts w:ascii="Arial" w:eastAsia="Arial" w:hAnsi="Arial" w:cs="Arial"/>
          <w:color w:val="000000"/>
          <w:sz w:val="20"/>
        </w:rPr>
        <w:t xml:space="preserve">, 537 F.3d 1122, 1129 (9th Cir. 2008), and the decision to grant attorney fees for an abuse of discretion, </w:t>
      </w:r>
      <w:bookmarkStart w:id="6089" w:name="Bookmark_I63Y2HWM28T4410030000400"/>
      <w:bookmarkEnd w:id="6089"/>
      <w:r>
        <w:rPr>
          <w:rFonts w:ascii="Arial" w:eastAsia="Arial" w:hAnsi="Arial" w:cs="Arial"/>
          <w:i/>
          <w:color w:val="000000"/>
          <w:sz w:val="20"/>
        </w:rPr>
        <w:t>Kohler v. Bed Bath &amp; Beyond of Cal., LLC</w:t>
      </w:r>
      <w:r>
        <w:rPr>
          <w:rFonts w:ascii="Arial" w:eastAsia="Arial" w:hAnsi="Arial" w:cs="Arial"/>
          <w:color w:val="000000"/>
          <w:sz w:val="20"/>
        </w:rPr>
        <w:t>, 780 F.3d 1260, 1263 (9th Cir. 2015), we affirm.</w:t>
      </w:r>
    </w:p>
    <w:p w:rsidR="00022B47" w:rsidRDefault="00000000">
      <w:pPr>
        <w:pStyle w:val="Normal37"/>
        <w:widowControl w:val="0"/>
        <w:spacing w:before="200" w:line="260" w:lineRule="atLeast"/>
        <w:jc w:val="both"/>
      </w:pPr>
      <w:bookmarkStart w:id="6090" w:name="Bookmark_para_4_36"/>
      <w:bookmarkStart w:id="6091" w:name="Bookmark_I63Y2HWN2SF7K60010000400"/>
      <w:bookmarkEnd w:id="6090"/>
      <w:bookmarkEnd w:id="6091"/>
      <w:r>
        <w:rPr>
          <w:rFonts w:ascii="Arial" w:eastAsia="Arial" w:hAnsi="Arial" w:cs="Arial"/>
          <w:color w:val="000000"/>
          <w:sz w:val="20"/>
        </w:rPr>
        <w:t xml:space="preserve">Whitaker challenges the district court's determination that his litigation "was frivolous, unreasonable, or without foundation," justifying the imposition of attorney fees under 42 U.S.C. § 12205 of the Americans with Disabilities Act ("ADA"). </w:t>
      </w:r>
      <w:r>
        <w:rPr>
          <w:rFonts w:ascii="Arial" w:eastAsia="Arial" w:hAnsi="Arial" w:cs="Arial"/>
          <w:i/>
          <w:color w:val="000000"/>
          <w:sz w:val="20"/>
        </w:rPr>
        <w:t xml:space="preserve">See </w:t>
      </w:r>
      <w:bookmarkStart w:id="6092" w:name="Bookmark_I63Y2HWM28T4410050000400"/>
      <w:bookmarkEnd w:id="6092"/>
      <w:r>
        <w:rPr>
          <w:rFonts w:ascii="Arial" w:eastAsia="Arial" w:hAnsi="Arial" w:cs="Arial"/>
          <w:i/>
          <w:color w:val="000000"/>
          <w:sz w:val="20"/>
        </w:rPr>
        <w:t>Summers v. A. Teichert &amp; Son, Inc.</w:t>
      </w:r>
      <w:r>
        <w:rPr>
          <w:rFonts w:ascii="Arial" w:eastAsia="Arial" w:hAnsi="Arial" w:cs="Arial"/>
          <w:color w:val="000000"/>
          <w:sz w:val="20"/>
        </w:rPr>
        <w:t xml:space="preserve">, 127 F.3d 1150, 1154 (9th Cir. 1997) (quoting </w:t>
      </w:r>
      <w:bookmarkStart w:id="6093" w:name="Bookmark_I63Y2HWN2SF7K60020000400"/>
      <w:bookmarkEnd w:id="6093"/>
      <w:r>
        <w:rPr>
          <w:rFonts w:ascii="Arial" w:eastAsia="Arial" w:hAnsi="Arial" w:cs="Arial"/>
          <w:i/>
          <w:color w:val="000000"/>
          <w:sz w:val="20"/>
        </w:rPr>
        <w:t>Christiansburg Garment Co. v. EEOC</w:t>
      </w:r>
      <w:r>
        <w:rPr>
          <w:rFonts w:ascii="Arial" w:eastAsia="Arial" w:hAnsi="Arial" w:cs="Arial"/>
          <w:color w:val="000000"/>
          <w:sz w:val="20"/>
        </w:rPr>
        <w:t>, 434 U.S. 412, 421, 98 S. Ct. 694, 54 L. Ed. 2d 648 (1978)). According to Whitaker, [*2]  he made two nonfrivolous arguments that Appellees' store violated the ADA's requirement that sales counters include a lowered, accessible portion. First, the lowered counter at Appellees' store was not a "sales" counter. Second, Appellees did not "provide" him with access to the supposedly compliant counter. We agree with the district court that Whitaker's arguments were frivolous.</w:t>
      </w:r>
    </w:p>
    <w:p w:rsidR="00022B47" w:rsidRDefault="00000000">
      <w:pPr>
        <w:pStyle w:val="Normal37"/>
        <w:widowControl w:val="0"/>
        <w:spacing w:before="200" w:line="260" w:lineRule="atLeast"/>
        <w:jc w:val="both"/>
      </w:pPr>
      <w:bookmarkStart w:id="6094" w:name="Bookmark_para_5_36"/>
      <w:bookmarkEnd w:id="6094"/>
      <w:r>
        <w:rPr>
          <w:rFonts w:ascii="Arial" w:eastAsia="Arial" w:hAnsi="Arial" w:cs="Arial"/>
          <w:color w:val="000000"/>
          <w:sz w:val="20"/>
        </w:rPr>
        <w:t xml:space="preserve">Whitaker provides no legal support for his claims that any of the counter's purported deficiencies made it not a "sales" counter. His factual analysis is also flawed when considering the undisputed facts at summary judgment. His argument that the counter was not staffed is unsupported. Staff stood behind the L-shaped counter of which the lowered portion was a part. His argument that the counter was not visible and tucked away is equally meritless. His investigator took photos before the complaint was filed that showed the lowered counter. By the time Whitaker brought his summary judgment motion, he knew that a dedicated point-of-sale system had been installed. </w:t>
      </w:r>
      <w:bookmarkStart w:id="6095" w:name="Bookmark_I63Y2HWN2SF7K60050000400"/>
      <w:bookmarkEnd w:id="6095"/>
      <w:r>
        <w:rPr>
          <w:rFonts w:ascii="Arial" w:eastAsia="Arial" w:hAnsi="Arial" w:cs="Arial"/>
          <w:color w:val="000000"/>
          <w:sz w:val="20"/>
        </w:rPr>
        <w:t xml:space="preserve">And Whitaker's only evidence of clutter was a photograph showing clothing that "occupied half of the counter, at most." Additionally, prior to summary [*3]  judgment, Whitaker knew that the counter was used for sales; that it was connected to the manned, main counter in an L shape; that it was only sometimes used for folding clothing; and that even prior to the installation of a dedicated iPad, there was an iPad that was moved to the lowered counter area as needed for sales transactions. Despite this knowledge, he continued to litigate the case. Given the lack of factual or legal foundation for this argument, the district court did not abuse its discretion in determining that Whitaker's continued litigation was frivolous. </w:t>
      </w:r>
      <w:r>
        <w:rPr>
          <w:rFonts w:ascii="Arial" w:eastAsia="Arial" w:hAnsi="Arial" w:cs="Arial"/>
          <w:i/>
          <w:color w:val="000000"/>
          <w:sz w:val="20"/>
        </w:rPr>
        <w:t xml:space="preserve">See </w:t>
      </w:r>
      <w:bookmarkStart w:id="6096" w:name="Bookmark_I63Y2HWN2SF7K60040000400"/>
      <w:bookmarkEnd w:id="6096"/>
      <w:r>
        <w:rPr>
          <w:rFonts w:ascii="Arial" w:eastAsia="Arial" w:hAnsi="Arial" w:cs="Arial"/>
          <w:i/>
          <w:color w:val="000000"/>
          <w:sz w:val="20"/>
        </w:rPr>
        <w:t>Christiansburg</w:t>
      </w:r>
      <w:r>
        <w:rPr>
          <w:rFonts w:ascii="Arial" w:eastAsia="Arial" w:hAnsi="Arial" w:cs="Arial"/>
          <w:color w:val="000000"/>
          <w:sz w:val="20"/>
        </w:rPr>
        <w:t>, 434 U.S. at 422 (holding that a plaintiff may be assessed its opponent's attorney fees when a plaintiff continues to litigate after the litigation clearly became frivolous, unreasonable, or groundless).</w:t>
      </w:r>
    </w:p>
    <w:p w:rsidR="00022B47" w:rsidRDefault="00000000">
      <w:pPr>
        <w:pStyle w:val="Normal37"/>
        <w:widowControl w:val="0"/>
        <w:spacing w:before="200" w:line="260" w:lineRule="atLeast"/>
        <w:jc w:val="both"/>
      </w:pPr>
      <w:bookmarkStart w:id="6097" w:name="Bookmark_para_6_36"/>
      <w:bookmarkStart w:id="6098" w:name="Bookmark_I1WSGC19SFP0000C5XH0000X"/>
      <w:bookmarkStart w:id="6099" w:name="Bookmark_I63Y2HWN28T4480020000400"/>
      <w:bookmarkEnd w:id="6097"/>
      <w:bookmarkEnd w:id="6098"/>
      <w:bookmarkEnd w:id="6099"/>
      <w:r>
        <w:rPr>
          <w:rFonts w:ascii="Arial" w:eastAsia="Arial" w:hAnsi="Arial" w:cs="Arial"/>
          <w:color w:val="000000"/>
          <w:sz w:val="20"/>
        </w:rPr>
        <w:t xml:space="preserve">Equally meritless is Whitaker's argument that Appellees did not provide him with an accessible counter by failing to direct him to it. The ADA does not require a business to affirmatively alert disabled customers to the existence of an obviously available accessible feature. </w:t>
      </w:r>
      <w:r>
        <w:rPr>
          <w:rFonts w:ascii="Arial" w:eastAsia="Arial" w:hAnsi="Arial" w:cs="Arial"/>
          <w:i/>
          <w:color w:val="000000"/>
          <w:sz w:val="20"/>
        </w:rPr>
        <w:t>Cf</w:t>
      </w:r>
      <w:r>
        <w:rPr>
          <w:rFonts w:ascii="Arial" w:eastAsia="Arial" w:hAnsi="Arial" w:cs="Arial"/>
          <w:color w:val="000000"/>
          <w:sz w:val="20"/>
        </w:rPr>
        <w:t xml:space="preserve">. 28 C.F.R. § Pt. 36, App. B. Whitaker's reliance on </w:t>
      </w:r>
      <w:bookmarkStart w:id="6100" w:name="Bookmark_I63Y2HWN28T4480010000400"/>
      <w:bookmarkEnd w:id="6100"/>
      <w:r>
        <w:rPr>
          <w:rFonts w:ascii="Arial" w:eastAsia="Arial" w:hAnsi="Arial" w:cs="Arial"/>
          <w:i/>
          <w:color w:val="000000"/>
          <w:sz w:val="20"/>
        </w:rPr>
        <w:t>Fortyune v. American Multi-Cinema, Inc.</w:t>
      </w:r>
      <w:r>
        <w:rPr>
          <w:rFonts w:ascii="Arial" w:eastAsia="Arial" w:hAnsi="Arial" w:cs="Arial"/>
          <w:color w:val="000000"/>
          <w:sz w:val="20"/>
        </w:rPr>
        <w:t>, 364 F.3d 1075 (9th Cir. 2004), a case in which the plaintiff actively requested a reasonable accommodation, is inapposite.</w:t>
      </w:r>
    </w:p>
    <w:p w:rsidR="00022B47" w:rsidRDefault="00000000">
      <w:pPr>
        <w:pStyle w:val="Normal37"/>
        <w:widowControl w:val="0"/>
        <w:spacing w:before="200" w:line="260" w:lineRule="atLeast"/>
        <w:jc w:val="both"/>
      </w:pPr>
      <w:bookmarkStart w:id="6101" w:name="Bookmark_para_7_36"/>
      <w:bookmarkEnd w:id="6101"/>
      <w:r>
        <w:rPr>
          <w:rFonts w:ascii="Arial" w:eastAsia="Arial" w:hAnsi="Arial" w:cs="Arial"/>
          <w:color w:val="000000"/>
          <w:sz w:val="20"/>
        </w:rPr>
        <w:t>The district court also construed Whitaker's [*4]  arguments as including claims that there was no lowered counter whatsoever and that clutter on the counter made it inaccessible and found those claims frivolous. Whitaker's only substantive response is that he never made these arguments. This is not accurate. The district court correctly found both that Whitaker made these arguments and that they were frivolous. Whitaker's remaining arguments are meritless.</w:t>
      </w:r>
    </w:p>
    <w:p w:rsidR="00022B47" w:rsidRDefault="00000000">
      <w:pPr>
        <w:pStyle w:val="Normal37"/>
        <w:widowControl w:val="0"/>
        <w:spacing w:before="200" w:line="260" w:lineRule="atLeast"/>
        <w:jc w:val="both"/>
      </w:pPr>
      <w:bookmarkStart w:id="6102" w:name="Bookmark_para_8_35"/>
      <w:bookmarkEnd w:id="6102"/>
      <w:r>
        <w:rPr>
          <w:rFonts w:ascii="Arial" w:eastAsia="Arial" w:hAnsi="Arial" w:cs="Arial"/>
          <w:b/>
          <w:color w:val="000000"/>
          <w:sz w:val="20"/>
        </w:rPr>
        <w:t>AFFIRMED</w:t>
      </w:r>
      <w:r>
        <w:rPr>
          <w:rFonts w:ascii="Arial" w:eastAsia="Arial" w:hAnsi="Arial" w:cs="Arial"/>
          <w:color w:val="000000"/>
          <w:sz w:val="20"/>
        </w:rPr>
        <w:t>.</w:t>
      </w:r>
    </w:p>
    <w:p w:rsidR="00022B47" w:rsidRDefault="00022B47">
      <w:pPr>
        <w:pStyle w:val="Normal37"/>
      </w:pPr>
    </w:p>
    <w:p w:rsidR="00022B47" w:rsidRDefault="00000000">
      <w:pPr>
        <w:pStyle w:val="Normal37"/>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38112"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83316978"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204FD5" id="Line 80"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38"/>
        <w:sectPr w:rsidR="00022B47">
          <w:headerReference w:type="even" r:id="rId235"/>
          <w:headerReference w:type="default" r:id="rId236"/>
          <w:footerReference w:type="even" r:id="rId237"/>
          <w:footerReference w:type="default" r:id="rId238"/>
          <w:headerReference w:type="first" r:id="rId239"/>
          <w:footerReference w:type="first" r:id="rId240"/>
          <w:pgSz w:w="12240" w:h="15840"/>
          <w:pgMar w:top="840" w:right="1000" w:bottom="840" w:left="1000" w:header="400" w:footer="400" w:gutter="0"/>
          <w:cols w:space="720"/>
          <w:titlePg/>
        </w:sectPr>
      </w:pPr>
    </w:p>
    <w:p w:rsidR="00022B47" w:rsidRDefault="00022B47">
      <w:pPr>
        <w:pStyle w:val="Normal38"/>
      </w:pPr>
    </w:p>
    <w:p w:rsidR="00022B47" w:rsidRDefault="00000000">
      <w:pPr>
        <w:pStyle w:val="Heading137"/>
        <w:keepNext w:val="0"/>
        <w:widowControl w:val="0"/>
        <w:spacing w:after="200" w:line="340" w:lineRule="atLeast"/>
        <w:jc w:val="center"/>
      </w:pPr>
      <w:r>
        <w:rPr>
          <w:rFonts w:eastAsia="Arial"/>
          <w:color w:val="000000"/>
          <w:sz w:val="28"/>
        </w:rPr>
        <w:t>LA Alliance for Human Rights v. Cty. of L.A.</w:t>
      </w:r>
    </w:p>
    <w:p w:rsidR="00022B47" w:rsidRDefault="00000000">
      <w:pPr>
        <w:pStyle w:val="Normal38"/>
        <w:widowControl w:val="0"/>
        <w:spacing w:before="120" w:line="260" w:lineRule="atLeast"/>
        <w:jc w:val="center"/>
      </w:pPr>
      <w:r>
        <w:rPr>
          <w:rFonts w:ascii="Arial" w:eastAsia="Arial" w:hAnsi="Arial" w:cs="Arial"/>
          <w:color w:val="000000"/>
          <w:sz w:val="20"/>
        </w:rPr>
        <w:t>United States Court of Appeals for the Ninth Circuit</w:t>
      </w:r>
    </w:p>
    <w:p w:rsidR="00022B47" w:rsidRDefault="00000000">
      <w:pPr>
        <w:pStyle w:val="Normal38"/>
        <w:widowControl w:val="0"/>
        <w:spacing w:before="120" w:line="260" w:lineRule="atLeast"/>
        <w:jc w:val="center"/>
      </w:pPr>
      <w:r>
        <w:rPr>
          <w:rFonts w:ascii="Arial" w:eastAsia="Arial" w:hAnsi="Arial" w:cs="Arial"/>
          <w:color w:val="000000"/>
          <w:sz w:val="20"/>
        </w:rPr>
        <w:t>July 7, 2021, Argued and Submitted, Honolulu, Hawai'i; September 23, 2021, Filed</w:t>
      </w:r>
    </w:p>
    <w:p w:rsidR="00022B47" w:rsidRDefault="00000000">
      <w:pPr>
        <w:pStyle w:val="Normal38"/>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21-55395, No. 21-55404, No. 21-55408</w:t>
      </w:r>
    </w:p>
    <w:p w:rsidR="00022B47" w:rsidRDefault="00022B47">
      <w:pPr>
        <w:pStyle w:val="Normal38"/>
        <w:widowControl w:val="0"/>
        <w:spacing w:line="240" w:lineRule="atLeast"/>
        <w:jc w:val="both"/>
      </w:pPr>
      <w:bookmarkStart w:id="6103" w:name="Bookmark_39"/>
      <w:bookmarkEnd w:id="6103"/>
    </w:p>
    <w:p w:rsidR="00022B47" w:rsidRDefault="00000000">
      <w:pPr>
        <w:pStyle w:val="Normal38"/>
        <w:widowControl w:val="0"/>
        <w:spacing w:before="200" w:line="240" w:lineRule="atLeast"/>
      </w:pPr>
      <w:bookmarkStart w:id="6104" w:name="Reporter_37"/>
      <w:bookmarkEnd w:id="6104"/>
      <w:r>
        <w:rPr>
          <w:rFonts w:ascii="Arial" w:eastAsia="Arial" w:hAnsi="Arial" w:cs="Arial"/>
          <w:b/>
          <w:color w:val="000000"/>
          <w:sz w:val="18"/>
        </w:rPr>
        <w:t>Reporter</w:t>
      </w:r>
    </w:p>
    <w:p w:rsidR="00022B47" w:rsidRDefault="00000000">
      <w:pPr>
        <w:pStyle w:val="Normal38"/>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14 F.4th 947 *; 2021 U.S. App. LEXIS 28824 **</w:t>
      </w:r>
    </w:p>
    <w:p w:rsidR="00022B47" w:rsidRDefault="00000000">
      <w:pPr>
        <w:pStyle w:val="Normal38"/>
        <w:widowControl w:val="0"/>
        <w:spacing w:before="120" w:line="260" w:lineRule="atLeast"/>
      </w:pPr>
      <w:r>
        <w:rPr>
          <w:rFonts w:ascii="Arial" w:eastAsia="Arial" w:hAnsi="Arial" w:cs="Arial"/>
          <w:color w:val="000000"/>
          <w:sz w:val="20"/>
        </w:rPr>
        <w:t>LA ALLIANCE FOR HUMAN RIGHTS, an unincorporated association; JOSEPH BURK; HARRY TASHDJIAN; KARYN PINSKY; CHARLES MALOW; CHARLES VAN SCOY; GEORGE FREM; GARY WHITTER; LEANDRO SUAREZ, Plaintiffs-Appellees, LATINO COALITION OF LOS ANGELES; JOSUE TIGUILA, Intervenor-Plaintiffs-Appellees, v. COUNTY OF LOS ANGELES, a municipal entity, Defendant-Appellant, and CITY OF LOS ANGELES, a municipal entity, Defendant.LA ALLIANCE FOR HUMAN RIGHTS, an unincorporated association; JOSEPH BURK; HARRY TASHDJIAN; KARYN PINSKY; CHARLES MALOW; CHARLES VAN SCOY; GEORGE FREM; GARY WHITTER; LEANDRO SUAREZ, Plaintiffs-Appellees, LATINO COALITION OF LOS ANGELES; JOSUE TIGUILA, Intervenor-Plaintiffs-Appellees, v. CITY OF LOS ANGELES, a municipal entity, Defendant-Appellant, and COUNTY OF LOS ANGELES, a municipal entity, Defendant.LA ALLIANCE FOR HUMAN RIGHTS, an unincorporated association; JOSEPH BURK; HARRY TASHDJIAN; KARYN PINSKY; CHARLES MALOW; CHARLES VAN SCOY; GEORGE FREM; GARY WHITTER; LEANDRO SUAREZ, Plaintiffs-Appellees, LATINO COALITION OF LOS ANGELES; JOSUE TIGUILA, Intervenor-Plaintiffs-Appellees, v. CANGRESS, DBA Los Angeles Community Action Network (LA CAN), Intervenor-Appellant, COUNTY OF LOS ANGELES, a municipal entity; CITY OF LOS ANGELES, a municipal entity, Defendant.</w:t>
      </w:r>
    </w:p>
    <w:p w:rsidR="00022B47" w:rsidRDefault="00000000">
      <w:pPr>
        <w:pStyle w:val="Normal38"/>
        <w:widowControl w:val="0"/>
        <w:spacing w:before="240" w:line="260" w:lineRule="atLeast"/>
        <w:jc w:val="both"/>
      </w:pPr>
      <w:bookmarkStart w:id="6105" w:name="Prior_History_37"/>
      <w:bookmarkEnd w:id="6105"/>
      <w:r>
        <w:rPr>
          <w:rFonts w:ascii="Arial" w:eastAsia="Arial" w:hAnsi="Arial" w:cs="Arial"/>
          <w:b/>
          <w:color w:val="000000"/>
          <w:sz w:val="20"/>
        </w:rPr>
        <w:t>Prior History:</w:t>
      </w:r>
      <w:r>
        <w:rPr>
          <w:rFonts w:ascii="Arial" w:eastAsia="Arial" w:hAnsi="Arial" w:cs="Arial"/>
          <w:color w:val="000000"/>
          <w:sz w:val="20"/>
        </w:rPr>
        <w:t> </w:t>
      </w:r>
      <w:bookmarkStart w:id="6106" w:name="Bookmark_para_1_37"/>
      <w:bookmarkEnd w:id="6106"/>
      <w:r>
        <w:rPr>
          <w:rFonts w:ascii="Arial" w:eastAsia="Arial" w:hAnsi="Arial" w:cs="Arial"/>
          <w:color w:val="000000"/>
          <w:sz w:val="20"/>
        </w:rPr>
        <w:t> [**1] On Appeal from the United States District Court for the Central District of California. David O. Carter, District Judge, Presiding. D.C. No. 2:20-cv-02291-DOC-KES. D.C. No. 2:20-cv-02291-DOC-KES. D.C. No. 2:20-cv-02291-DOC-KES.</w:t>
      </w:r>
    </w:p>
    <w:p w:rsidR="00022B47" w:rsidRDefault="00000000">
      <w:pPr>
        <w:pStyle w:val="Normal38"/>
        <w:widowControl w:val="0"/>
        <w:spacing w:before="120" w:line="260" w:lineRule="atLeast"/>
      </w:pPr>
      <w:r>
        <w:rPr>
          <w:rFonts w:ascii="Arial" w:eastAsia="Arial" w:hAnsi="Arial" w:cs="Arial"/>
          <w:color w:val="000000"/>
          <w:sz w:val="20"/>
        </w:rPr>
        <w:t>LA All. for Human Rights v. City of Los Angeles, 2021 U.S. Dist. LEXIS 76053, 2021 WL 1546235 (C.D. Cal., Apr. 20, 2021)</w:t>
      </w:r>
    </w:p>
    <w:p w:rsidR="00022B47" w:rsidRDefault="00000000">
      <w:pPr>
        <w:pStyle w:val="Normal38"/>
        <w:widowControl w:val="0"/>
        <w:spacing w:before="240" w:line="260" w:lineRule="atLeast"/>
        <w:jc w:val="both"/>
      </w:pPr>
      <w:bookmarkStart w:id="6107" w:name="Disposition_8"/>
      <w:bookmarkEnd w:id="6107"/>
      <w:r>
        <w:rPr>
          <w:rFonts w:ascii="Arial" w:eastAsia="Arial" w:hAnsi="Arial" w:cs="Arial"/>
          <w:b/>
          <w:color w:val="000000"/>
          <w:sz w:val="20"/>
        </w:rPr>
        <w:t>Disposition:</w:t>
      </w:r>
      <w:r>
        <w:rPr>
          <w:rFonts w:ascii="Arial" w:eastAsia="Arial" w:hAnsi="Arial" w:cs="Arial"/>
          <w:color w:val="000000"/>
          <w:sz w:val="20"/>
        </w:rPr>
        <w:t> </w:t>
      </w:r>
      <w:bookmarkStart w:id="6108" w:name="Bookmark_clspara_4_6"/>
      <w:bookmarkEnd w:id="6108"/>
      <w:r>
        <w:rPr>
          <w:rFonts w:ascii="Arial" w:eastAsia="Arial" w:hAnsi="Arial" w:cs="Arial"/>
          <w:color w:val="000000"/>
          <w:sz w:val="20"/>
        </w:rPr>
        <w:t>VACATED and REMANDED.</w:t>
      </w:r>
    </w:p>
    <w:p w:rsidR="00022B47" w:rsidRDefault="00000000">
      <w:pPr>
        <w:pStyle w:val="Normal38"/>
        <w:widowControl w:val="0"/>
        <w:spacing w:before="240" w:line="260" w:lineRule="atLeast"/>
      </w:pPr>
      <w:bookmarkStart w:id="6109" w:name="Summary_0"/>
      <w:bookmarkEnd w:id="6109"/>
      <w:r>
        <w:rPr>
          <w:rFonts w:ascii="Arial" w:eastAsia="Arial" w:hAnsi="Arial" w:cs="Arial"/>
          <w:b/>
          <w:color w:val="000000"/>
          <w:sz w:val="20"/>
        </w:rPr>
        <w:t>Summary:</w:t>
      </w:r>
    </w:p>
    <w:p w:rsidR="00022B47" w:rsidRDefault="00000000">
      <w:pPr>
        <w:pStyle w:val="Normal38"/>
        <w:widowControl w:val="0"/>
        <w:spacing w:before="240" w:line="260" w:lineRule="atLeast"/>
        <w:jc w:val="both"/>
      </w:pPr>
      <w:bookmarkStart w:id="6110" w:name="Bookmark_clspara_5_0"/>
      <w:bookmarkEnd w:id="6110"/>
      <w:r>
        <w:rPr>
          <w:rFonts w:ascii="Arial" w:eastAsia="Arial" w:hAnsi="Arial" w:cs="Arial"/>
          <w:color w:val="000000"/>
          <w:sz w:val="20"/>
        </w:rPr>
        <w:t>SUMMARY</w:t>
      </w:r>
      <w:r>
        <w:rPr>
          <w:rFonts w:ascii="Arial" w:eastAsia="Arial" w:hAnsi="Arial" w:cs="Arial"/>
          <w:vertAlign w:val="superscript"/>
        </w:rPr>
        <w:footnoteReference w:customMarkFollows="1" w:id="173"/>
        <w:t>*</w:t>
      </w:r>
    </w:p>
    <w:p w:rsidR="00022B47" w:rsidRDefault="00000000">
      <w:pPr>
        <w:pStyle w:val="Normal38"/>
        <w:widowControl w:val="0"/>
        <w:spacing w:before="240" w:line="260" w:lineRule="atLeast"/>
        <w:jc w:val="both"/>
      </w:pPr>
      <w:bookmarkStart w:id="6112" w:name="Bookmark_clspara_6_0"/>
      <w:bookmarkEnd w:id="6112"/>
      <w:r>
        <w:rPr>
          <w:rFonts w:ascii="Arial" w:eastAsia="Arial" w:hAnsi="Arial" w:cs="Arial"/>
          <w:color w:val="000000"/>
          <w:sz w:val="20"/>
        </w:rPr>
        <w:t>Civil Rights</w:t>
      </w:r>
    </w:p>
    <w:p w:rsidR="00022B47" w:rsidRDefault="00000000">
      <w:pPr>
        <w:pStyle w:val="Normal38"/>
        <w:widowControl w:val="0"/>
        <w:spacing w:before="240" w:line="260" w:lineRule="atLeast"/>
        <w:jc w:val="both"/>
      </w:pPr>
      <w:bookmarkStart w:id="6113" w:name="Bookmark_clspara_7_0"/>
      <w:bookmarkEnd w:id="6113"/>
      <w:r>
        <w:rPr>
          <w:rFonts w:ascii="Arial" w:eastAsia="Arial" w:hAnsi="Arial" w:cs="Arial"/>
          <w:color w:val="000000"/>
          <w:sz w:val="20"/>
        </w:rPr>
        <w:t>The panel vacated the district court's preliminary injunction order and remanded for further proceedings in an action brought by LA Alliance for Human Rights and eight individual Plaintiffs against the County and City of Los Angeles for harms stemming from the proliferation of encampments in the Skid Row area.</w:t>
      </w:r>
    </w:p>
    <w:p w:rsidR="00022B47" w:rsidRDefault="00000000">
      <w:pPr>
        <w:pStyle w:val="Normal38"/>
        <w:widowControl w:val="0"/>
        <w:spacing w:before="240" w:line="260" w:lineRule="atLeast"/>
        <w:jc w:val="both"/>
      </w:pPr>
      <w:bookmarkStart w:id="6114" w:name="Bookmark_clspara_8"/>
      <w:bookmarkEnd w:id="6114"/>
      <w:r>
        <w:rPr>
          <w:rFonts w:ascii="Arial" w:eastAsia="Arial" w:hAnsi="Arial" w:cs="Arial"/>
          <w:color w:val="000000"/>
          <w:sz w:val="20"/>
        </w:rPr>
        <w:t>LA Alliance is a coalition of Los Angeles residents whose members include business and property owners, landlords, housed residents of the Skid Row area, formerly homeless residents of a Skid Row-area mission, and a real estate professional with an interest in the downtown area. Plaintiffs' complaint generally alleged that County and City policies and inaction have created a dangerous environment in the Skid Row area and that the situation is deteriorating.</w:t>
      </w:r>
    </w:p>
    <w:p w:rsidR="00022B47" w:rsidRDefault="00000000">
      <w:pPr>
        <w:pStyle w:val="Normal38"/>
        <w:widowControl w:val="0"/>
        <w:spacing w:before="240" w:line="260" w:lineRule="atLeast"/>
        <w:jc w:val="both"/>
      </w:pPr>
      <w:bookmarkStart w:id="6115" w:name="Bookmark_clspara_9"/>
      <w:bookmarkEnd w:id="6115"/>
      <w:r>
        <w:rPr>
          <w:rFonts w:ascii="Arial" w:eastAsia="Arial" w:hAnsi="Arial" w:cs="Arial"/>
          <w:color w:val="000000"/>
          <w:sz w:val="20"/>
        </w:rPr>
        <w:t>After extensive negotiations failed to produce a settlement, Plaintiffs filed a Motion for Preliminary Injunction seeking a court order requiring the County and City [**2]  to offer shelter to all unhoused individuals in Skid Row, clear all Skid Row encampments, prohibit camping there, and more. The Motion was grounded in the legal theories alleged in the complaint, including: a claim that the County violated its mandatory duty to provide medically necessary care under California Welfare and Institutions Code section 17000 by failing to provide shelter to unhoused individuals; a claim that the County and City have facilitated public nuisance violations by failing to clear encampments; several claims that the City violated state and federal disability access laws by failing to clear sidewalks of encampments; and claims that the County and City violated Plaintiffs' constitutional rights by providing disparate services to those living and working within the Skid Row area and by enacting policies regarding Skid Row that have resulted in a state-created danger to Skid Row-area residents and businesses.</w:t>
      </w:r>
    </w:p>
    <w:p w:rsidR="00022B47" w:rsidRDefault="00000000">
      <w:pPr>
        <w:pStyle w:val="Normal38"/>
        <w:widowControl w:val="0"/>
        <w:spacing w:before="240" w:line="260" w:lineRule="atLeast"/>
        <w:jc w:val="both"/>
      </w:pPr>
      <w:bookmarkStart w:id="6116" w:name="Bookmark_clspara_10"/>
      <w:bookmarkEnd w:id="6116"/>
      <w:r>
        <w:rPr>
          <w:rFonts w:ascii="Arial" w:eastAsia="Arial" w:hAnsi="Arial" w:cs="Arial"/>
          <w:color w:val="000000"/>
          <w:sz w:val="20"/>
        </w:rPr>
        <w:t>The district court issued a sweeping preliminary injunction against the County and City of Los Angeles and ordered, among other relief: the escrow of $1 billion to address the homelessness crisis, offers of shelter or housing to all unhoused individuals in Skid Row within 180 days, and numerous audits and reports. [**3]  The district court's order was premised on its finding that structural racism—in the form of discriminatory lending, real estate covenants, redlining, freeway construction, eminent domain, exclusionary zoning, and unequal access to shelter and affordable housing—was the driving force behind Los Angeles's homelessness crisis and its disproportionate impact on the Black community. The district court found that Plaintiffs had shown a likelihood of success on the merits of six claims: violations of due process rights under the state-created danger and special relationship doctrines; violation of equal protection on the basis of race; violation of the substantive due process rights of Black families to family integrity; violation of California Welfare and Institutions Code section 17000; and violation of the Americans with Disabilities Act ("ADA").</w:t>
      </w:r>
    </w:p>
    <w:p w:rsidR="00022B47" w:rsidRDefault="00000000">
      <w:pPr>
        <w:pStyle w:val="Normal38"/>
        <w:widowControl w:val="0"/>
        <w:spacing w:before="240" w:line="260" w:lineRule="atLeast"/>
        <w:jc w:val="both"/>
      </w:pPr>
      <w:bookmarkStart w:id="6117" w:name="Bookmark_clspara_11"/>
      <w:bookmarkEnd w:id="6117"/>
      <w:r>
        <w:rPr>
          <w:rFonts w:ascii="Arial" w:eastAsia="Arial" w:hAnsi="Arial" w:cs="Arial"/>
          <w:color w:val="000000"/>
          <w:sz w:val="20"/>
        </w:rPr>
        <w:t>The panel held that, as the claims were articulated by the district court, Plaintiffs lacked standing on all but their ADA claim. The panel stated that none of Plaintiffs' claims were based on racial discrimination and the district court's order was largely based on unpled claims and theories. The district court therefore abused its discretion because it only had equitable power to grant relief on the merits of the case or controversy [**4]  before it and did not have the authority to issue an injunction based on claims not pled in the complaint. Moreover, because plaintiffs did not bring most of the claims upon which relief was granted, they failed to put forth evidence to establish standing. To fill the gap, the district court impermissibly resorted to independent research and extra-record evidence. The panel noted that the district court had cited material not subject to judicial notice and relied on facts contained in various publications that were subject to reasonable dispute. To the extent the district court premised the injunctive relief on improperly noticed facts necessary to confer standing, the district court abused its discretion.</w:t>
      </w:r>
    </w:p>
    <w:p w:rsidR="00022B47" w:rsidRDefault="00000000">
      <w:pPr>
        <w:pStyle w:val="Normal38"/>
        <w:widowControl w:val="0"/>
        <w:spacing w:before="240" w:line="260" w:lineRule="atLeast"/>
        <w:jc w:val="both"/>
      </w:pPr>
      <w:bookmarkStart w:id="6118" w:name="Bookmark_clspara_12"/>
      <w:bookmarkEnd w:id="6118"/>
      <w:r>
        <w:rPr>
          <w:rFonts w:ascii="Arial" w:eastAsia="Arial" w:hAnsi="Arial" w:cs="Arial"/>
          <w:color w:val="000000"/>
          <w:sz w:val="20"/>
        </w:rPr>
        <w:t>Turning to the six claims upon which relief was granted, the panel noted that Plaintiffs brought no race-based claims, and they did not allege or present any evidence that any individual Plaintiff or LA Alliance member was Black—much less Black and unhoused, a parent, or at risk of losing their children. Nor had plaintiffs alleged or argued that there was a special relationship between the City and unhoused residents of Skid Row or that they experienced restraints of personal liberty [**5]  sufficient to create an affirmative duty for the City to protect their rights. The panel concluded that Plaintiffs had not made a clear showing that any individual Plaintiff had standing for the race-based claims, including the substantive due process, equal protection, and state-created danger claims. With respect to the section 17000 claim, plaintiffs lacked standing because they failed to allege that an individual Plaintiff was deprived of medically necessary care or general assistance.</w:t>
      </w:r>
    </w:p>
    <w:p w:rsidR="00022B47" w:rsidRDefault="00000000">
      <w:pPr>
        <w:pStyle w:val="Normal38"/>
        <w:widowControl w:val="0"/>
        <w:spacing w:before="240" w:line="260" w:lineRule="atLeast"/>
        <w:jc w:val="both"/>
      </w:pPr>
      <w:bookmarkStart w:id="6119" w:name="Bookmark_clspara_13"/>
      <w:bookmarkEnd w:id="6119"/>
      <w:r>
        <w:rPr>
          <w:rFonts w:ascii="Arial" w:eastAsia="Arial" w:hAnsi="Arial" w:cs="Arial"/>
          <w:color w:val="000000"/>
          <w:sz w:val="20"/>
        </w:rPr>
        <w:t>The panel held that the two individual Plaintiffs who require wheelchairs for daily activities and cannot traverse sidewalks within Skid Row because of homeless encampments had standing to bring ADA claims against the City. Their claim failed, however, because they had not shown a likelihood of success at this stage; Plaintiffs did not offer sufficient evidence that they were denied the benefits of the City's sidewalks or were otherwise discriminated against by the City and that such denial of benefits or discrimination was by reason of their disabilities. Moreover, the district court abused its discretion by relying on extra-record evidence to find success on the merits and by ordering overly broad relief.</w:t>
      </w:r>
    </w:p>
    <w:p w:rsidR="00022B47" w:rsidRDefault="00000000">
      <w:pPr>
        <w:pStyle w:val="Normal38"/>
        <w:widowControl w:val="0"/>
        <w:spacing w:before="240" w:line="260" w:lineRule="atLeast"/>
        <w:jc w:val="both"/>
      </w:pPr>
      <w:bookmarkStart w:id="6120" w:name="Bookmark_clspara_14"/>
      <w:bookmarkEnd w:id="6120"/>
      <w:r>
        <w:rPr>
          <w:rFonts w:ascii="Arial" w:eastAsia="Arial" w:hAnsi="Arial" w:cs="Arial"/>
          <w:color w:val="000000"/>
          <w:sz w:val="20"/>
        </w:rPr>
        <w:t>The [**6]  panel rejected the argument that LA Alliance had associational standing to seek relief under all the claims upon which the injunction was based. The panel held that, like the individual Plaintiffs, no other member of LA Alliance had alleged injuries sufficient for standing to bring the substantive due process, state-created danger, special relationship, equal protection, or section 17000 claims upon which relief was granted.</w:t>
      </w:r>
    </w:p>
    <w:p w:rsidR="00022B47" w:rsidRDefault="00000000">
      <w:pPr>
        <w:pStyle w:val="Normal38"/>
        <w:widowControl w:val="0"/>
        <w:spacing w:before="240" w:line="260" w:lineRule="atLeast"/>
      </w:pPr>
      <w:bookmarkStart w:id="6121" w:name="Counsel_37"/>
      <w:bookmarkEnd w:id="6121"/>
      <w:r>
        <w:rPr>
          <w:rFonts w:ascii="Arial" w:eastAsia="Arial" w:hAnsi="Arial" w:cs="Arial"/>
          <w:b/>
          <w:color w:val="000000"/>
          <w:sz w:val="20"/>
        </w:rPr>
        <w:t>Counsel:</w:t>
      </w:r>
      <w:r>
        <w:rPr>
          <w:rFonts w:ascii="Arial" w:eastAsia="Arial" w:hAnsi="Arial" w:cs="Arial"/>
          <w:color w:val="000000"/>
          <w:sz w:val="20"/>
        </w:rPr>
        <w:t> Mira Hashmall (argued), Louis R. Miller, and Emily A. Rodriguez-Sanchirico, Miller Barondess LLP, Los Angeles, California; Rodrigo A. Castro-Silva, Lauren M. Black and Amie S. Park, Office of County Counsel, Los Angeles, California; for Defendant-Appellant County of Los Angeles.</w:t>
      </w:r>
    </w:p>
    <w:p w:rsidR="00022B47" w:rsidRDefault="00000000">
      <w:pPr>
        <w:pStyle w:val="Normal38"/>
        <w:widowControl w:val="0"/>
        <w:spacing w:before="120" w:line="260" w:lineRule="atLeast"/>
      </w:pPr>
      <w:r>
        <w:rPr>
          <w:rFonts w:ascii="Arial" w:eastAsia="Arial" w:hAnsi="Arial" w:cs="Arial"/>
          <w:color w:val="000000"/>
          <w:sz w:val="20"/>
        </w:rPr>
        <w:t>Michael M. Walsh (argued), Deputy City Attorney; Blithe S. Bock, Assistant City Attorney; Scott Marcus, Senior Assistant City Attorney; Kathleen A. Kenealy, Chief Deputy City Attorney; Michael N. Feuer, City Attorney; Office of the City Attorney, Los Angeles, California; for Defendant-Appellant City of Los Angeles.</w:t>
      </w:r>
    </w:p>
    <w:p w:rsidR="00022B47" w:rsidRDefault="00000000">
      <w:pPr>
        <w:pStyle w:val="Normal38"/>
        <w:widowControl w:val="0"/>
        <w:spacing w:before="120" w:line="260" w:lineRule="atLeast"/>
      </w:pPr>
      <w:r>
        <w:rPr>
          <w:rFonts w:ascii="Arial" w:eastAsia="Arial" w:hAnsi="Arial" w:cs="Arial"/>
          <w:color w:val="000000"/>
          <w:sz w:val="20"/>
        </w:rPr>
        <w:t>Shayla R. Myers (argued), Legal Aid Foundation of Los Angeles, Los Angeles, California; Carol A. Sobel and Weston C. Rowland, Law Office of Carol Sobel, Santa Monica, California; Paul L. Hoffman [**7]  and Catherine E. Sweetser, Schonbrun Seplow Harris Hoffman &amp; Zeldes LLP, Culver City, California; for Intervenor-Appellant.</w:t>
      </w:r>
    </w:p>
    <w:p w:rsidR="00022B47" w:rsidRDefault="00000000">
      <w:pPr>
        <w:pStyle w:val="Normal38"/>
        <w:widowControl w:val="0"/>
        <w:spacing w:before="120" w:line="260" w:lineRule="atLeast"/>
      </w:pPr>
      <w:r>
        <w:rPr>
          <w:rFonts w:ascii="Arial" w:eastAsia="Arial" w:hAnsi="Arial" w:cs="Arial"/>
          <w:color w:val="000000"/>
          <w:sz w:val="20"/>
        </w:rPr>
        <w:t>Matthew Donald Umhofer (argued) and Elizabeth A. Mitchell, Spertus Landes &amp; Umhofer LLP, Los Angeles, California, for Plaintiffs-Appellees.</w:t>
      </w:r>
    </w:p>
    <w:p w:rsidR="00022B47" w:rsidRDefault="00000000">
      <w:pPr>
        <w:pStyle w:val="Normal38"/>
        <w:widowControl w:val="0"/>
        <w:spacing w:before="120" w:line="260" w:lineRule="atLeast"/>
      </w:pPr>
      <w:r>
        <w:rPr>
          <w:rFonts w:ascii="Arial" w:eastAsia="Arial" w:hAnsi="Arial" w:cs="Arial"/>
          <w:color w:val="000000"/>
          <w:sz w:val="20"/>
        </w:rPr>
        <w:t>Judy M. Lam, Maynard Cooper &amp; Gale LLP, Los Angeles, California; John C. Neiman Jr. and Calbe C. Wolanek, Maynard Cooper &amp; Gale P.C., Birmingham, Alabama; for Amici Curiae International Municipal Lawyers Association, California State Association of Counties, League of Oregon Cities, Association of Washington Cities, Washington State Association of Municipal Attorneys, and Association of Idaho Cities.</w:t>
      </w:r>
    </w:p>
    <w:p w:rsidR="00022B47" w:rsidRDefault="00000000">
      <w:pPr>
        <w:pStyle w:val="Normal38"/>
        <w:widowControl w:val="0"/>
        <w:spacing w:before="120" w:line="260" w:lineRule="atLeast"/>
      </w:pPr>
      <w:r>
        <w:rPr>
          <w:rFonts w:ascii="Arial" w:eastAsia="Arial" w:hAnsi="Arial" w:cs="Arial"/>
          <w:color w:val="000000"/>
          <w:sz w:val="20"/>
        </w:rPr>
        <w:t>George F. Schaefer, Assistant City Attorney; Elizabeth L. Atkins, Deputy City Attorney; Office of the City Attorney, San Diego, California; for Amicus Curiae League of California Cities.</w:t>
      </w:r>
    </w:p>
    <w:p w:rsidR="00022B47" w:rsidRDefault="00000000">
      <w:pPr>
        <w:pStyle w:val="Normal38"/>
        <w:widowControl w:val="0"/>
        <w:spacing w:before="120" w:line="260" w:lineRule="atLeast"/>
      </w:pPr>
      <w:r>
        <w:rPr>
          <w:rFonts w:ascii="Arial" w:eastAsia="Arial" w:hAnsi="Arial" w:cs="Arial"/>
          <w:color w:val="000000"/>
          <w:sz w:val="20"/>
        </w:rPr>
        <w:t>Faizah Malik, Public Counsel, Los Angeles, California; Benjamin B. Au, Allyson R. Bennett, Durie Tangri LLP, Los Angeles, California; for Amici Curiae SCANPH, CSH, and Non Profit Affordable Housing Developers.</w:t>
      </w:r>
    </w:p>
    <w:p w:rsidR="00022B47" w:rsidRDefault="00000000">
      <w:pPr>
        <w:pStyle w:val="Normal38"/>
        <w:widowControl w:val="0"/>
        <w:spacing w:before="120" w:line="260" w:lineRule="atLeast"/>
      </w:pPr>
      <w:r>
        <w:rPr>
          <w:rFonts w:ascii="Arial" w:eastAsia="Arial" w:hAnsi="Arial" w:cs="Arial"/>
          <w:color w:val="000000"/>
          <w:sz w:val="20"/>
        </w:rPr>
        <w:t>Akeeb Dami Animashaun, New York, New York, for Amicus Curiae Women in Skid Row.</w:t>
      </w:r>
    </w:p>
    <w:p w:rsidR="00022B47" w:rsidRDefault="00000000">
      <w:pPr>
        <w:pStyle w:val="Normal38"/>
        <w:widowControl w:val="0"/>
        <w:spacing w:before="120" w:line="260" w:lineRule="atLeast"/>
      </w:pPr>
      <w:r>
        <w:rPr>
          <w:rFonts w:ascii="Arial" w:eastAsia="Arial" w:hAnsi="Arial" w:cs="Arial"/>
          <w:color w:val="000000"/>
          <w:sz w:val="20"/>
        </w:rPr>
        <w:t>Stephen J. Kaufman and George M. Yin, Kaufman Legal Group APC, [**8]  Los Angeles, California, for Amicus Curiae United Way of Greater Los Angeles.</w:t>
      </w:r>
    </w:p>
    <w:p w:rsidR="00022B47" w:rsidRDefault="00000000">
      <w:pPr>
        <w:pStyle w:val="Normal38"/>
        <w:widowControl w:val="0"/>
        <w:spacing w:before="120" w:line="260" w:lineRule="atLeast"/>
      </w:pPr>
      <w:r>
        <w:rPr>
          <w:rFonts w:ascii="Arial" w:eastAsia="Arial" w:hAnsi="Arial" w:cs="Arial"/>
          <w:color w:val="000000"/>
          <w:sz w:val="20"/>
        </w:rPr>
        <w:t>Timothy T. Coates and Nadia A. Sarkis, Greines Martin Stein &amp; Richland LLP, Los Angeles, California, for Amicus Curiae Los Angeles Homeless Services Authority.</w:t>
      </w:r>
    </w:p>
    <w:p w:rsidR="00022B47" w:rsidRDefault="00000000">
      <w:pPr>
        <w:pStyle w:val="Normal38"/>
        <w:widowControl w:val="0"/>
        <w:spacing w:before="120" w:line="260" w:lineRule="atLeast"/>
      </w:pPr>
      <w:r>
        <w:rPr>
          <w:rFonts w:ascii="Arial" w:eastAsia="Arial" w:hAnsi="Arial" w:cs="Arial"/>
          <w:color w:val="000000"/>
          <w:sz w:val="20"/>
        </w:rPr>
        <w:t>Jonathan A. Ruybalid, Schmitt Schneck Even &amp; Williams, Phoenix, Arizona; Robert Henneke, Texas Public Policy Foundation, Austin, Texas; for Amici Curiae Citygate Network and Texas Public Policy Foundation.</w:t>
      </w:r>
    </w:p>
    <w:p w:rsidR="00022B47" w:rsidRDefault="00000000">
      <w:pPr>
        <w:pStyle w:val="Normal38"/>
        <w:widowControl w:val="0"/>
        <w:spacing w:before="120" w:line="260" w:lineRule="atLeast"/>
      </w:pPr>
      <w:r>
        <w:rPr>
          <w:rFonts w:ascii="Arial" w:eastAsia="Arial" w:hAnsi="Arial" w:cs="Arial"/>
          <w:color w:val="000000"/>
          <w:sz w:val="20"/>
        </w:rPr>
        <w:t>John K. Ly and Jason L. Liang, Liang Ly LLP, Los Angeles, California, for Amicus Curiae Hope Street Coalition.</w:t>
      </w:r>
    </w:p>
    <w:p w:rsidR="00022B47" w:rsidRDefault="00000000">
      <w:pPr>
        <w:pStyle w:val="Normal38"/>
        <w:widowControl w:val="0"/>
        <w:spacing w:before="240" w:line="260" w:lineRule="atLeast"/>
      </w:pPr>
      <w:bookmarkStart w:id="6122" w:name="Judges_37"/>
      <w:bookmarkEnd w:id="6122"/>
      <w:r>
        <w:rPr>
          <w:rFonts w:ascii="Arial" w:eastAsia="Arial" w:hAnsi="Arial" w:cs="Arial"/>
          <w:b/>
          <w:color w:val="000000"/>
          <w:sz w:val="20"/>
        </w:rPr>
        <w:t>Judges:</w:t>
      </w:r>
      <w:r>
        <w:rPr>
          <w:rFonts w:ascii="Arial" w:eastAsia="Arial" w:hAnsi="Arial" w:cs="Arial"/>
          <w:color w:val="000000"/>
          <w:sz w:val="20"/>
        </w:rPr>
        <w:t> Before: Jacqueline H. Nguyen, John B. Owens, and Michelle T. Friedland, Circuit Judges. Opinion by Judge Nguyen.</w:t>
      </w:r>
    </w:p>
    <w:p w:rsidR="00022B47" w:rsidRDefault="00000000">
      <w:pPr>
        <w:pStyle w:val="Normal38"/>
        <w:widowControl w:val="0"/>
        <w:spacing w:before="240" w:line="260" w:lineRule="atLeast"/>
      </w:pPr>
      <w:bookmarkStart w:id="6123" w:name="Opinion_by_19"/>
      <w:bookmarkEnd w:id="6123"/>
      <w:r>
        <w:rPr>
          <w:rFonts w:ascii="Arial" w:eastAsia="Arial" w:hAnsi="Arial" w:cs="Arial"/>
          <w:b/>
          <w:color w:val="000000"/>
          <w:sz w:val="20"/>
        </w:rPr>
        <w:t>Opinion by:</w:t>
      </w:r>
      <w:r>
        <w:rPr>
          <w:rFonts w:ascii="Arial" w:eastAsia="Arial" w:hAnsi="Arial" w:cs="Arial"/>
          <w:color w:val="000000"/>
          <w:sz w:val="20"/>
        </w:rPr>
        <w:t> Jacqueline H. Nguyen</w:t>
      </w:r>
    </w:p>
    <w:p w:rsidR="00022B47" w:rsidRDefault="00000000">
      <w:pPr>
        <w:pStyle w:val="Normal38"/>
        <w:keepNext/>
        <w:widowControl w:val="0"/>
        <w:spacing w:before="240" w:line="340" w:lineRule="atLeast"/>
      </w:pPr>
      <w:bookmarkStart w:id="6124" w:name="Opinion_37"/>
      <w:bookmarkEnd w:id="6124"/>
      <w:r>
        <w:rPr>
          <w:rFonts w:ascii="Arial" w:eastAsia="Arial" w:hAnsi="Arial" w:cs="Arial"/>
          <w:b/>
          <w:color w:val="000000"/>
          <w:sz w:val="28"/>
        </w:rPr>
        <w:t>Opinion</w:t>
      </w:r>
    </w:p>
    <w:p w:rsidR="00022B47" w:rsidRDefault="0025213E">
      <w:pPr>
        <w:pStyle w:val="Normal38"/>
        <w:spacing w:line="60" w:lineRule="exact"/>
      </w:pPr>
      <w:r>
        <w:rPr>
          <w:noProof/>
        </w:rPr>
        <mc:AlternateContent>
          <mc:Choice Requires="wps">
            <w:drawing>
              <wp:anchor distT="0" distB="0" distL="114300" distR="114300" simplePos="0" relativeHeight="251739136"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429288559"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4CA458" id="Line 81"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38"/>
      </w:pPr>
    </w:p>
    <w:p w:rsidR="00022B47" w:rsidRDefault="00000000">
      <w:pPr>
        <w:pStyle w:val="Normal38"/>
        <w:widowControl w:val="0"/>
        <w:spacing w:before="200" w:line="260" w:lineRule="atLeast"/>
        <w:jc w:val="both"/>
      </w:pPr>
      <w:bookmarkStart w:id="6125" w:name="Bookmark_para_2_37"/>
      <w:bookmarkEnd w:id="6125"/>
      <w:r>
        <w:rPr>
          <w:rFonts w:ascii="Arial" w:eastAsia="Arial" w:hAnsi="Arial" w:cs="Arial"/>
          <w:color w:val="000000"/>
          <w:sz w:val="20"/>
        </w:rPr>
        <w:t> [*952]  NGUYEN, Circuit Judge:</w:t>
      </w:r>
    </w:p>
    <w:p w:rsidR="00022B47" w:rsidRDefault="00000000">
      <w:pPr>
        <w:pStyle w:val="Normal38"/>
        <w:widowControl w:val="0"/>
        <w:spacing w:before="200" w:line="260" w:lineRule="atLeast"/>
        <w:jc w:val="both"/>
      </w:pPr>
      <w:bookmarkStart w:id="6126" w:name="Bookmark_para_3_37"/>
      <w:bookmarkEnd w:id="6126"/>
      <w:r>
        <w:rPr>
          <w:rFonts w:ascii="Arial" w:eastAsia="Arial" w:hAnsi="Arial" w:cs="Arial"/>
          <w:color w:val="000000"/>
          <w:sz w:val="20"/>
        </w:rPr>
        <w:t>Nearly one in four unhoused people in this country live in Los Angeles County, and the crisis is worsening. In 2020, over 66,000 individuals were unhoused in the County, a 13% increase over the previous year. Perhaps nowhere is the emergency more apparent than on Los Angeles's Skid Row, which encompasses more than 50 blocks of downtown. Skid Row has become symbolic of the City's homelessness crisis due to its history as an area with a high concentration of unhoused individuals, its extreme [**9]  density of tent encampments on public sidewalks, and its frequent incidents of violence and disease. In Skid Row and elsewhere in the County, the conditions of street living, lack of sufficient services, and lack of pathways to permanent housing have had a devastating impact on the health and safety of unhoused Angelenos and the communities in which they live. These conditions, and local governments' approach to the issue, have repeatedly been the subject of litigation.</w:t>
      </w:r>
    </w:p>
    <w:p w:rsidR="00022B47" w:rsidRDefault="00000000">
      <w:pPr>
        <w:pStyle w:val="Normal38"/>
        <w:widowControl w:val="0"/>
        <w:spacing w:before="200" w:line="260" w:lineRule="atLeast"/>
        <w:jc w:val="both"/>
      </w:pPr>
      <w:bookmarkStart w:id="6127" w:name="Bookmark_para_4_37"/>
      <w:bookmarkEnd w:id="6127"/>
      <w:r>
        <w:rPr>
          <w:rFonts w:ascii="Arial" w:eastAsia="Arial" w:hAnsi="Arial" w:cs="Arial"/>
          <w:color w:val="000000"/>
          <w:sz w:val="20"/>
        </w:rPr>
        <w:t>Plaintiff LA Alliance for Human Rights and eight individual plaintiffs sued the County and City of Los Angeles for harms stemming from the proliferation of encampments in the Skid Row area. They allege that County and City policies and inaction have created a dangerous environment in Skid Row, to the detriment of local businesses and residents. The litigation was stayed for nearly a year while the district court devoted an extraordinary amount of time and effort to understanding the parties' positions and encouraging settlement. After extensive negotiations failed to produce a settlement, the district court issued a sweeping preliminary injunction against the County and City of Los Angeles and ordered, among other relief: [**10]  the escrow of $1 billion to address the homelessness crisis, offers of shelter or housing to all unhoused individuals in Skid Row within 180 days, and numerous audits and reports.</w:t>
      </w:r>
    </w:p>
    <w:p w:rsidR="00022B47" w:rsidRDefault="00000000">
      <w:pPr>
        <w:pStyle w:val="Normal38"/>
        <w:widowControl w:val="0"/>
        <w:spacing w:before="200" w:line="260" w:lineRule="atLeast"/>
        <w:jc w:val="both"/>
      </w:pPr>
      <w:bookmarkStart w:id="6128" w:name="Bookmark_para_5_37"/>
      <w:bookmarkEnd w:id="6128"/>
      <w:r>
        <w:rPr>
          <w:rFonts w:ascii="Arial" w:eastAsia="Arial" w:hAnsi="Arial" w:cs="Arial"/>
          <w:color w:val="000000"/>
          <w:sz w:val="20"/>
        </w:rPr>
        <w:t>The district court's order is premised on its finding that structural racism—in the form of discriminatory lending, real estate covenants, redlining, freeway construction, eminent domain, exclusionary zoning, and unequal access to shelter and affordable housing—is the driving force behind Los Angeles's homelessness crisis and its disproportionate impact on the Black community. Faulting the County and City for being "unable or unwilling to devise effective solutions to L.A.'s homelessness crisis," the district court determined it was compelled to act because the "ever-worsening public health and safety emergency demands immediate, life-saving action."</w:t>
      </w:r>
    </w:p>
    <w:p w:rsidR="00022B47" w:rsidRDefault="00000000">
      <w:pPr>
        <w:pStyle w:val="Normal38"/>
        <w:widowControl w:val="0"/>
        <w:spacing w:before="200" w:line="260" w:lineRule="atLeast"/>
        <w:jc w:val="both"/>
      </w:pPr>
      <w:bookmarkStart w:id="6129" w:name="Bookmark_para_6_37"/>
      <w:bookmarkEnd w:id="6129"/>
      <w:r>
        <w:rPr>
          <w:rFonts w:ascii="Arial" w:eastAsia="Arial" w:hAnsi="Arial" w:cs="Arial"/>
          <w:color w:val="000000"/>
          <w:sz w:val="20"/>
        </w:rPr>
        <w:t>The parties take no issue with the district court's conclusion that structural racism has played a significant role in the current homelessness crisis in the Los Angeles area. But none of Plaintiffs' claims is based on racial discrimination, and the district court's order is largely based on unpled claims and theories. On appeal, Plaintiffs embrace the entirety [**11]  of the district court's order, but because they did not bring most of the claims upon which relief was granted, they failed to put forth evidence to establish standing. To fill the gap, the district court impermissibly resorted to independent research and extra-record evidence. For these reasons, we vacate the preliminary injunction and remand for further proceedings.</w:t>
      </w:r>
    </w:p>
    <w:p w:rsidR="00022B47" w:rsidRDefault="00000000">
      <w:pPr>
        <w:pStyle w:val="Normal38"/>
        <w:widowControl w:val="0"/>
        <w:spacing w:before="120" w:line="260" w:lineRule="atLeast"/>
      </w:pPr>
      <w:r>
        <w:rPr>
          <w:rFonts w:ascii="Arial" w:eastAsia="Arial" w:hAnsi="Arial" w:cs="Arial"/>
          <w:color w:val="000000"/>
          <w:sz w:val="20"/>
        </w:rPr>
        <w:t>I</w:t>
      </w:r>
    </w:p>
    <w:p w:rsidR="00022B47" w:rsidRDefault="00000000">
      <w:pPr>
        <w:pStyle w:val="Normal38"/>
        <w:widowControl w:val="0"/>
        <w:spacing w:before="120" w:line="260" w:lineRule="atLeast"/>
      </w:pPr>
      <w:r>
        <w:rPr>
          <w:rFonts w:ascii="Arial" w:eastAsia="Arial" w:hAnsi="Arial" w:cs="Arial"/>
          <w:color w:val="000000"/>
          <w:sz w:val="20"/>
        </w:rPr>
        <w:t>A</w:t>
      </w:r>
    </w:p>
    <w:p w:rsidR="00022B47" w:rsidRDefault="00000000">
      <w:pPr>
        <w:pStyle w:val="Normal38"/>
        <w:widowControl w:val="0"/>
        <w:spacing w:before="200" w:line="260" w:lineRule="atLeast"/>
        <w:jc w:val="both"/>
      </w:pPr>
      <w:bookmarkStart w:id="6130" w:name="Bookmark_para_7_37"/>
      <w:bookmarkEnd w:id="6130"/>
      <w:r>
        <w:rPr>
          <w:rFonts w:ascii="Arial" w:eastAsia="Arial" w:hAnsi="Arial" w:cs="Arial"/>
          <w:color w:val="000000"/>
          <w:sz w:val="20"/>
        </w:rPr>
        <w:t>LA Alliance is a coalition of Los Angeles residents. Members include business and  [*953]  property owners, landlords, housed residents of the Skid Row area, formerly homeless residents of a Skid Row-area mission, and a real estate professional with an interest in the downtown area. Six of the nine individuals alleged to be representative of LA Alliance's membership own property or have business or organizational interests in and around homeless encampments. Five of the eight LA Alliance members who are individual Plaintiffs, including two who use wheelchairs, live in or near Skid Row.</w:t>
      </w:r>
    </w:p>
    <w:p w:rsidR="00022B47" w:rsidRDefault="00000000">
      <w:pPr>
        <w:pStyle w:val="Normal38"/>
        <w:widowControl w:val="0"/>
        <w:spacing w:before="200" w:line="260" w:lineRule="atLeast"/>
        <w:jc w:val="both"/>
      </w:pPr>
      <w:bookmarkStart w:id="6131" w:name="Bookmark_para_8_36"/>
      <w:bookmarkStart w:id="6132" w:name="Bookmark_I63R3BY028T4PB0020000400"/>
      <w:bookmarkEnd w:id="6131"/>
      <w:bookmarkEnd w:id="6132"/>
      <w:r>
        <w:rPr>
          <w:rFonts w:ascii="Arial" w:eastAsia="Arial" w:hAnsi="Arial" w:cs="Arial"/>
          <w:color w:val="000000"/>
          <w:sz w:val="20"/>
        </w:rPr>
        <w:t xml:space="preserve">In 2019, LA Alliance unsuccessfully attempted to intervene in and object to the settlement of </w:t>
      </w:r>
      <w:r>
        <w:rPr>
          <w:rFonts w:ascii="Arial" w:eastAsia="Arial" w:hAnsi="Arial" w:cs="Arial"/>
          <w:i/>
          <w:color w:val="000000"/>
          <w:sz w:val="20"/>
        </w:rPr>
        <w:t>Mitchell v. City of Los Angeles</w:t>
      </w:r>
      <w:r>
        <w:rPr>
          <w:rFonts w:ascii="Arial" w:eastAsia="Arial" w:hAnsi="Arial" w:cs="Arial"/>
          <w:color w:val="000000"/>
          <w:sz w:val="20"/>
        </w:rPr>
        <w:t xml:space="preserve">, No. 2:16-cv-01750 (C.D. Cal. filed Mar. 14, 2016). The </w:t>
      </w:r>
      <w:r>
        <w:rPr>
          <w:rFonts w:ascii="Arial" w:eastAsia="Arial" w:hAnsi="Arial" w:cs="Arial"/>
          <w:i/>
          <w:color w:val="000000"/>
          <w:sz w:val="20"/>
        </w:rPr>
        <w:t>Mitchell</w:t>
      </w:r>
      <w:r>
        <w:rPr>
          <w:rFonts w:ascii="Arial" w:eastAsia="Arial" w:hAnsi="Arial" w:cs="Arial"/>
          <w:color w:val="000000"/>
          <w:sz w:val="20"/>
        </w:rPr>
        <w:t xml:space="preserve"> settlement, which applies for three years to certain blocks [**12]  in the Skid Row area, limits the City's ability to clear or destroy the property of unhoused people and requires notice of any cleanups. However, it allows the City to move property without notice to permit access required by the Americans with Disabilities Act ("ADA"). </w:t>
      </w:r>
      <w:r>
        <w:rPr>
          <w:rFonts w:ascii="Arial" w:eastAsia="Arial" w:hAnsi="Arial" w:cs="Arial"/>
          <w:vertAlign w:val="superscript"/>
        </w:rPr>
        <w:footnoteReference w:customMarkFollows="1" w:id="174"/>
        <w:t>1</w:t>
      </w:r>
    </w:p>
    <w:p w:rsidR="00022B47" w:rsidRDefault="00000000">
      <w:pPr>
        <w:pStyle w:val="Normal38"/>
        <w:widowControl w:val="0"/>
        <w:spacing w:before="200" w:line="260" w:lineRule="atLeast"/>
        <w:jc w:val="both"/>
      </w:pPr>
      <w:bookmarkStart w:id="6135" w:name="Bookmark_para_9_35"/>
      <w:bookmarkEnd w:id="6135"/>
      <w:r>
        <w:rPr>
          <w:rFonts w:ascii="Arial" w:eastAsia="Arial" w:hAnsi="Arial" w:cs="Arial"/>
          <w:color w:val="000000"/>
          <w:sz w:val="20"/>
        </w:rPr>
        <w:t xml:space="preserve">Denied intervenor status in </w:t>
      </w:r>
      <w:r>
        <w:rPr>
          <w:rFonts w:ascii="Arial" w:eastAsia="Arial" w:hAnsi="Arial" w:cs="Arial"/>
          <w:i/>
          <w:color w:val="000000"/>
          <w:sz w:val="20"/>
        </w:rPr>
        <w:t>Mitchell</w:t>
      </w:r>
      <w:r>
        <w:rPr>
          <w:rFonts w:ascii="Arial" w:eastAsia="Arial" w:hAnsi="Arial" w:cs="Arial"/>
          <w:color w:val="000000"/>
          <w:sz w:val="20"/>
        </w:rPr>
        <w:t xml:space="preserve">, LA Alliance and eight of its individual members filed this suit against the County and City on March 10, 2020. On March 17 and 18, 2020, the district court granted some of the </w:t>
      </w:r>
      <w:r>
        <w:rPr>
          <w:rFonts w:ascii="Arial" w:eastAsia="Arial" w:hAnsi="Arial" w:cs="Arial"/>
          <w:i/>
          <w:color w:val="000000"/>
          <w:sz w:val="20"/>
        </w:rPr>
        <w:t>Mitchell</w:t>
      </w:r>
      <w:r>
        <w:rPr>
          <w:rFonts w:ascii="Arial" w:eastAsia="Arial" w:hAnsi="Arial" w:cs="Arial"/>
          <w:color w:val="000000"/>
          <w:sz w:val="20"/>
        </w:rPr>
        <w:t xml:space="preserve"> plaintiffs' applications to intervene as of right to protect their interest in the </w:t>
      </w:r>
      <w:r>
        <w:rPr>
          <w:rFonts w:ascii="Arial" w:eastAsia="Arial" w:hAnsi="Arial" w:cs="Arial"/>
          <w:i/>
          <w:color w:val="000000"/>
          <w:sz w:val="20"/>
        </w:rPr>
        <w:t>Mitchell</w:t>
      </w:r>
      <w:r>
        <w:rPr>
          <w:rFonts w:ascii="Arial" w:eastAsia="Arial" w:hAnsi="Arial" w:cs="Arial"/>
          <w:color w:val="000000"/>
          <w:sz w:val="20"/>
        </w:rPr>
        <w:t xml:space="preserve"> settlement. One of those intervenors, Cangress, dba Los Angeles Community Action Network ("Cangress"), is also a party to this appeal.</w:t>
      </w:r>
    </w:p>
    <w:p w:rsidR="00022B47" w:rsidRDefault="00000000">
      <w:pPr>
        <w:pStyle w:val="Normal38"/>
        <w:widowControl w:val="0"/>
        <w:spacing w:before="120" w:line="260" w:lineRule="atLeast"/>
      </w:pPr>
      <w:r>
        <w:rPr>
          <w:rFonts w:ascii="Arial" w:eastAsia="Arial" w:hAnsi="Arial" w:cs="Arial"/>
          <w:color w:val="000000"/>
          <w:sz w:val="20"/>
        </w:rPr>
        <w:t>B</w:t>
      </w:r>
    </w:p>
    <w:p w:rsidR="00022B47" w:rsidRDefault="00000000">
      <w:pPr>
        <w:pStyle w:val="Normal38"/>
        <w:widowControl w:val="0"/>
        <w:spacing w:before="200" w:line="260" w:lineRule="atLeast"/>
        <w:jc w:val="both"/>
      </w:pPr>
      <w:bookmarkStart w:id="6136" w:name="Bookmark_para_10_35"/>
      <w:bookmarkEnd w:id="6136"/>
      <w:r>
        <w:rPr>
          <w:rFonts w:ascii="Arial" w:eastAsia="Arial" w:hAnsi="Arial" w:cs="Arial"/>
          <w:color w:val="000000"/>
          <w:sz w:val="20"/>
        </w:rPr>
        <w:t>The Complaint asserts fourteen causes of action under state and federal law. In general, the Complaint alleges that County and City policies and inaction have created a dangerous environment in the Skid Row area and that the situation is only deteriorating. Specifically, Plaintiffs allege that the County and City's failures to curb rising homelessness, combined with various settlements and court orders protecting the rights of homeless individuals, have resulted in violent crime, [**13]  the deterioration of public order, unsanitary conditions, needless death, the usurpation of public sidewalks, and damage to the natural environment. Plaintiffs also allege that this crisis has negatively affected property values in downtown and Skid Row, harming Plaintiffs' ability to sell, rent, and operate their properties. Various Plaintiffs also allege that they cannot safely traverse Skid Row sidewalks, have experienced property damage due to the proliferation of encampments, and are exposed to violence and human suffering daily.</w:t>
      </w:r>
    </w:p>
    <w:p w:rsidR="00022B47" w:rsidRDefault="00000000">
      <w:pPr>
        <w:pStyle w:val="Normal38"/>
        <w:widowControl w:val="0"/>
        <w:spacing w:before="120" w:line="260" w:lineRule="atLeast"/>
      </w:pPr>
      <w:r>
        <w:rPr>
          <w:rFonts w:ascii="Arial" w:eastAsia="Arial" w:hAnsi="Arial" w:cs="Arial"/>
          <w:color w:val="000000"/>
          <w:sz w:val="20"/>
        </w:rPr>
        <w:t>C</w:t>
      </w:r>
    </w:p>
    <w:p w:rsidR="00022B47" w:rsidRDefault="00000000">
      <w:pPr>
        <w:pStyle w:val="Normal38"/>
        <w:widowControl w:val="0"/>
        <w:spacing w:before="200" w:line="260" w:lineRule="atLeast"/>
        <w:jc w:val="both"/>
      </w:pPr>
      <w:bookmarkStart w:id="6137" w:name="Bookmark_para_11_34"/>
      <w:bookmarkEnd w:id="6137"/>
      <w:r>
        <w:rPr>
          <w:rFonts w:ascii="Arial" w:eastAsia="Arial" w:hAnsi="Arial" w:cs="Arial"/>
          <w:color w:val="000000"/>
          <w:sz w:val="20"/>
        </w:rPr>
        <w:t>For over a year, the district court and the parties, including Intervenor Cangress, engaged in almost a dozen settlement and status conferences. At various times the district court heard from non-party community members (housed and unhoused), clergy, City Council members, County Commissioners, the Mayor of Los Angeles, and representatives from state and federal agencies. The district court devoted an extraordinary amount of effort toward understanding and encouraging the parties to implement solutions that would improve the lives of unhoused Angelenos.</w:t>
      </w:r>
    </w:p>
    <w:p w:rsidR="00022B47" w:rsidRDefault="00000000">
      <w:pPr>
        <w:pStyle w:val="Normal38"/>
        <w:widowControl w:val="0"/>
        <w:spacing w:before="200" w:line="260" w:lineRule="atLeast"/>
        <w:jc w:val="both"/>
      </w:pPr>
      <w:bookmarkStart w:id="6138" w:name="Bookmark_para_12_33"/>
      <w:bookmarkEnd w:id="6138"/>
      <w:r>
        <w:rPr>
          <w:rFonts w:ascii="Arial" w:eastAsia="Arial" w:hAnsi="Arial" w:cs="Arial"/>
          <w:color w:val="000000"/>
          <w:sz w:val="20"/>
        </w:rPr>
        <w:t>With no settlement forthcoming, on January 31, 2021, the district court issued an "order to appear and [**14]  show cause." The  [*954]  order sought inventories of County and City properties, financial disclosures, and briefing on the "outer limit of the Court's structural equitable remedy power" and "all equitable remedies available to the Court that would require the City . . . to take action to provide relief to the homeless community."</w:t>
      </w:r>
    </w:p>
    <w:p w:rsidR="00022B47" w:rsidRDefault="00000000">
      <w:pPr>
        <w:pStyle w:val="Normal38"/>
        <w:widowControl w:val="0"/>
        <w:spacing w:before="200" w:line="260" w:lineRule="atLeast"/>
        <w:jc w:val="both"/>
      </w:pPr>
      <w:bookmarkStart w:id="6139" w:name="Bookmark_para_13_33"/>
      <w:bookmarkEnd w:id="6139"/>
      <w:r>
        <w:rPr>
          <w:rFonts w:ascii="Arial" w:eastAsia="Arial" w:hAnsi="Arial" w:cs="Arial"/>
          <w:color w:val="000000"/>
          <w:sz w:val="20"/>
        </w:rPr>
        <w:t>Plaintiffs responded by filing a Motion for Preliminary Injunction seeking a court order that required the County and City to offer shelter to all unhoused individuals in Skid Row, clear all Skid Row encampments, prohibit camping there, and more. The Motion was grounded in the legal theories alleged in the Complaint and based on eight of Plaintiffs' fourteen claims, including: a claim that the County violated its mandatory duty to provide medically necessary care under California Welfare and Institutions Code section 17000 by failing to provide shelter to unhoused individuals; a claim that the County and City have facilitated public nuisance violations by failing to clear encampments; several claims that the City violated state and federal disability access laws by failing to clear sidewalks of encampments; and claims that the County and City violated Plaintiffs' constitutional rights by providing disparate services [**15]  to those living and working within the Skid Row area and by enacting policies regarding Skid Row that have resulted in a state-created danger to Skid Row-area residents and businesses.</w:t>
      </w:r>
    </w:p>
    <w:p w:rsidR="00022B47" w:rsidRDefault="00000000">
      <w:pPr>
        <w:pStyle w:val="Normal38"/>
        <w:widowControl w:val="0"/>
        <w:spacing w:before="200" w:line="260" w:lineRule="atLeast"/>
        <w:jc w:val="both"/>
      </w:pPr>
      <w:bookmarkStart w:id="6140" w:name="Bookmark_para_14_33"/>
      <w:bookmarkEnd w:id="6140"/>
      <w:r>
        <w:rPr>
          <w:rFonts w:ascii="Arial" w:eastAsia="Arial" w:hAnsi="Arial" w:cs="Arial"/>
          <w:color w:val="000000"/>
          <w:sz w:val="20"/>
        </w:rPr>
        <w:t>Although none of these claims alleged racial discrimination, Plaintiffs' Motion included a short section highlighting statements made at status conferences and a report acknowledging the impact systemic racism has had on homelessness. During status conferences, the district court had engaged in numerous colloquies regarding the disproportionate number of unhoused Black and Latino Angelenos and had expressed interest in the relationship between systemic racism and homelessness.</w:t>
      </w:r>
    </w:p>
    <w:p w:rsidR="00022B47" w:rsidRDefault="00000000">
      <w:pPr>
        <w:pStyle w:val="Normal38"/>
        <w:widowControl w:val="0"/>
        <w:spacing w:before="120" w:line="260" w:lineRule="atLeast"/>
      </w:pPr>
      <w:r>
        <w:rPr>
          <w:rFonts w:ascii="Arial" w:eastAsia="Arial" w:hAnsi="Arial" w:cs="Arial"/>
          <w:color w:val="000000"/>
          <w:sz w:val="20"/>
        </w:rPr>
        <w:t>D</w:t>
      </w:r>
    </w:p>
    <w:p w:rsidR="00022B47" w:rsidRDefault="00000000">
      <w:pPr>
        <w:pStyle w:val="Normal38"/>
        <w:widowControl w:val="0"/>
        <w:spacing w:before="200" w:line="260" w:lineRule="atLeast"/>
        <w:jc w:val="both"/>
      </w:pPr>
      <w:bookmarkStart w:id="6141" w:name="Bookmark_para_15_32"/>
      <w:bookmarkEnd w:id="6141"/>
      <w:r>
        <w:rPr>
          <w:rFonts w:ascii="Arial" w:eastAsia="Arial" w:hAnsi="Arial" w:cs="Arial"/>
          <w:color w:val="000000"/>
          <w:sz w:val="20"/>
        </w:rPr>
        <w:t>Shortly after the County and City filed their oppositions to Plaintiffs' Motion, the district court issued an order granting a preliminary injunction ("Order"). The Order detailed, over sixty-three single-spaced pages, the County and City's "historical constitutional violations" stemming from structural racism. Beginning with Los Angeles's approach to poor residents living in unpermitted wooden structures during the first half of the twentieth century, the district court described the impact of the "racially segmented economy" during [**16]  the Great Depression, the rise of "state-enforced racially-restrictive [real estate] covenants," and the segregated homelessness-services systems of the 1920s and 1930s. Drawing from academic and media sources, the district court explained this country's history of redlining, which created a "cycle of disinvestment" and "a lasting [racial] wealth gap." The district court explored the impact and history of "Los Angeles's 'urban renewal'" efforts, including the use of eminent domain and highway construction to "displac[e] Black families on a large scale."</w:t>
      </w:r>
    </w:p>
    <w:p w:rsidR="00022B47" w:rsidRDefault="00000000">
      <w:pPr>
        <w:pStyle w:val="Normal38"/>
        <w:widowControl w:val="0"/>
        <w:spacing w:before="200" w:line="260" w:lineRule="atLeast"/>
        <w:jc w:val="both"/>
      </w:pPr>
      <w:bookmarkStart w:id="6142" w:name="Bookmark_para_16_32"/>
      <w:bookmarkEnd w:id="6142"/>
      <w:r>
        <w:rPr>
          <w:rFonts w:ascii="Arial" w:eastAsia="Arial" w:hAnsi="Arial" w:cs="Arial"/>
          <w:color w:val="000000"/>
          <w:sz w:val="20"/>
        </w:rPr>
        <w:t>The district court then found that the City's 1976 adoption of a Containment Policy was aimed at "'contain[ing]' homeless people" within a 55-block zone "to maintain the pristineness of the business district." The court found that this policy "demarcate[d] Skid Row as a concentration for rehabilitation services," facilitating an "ensuing cycle of incarceration and homelessness—disproportionately targeting Black communities."</w:t>
      </w:r>
    </w:p>
    <w:p w:rsidR="00022B47" w:rsidRDefault="00000000">
      <w:pPr>
        <w:pStyle w:val="Normal38"/>
        <w:widowControl w:val="0"/>
        <w:spacing w:before="200" w:line="260" w:lineRule="atLeast"/>
        <w:jc w:val="both"/>
      </w:pPr>
      <w:bookmarkStart w:id="6143" w:name="Bookmark_para_17_31"/>
      <w:bookmarkEnd w:id="6143"/>
      <w:r>
        <w:rPr>
          <w:rFonts w:ascii="Arial" w:eastAsia="Arial" w:hAnsi="Arial" w:cs="Arial"/>
          <w:color w:val="000000"/>
          <w:sz w:val="20"/>
        </w:rPr>
        <w:t>The district court recounted shortcomings of affordable housing efforts in and around Los Angeles, and the disparate impact of COVID-19 on Black renters. It criticized the City's leaders for failing to effectively [**17]  use their emergency powers and blasted corruption and misappropriation of taxpayer-allocated funds, missed  [*955]  deadlines, and the lack of a plan to solve the crisis. The district court compellingly described the ill effects of the growing crisis: fires; rising deaths of unhoused Angelenos; unhoused Angelenos living near pollution-heavy roadways; unaddressed mental health disorders, particularly among unhoused Angelenos of color; and the spread of uncommon diseases due to lack of sanitation. Finally, the district court highlighted the "unique impact that homelessness has on women," noting that "women of color" are significantly overrepresented in the homeless population and in the population of those who die on the streets.</w:t>
      </w:r>
    </w:p>
    <w:p w:rsidR="00022B47" w:rsidRDefault="00000000">
      <w:pPr>
        <w:pStyle w:val="Normal38"/>
        <w:widowControl w:val="0"/>
        <w:spacing w:before="200" w:line="260" w:lineRule="atLeast"/>
        <w:jc w:val="both"/>
      </w:pPr>
      <w:bookmarkStart w:id="6144" w:name="Bookmark_para_18_30"/>
      <w:bookmarkEnd w:id="6144"/>
      <w:r>
        <w:rPr>
          <w:rFonts w:ascii="Arial" w:eastAsia="Arial" w:hAnsi="Arial" w:cs="Arial"/>
          <w:color w:val="000000"/>
          <w:sz w:val="20"/>
        </w:rPr>
        <w:t>Based on these extensive findings, the district court found a likelihood of success on the merits of six claims against both the County and City:</w:t>
      </w:r>
    </w:p>
    <w:p w:rsidR="00022B47" w:rsidRDefault="00000000">
      <w:pPr>
        <w:pStyle w:val="Normal38"/>
        <w:widowControl w:val="0"/>
        <w:spacing w:before="200" w:line="260" w:lineRule="atLeast"/>
        <w:ind w:left="400"/>
        <w:jc w:val="both"/>
      </w:pPr>
      <w:bookmarkStart w:id="6145" w:name="Bookmark_para_19_29"/>
      <w:bookmarkEnd w:id="6145"/>
      <w:r>
        <w:rPr>
          <w:rFonts w:ascii="Arial" w:eastAsia="Arial" w:hAnsi="Arial" w:cs="Arial"/>
          <w:color w:val="000000"/>
          <w:sz w:val="20"/>
        </w:rPr>
        <w:t>1) Violation of due process rights under the state-created danger doctrine, based on actions that created danger to the "Black community" by "creat[ing] or worsen[ing] the discriminatory homelessness regime that plagues Los Angeles today," as well as actions that created a danger to those living in encampments, most notably a [**18]  high rate of preventable deaths.</w:t>
      </w:r>
    </w:p>
    <w:p w:rsidR="00022B47" w:rsidRDefault="00000000">
      <w:pPr>
        <w:pStyle w:val="Normal38"/>
        <w:widowControl w:val="0"/>
        <w:spacing w:line="260" w:lineRule="atLeast"/>
        <w:ind w:left="400"/>
        <w:jc w:val="both"/>
      </w:pPr>
      <w:bookmarkStart w:id="6146" w:name="Bookmark_para_20_29"/>
      <w:bookmarkEnd w:id="6146"/>
      <w:r>
        <w:rPr>
          <w:rFonts w:ascii="Arial" w:eastAsia="Arial" w:hAnsi="Arial" w:cs="Arial"/>
          <w:color w:val="000000"/>
          <w:sz w:val="20"/>
        </w:rPr>
        <w:t>2) Violation of due process rights under the special relationship doctrine based on the County and City's "lengthy history of discriminatory policies, . . . [which] restrain[] the personal liberty of L.A.'s homeless population to such an extent as to trigger the state's affirmative duty to act."</w:t>
      </w:r>
    </w:p>
    <w:p w:rsidR="00022B47" w:rsidRDefault="00000000">
      <w:pPr>
        <w:pStyle w:val="Normal38"/>
        <w:widowControl w:val="0"/>
        <w:spacing w:line="260" w:lineRule="atLeast"/>
        <w:ind w:left="400"/>
        <w:jc w:val="both"/>
      </w:pPr>
      <w:bookmarkStart w:id="6147" w:name="Bookmark_para_21_28"/>
      <w:bookmarkEnd w:id="6147"/>
      <w:r>
        <w:rPr>
          <w:rFonts w:ascii="Arial" w:eastAsia="Arial" w:hAnsi="Arial" w:cs="Arial"/>
          <w:color w:val="000000"/>
          <w:sz w:val="20"/>
        </w:rPr>
        <w:t>3) Violation of equal protection on the basis of race. The court found that the disproportionate death rates of Black people compared to "their white counterparts . . . can be directly traced to a history of structural racism and discrimination."</w:t>
      </w:r>
    </w:p>
    <w:p w:rsidR="00022B47" w:rsidRDefault="00000000">
      <w:pPr>
        <w:pStyle w:val="Normal38"/>
        <w:widowControl w:val="0"/>
        <w:spacing w:line="260" w:lineRule="atLeast"/>
        <w:ind w:left="400"/>
        <w:jc w:val="both"/>
      </w:pPr>
      <w:bookmarkStart w:id="6148" w:name="Bookmark_para_22_27"/>
      <w:bookmarkEnd w:id="6148"/>
      <w:r>
        <w:rPr>
          <w:rFonts w:ascii="Arial" w:eastAsia="Arial" w:hAnsi="Arial" w:cs="Arial"/>
          <w:color w:val="000000"/>
          <w:sz w:val="20"/>
        </w:rPr>
        <w:t>4) Violation of the substantive due process right of Black families to family integrity, caused by "decades of systemic racism" and "City and County policies enacted against Black communities."</w:t>
      </w:r>
    </w:p>
    <w:p w:rsidR="00022B47" w:rsidRDefault="00000000">
      <w:pPr>
        <w:pStyle w:val="Normal38"/>
        <w:widowControl w:val="0"/>
        <w:spacing w:line="260" w:lineRule="atLeast"/>
        <w:ind w:left="400"/>
        <w:jc w:val="both"/>
      </w:pPr>
      <w:bookmarkStart w:id="6149" w:name="Bookmark_para_23_26"/>
      <w:bookmarkEnd w:id="6149"/>
      <w:r>
        <w:rPr>
          <w:rFonts w:ascii="Arial" w:eastAsia="Arial" w:hAnsi="Arial" w:cs="Arial"/>
          <w:color w:val="000000"/>
          <w:sz w:val="20"/>
        </w:rPr>
        <w:t>5) Violation of California Welfare and Institutions Code section 17000, which imposes a mandatory duty of care on the County. The court expanded section 17000's application to the City.</w:t>
      </w:r>
    </w:p>
    <w:p w:rsidR="00022B47" w:rsidRDefault="00000000">
      <w:pPr>
        <w:pStyle w:val="Normal38"/>
        <w:widowControl w:val="0"/>
        <w:spacing w:line="260" w:lineRule="atLeast"/>
        <w:ind w:left="400"/>
        <w:jc w:val="both"/>
      </w:pPr>
      <w:bookmarkStart w:id="6150" w:name="Bookmark_para_24_24"/>
      <w:bookmarkEnd w:id="6150"/>
      <w:r>
        <w:rPr>
          <w:rFonts w:ascii="Arial" w:eastAsia="Arial" w:hAnsi="Arial" w:cs="Arial"/>
          <w:color w:val="000000"/>
          <w:sz w:val="20"/>
        </w:rPr>
        <w:t>6) Violation of the ADA by both the County and City.</w:t>
      </w:r>
    </w:p>
    <w:p w:rsidR="00022B47" w:rsidRDefault="00000000">
      <w:pPr>
        <w:pStyle w:val="Normal38"/>
        <w:widowControl w:val="0"/>
        <w:spacing w:before="200" w:line="260" w:lineRule="atLeast"/>
        <w:jc w:val="both"/>
      </w:pPr>
      <w:bookmarkStart w:id="6151" w:name="Bookmark_para_25_23"/>
      <w:bookmarkEnd w:id="6151"/>
      <w:r>
        <w:rPr>
          <w:rFonts w:ascii="Arial" w:eastAsia="Arial" w:hAnsi="Arial" w:cs="Arial"/>
          <w:color w:val="000000"/>
          <w:sz w:val="20"/>
        </w:rPr>
        <w:t>Of these six claims, Plaintiffs had not asserted or moved for injunctive relief on the first four and had asserted the fifth against only the County and the sixth against only the City. The district court's explanation for why these claims had a likelihood of success [**19]  on the merits also relied on legal theories that Plaintiffs did not plead or argue, including the race-based discrimination theories underpinning the state-created danger, equal protection, and substantive due process claims. In addition, the district court relied almost exclusively on extra-record evidence, and expressly did not rely on Plaintiffs' preliminary injunction evidence.</w:t>
      </w:r>
    </w:p>
    <w:p w:rsidR="00022B47" w:rsidRDefault="00000000">
      <w:pPr>
        <w:pStyle w:val="Normal38"/>
        <w:widowControl w:val="0"/>
        <w:spacing w:before="200" w:line="260" w:lineRule="atLeast"/>
        <w:jc w:val="both"/>
      </w:pPr>
      <w:bookmarkStart w:id="6152" w:name="Bookmark_para_26_21"/>
      <w:bookmarkEnd w:id="6152"/>
      <w:r>
        <w:rPr>
          <w:rFonts w:ascii="Arial" w:eastAsia="Arial" w:hAnsi="Arial" w:cs="Arial"/>
          <w:color w:val="000000"/>
          <w:sz w:val="20"/>
        </w:rPr>
        <w:t xml:space="preserve">The district court ordered extensive relief. </w:t>
      </w:r>
      <w:r>
        <w:rPr>
          <w:rFonts w:ascii="Arial" w:eastAsia="Arial" w:hAnsi="Arial" w:cs="Arial"/>
          <w:vertAlign w:val="superscript"/>
        </w:rPr>
        <w:footnoteReference w:customMarkFollows="1" w:id="175"/>
        <w:t>2</w:t>
      </w:r>
      <w:r>
        <w:rPr>
          <w:rFonts w:ascii="Arial" w:eastAsia="Arial" w:hAnsi="Arial" w:cs="Arial"/>
          <w:color w:val="000000"/>
          <w:sz w:val="20"/>
        </w:rPr>
        <w:t xml:space="preserve"> The Order requires numerous independent  [*956]  audits, investigations, and reports related to the County and City's funds, properties, and contractual relationships with developers; the cessation of land and property transfers County-and City-wide; offers of shelter to all unhoused individuals on Skid Row within 180 days; the creation of a "plan that ensures the uplifting and enhancement of Skid Row without involuntarily displacing current residents;" and the escrow of $1 billion to address homelessness.</w:t>
      </w:r>
    </w:p>
    <w:p w:rsidR="00022B47" w:rsidRDefault="00000000">
      <w:pPr>
        <w:pStyle w:val="Normal38"/>
        <w:widowControl w:val="0"/>
        <w:spacing w:before="120" w:line="260" w:lineRule="atLeast"/>
      </w:pPr>
      <w:r>
        <w:rPr>
          <w:rFonts w:ascii="Arial" w:eastAsia="Arial" w:hAnsi="Arial" w:cs="Arial"/>
          <w:color w:val="000000"/>
          <w:sz w:val="20"/>
        </w:rPr>
        <w:t>E</w:t>
      </w:r>
    </w:p>
    <w:p w:rsidR="00022B47" w:rsidRDefault="00000000">
      <w:pPr>
        <w:pStyle w:val="Normal38"/>
        <w:widowControl w:val="0"/>
        <w:spacing w:before="200" w:line="260" w:lineRule="atLeast"/>
        <w:jc w:val="both"/>
      </w:pPr>
      <w:bookmarkStart w:id="6157" w:name="Bookmark_para_27_21"/>
      <w:bookmarkEnd w:id="6157"/>
      <w:r>
        <w:rPr>
          <w:rFonts w:ascii="Arial" w:eastAsia="Arial" w:hAnsi="Arial" w:cs="Arial"/>
          <w:color w:val="000000"/>
          <w:sz w:val="20"/>
        </w:rPr>
        <w:t xml:space="preserve">On April 28 and 29, 2021, the County and City filed emergency motions with this court to stay the preliminary injunction pending appeal. A motions panel granted an administrative stay to preserve the status quo pending a May 27, 2021 hearing in the district court, [**20]  which the district court scheduled to "receive evidence as to what properties are available for homelessness relief" and "receive testimony from the City and County" on its structural racism findings. </w:t>
      </w:r>
      <w:r>
        <w:rPr>
          <w:rFonts w:ascii="Arial" w:eastAsia="Arial" w:hAnsi="Arial" w:cs="Arial"/>
          <w:vertAlign w:val="superscript"/>
        </w:rPr>
        <w:footnoteReference w:customMarkFollows="1" w:id="176"/>
        <w:t>3</w:t>
      </w:r>
      <w:r>
        <w:rPr>
          <w:rFonts w:ascii="Arial" w:eastAsia="Arial" w:hAnsi="Arial" w:cs="Arial"/>
          <w:color w:val="000000"/>
          <w:sz w:val="20"/>
        </w:rPr>
        <w:t xml:space="preserve"> On June 10, 2021, we extended the administrative stay pending further order of the court.</w:t>
      </w:r>
    </w:p>
    <w:p w:rsidR="00022B47" w:rsidRDefault="00000000">
      <w:pPr>
        <w:pStyle w:val="Normal38"/>
        <w:widowControl w:val="0"/>
        <w:spacing w:before="120" w:line="260" w:lineRule="atLeast"/>
      </w:pPr>
      <w:r>
        <w:rPr>
          <w:rFonts w:ascii="Arial" w:eastAsia="Arial" w:hAnsi="Arial" w:cs="Arial"/>
          <w:color w:val="000000"/>
          <w:sz w:val="20"/>
        </w:rPr>
        <w:t>II</w:t>
      </w:r>
    </w:p>
    <w:p w:rsidR="00022B47" w:rsidRDefault="00000000">
      <w:pPr>
        <w:pStyle w:val="Normal38"/>
        <w:widowControl w:val="0"/>
        <w:spacing w:before="200" w:line="260" w:lineRule="atLeast"/>
        <w:jc w:val="both"/>
      </w:pPr>
      <w:bookmarkStart w:id="6159" w:name="Bookmark_para_28_21"/>
      <w:bookmarkStart w:id="6160" w:name="Bookmark_I63R3BY12D6NM30030000400"/>
      <w:bookmarkStart w:id="6161" w:name="Bookmark_I63R3BY12D6NM30050000400"/>
      <w:bookmarkStart w:id="6162" w:name="Bookmark_LNHNREFclscc1_32"/>
      <w:bookmarkEnd w:id="6159"/>
      <w:bookmarkEnd w:id="6160"/>
      <w:bookmarkEnd w:id="6161"/>
      <w:bookmarkEnd w:id="6162"/>
      <w:r>
        <w:rPr>
          <w:rFonts w:ascii="Arial" w:eastAsia="Arial" w:hAnsi="Arial" w:cs="Arial"/>
          <w:color w:val="000000"/>
          <w:sz w:val="20"/>
        </w:rPr>
        <w:t xml:space="preserve">We may reverse the district court's grant of a preliminary injunction "only where the district court abused its discretion or based its decision on an erroneous legal standard or on clearly erroneous findings of fact." </w:t>
      </w:r>
      <w:bookmarkStart w:id="6163" w:name="Bookmark_I63R3BY12D6NM30020000400"/>
      <w:bookmarkEnd w:id="6163"/>
      <w:r>
        <w:rPr>
          <w:rFonts w:ascii="Arial" w:eastAsia="Arial" w:hAnsi="Arial" w:cs="Arial"/>
          <w:i/>
          <w:color w:val="000000"/>
          <w:sz w:val="20"/>
        </w:rPr>
        <w:t>Does 1-5 v. Chandler</w:t>
      </w:r>
      <w:r>
        <w:rPr>
          <w:rFonts w:ascii="Arial" w:eastAsia="Arial" w:hAnsi="Arial" w:cs="Arial"/>
          <w:color w:val="000000"/>
          <w:sz w:val="20"/>
        </w:rPr>
        <w:t xml:space="preserve">, 83 F.3d 1150, 1152 (9th Cir. 1996). We review de novo issues of law underlying the preliminary injunction, including questions of jurisdiction over Plaintiffs' claims. </w:t>
      </w:r>
      <w:bookmarkStart w:id="6164" w:name="Bookmark_I63R3BY12D6NM30040000400"/>
      <w:bookmarkEnd w:id="6164"/>
      <w:r>
        <w:rPr>
          <w:rFonts w:ascii="Arial" w:eastAsia="Arial" w:hAnsi="Arial" w:cs="Arial"/>
          <w:i/>
          <w:color w:val="000000"/>
          <w:sz w:val="20"/>
        </w:rPr>
        <w:t>Wash. Env't Council v. Bellon</w:t>
      </w:r>
      <w:r>
        <w:rPr>
          <w:rFonts w:ascii="Arial" w:eastAsia="Arial" w:hAnsi="Arial" w:cs="Arial"/>
          <w:color w:val="000000"/>
          <w:sz w:val="20"/>
        </w:rPr>
        <w:t xml:space="preserve">, 732 F.3d 1131, 1138 (9th Cir. 2013); </w:t>
      </w:r>
      <w:bookmarkStart w:id="6165" w:name="Bookmark_I63R3BY228T4PM0010000400"/>
      <w:bookmarkEnd w:id="6165"/>
      <w:r>
        <w:rPr>
          <w:rFonts w:ascii="Arial" w:eastAsia="Arial" w:hAnsi="Arial" w:cs="Arial"/>
          <w:i/>
          <w:color w:val="000000"/>
          <w:sz w:val="20"/>
        </w:rPr>
        <w:t>Barahona-Gomez v. Reno</w:t>
      </w:r>
      <w:r>
        <w:rPr>
          <w:rFonts w:ascii="Arial" w:eastAsia="Arial" w:hAnsi="Arial" w:cs="Arial"/>
          <w:color w:val="000000"/>
          <w:sz w:val="20"/>
        </w:rPr>
        <w:t>, 167 F.3d 1228, 1234 (9th Cir. 1999).</w:t>
      </w:r>
    </w:p>
    <w:p w:rsidR="00022B47" w:rsidRDefault="00000000">
      <w:pPr>
        <w:pStyle w:val="Normal38"/>
        <w:widowControl w:val="0"/>
        <w:spacing w:before="200" w:line="260" w:lineRule="atLeast"/>
        <w:jc w:val="both"/>
      </w:pPr>
      <w:bookmarkStart w:id="6166" w:name="Bookmark_para_29_19"/>
      <w:bookmarkStart w:id="6167" w:name="Bookmark_I63R3BY228T4PM0040000400"/>
      <w:bookmarkStart w:id="6168" w:name="Bookmark_I63R3BY22SF85K0010000400"/>
      <w:bookmarkStart w:id="6169" w:name="Bookmark_LNHNREFclscc2_32"/>
      <w:bookmarkEnd w:id="6166"/>
      <w:bookmarkEnd w:id="6167"/>
      <w:bookmarkEnd w:id="6168"/>
      <w:bookmarkEnd w:id="6169"/>
      <w:r>
        <w:rPr>
          <w:rFonts w:ascii="Arial" w:eastAsia="Arial" w:hAnsi="Arial" w:cs="Arial"/>
          <w:color w:val="000000"/>
          <w:sz w:val="20"/>
        </w:rPr>
        <w:t xml:space="preserve">To warrant injunctive relief, Plaintiffs must establish that they are "likely to succeed on the merits," that they are "likely to suffer irreparable harm in the absence of preliminary relief, that the balance of equities tips in [their] favor, and that an injunction is in the public interest." </w:t>
      </w:r>
      <w:bookmarkStart w:id="6170" w:name="Bookmark_I63R3BY228T4PM0030000400"/>
      <w:bookmarkEnd w:id="6170"/>
      <w:r>
        <w:rPr>
          <w:rFonts w:ascii="Arial" w:eastAsia="Arial" w:hAnsi="Arial" w:cs="Arial"/>
          <w:i/>
          <w:color w:val="000000"/>
          <w:sz w:val="20"/>
        </w:rPr>
        <w:t>Winter v. NRDC, Inc.</w:t>
      </w:r>
      <w:r>
        <w:rPr>
          <w:rFonts w:ascii="Arial" w:eastAsia="Arial" w:hAnsi="Arial" w:cs="Arial"/>
          <w:color w:val="000000"/>
          <w:sz w:val="20"/>
        </w:rPr>
        <w:t xml:space="preserve">, 555 U.S. 7, 20, 129 S. Ct. 365, 172 L. Ed. 2d 249 (2008). Because Plaintiffs seek a mandatory injunction, they "must establish that the law and facts </w:t>
      </w:r>
      <w:r>
        <w:rPr>
          <w:rFonts w:ascii="Arial" w:eastAsia="Arial" w:hAnsi="Arial" w:cs="Arial"/>
          <w:i/>
          <w:color w:val="000000"/>
          <w:sz w:val="20"/>
        </w:rPr>
        <w:t>clearly favor</w:t>
      </w:r>
      <w:r>
        <w:rPr>
          <w:rFonts w:ascii="Arial" w:eastAsia="Arial" w:hAnsi="Arial" w:cs="Arial"/>
          <w:color w:val="000000"/>
          <w:sz w:val="20"/>
        </w:rPr>
        <w:t xml:space="preserve"> [their] position, not simply that [they are] likely to succeed." </w:t>
      </w:r>
      <w:bookmarkStart w:id="6171" w:name="Bookmark_I63R3BY228T4PM0050000400"/>
      <w:bookmarkEnd w:id="6171"/>
      <w:r>
        <w:rPr>
          <w:rFonts w:ascii="Arial" w:eastAsia="Arial" w:hAnsi="Arial" w:cs="Arial"/>
          <w:i/>
          <w:color w:val="000000"/>
          <w:sz w:val="20"/>
        </w:rPr>
        <w:t>Garcia v. Google, Inc.</w:t>
      </w:r>
      <w:r>
        <w:rPr>
          <w:rFonts w:ascii="Arial" w:eastAsia="Arial" w:hAnsi="Arial" w:cs="Arial"/>
          <w:color w:val="000000"/>
          <w:sz w:val="20"/>
        </w:rPr>
        <w:t>, 786 F.3d 733, 740 (9th Cir. 2015) (en banc).</w:t>
      </w:r>
    </w:p>
    <w:p w:rsidR="00022B47" w:rsidRDefault="00000000">
      <w:pPr>
        <w:pStyle w:val="Normal38"/>
        <w:widowControl w:val="0"/>
        <w:spacing w:before="200" w:line="260" w:lineRule="atLeast"/>
        <w:jc w:val="both"/>
      </w:pPr>
      <w:bookmarkStart w:id="6172" w:name="Bookmark_para_30_18"/>
      <w:bookmarkStart w:id="6173" w:name="Bookmark_I63R3BY22SF85K0030000400"/>
      <w:bookmarkStart w:id="6174" w:name="Bookmark_LNHNREFclscc3_32"/>
      <w:bookmarkEnd w:id="6172"/>
      <w:bookmarkEnd w:id="6173"/>
      <w:bookmarkEnd w:id="6174"/>
      <w:r>
        <w:rPr>
          <w:rFonts w:ascii="Arial" w:eastAsia="Arial" w:hAnsi="Arial" w:cs="Arial"/>
          <w:color w:val="000000"/>
          <w:sz w:val="20"/>
        </w:rPr>
        <w:t xml:space="preserve">Standing is a threshold matter of jurisdiction. </w:t>
      </w:r>
      <w:bookmarkStart w:id="6175" w:name="Bookmark_I63R3BY22SF85K0050000400"/>
      <w:bookmarkStart w:id="6176" w:name="Bookmark_I63R3BY22SF85K0020000400"/>
      <w:bookmarkEnd w:id="6175"/>
      <w:bookmarkEnd w:id="6176"/>
      <w:r>
        <w:rPr>
          <w:rFonts w:ascii="Arial" w:eastAsia="Arial" w:hAnsi="Arial" w:cs="Arial"/>
          <w:i/>
          <w:color w:val="000000"/>
          <w:sz w:val="20"/>
        </w:rPr>
        <w:t>Steel Co. v. Citizens for a Better Env't</w:t>
      </w:r>
      <w:r>
        <w:rPr>
          <w:rFonts w:ascii="Arial" w:eastAsia="Arial" w:hAnsi="Arial" w:cs="Arial"/>
          <w:color w:val="000000"/>
          <w:sz w:val="20"/>
        </w:rPr>
        <w:t xml:space="preserve">, 523 U.S. 83, 102, 118 S. Ct. 1003, 140 L. Ed. 2d 210 (1998). We must assure ourselves [**21]  that Plaintiffs have standing and that jurisdiction otherwise exists before we review the merits of the district court's preliminary injunction decision, whether or not the issue was raised below. </w:t>
      </w:r>
      <w:bookmarkStart w:id="6177" w:name="Bookmark_I63R3BY22SF85K0050000400_2"/>
      <w:bookmarkStart w:id="6178" w:name="Bookmark_I63R3BY22SF85K0040000400"/>
      <w:bookmarkEnd w:id="6177"/>
      <w:bookmarkEnd w:id="6178"/>
      <w:r>
        <w:rPr>
          <w:rFonts w:ascii="Arial" w:eastAsia="Arial" w:hAnsi="Arial" w:cs="Arial"/>
          <w:i/>
          <w:color w:val="000000"/>
          <w:sz w:val="20"/>
        </w:rPr>
        <w:t>Associated Gen. Contractors of Cal., Inc. v. Coal. for Econ. Equity</w:t>
      </w:r>
      <w:r>
        <w:rPr>
          <w:rFonts w:ascii="Arial" w:eastAsia="Arial" w:hAnsi="Arial" w:cs="Arial"/>
          <w:color w:val="000000"/>
          <w:sz w:val="20"/>
        </w:rPr>
        <w:t>, 950 F.2d 1401, 1405 (9th Cir. 1991).</w:t>
      </w:r>
    </w:p>
    <w:p w:rsidR="00022B47" w:rsidRDefault="00000000">
      <w:pPr>
        <w:pStyle w:val="Normal38"/>
        <w:widowControl w:val="0"/>
        <w:spacing w:before="200" w:line="260" w:lineRule="atLeast"/>
        <w:jc w:val="both"/>
      </w:pPr>
      <w:bookmarkStart w:id="6179" w:name="Bookmark_para_31_18"/>
      <w:bookmarkStart w:id="6180" w:name="Bookmark_I63R3BY32N1PR90020000400"/>
      <w:bookmarkStart w:id="6181" w:name="Bookmark_I63R3BY32N1PR90040000400"/>
      <w:bookmarkStart w:id="6182" w:name="Bookmark_I63R3BY42HM6YS0020000400"/>
      <w:bookmarkStart w:id="6183" w:name="Bookmark_LNHNREFclscc4_32"/>
      <w:bookmarkEnd w:id="6179"/>
      <w:bookmarkEnd w:id="6180"/>
      <w:bookmarkEnd w:id="6181"/>
      <w:bookmarkEnd w:id="6182"/>
      <w:bookmarkEnd w:id="6183"/>
      <w:r>
        <w:rPr>
          <w:rFonts w:ascii="Arial" w:eastAsia="Arial" w:hAnsi="Arial" w:cs="Arial"/>
          <w:color w:val="000000"/>
          <w:sz w:val="20"/>
        </w:rPr>
        <w:t xml:space="preserve">To have standing, Plaintiffs must have "(1) suffered an injury in fact, (2) that is fairly traceable to the challenged conduct of the defendant, and (3) that is likely to be redressed by a favorable judicial decision." </w:t>
      </w:r>
      <w:bookmarkStart w:id="6184" w:name="Bookmark_I63R3BY32N1PR90010000400"/>
      <w:bookmarkEnd w:id="6184"/>
      <w:r>
        <w:rPr>
          <w:rFonts w:ascii="Arial" w:eastAsia="Arial" w:hAnsi="Arial" w:cs="Arial"/>
          <w:i/>
          <w:color w:val="000000"/>
          <w:sz w:val="20"/>
        </w:rPr>
        <w:t>Spokeo, Inc. v. Robins</w:t>
      </w:r>
      <w:r>
        <w:rPr>
          <w:rFonts w:ascii="Arial" w:eastAsia="Arial" w:hAnsi="Arial" w:cs="Arial"/>
          <w:color w:val="000000"/>
          <w:sz w:val="20"/>
        </w:rPr>
        <w:t xml:space="preserve">, 578 U.S. 330, 136 S. Ct. 1540, 1547, 194 L. Ed. 2d 635 (2016). At the preliminary injunction stage, the plaintiffs "must make a clear showing of each element of standing," </w:t>
      </w:r>
      <w:bookmarkStart w:id="6185" w:name="Bookmark_I63R3BY32N1PR90030000400"/>
      <w:bookmarkEnd w:id="6185"/>
      <w:r>
        <w:rPr>
          <w:rFonts w:ascii="Arial" w:eastAsia="Arial" w:hAnsi="Arial" w:cs="Arial"/>
          <w:i/>
          <w:color w:val="000000"/>
          <w:sz w:val="20"/>
        </w:rPr>
        <w:t>Yazzie v. Hobbs</w:t>
      </w:r>
      <w:r>
        <w:rPr>
          <w:rFonts w:ascii="Arial" w:eastAsia="Arial" w:hAnsi="Arial" w:cs="Arial"/>
          <w:color w:val="000000"/>
          <w:sz w:val="20"/>
        </w:rPr>
        <w:t xml:space="preserve">, 977 F.3d 964, 966 (9th Cir. 2020)  [*957]  (per curiam) (quoting </w:t>
      </w:r>
      <w:bookmarkStart w:id="6186" w:name="Bookmark_I63R3BY32N1PR90050000400"/>
      <w:bookmarkEnd w:id="6186"/>
      <w:r>
        <w:rPr>
          <w:rFonts w:ascii="Arial" w:eastAsia="Arial" w:hAnsi="Arial" w:cs="Arial"/>
          <w:i/>
          <w:color w:val="000000"/>
          <w:sz w:val="20"/>
        </w:rPr>
        <w:t>Townley v. Miller</w:t>
      </w:r>
      <w:r>
        <w:rPr>
          <w:rFonts w:ascii="Arial" w:eastAsia="Arial" w:hAnsi="Arial" w:cs="Arial"/>
          <w:color w:val="000000"/>
          <w:sz w:val="20"/>
        </w:rPr>
        <w:t xml:space="preserve">, 722 F.3d 1128, 1133 (9th Cir. 2013)), relying on the allegations in their complaint "and whatever other evidence they submitted in support of their [preliminary-injunction] motion to meet their burden." </w:t>
      </w:r>
      <w:bookmarkStart w:id="6187" w:name="Bookmark_I63R3BY32D6NMG0020000400"/>
      <w:bookmarkEnd w:id="6187"/>
      <w:r>
        <w:rPr>
          <w:rFonts w:ascii="Arial" w:eastAsia="Arial" w:hAnsi="Arial" w:cs="Arial"/>
          <w:i/>
          <w:color w:val="000000"/>
          <w:sz w:val="20"/>
        </w:rPr>
        <w:t>City &amp; County of San Francisco v. U.S. Citizenship &amp; Immigr. Servs.</w:t>
      </w:r>
      <w:r>
        <w:rPr>
          <w:rFonts w:ascii="Arial" w:eastAsia="Arial" w:hAnsi="Arial" w:cs="Arial"/>
          <w:color w:val="000000"/>
          <w:sz w:val="20"/>
        </w:rPr>
        <w:t xml:space="preserve">, 944 F.3d 773, 787 (9th Cir. 2019) (alteration in original) (quoting </w:t>
      </w:r>
      <w:bookmarkStart w:id="6188" w:name="Bookmark_I63R3BY32D6NMG0040000400"/>
      <w:bookmarkEnd w:id="6188"/>
      <w:r>
        <w:rPr>
          <w:rFonts w:ascii="Arial" w:eastAsia="Arial" w:hAnsi="Arial" w:cs="Arial"/>
          <w:i/>
          <w:color w:val="000000"/>
          <w:sz w:val="20"/>
        </w:rPr>
        <w:t>Washington v. Trump</w:t>
      </w:r>
      <w:r>
        <w:rPr>
          <w:rFonts w:ascii="Arial" w:eastAsia="Arial" w:hAnsi="Arial" w:cs="Arial"/>
          <w:color w:val="000000"/>
          <w:sz w:val="20"/>
        </w:rPr>
        <w:t xml:space="preserve">, 847 F.3d 1151, 1159 (9th Cir. 2017) (per curiam)). The plaintiffs "must demonstrate standing separately for each form of relief sought," </w:t>
      </w:r>
      <w:bookmarkStart w:id="6189" w:name="Bookmark_I63R3BY42HM6YS0010000400"/>
      <w:bookmarkEnd w:id="6189"/>
      <w:r>
        <w:rPr>
          <w:rFonts w:ascii="Arial" w:eastAsia="Arial" w:hAnsi="Arial" w:cs="Arial"/>
          <w:i/>
          <w:color w:val="000000"/>
          <w:sz w:val="20"/>
        </w:rPr>
        <w:t>Friends of the Earth, Inc. v. Laidlaw Envtl. Servs. (TOC)</w:t>
      </w:r>
      <w:r>
        <w:rPr>
          <w:rFonts w:ascii="Arial" w:eastAsia="Arial" w:hAnsi="Arial" w:cs="Arial"/>
          <w:color w:val="000000"/>
          <w:sz w:val="20"/>
        </w:rPr>
        <w:t xml:space="preserve">, 528 U.S. 167, 185, 120 S. Ct. 693, 145 L. Ed. 2d 610 (2000), and the "remedy must be tailored to redress [their] particular injury," </w:t>
      </w:r>
      <w:bookmarkStart w:id="6190" w:name="Bookmark_I63R3BY42HM6YS0030000400"/>
      <w:bookmarkEnd w:id="6190"/>
      <w:r>
        <w:rPr>
          <w:rFonts w:ascii="Arial" w:eastAsia="Arial" w:hAnsi="Arial" w:cs="Arial"/>
          <w:i/>
          <w:color w:val="000000"/>
          <w:sz w:val="20"/>
        </w:rPr>
        <w:t>Gill v. Whitford</w:t>
      </w:r>
      <w:r>
        <w:rPr>
          <w:rFonts w:ascii="Arial" w:eastAsia="Arial" w:hAnsi="Arial" w:cs="Arial"/>
          <w:color w:val="000000"/>
          <w:sz w:val="20"/>
        </w:rPr>
        <w:t>, 138 S. Ct. 1916, 1934, 201 L. Ed. 2d 313 (2018).</w:t>
      </w:r>
    </w:p>
    <w:p w:rsidR="00022B47" w:rsidRDefault="00000000">
      <w:pPr>
        <w:pStyle w:val="Normal38"/>
        <w:widowControl w:val="0"/>
        <w:spacing w:before="120" w:line="260" w:lineRule="atLeast"/>
      </w:pPr>
      <w:r>
        <w:rPr>
          <w:rFonts w:ascii="Arial" w:eastAsia="Arial" w:hAnsi="Arial" w:cs="Arial"/>
          <w:color w:val="000000"/>
          <w:sz w:val="20"/>
        </w:rPr>
        <w:t>III</w:t>
      </w:r>
    </w:p>
    <w:p w:rsidR="00022B47" w:rsidRDefault="00000000">
      <w:pPr>
        <w:pStyle w:val="Normal38"/>
        <w:widowControl w:val="0"/>
        <w:spacing w:before="200" w:line="260" w:lineRule="atLeast"/>
        <w:jc w:val="both"/>
      </w:pPr>
      <w:bookmarkStart w:id="6191" w:name="Bookmark_para_32_18"/>
      <w:bookmarkEnd w:id="6191"/>
      <w:r>
        <w:rPr>
          <w:rFonts w:ascii="Arial" w:eastAsia="Arial" w:hAnsi="Arial" w:cs="Arial"/>
          <w:color w:val="000000"/>
          <w:sz w:val="20"/>
        </w:rPr>
        <w:t>The district court found that Plaintiffs have shown a likelihood of success on the merits of six claims. We conclude that, as the claims were articulated by the district court, Plaintiffs lack standing on all but one claim. Plaintiffs cannot prevail on that claim, however, [**22]  without further development of the factual record and tailoring of the relief to Plaintiffs' injuries.</w:t>
      </w:r>
    </w:p>
    <w:p w:rsidR="00022B47" w:rsidRDefault="00000000">
      <w:pPr>
        <w:pStyle w:val="Normal38"/>
        <w:widowControl w:val="0"/>
        <w:spacing w:before="120" w:line="260" w:lineRule="atLeast"/>
      </w:pPr>
      <w:r>
        <w:rPr>
          <w:rFonts w:ascii="Arial" w:eastAsia="Arial" w:hAnsi="Arial" w:cs="Arial"/>
          <w:color w:val="000000"/>
          <w:sz w:val="20"/>
        </w:rPr>
        <w:t>A</w:t>
      </w:r>
    </w:p>
    <w:p w:rsidR="00022B47" w:rsidRDefault="00000000">
      <w:pPr>
        <w:pStyle w:val="Normal38"/>
        <w:widowControl w:val="0"/>
        <w:spacing w:before="200" w:line="260" w:lineRule="atLeast"/>
        <w:jc w:val="both"/>
      </w:pPr>
      <w:bookmarkStart w:id="6192" w:name="Bookmark_para_33_17"/>
      <w:bookmarkStart w:id="6193" w:name="Bookmark_I63R3BY428T4R50010000400"/>
      <w:bookmarkEnd w:id="6192"/>
      <w:bookmarkEnd w:id="6193"/>
      <w:r>
        <w:rPr>
          <w:rFonts w:ascii="Arial" w:eastAsia="Arial" w:hAnsi="Arial" w:cs="Arial"/>
          <w:color w:val="000000"/>
          <w:sz w:val="20"/>
        </w:rPr>
        <w:t xml:space="preserve">As we discussed, the district court granted relief based on claims that Plaintiffs did not allege, supported by novel legal theories that Plaintiffs did not argue, or against Defendants against whom the claim was not pled. In doing so, the district court abused its discretion because it only had equitable power to grant relief on "the merits of the case or controversy before it," and "does not have the authority to issue an injunction" "based on claims not pled in the complaint." </w:t>
      </w:r>
      <w:bookmarkStart w:id="6194" w:name="Bookmark_I63R3BY42HM6YS0050000400"/>
      <w:bookmarkEnd w:id="6194"/>
      <w:r>
        <w:rPr>
          <w:rFonts w:ascii="Arial" w:eastAsia="Arial" w:hAnsi="Arial" w:cs="Arial"/>
          <w:i/>
          <w:color w:val="000000"/>
          <w:sz w:val="20"/>
        </w:rPr>
        <w:t>Pac. Radiation Oncology, LLC v. Queen's Med. Ctr.</w:t>
      </w:r>
      <w:r>
        <w:rPr>
          <w:rFonts w:ascii="Arial" w:eastAsia="Arial" w:hAnsi="Arial" w:cs="Arial"/>
          <w:color w:val="000000"/>
          <w:sz w:val="20"/>
        </w:rPr>
        <w:t>, 810 F.3d 631, 633 (9th Cir. 2015).</w:t>
      </w:r>
    </w:p>
    <w:p w:rsidR="00022B47" w:rsidRDefault="00000000">
      <w:pPr>
        <w:pStyle w:val="Normal38"/>
        <w:widowControl w:val="0"/>
        <w:spacing w:before="200" w:line="260" w:lineRule="atLeast"/>
        <w:jc w:val="both"/>
      </w:pPr>
      <w:bookmarkStart w:id="6195" w:name="Bookmark_para_34_17"/>
      <w:bookmarkStart w:id="6196" w:name="Bookmark_I63R3BY428T4R50030000400"/>
      <w:bookmarkEnd w:id="6195"/>
      <w:bookmarkEnd w:id="6196"/>
      <w:r>
        <w:rPr>
          <w:rFonts w:ascii="Arial" w:eastAsia="Arial" w:hAnsi="Arial" w:cs="Arial"/>
          <w:color w:val="000000"/>
          <w:sz w:val="20"/>
        </w:rPr>
        <w:t xml:space="preserve">The mismatch between the six claims underlying the Order and Plaintiffs' own claims explains a second overarching problem: the district court's almost exclusive reliance on extra-record evidence. </w:t>
      </w:r>
      <w:bookmarkStart w:id="6197" w:name="Bookmark_LNHNREFclscc5_32"/>
      <w:bookmarkEnd w:id="6197"/>
      <w:r>
        <w:rPr>
          <w:rFonts w:ascii="Arial" w:eastAsia="Arial" w:hAnsi="Arial" w:cs="Arial"/>
          <w:color w:val="000000"/>
          <w:sz w:val="20"/>
        </w:rPr>
        <w:t xml:space="preserve">Although our review of the district court's factual findings is deferential, the district court abuses its discretion if its conclusions are "without support in inferences that may be drawn from the facts in the record." </w:t>
      </w:r>
      <w:bookmarkStart w:id="6198" w:name="Bookmark_I63R3BY428T4R50020000400"/>
      <w:bookmarkEnd w:id="6198"/>
      <w:r>
        <w:rPr>
          <w:rFonts w:ascii="Arial" w:eastAsia="Arial" w:hAnsi="Arial" w:cs="Arial"/>
          <w:i/>
          <w:color w:val="000000"/>
          <w:sz w:val="20"/>
        </w:rPr>
        <w:t>Disney Enters., Inc. v. VidAngel, Inc.</w:t>
      </w:r>
      <w:r>
        <w:rPr>
          <w:rFonts w:ascii="Arial" w:eastAsia="Arial" w:hAnsi="Arial" w:cs="Arial"/>
          <w:color w:val="000000"/>
          <w:sz w:val="20"/>
        </w:rPr>
        <w:t xml:space="preserve">, 869 F.3d 848, 856 (9th Cir. 2017) (quoting </w:t>
      </w:r>
      <w:bookmarkStart w:id="6199" w:name="Bookmark_I63R3BY428T4R50040000400"/>
      <w:bookmarkEnd w:id="6199"/>
      <w:r>
        <w:rPr>
          <w:rFonts w:ascii="Arial" w:eastAsia="Arial" w:hAnsi="Arial" w:cs="Arial"/>
          <w:i/>
          <w:color w:val="000000"/>
          <w:sz w:val="20"/>
        </w:rPr>
        <w:t>Pimentel v. Dreyfus</w:t>
      </w:r>
      <w:r>
        <w:rPr>
          <w:rFonts w:ascii="Arial" w:eastAsia="Arial" w:hAnsi="Arial" w:cs="Arial"/>
          <w:color w:val="000000"/>
          <w:sz w:val="20"/>
        </w:rPr>
        <w:t xml:space="preserve">, 670 F.3d 1096, 1105 (9th Cir. 2012) (per curiam)). </w:t>
      </w:r>
      <w:bookmarkStart w:id="6200" w:name="Bookmark_I63R3BY528T4R60020000400"/>
      <w:bookmarkEnd w:id="6200"/>
      <w:r>
        <w:rPr>
          <w:rFonts w:ascii="Arial" w:eastAsia="Arial" w:hAnsi="Arial" w:cs="Arial"/>
          <w:color w:val="000000"/>
          <w:sz w:val="20"/>
        </w:rPr>
        <w:t xml:space="preserve">Plaintiffs submitted some preliminary injunction evidence, but the County objected to most of it and the district court expressly did not rely on any of the objected-to [**23]  evidence. </w:t>
      </w:r>
      <w:bookmarkStart w:id="6201" w:name="Bookmark_I63R3BY528T4R60020000400_2"/>
      <w:bookmarkEnd w:id="6201"/>
      <w:r>
        <w:rPr>
          <w:rFonts w:ascii="Arial" w:eastAsia="Arial" w:hAnsi="Arial" w:cs="Arial"/>
          <w:color w:val="000000"/>
          <w:sz w:val="20"/>
        </w:rPr>
        <w:t xml:space="preserve">Instead, the district court relied on its own independent research and cited material not subject to judicial notice. </w:t>
      </w:r>
      <w:bookmarkStart w:id="6202" w:name="Bookmark_I63R3BY528T4R60010000400"/>
      <w:bookmarkEnd w:id="6202"/>
      <w:r>
        <w:rPr>
          <w:rFonts w:ascii="Arial" w:eastAsia="Arial" w:hAnsi="Arial" w:cs="Arial"/>
          <w:i/>
          <w:color w:val="000000"/>
          <w:sz w:val="20"/>
        </w:rPr>
        <w:t>Lee v. City of Los Angeles</w:t>
      </w:r>
      <w:r>
        <w:rPr>
          <w:rFonts w:ascii="Arial" w:eastAsia="Arial" w:hAnsi="Arial" w:cs="Arial"/>
          <w:color w:val="000000"/>
          <w:sz w:val="20"/>
        </w:rPr>
        <w:t xml:space="preserve">, 250 F.3d 668, 688 (9th Cir. 2001) (courts may not "[take] judicial notice of the truth of disputed factual matters"); </w:t>
      </w:r>
      <w:r>
        <w:rPr>
          <w:rFonts w:ascii="Arial" w:eastAsia="Arial" w:hAnsi="Arial" w:cs="Arial"/>
          <w:i/>
          <w:color w:val="000000"/>
          <w:sz w:val="20"/>
        </w:rPr>
        <w:t>accord</w:t>
      </w:r>
      <w:r>
        <w:rPr>
          <w:rFonts w:ascii="Arial" w:eastAsia="Arial" w:hAnsi="Arial" w:cs="Arial"/>
          <w:color w:val="000000"/>
          <w:sz w:val="20"/>
        </w:rPr>
        <w:t xml:space="preserve"> Fed. R. Evid. 201. The district court relied on hundreds of facts contained in various publications for their truth, </w:t>
      </w:r>
      <w:r>
        <w:rPr>
          <w:rFonts w:ascii="Arial" w:eastAsia="Arial" w:hAnsi="Arial" w:cs="Arial"/>
          <w:vertAlign w:val="superscript"/>
        </w:rPr>
        <w:footnoteReference w:customMarkFollows="1" w:id="177"/>
        <w:t>4</w:t>
      </w:r>
      <w:r>
        <w:rPr>
          <w:rFonts w:ascii="Arial" w:eastAsia="Arial" w:hAnsi="Arial" w:cs="Arial"/>
          <w:color w:val="000000"/>
          <w:sz w:val="20"/>
        </w:rPr>
        <w:t xml:space="preserve"> and a significant number of facts directly underlying the injunctive relief are subject to reasonable dispute. </w:t>
      </w:r>
      <w:bookmarkStart w:id="6204" w:name="Bookmark_I63R3BY528T4R60040000400"/>
      <w:bookmarkEnd w:id="6204"/>
      <w:r>
        <w:rPr>
          <w:rFonts w:ascii="Arial" w:eastAsia="Arial" w:hAnsi="Arial" w:cs="Arial"/>
          <w:color w:val="000000"/>
          <w:sz w:val="20"/>
        </w:rPr>
        <w:t xml:space="preserve">For instance, experts extensively debate the history, purpose, and effect of the Containment Policy, which the district court found resulted in the "incarceration and homelessness" of Black Angelenos. To the extent the district court premised the injunctive relief on improperly noticed facts necessary to confer standing, the district court abused its discretion. </w:t>
      </w:r>
      <w:r>
        <w:rPr>
          <w:rFonts w:ascii="Arial" w:eastAsia="Arial" w:hAnsi="Arial" w:cs="Arial"/>
          <w:i/>
          <w:color w:val="000000"/>
          <w:sz w:val="20"/>
        </w:rPr>
        <w:t xml:space="preserve">Cf. </w:t>
      </w:r>
      <w:bookmarkStart w:id="6205" w:name="Bookmark_I63R3BY528T4R60030000400"/>
      <w:bookmarkEnd w:id="6205"/>
      <w:r>
        <w:rPr>
          <w:rFonts w:ascii="Arial" w:eastAsia="Arial" w:hAnsi="Arial" w:cs="Arial"/>
          <w:i/>
          <w:color w:val="000000"/>
          <w:sz w:val="20"/>
        </w:rPr>
        <w:t>Lee</w:t>
      </w:r>
      <w:r>
        <w:rPr>
          <w:rFonts w:ascii="Arial" w:eastAsia="Arial" w:hAnsi="Arial" w:cs="Arial"/>
          <w:color w:val="000000"/>
          <w:sz w:val="20"/>
        </w:rPr>
        <w:t>, 250 F.3d at 690 (holding that the district court  [*958]  erred in granting a motion to dismiss "by relying on extrinsic evidence and by taking judicial notice of disputed matters of fact to support its ruling").</w:t>
      </w:r>
    </w:p>
    <w:p w:rsidR="00022B47" w:rsidRDefault="00000000">
      <w:pPr>
        <w:pStyle w:val="Normal38"/>
        <w:widowControl w:val="0"/>
        <w:spacing w:before="120" w:line="260" w:lineRule="atLeast"/>
      </w:pPr>
      <w:r>
        <w:rPr>
          <w:rFonts w:ascii="Arial" w:eastAsia="Arial" w:hAnsi="Arial" w:cs="Arial"/>
          <w:color w:val="000000"/>
          <w:sz w:val="20"/>
        </w:rPr>
        <w:t>B</w:t>
      </w:r>
    </w:p>
    <w:p w:rsidR="00022B47" w:rsidRDefault="00000000">
      <w:pPr>
        <w:pStyle w:val="Normal38"/>
        <w:widowControl w:val="0"/>
        <w:spacing w:before="200" w:line="260" w:lineRule="atLeast"/>
        <w:jc w:val="both"/>
      </w:pPr>
      <w:bookmarkStart w:id="6206" w:name="Bookmark_para_35_17"/>
      <w:bookmarkEnd w:id="6206"/>
      <w:r>
        <w:rPr>
          <w:rFonts w:ascii="Arial" w:eastAsia="Arial" w:hAnsi="Arial" w:cs="Arial"/>
          <w:color w:val="000000"/>
          <w:sz w:val="20"/>
        </w:rPr>
        <w:t xml:space="preserve">We now turn to Plaintiffs' standing to bring the six claims upon which relief was granted. </w:t>
      </w:r>
      <w:r>
        <w:rPr>
          <w:rFonts w:ascii="Arial" w:eastAsia="Arial" w:hAnsi="Arial" w:cs="Arial"/>
          <w:vertAlign w:val="superscript"/>
        </w:rPr>
        <w:footnoteReference w:customMarkFollows="1" w:id="178"/>
        <w:t>5</w:t>
      </w:r>
      <w:r>
        <w:rPr>
          <w:rFonts w:ascii="Arial" w:eastAsia="Arial" w:hAnsi="Arial" w:cs="Arial"/>
          <w:color w:val="000000"/>
          <w:sz w:val="20"/>
        </w:rPr>
        <w:t xml:space="preserve"> To begin with, because Plaintiffs brought no race-based claims, they did not allege or present any evidence that any individual [**24]  Plaintiff or LA Alliance member is Black—much less Black and unhoused, a parent, </w:t>
      </w:r>
      <w:r>
        <w:rPr>
          <w:rFonts w:ascii="Arial" w:eastAsia="Arial" w:hAnsi="Arial" w:cs="Arial"/>
          <w:vertAlign w:val="superscript"/>
        </w:rPr>
        <w:footnoteReference w:customMarkFollows="1" w:id="179"/>
        <w:t>6</w:t>
      </w:r>
      <w:r>
        <w:rPr>
          <w:rFonts w:ascii="Arial" w:eastAsia="Arial" w:hAnsi="Arial" w:cs="Arial"/>
          <w:color w:val="000000"/>
          <w:sz w:val="20"/>
        </w:rPr>
        <w:t xml:space="preserve"> or at risk of losing their children. Thus, Plaintiffs have not made a clear showing that any individual Plaintiff has standing for the race-based claims, including the substantive due process, equal protection, and state-created danger claims.</w:t>
      </w:r>
    </w:p>
    <w:p w:rsidR="00022B47" w:rsidRDefault="00000000">
      <w:pPr>
        <w:pStyle w:val="Normal38"/>
        <w:widowControl w:val="0"/>
        <w:spacing w:before="200" w:line="260" w:lineRule="atLeast"/>
        <w:jc w:val="both"/>
      </w:pPr>
      <w:bookmarkStart w:id="6209" w:name="Bookmark_para_36_17"/>
      <w:bookmarkEnd w:id="6209"/>
      <w:r>
        <w:rPr>
          <w:rFonts w:ascii="Arial" w:eastAsia="Arial" w:hAnsi="Arial" w:cs="Arial"/>
          <w:color w:val="000000"/>
          <w:sz w:val="20"/>
        </w:rPr>
        <w:t xml:space="preserve">Plaintiffs also have not clearly shown that any individual Plaintiff has standing to bring the state-created danger claim that the district court fashioned. The district court grounded its state-created danger claim in a risk of premature death of those living in encampments. Only Plaintiff Whitter may have suffered a relevant injury-in-fact because he has been chronically unhoused and is merely temporarily sheltered at a Skid Row mission. </w:t>
      </w:r>
      <w:bookmarkStart w:id="6210" w:name="Bookmark_I63R3BY52D6NMS0010000400"/>
      <w:bookmarkEnd w:id="6210"/>
      <w:r>
        <w:rPr>
          <w:rFonts w:ascii="Arial" w:eastAsia="Arial" w:hAnsi="Arial" w:cs="Arial"/>
          <w:color w:val="000000"/>
          <w:sz w:val="20"/>
        </w:rPr>
        <w:t xml:space="preserve">However, neither Plaintiffs nor the district court have explained how the relief ordered would help Whitter. For example, the Order requires that the County and City offer "shelter or housing" to unhoused individuals in Skid Row within 180 days, but Whitter is already in a shelter and nothing in the record suggests he will lose his shelter in time to receive an offer. </w:t>
      </w:r>
      <w:bookmarkStart w:id="6211" w:name="Bookmark_I085JJM4G9G00006PF200001"/>
      <w:bookmarkStart w:id="6212" w:name="Bookmark_I63R3BY52D6NMS0030000400"/>
      <w:bookmarkEnd w:id="6211"/>
      <w:bookmarkEnd w:id="6212"/>
      <w:r>
        <w:rPr>
          <w:rFonts w:ascii="Arial" w:eastAsia="Arial" w:hAnsi="Arial" w:cs="Arial"/>
          <w:i/>
          <w:color w:val="000000"/>
          <w:sz w:val="20"/>
        </w:rPr>
        <w:t xml:space="preserve">See </w:t>
      </w:r>
      <w:bookmarkStart w:id="6213" w:name="Bookmark_I63R3BY528T4R60050000400"/>
      <w:bookmarkEnd w:id="6213"/>
      <w:r>
        <w:rPr>
          <w:rFonts w:ascii="Arial" w:eastAsia="Arial" w:hAnsi="Arial" w:cs="Arial"/>
          <w:i/>
          <w:color w:val="000000"/>
          <w:sz w:val="20"/>
        </w:rPr>
        <w:t>Lujan v. Defs. of Wildlife</w:t>
      </w:r>
      <w:r>
        <w:rPr>
          <w:rFonts w:ascii="Arial" w:eastAsia="Arial" w:hAnsi="Arial" w:cs="Arial"/>
          <w:color w:val="000000"/>
          <w:sz w:val="20"/>
        </w:rPr>
        <w:t xml:space="preserve">, 504 U.S. 555, 561, 112 S. Ct. 2130, 119 L. Ed. 2d 351 (1992) (observing it must be likely, not merely speculative, that [**25]  the injury will be redressed by a favorable decision). </w:t>
      </w:r>
      <w:bookmarkStart w:id="6214" w:name="Bookmark_I63R3BY52D6NMS0030000400_2"/>
      <w:bookmarkEnd w:id="6214"/>
      <w:r>
        <w:rPr>
          <w:rFonts w:ascii="Arial" w:eastAsia="Arial" w:hAnsi="Arial" w:cs="Arial"/>
          <w:color w:val="000000"/>
          <w:sz w:val="20"/>
        </w:rPr>
        <w:t xml:space="preserve">Thus, Plaintiffs have not made the required "clear showing" that any individual Plaintiff has standing to bring the district court's version of the state-created danger claim. </w:t>
      </w:r>
      <w:bookmarkStart w:id="6215" w:name="Bookmark_I63R3BY52D6NMS0020000400"/>
      <w:bookmarkEnd w:id="6215"/>
      <w:r>
        <w:rPr>
          <w:rFonts w:ascii="Arial" w:eastAsia="Arial" w:hAnsi="Arial" w:cs="Arial"/>
          <w:i/>
          <w:color w:val="000000"/>
          <w:sz w:val="20"/>
        </w:rPr>
        <w:t>Yazzie</w:t>
      </w:r>
      <w:r>
        <w:rPr>
          <w:rFonts w:ascii="Arial" w:eastAsia="Arial" w:hAnsi="Arial" w:cs="Arial"/>
          <w:color w:val="000000"/>
          <w:sz w:val="20"/>
        </w:rPr>
        <w:t>, 977 F.3d at 966.</w:t>
      </w:r>
    </w:p>
    <w:p w:rsidR="00022B47" w:rsidRDefault="00000000">
      <w:pPr>
        <w:pStyle w:val="Normal38"/>
        <w:widowControl w:val="0"/>
        <w:spacing w:before="200" w:line="260" w:lineRule="atLeast"/>
        <w:jc w:val="both"/>
      </w:pPr>
      <w:bookmarkStart w:id="6216" w:name="Bookmark_para_37_14"/>
      <w:bookmarkStart w:id="6217" w:name="Bookmark_I63R3BY52D6NMS0050000400"/>
      <w:bookmarkEnd w:id="6216"/>
      <w:bookmarkEnd w:id="6217"/>
      <w:r>
        <w:rPr>
          <w:rFonts w:ascii="Arial" w:eastAsia="Arial" w:hAnsi="Arial" w:cs="Arial"/>
          <w:color w:val="000000"/>
          <w:sz w:val="20"/>
        </w:rPr>
        <w:t xml:space="preserve">Similarly, Plaintiffs did not allege or argue that there is a special relationship between the City and unhoused residents of Skid Row, or that any individual Plaintiff experiences "restraints of personal liberty" sufficient to create an affirmative duty for the City to act to protect their rights. Plaintiffs have therefore not clearly shown that they themselves were injured by any failure to protect anyone with whom the City does have a special relationship. Such allegations would be required for Plaintiffs to have standing under </w:t>
      </w:r>
      <w:bookmarkStart w:id="6218" w:name="Bookmark_I63R3BY52D6NMS0040000400"/>
      <w:bookmarkEnd w:id="6218"/>
      <w:r>
        <w:rPr>
          <w:rFonts w:ascii="Arial" w:eastAsia="Arial" w:hAnsi="Arial" w:cs="Arial"/>
          <w:i/>
          <w:color w:val="000000"/>
          <w:sz w:val="20"/>
        </w:rPr>
        <w:t>DeShaney v. Winnebago County Department of Social Services</w:t>
      </w:r>
      <w:r>
        <w:rPr>
          <w:rFonts w:ascii="Arial" w:eastAsia="Arial" w:hAnsi="Arial" w:cs="Arial"/>
          <w:color w:val="000000"/>
          <w:sz w:val="20"/>
        </w:rPr>
        <w:t>, 489 U.S. 189, 198-202, 109 S. Ct. 998, 103 L. Ed. 2d 249 (1989).</w:t>
      </w:r>
    </w:p>
    <w:p w:rsidR="00022B47" w:rsidRDefault="00000000">
      <w:pPr>
        <w:pStyle w:val="Normal38"/>
        <w:widowControl w:val="0"/>
        <w:spacing w:before="200" w:line="260" w:lineRule="atLeast"/>
        <w:jc w:val="both"/>
      </w:pPr>
      <w:bookmarkStart w:id="6219" w:name="Bookmark_para_38_14"/>
      <w:bookmarkStart w:id="6220" w:name="Bookmark_I63R3BY62SF8660020000400"/>
      <w:bookmarkEnd w:id="6219"/>
      <w:bookmarkEnd w:id="6220"/>
      <w:r>
        <w:rPr>
          <w:rFonts w:ascii="Arial" w:eastAsia="Arial" w:hAnsi="Arial" w:cs="Arial"/>
          <w:color w:val="000000"/>
          <w:sz w:val="20"/>
        </w:rPr>
        <w:t xml:space="preserve">With respect to the section 17000 claim, Plaintiffs have not shown that any individual Plaintiff has standing to bring this claim because Plaintiffs nowhere allege that an individual Plaintiff was deprived of medically necessary care or general assistance, even under Plaintiffs' and the district court's theory that shelter may be required care under the statute. Plaintiffs have therefore not asserted that they themselves were injured by any [**26]  failure to comply with section 17000's requirement to provide for support when an indigent person is "not supported and relieved by their  [*959]  relatives or friends, by their own means, or by state hospitals or other state or private institutions." As a result, Plaintiffs lack standing for this claim—and because they asserted this claim only against the County, the district court did not have authority to grant relief against the City, anyway. </w:t>
      </w:r>
      <w:r>
        <w:rPr>
          <w:rFonts w:ascii="Arial" w:eastAsia="Arial" w:hAnsi="Arial" w:cs="Arial"/>
          <w:i/>
          <w:color w:val="000000"/>
          <w:sz w:val="20"/>
        </w:rPr>
        <w:t xml:space="preserve">See </w:t>
      </w:r>
      <w:bookmarkStart w:id="6221" w:name="Bookmark_I63R3BY62SF8660010000400"/>
      <w:bookmarkEnd w:id="6221"/>
      <w:r>
        <w:rPr>
          <w:rFonts w:ascii="Arial" w:eastAsia="Arial" w:hAnsi="Arial" w:cs="Arial"/>
          <w:i/>
          <w:color w:val="000000"/>
          <w:sz w:val="20"/>
        </w:rPr>
        <w:t>Pac. Radiation</w:t>
      </w:r>
      <w:r>
        <w:rPr>
          <w:rFonts w:ascii="Arial" w:eastAsia="Arial" w:hAnsi="Arial" w:cs="Arial"/>
          <w:color w:val="000000"/>
          <w:sz w:val="20"/>
        </w:rPr>
        <w:t>, 810 F.3d at 633.</w:t>
      </w:r>
    </w:p>
    <w:p w:rsidR="00022B47" w:rsidRDefault="00000000">
      <w:pPr>
        <w:pStyle w:val="Normal38"/>
        <w:widowControl w:val="0"/>
        <w:spacing w:before="200" w:line="260" w:lineRule="atLeast"/>
        <w:jc w:val="both"/>
      </w:pPr>
      <w:bookmarkStart w:id="6222" w:name="Bookmark_para_39_11"/>
      <w:bookmarkStart w:id="6223" w:name="Bookmark_I63R3BY62SF8660040000400"/>
      <w:bookmarkStart w:id="6224" w:name="Bookmark_I63R3BY62N1PRV0010000400"/>
      <w:bookmarkEnd w:id="6222"/>
      <w:bookmarkEnd w:id="6223"/>
      <w:bookmarkEnd w:id="6224"/>
      <w:r>
        <w:rPr>
          <w:rFonts w:ascii="Arial" w:eastAsia="Arial" w:hAnsi="Arial" w:cs="Arial"/>
          <w:color w:val="000000"/>
          <w:sz w:val="20"/>
        </w:rPr>
        <w:t xml:space="preserve">By contrast, two individual Plaintiffs have standing to bring the ADA claim against the City. </w:t>
      </w:r>
      <w:r>
        <w:rPr>
          <w:rFonts w:ascii="Arial" w:eastAsia="Arial" w:hAnsi="Arial" w:cs="Arial"/>
          <w:vertAlign w:val="superscript"/>
        </w:rPr>
        <w:footnoteReference w:customMarkFollows="1" w:id="180"/>
        <w:t>7</w:t>
      </w:r>
      <w:r>
        <w:rPr>
          <w:rFonts w:ascii="Arial" w:eastAsia="Arial" w:hAnsi="Arial" w:cs="Arial"/>
          <w:color w:val="000000"/>
          <w:sz w:val="20"/>
        </w:rPr>
        <w:t xml:space="preserve"> The record demonstrates that Charles Van Scoy and Leandro Suarez require wheelchairs for their daily activities, </w:t>
      </w:r>
      <w:r>
        <w:rPr>
          <w:rFonts w:ascii="Arial" w:eastAsia="Arial" w:hAnsi="Arial" w:cs="Arial"/>
          <w:i/>
          <w:color w:val="000000"/>
          <w:sz w:val="20"/>
        </w:rPr>
        <w:t>see</w:t>
      </w:r>
      <w:r>
        <w:rPr>
          <w:rFonts w:ascii="Arial" w:eastAsia="Arial" w:hAnsi="Arial" w:cs="Arial"/>
          <w:color w:val="000000"/>
          <w:sz w:val="20"/>
        </w:rPr>
        <w:t xml:space="preserve"> 42 U.S.C. § 12102(1)(A) (defining disability to include "a physical . . . impairment that substantially limits one or more major life activities"), and cannot traverse sidewalks within Skid Row because of homeless encampments. This injury is traceable to the City, because Skid Row area sidewalks are a service, program, or activity of the City within the meaning of Title II of the ADA. </w:t>
      </w:r>
      <w:r>
        <w:rPr>
          <w:rFonts w:ascii="Arial" w:eastAsia="Arial" w:hAnsi="Arial" w:cs="Arial"/>
          <w:i/>
          <w:color w:val="000000"/>
          <w:sz w:val="20"/>
        </w:rPr>
        <w:t>See</w:t>
      </w:r>
      <w:r>
        <w:rPr>
          <w:rFonts w:ascii="Arial" w:eastAsia="Arial" w:hAnsi="Arial" w:cs="Arial"/>
          <w:color w:val="000000"/>
          <w:sz w:val="20"/>
        </w:rPr>
        <w:t xml:space="preserve"> 42 U.S.C. § 12132; </w:t>
      </w:r>
      <w:bookmarkStart w:id="6227" w:name="Bookmark_I63R3BY62SF8660030000400"/>
      <w:bookmarkEnd w:id="6227"/>
      <w:r>
        <w:rPr>
          <w:rFonts w:ascii="Arial" w:eastAsia="Arial" w:hAnsi="Arial" w:cs="Arial"/>
          <w:i/>
          <w:color w:val="000000"/>
          <w:sz w:val="20"/>
        </w:rPr>
        <w:t>Barden v. City of Sacramento</w:t>
      </w:r>
      <w:r>
        <w:rPr>
          <w:rFonts w:ascii="Arial" w:eastAsia="Arial" w:hAnsi="Arial" w:cs="Arial"/>
          <w:color w:val="000000"/>
          <w:sz w:val="20"/>
        </w:rPr>
        <w:t>, 292 F.3d 1073, 1077 (9th Cir. 2002). To the extent the City is liable for the obstructions, clearing the sidewalks is also likely to redress Van Scoy and Suarez's injuries.</w:t>
      </w:r>
    </w:p>
    <w:p w:rsidR="00022B47" w:rsidRDefault="00000000">
      <w:pPr>
        <w:pStyle w:val="Normal38"/>
        <w:widowControl w:val="0"/>
        <w:spacing w:before="120" w:line="260" w:lineRule="atLeast"/>
      </w:pPr>
      <w:r>
        <w:rPr>
          <w:rFonts w:ascii="Arial" w:eastAsia="Arial" w:hAnsi="Arial" w:cs="Arial"/>
          <w:color w:val="000000"/>
          <w:sz w:val="20"/>
        </w:rPr>
        <w:t>C</w:t>
      </w:r>
    </w:p>
    <w:p w:rsidR="00022B47" w:rsidRDefault="00000000">
      <w:pPr>
        <w:pStyle w:val="Normal38"/>
        <w:widowControl w:val="0"/>
        <w:spacing w:before="200" w:line="260" w:lineRule="atLeast"/>
        <w:jc w:val="both"/>
      </w:pPr>
      <w:bookmarkStart w:id="6228" w:name="Bookmark_para_40_11"/>
      <w:bookmarkStart w:id="6229" w:name="Bookmark_I63R3BY62N1PRV0030000400"/>
      <w:bookmarkEnd w:id="6228"/>
      <w:bookmarkEnd w:id="6229"/>
      <w:r>
        <w:rPr>
          <w:rFonts w:ascii="Arial" w:eastAsia="Arial" w:hAnsi="Arial" w:cs="Arial"/>
          <w:color w:val="000000"/>
          <w:sz w:val="20"/>
        </w:rPr>
        <w:t xml:space="preserve">Plaintiffs argue that LA Alliance has associational [**27]  standing to seek relief under all the claims upon which the injunction is based. </w:t>
      </w:r>
      <w:bookmarkStart w:id="6230" w:name="Bookmark_I63R3BY62N1PRV0050000400"/>
      <w:bookmarkStart w:id="6231" w:name="Bookmark_LNHNREFclscc6_27"/>
      <w:bookmarkEnd w:id="6230"/>
      <w:bookmarkEnd w:id="6231"/>
      <w:r>
        <w:rPr>
          <w:rFonts w:ascii="Arial" w:eastAsia="Arial" w:hAnsi="Arial" w:cs="Arial"/>
          <w:color w:val="000000"/>
          <w:sz w:val="20"/>
        </w:rPr>
        <w:t xml:space="preserve">Associational standing exists if "[the organization's] members would otherwise have standing to sue in their own right, the interests at stake are germane to the organization's purpose, and neither the claim asserted nor the relief requested requires the participation of individual members in the lawsuit." </w:t>
      </w:r>
      <w:bookmarkStart w:id="6232" w:name="Bookmark_I63R3BY62N1PRV0020000400"/>
      <w:bookmarkEnd w:id="6232"/>
      <w:r>
        <w:rPr>
          <w:rFonts w:ascii="Arial" w:eastAsia="Arial" w:hAnsi="Arial" w:cs="Arial"/>
          <w:i/>
          <w:color w:val="000000"/>
          <w:sz w:val="20"/>
        </w:rPr>
        <w:t>Laidlaw</w:t>
      </w:r>
      <w:r>
        <w:rPr>
          <w:rFonts w:ascii="Arial" w:eastAsia="Arial" w:hAnsi="Arial" w:cs="Arial"/>
          <w:color w:val="000000"/>
          <w:sz w:val="20"/>
        </w:rPr>
        <w:t xml:space="preserve">, 528 U.S. at 181. Because only a single plaintiff with standing is needed to assert a claim, we need only consider whether LA Alliance has standing to assert the claims for which the individual Plaintiffs lack standing. </w:t>
      </w:r>
      <w:bookmarkStart w:id="6233" w:name="Bookmark_I63R3BY62N1PRV0050000400_2"/>
      <w:bookmarkEnd w:id="6233"/>
      <w:r>
        <w:rPr>
          <w:rFonts w:ascii="Arial" w:eastAsia="Arial" w:hAnsi="Arial" w:cs="Arial"/>
          <w:i/>
          <w:color w:val="000000"/>
          <w:sz w:val="20"/>
        </w:rPr>
        <w:t xml:space="preserve">See </w:t>
      </w:r>
      <w:bookmarkStart w:id="6234" w:name="Bookmark_I63R3BY62N1PRV0040000400"/>
      <w:bookmarkEnd w:id="6234"/>
      <w:r>
        <w:rPr>
          <w:rFonts w:ascii="Arial" w:eastAsia="Arial" w:hAnsi="Arial" w:cs="Arial"/>
          <w:i/>
          <w:color w:val="000000"/>
          <w:sz w:val="20"/>
        </w:rPr>
        <w:t>Nat'l Ass'n of Optometrists &amp; Opticians LensCrafters, Inc. v. Brown</w:t>
      </w:r>
      <w:r>
        <w:rPr>
          <w:rFonts w:ascii="Arial" w:eastAsia="Arial" w:hAnsi="Arial" w:cs="Arial"/>
          <w:color w:val="000000"/>
          <w:sz w:val="20"/>
        </w:rPr>
        <w:t>, 567 F.3d 521, 523 (9th Cir. 2009).</w:t>
      </w:r>
    </w:p>
    <w:p w:rsidR="00022B47" w:rsidRDefault="00000000">
      <w:pPr>
        <w:pStyle w:val="Normal38"/>
        <w:widowControl w:val="0"/>
        <w:spacing w:before="200" w:line="260" w:lineRule="atLeast"/>
        <w:jc w:val="both"/>
      </w:pPr>
      <w:bookmarkStart w:id="6235" w:name="Bookmark_para_41_11"/>
      <w:bookmarkStart w:id="6236" w:name="Bookmark_I63R3BY62D6NMY0020000400"/>
      <w:bookmarkEnd w:id="6235"/>
      <w:bookmarkEnd w:id="6236"/>
      <w:r>
        <w:rPr>
          <w:rFonts w:ascii="Arial" w:eastAsia="Arial" w:hAnsi="Arial" w:cs="Arial"/>
          <w:color w:val="000000"/>
          <w:sz w:val="20"/>
        </w:rPr>
        <w:t xml:space="preserve">Like the individual Plaintiffs, no other member of LA Alliance has alleged injuries sufficient for standing to bring the substantive due process, state-created danger, special relationship, equal protection, or section 17000 claims upon which relief was granted. </w:t>
      </w:r>
      <w:r>
        <w:rPr>
          <w:rFonts w:ascii="Arial" w:eastAsia="Arial" w:hAnsi="Arial" w:cs="Arial"/>
          <w:i/>
          <w:color w:val="000000"/>
          <w:sz w:val="20"/>
        </w:rPr>
        <w:t xml:space="preserve">See </w:t>
      </w:r>
      <w:bookmarkStart w:id="6237" w:name="Bookmark_I63R3BY62D6NMY0010000400"/>
      <w:bookmarkEnd w:id="6237"/>
      <w:r>
        <w:rPr>
          <w:rFonts w:ascii="Arial" w:eastAsia="Arial" w:hAnsi="Arial" w:cs="Arial"/>
          <w:i/>
          <w:color w:val="000000"/>
          <w:sz w:val="20"/>
        </w:rPr>
        <w:t>Summers v. Earth Island Inst.</w:t>
      </w:r>
      <w:r>
        <w:rPr>
          <w:rFonts w:ascii="Arial" w:eastAsia="Arial" w:hAnsi="Arial" w:cs="Arial"/>
          <w:color w:val="000000"/>
          <w:sz w:val="20"/>
        </w:rPr>
        <w:t xml:space="preserve">, 555 U.S. 488, 499, 129 S. Ct. 1142, 173 L. Ed. 2d 1 (2009) (explaining that to establish a member's injury for associational standing, an organization must submit "individual affidavits" from "members who have suffered the requisite harm"). Plaintiffs allege that LA Alliance consists of "a broad coalition of Los Angeles stakeholders . . . working towards solutions to address the [homelessness] crisis." [**28]  There is no evidence that LA Alliance's non-Plaintiff members—including those described in supplemental affidavits filed with Plaintiff's Motion—are Black, </w:t>
      </w:r>
      <w:r>
        <w:rPr>
          <w:rFonts w:ascii="Arial" w:eastAsia="Arial" w:hAnsi="Arial" w:cs="Arial"/>
          <w:vertAlign w:val="superscript"/>
        </w:rPr>
        <w:footnoteReference w:customMarkFollows="1" w:id="181"/>
        <w:t>8</w:t>
      </w:r>
      <w:r>
        <w:rPr>
          <w:rFonts w:ascii="Arial" w:eastAsia="Arial" w:hAnsi="Arial" w:cs="Arial"/>
          <w:color w:val="000000"/>
          <w:sz w:val="20"/>
        </w:rPr>
        <w:t xml:space="preserve"> risk disruption of their family integrity, have a special relationship with the City, are confined to Skid Row, or were deprived of the type of assistance required by section 17000. Plaintiffs' supplemental declarations included some from unhoused members, but none state that these members were members at the time of filing. </w:t>
      </w:r>
      <w:r>
        <w:rPr>
          <w:rFonts w:ascii="Arial" w:eastAsia="Arial" w:hAnsi="Arial" w:cs="Arial"/>
          <w:vertAlign w:val="superscript"/>
        </w:rPr>
        <w:footnoteReference w:customMarkFollows="1" w:id="182"/>
        <w:t>9</w:t>
      </w:r>
      <w:r>
        <w:rPr>
          <w:rFonts w:ascii="Arial" w:eastAsia="Arial" w:hAnsi="Arial" w:cs="Arial"/>
          <w:color w:val="000000"/>
          <w:sz w:val="20"/>
        </w:rPr>
        <w:t xml:space="preserve"> At oral  [*960]  argument, Plaintiffs' counsel acknowledged this gap in the supplemented record. Because LA Alliance has not shown that its members would otherwise have standing to sue in their own right, it lacks associational standing for these five claims, and we need not reach the other elements of the associational standing test.</w:t>
      </w:r>
    </w:p>
    <w:p w:rsidR="00022B47" w:rsidRDefault="00000000">
      <w:pPr>
        <w:pStyle w:val="Normal38"/>
        <w:widowControl w:val="0"/>
        <w:spacing w:before="120" w:line="260" w:lineRule="atLeast"/>
      </w:pPr>
      <w:r>
        <w:rPr>
          <w:rFonts w:ascii="Arial" w:eastAsia="Arial" w:hAnsi="Arial" w:cs="Arial"/>
          <w:color w:val="000000"/>
          <w:sz w:val="20"/>
        </w:rPr>
        <w:t>D</w:t>
      </w:r>
    </w:p>
    <w:p w:rsidR="00022B47" w:rsidRDefault="00000000">
      <w:pPr>
        <w:pStyle w:val="Normal38"/>
        <w:widowControl w:val="0"/>
        <w:spacing w:before="200" w:line="260" w:lineRule="atLeast"/>
        <w:jc w:val="both"/>
      </w:pPr>
      <w:bookmarkStart w:id="6247" w:name="Bookmark_para_42_10"/>
      <w:bookmarkStart w:id="6248" w:name="Bookmark_I085JJM4PN400006PF200003"/>
      <w:bookmarkStart w:id="6249" w:name="Bookmark_I63R3BY72D6NN10050000400"/>
      <w:bookmarkEnd w:id="6247"/>
      <w:bookmarkEnd w:id="6248"/>
      <w:bookmarkEnd w:id="6249"/>
      <w:r>
        <w:rPr>
          <w:rFonts w:ascii="Arial" w:eastAsia="Arial" w:hAnsi="Arial" w:cs="Arial"/>
          <w:color w:val="000000"/>
          <w:sz w:val="20"/>
        </w:rPr>
        <w:t xml:space="preserve">Finally, we consider the merits of Plaintiffs' ADA claim against the City. Although this claim survives our jurisdictional analysis, it suffers from other flaws. The ADA claim fails on the first </w:t>
      </w:r>
      <w:r>
        <w:rPr>
          <w:rFonts w:ascii="Arial" w:eastAsia="Arial" w:hAnsi="Arial" w:cs="Arial"/>
          <w:i/>
          <w:color w:val="000000"/>
          <w:sz w:val="20"/>
        </w:rPr>
        <w:t>Winter</w:t>
      </w:r>
      <w:r>
        <w:rPr>
          <w:rFonts w:ascii="Arial" w:eastAsia="Arial" w:hAnsi="Arial" w:cs="Arial"/>
          <w:color w:val="000000"/>
          <w:sz w:val="20"/>
        </w:rPr>
        <w:t xml:space="preserve"> factor, because Plaintiffs have not shown a likelihood of success at this stage. </w:t>
      </w:r>
      <w:bookmarkStart w:id="6250" w:name="Bookmark_I63R3BY72D6NN10040000400"/>
      <w:bookmarkEnd w:id="6250"/>
      <w:r>
        <w:rPr>
          <w:rFonts w:ascii="Arial" w:eastAsia="Arial" w:hAnsi="Arial" w:cs="Arial"/>
          <w:color w:val="000000"/>
          <w:sz w:val="20"/>
        </w:rPr>
        <w:t>555 U.S. at 20. And the district court abused its discretion by relying on extra-record evidence to find success on [**29]  the merits and by ordering overly broad relief.</w:t>
      </w:r>
    </w:p>
    <w:p w:rsidR="00022B47" w:rsidRDefault="00000000">
      <w:pPr>
        <w:pStyle w:val="Normal38"/>
        <w:widowControl w:val="0"/>
        <w:spacing w:before="200" w:line="260" w:lineRule="atLeast"/>
        <w:jc w:val="both"/>
      </w:pPr>
      <w:bookmarkStart w:id="6251" w:name="Bookmark_para_43_10"/>
      <w:bookmarkStart w:id="6252" w:name="Bookmark_I63R3BY72N1PRY0020000400"/>
      <w:bookmarkStart w:id="6253" w:name="Bookmark_I63R3BY72N1PRY0040000400"/>
      <w:bookmarkEnd w:id="6251"/>
      <w:bookmarkEnd w:id="6252"/>
      <w:bookmarkEnd w:id="6253"/>
      <w:r>
        <w:rPr>
          <w:rFonts w:ascii="Arial" w:eastAsia="Arial" w:hAnsi="Arial" w:cs="Arial"/>
          <w:color w:val="000000"/>
          <w:sz w:val="20"/>
        </w:rPr>
        <w:t xml:space="preserve">Plaintiffs failed to "establish that the law and facts </w:t>
      </w:r>
      <w:r>
        <w:rPr>
          <w:rFonts w:ascii="Arial" w:eastAsia="Arial" w:hAnsi="Arial" w:cs="Arial"/>
          <w:i/>
          <w:color w:val="000000"/>
          <w:sz w:val="20"/>
        </w:rPr>
        <w:t>clearly favor</w:t>
      </w:r>
      <w:r>
        <w:rPr>
          <w:rFonts w:ascii="Arial" w:eastAsia="Arial" w:hAnsi="Arial" w:cs="Arial"/>
          <w:color w:val="000000"/>
          <w:sz w:val="20"/>
        </w:rPr>
        <w:t xml:space="preserve"> [their] position." </w:t>
      </w:r>
      <w:bookmarkStart w:id="6254" w:name="Bookmark_I63R3BY72N1PRY0010000400"/>
      <w:bookmarkEnd w:id="6254"/>
      <w:r>
        <w:rPr>
          <w:rFonts w:ascii="Arial" w:eastAsia="Arial" w:hAnsi="Arial" w:cs="Arial"/>
          <w:i/>
          <w:color w:val="000000"/>
          <w:sz w:val="20"/>
        </w:rPr>
        <w:t>Garcia</w:t>
      </w:r>
      <w:r>
        <w:rPr>
          <w:rFonts w:ascii="Arial" w:eastAsia="Arial" w:hAnsi="Arial" w:cs="Arial"/>
          <w:color w:val="000000"/>
          <w:sz w:val="20"/>
        </w:rPr>
        <w:t xml:space="preserve">, 786 F.3d at 740. Plaintiffs had to show that Van Scoy and Suarez were denied the benefits of the City's sidewalks or were otherwise discriminated against by the City and that such denial of benefits or discrimination was by reason of their disabilities. </w:t>
      </w:r>
      <w:bookmarkStart w:id="6255" w:name="Bookmark_I63R3BY72SF86C0010000400"/>
      <w:bookmarkStart w:id="6256" w:name="Bookmark_I63R3BY72N1PRY0030000400"/>
      <w:bookmarkEnd w:id="6255"/>
      <w:bookmarkEnd w:id="6256"/>
      <w:r>
        <w:rPr>
          <w:rFonts w:ascii="Arial" w:eastAsia="Arial" w:hAnsi="Arial" w:cs="Arial"/>
          <w:i/>
          <w:color w:val="000000"/>
          <w:sz w:val="20"/>
        </w:rPr>
        <w:t>Weinreich v. L.A. Cnty. Metro. Transp. Auth.</w:t>
      </w:r>
      <w:r>
        <w:rPr>
          <w:rFonts w:ascii="Arial" w:eastAsia="Arial" w:hAnsi="Arial" w:cs="Arial"/>
          <w:color w:val="000000"/>
          <w:sz w:val="20"/>
        </w:rPr>
        <w:t xml:space="preserve">, 114 F.3d 976, 978 (9th Cir. 1997); </w:t>
      </w:r>
      <w:r>
        <w:rPr>
          <w:rFonts w:ascii="Arial" w:eastAsia="Arial" w:hAnsi="Arial" w:cs="Arial"/>
          <w:i/>
          <w:color w:val="000000"/>
          <w:sz w:val="20"/>
        </w:rPr>
        <w:t>see also</w:t>
      </w:r>
      <w:r>
        <w:rPr>
          <w:rFonts w:ascii="Arial" w:eastAsia="Arial" w:hAnsi="Arial" w:cs="Arial"/>
          <w:color w:val="000000"/>
          <w:sz w:val="20"/>
        </w:rPr>
        <w:t xml:space="preserve"> 42 U.S.C. § 12132. </w:t>
      </w:r>
      <w:bookmarkStart w:id="6257" w:name="Bookmark_I63R3BY72SF86C0010000400_2"/>
      <w:bookmarkStart w:id="6258" w:name="Bookmark_LNHNREFclscc8_23"/>
      <w:bookmarkEnd w:id="6257"/>
      <w:bookmarkEnd w:id="6258"/>
      <w:r>
        <w:rPr>
          <w:rFonts w:ascii="Arial" w:eastAsia="Arial" w:hAnsi="Arial" w:cs="Arial"/>
          <w:color w:val="000000"/>
          <w:sz w:val="20"/>
        </w:rPr>
        <w:t xml:space="preserve">Public sidewalk and architectural obstruction ADA claims are fact-intensive claims with specific requirements and evidentiary burdens. </w:t>
      </w:r>
      <w:r>
        <w:rPr>
          <w:rFonts w:ascii="Arial" w:eastAsia="Arial" w:hAnsi="Arial" w:cs="Arial"/>
          <w:i/>
          <w:color w:val="000000"/>
          <w:sz w:val="20"/>
        </w:rPr>
        <w:t>See, e.g.</w:t>
      </w:r>
      <w:r>
        <w:rPr>
          <w:rFonts w:ascii="Arial" w:eastAsia="Arial" w:hAnsi="Arial" w:cs="Arial"/>
          <w:color w:val="000000"/>
          <w:sz w:val="20"/>
        </w:rPr>
        <w:t xml:space="preserve">, </w:t>
      </w:r>
      <w:bookmarkStart w:id="6259" w:name="Bookmark_I63R3BY72N1PRY0050000400"/>
      <w:bookmarkEnd w:id="6259"/>
      <w:r>
        <w:rPr>
          <w:rFonts w:ascii="Arial" w:eastAsia="Arial" w:hAnsi="Arial" w:cs="Arial"/>
          <w:i/>
          <w:color w:val="000000"/>
          <w:sz w:val="20"/>
        </w:rPr>
        <w:t>Kirola v. City &amp; County of San Francisco</w:t>
      </w:r>
      <w:r>
        <w:rPr>
          <w:rFonts w:ascii="Arial" w:eastAsia="Arial" w:hAnsi="Arial" w:cs="Arial"/>
          <w:color w:val="000000"/>
          <w:sz w:val="20"/>
        </w:rPr>
        <w:t xml:space="preserve">, 860 F.3d 1164, 1183 (9th Cir. 2017) (discussing evidentiary burden of demonstrating sidewalk "inaccessibility at a programmatic level"); </w:t>
      </w:r>
      <w:bookmarkStart w:id="6260" w:name="Bookmark_I63R3BY72SF86C0020000400"/>
      <w:bookmarkEnd w:id="6260"/>
      <w:r>
        <w:rPr>
          <w:rFonts w:ascii="Arial" w:eastAsia="Arial" w:hAnsi="Arial" w:cs="Arial"/>
          <w:i/>
          <w:color w:val="000000"/>
          <w:sz w:val="20"/>
        </w:rPr>
        <w:t>Chapman v. Pier 1 Imports (U.S.) Inc.</w:t>
      </w:r>
      <w:r>
        <w:rPr>
          <w:rFonts w:ascii="Arial" w:eastAsia="Arial" w:hAnsi="Arial" w:cs="Arial"/>
          <w:color w:val="000000"/>
          <w:sz w:val="20"/>
        </w:rPr>
        <w:t xml:space="preserve">, 779 F.3d 1001, 1008, 1010 (9th Cir. 2015) (observing that movable or temporary obstructions are typically not architectural barriers, although frequent barriers "must be viewed systemically"). But Plaintiffs' allegations centered on the fact that blocked sidewalks "[p]ut [e]veryone at [r]isk," and they did not offer sufficient evidence to make the required showing for Van Scoy and Suarez to succeed on this claim at this stage. Plaintiffs also failed to suggest a specific, reasonable accommodation. </w:t>
      </w:r>
      <w:bookmarkStart w:id="6261" w:name="Bookmark_I63R3BY72SF86C0050000400"/>
      <w:bookmarkEnd w:id="6261"/>
      <w:r>
        <w:rPr>
          <w:rFonts w:ascii="Arial" w:eastAsia="Arial" w:hAnsi="Arial" w:cs="Arial"/>
          <w:color w:val="000000"/>
          <w:sz w:val="20"/>
        </w:rPr>
        <w:t xml:space="preserve">Instead, they seek the wholesale clearing of 50-plus blocks followed by criminal enforcement of anti-camping [**30]  and related ordinances. </w:t>
      </w:r>
      <w:bookmarkStart w:id="6262" w:name="Bookmark_LNHNREFclscc9_20"/>
      <w:bookmarkEnd w:id="6262"/>
      <w:r>
        <w:rPr>
          <w:rFonts w:ascii="Arial" w:eastAsia="Arial" w:hAnsi="Arial" w:cs="Arial"/>
          <w:color w:val="000000"/>
          <w:sz w:val="20"/>
        </w:rPr>
        <w:t xml:space="preserve">This may be significantly broader remedy than required for Van Scoy and Suarez to safely navigate sidewalks to complete daily activities. </w:t>
      </w:r>
      <w:r>
        <w:rPr>
          <w:rFonts w:ascii="Arial" w:eastAsia="Arial" w:hAnsi="Arial" w:cs="Arial"/>
          <w:i/>
          <w:color w:val="000000"/>
          <w:sz w:val="20"/>
        </w:rPr>
        <w:t xml:space="preserve">See </w:t>
      </w:r>
      <w:bookmarkStart w:id="6263" w:name="Bookmark_I63R3BY72SF86C0040000400"/>
      <w:bookmarkEnd w:id="6263"/>
      <w:r>
        <w:rPr>
          <w:rFonts w:ascii="Arial" w:eastAsia="Arial" w:hAnsi="Arial" w:cs="Arial"/>
          <w:i/>
          <w:color w:val="000000"/>
          <w:sz w:val="20"/>
        </w:rPr>
        <w:t>Pac. Radiation</w:t>
      </w:r>
      <w:r>
        <w:rPr>
          <w:rFonts w:ascii="Arial" w:eastAsia="Arial" w:hAnsi="Arial" w:cs="Arial"/>
          <w:color w:val="000000"/>
          <w:sz w:val="20"/>
        </w:rPr>
        <w:t xml:space="preserve">, 810 F.3d at 636 (holding that the plaintiff must "establish a relationship between the injury claimed in the party's motion and the conduct asserted in the complaint" (quoting </w:t>
      </w:r>
      <w:bookmarkStart w:id="6264" w:name="Bookmark_I63R3BY72HM5PM0010000400"/>
      <w:bookmarkEnd w:id="6264"/>
      <w:r>
        <w:rPr>
          <w:rFonts w:ascii="Arial" w:eastAsia="Arial" w:hAnsi="Arial" w:cs="Arial"/>
          <w:i/>
          <w:color w:val="000000"/>
          <w:sz w:val="20"/>
        </w:rPr>
        <w:t>Devose v. Herrington</w:t>
      </w:r>
      <w:r>
        <w:rPr>
          <w:rFonts w:ascii="Arial" w:eastAsia="Arial" w:hAnsi="Arial" w:cs="Arial"/>
          <w:color w:val="000000"/>
          <w:sz w:val="20"/>
        </w:rPr>
        <w:t>, 42 F.3d 470, 471 (8th Cir. 1994) (per curiam))).</w:t>
      </w:r>
    </w:p>
    <w:p w:rsidR="00022B47" w:rsidRDefault="00000000">
      <w:pPr>
        <w:pStyle w:val="Normal38"/>
        <w:widowControl w:val="0"/>
        <w:spacing w:before="200" w:line="260" w:lineRule="atLeast"/>
        <w:jc w:val="both"/>
      </w:pPr>
      <w:bookmarkStart w:id="6265" w:name="Bookmark_para_44_10"/>
      <w:bookmarkEnd w:id="6265"/>
      <w:r>
        <w:rPr>
          <w:rFonts w:ascii="Arial" w:eastAsia="Arial" w:hAnsi="Arial" w:cs="Arial"/>
          <w:color w:val="000000"/>
          <w:sz w:val="20"/>
        </w:rPr>
        <w:t>Adopting Plaintiffs' approach, the district court found a likelihood of success on the merits of the ADA claim due to the "[h]undreds of city sidewalks, not only in Skid Row but across the City and County of Los Angeles, [that] fail to meet the minimum requirements of the ADA due to the creation of homeless encampments." But the Order failed to explain how the record supports Van Scoy and Suarez's claim in particular, or how the relief ordered (</w:t>
      </w:r>
      <w:r>
        <w:rPr>
          <w:rFonts w:ascii="Arial" w:eastAsia="Arial" w:hAnsi="Arial" w:cs="Arial"/>
          <w:i/>
          <w:color w:val="000000"/>
          <w:sz w:val="20"/>
        </w:rPr>
        <w:t>e.g.</w:t>
      </w:r>
      <w:r>
        <w:rPr>
          <w:rFonts w:ascii="Arial" w:eastAsia="Arial" w:hAnsi="Arial" w:cs="Arial"/>
          <w:color w:val="000000"/>
          <w:sz w:val="20"/>
        </w:rPr>
        <w:t>, offering every person in Skid Row shelter within 180 days) is tailored to their injuries (</w:t>
      </w:r>
      <w:r>
        <w:rPr>
          <w:rFonts w:ascii="Arial" w:eastAsia="Arial" w:hAnsi="Arial" w:cs="Arial"/>
          <w:i/>
          <w:color w:val="000000"/>
          <w:sz w:val="20"/>
        </w:rPr>
        <w:t>e.g.</w:t>
      </w:r>
      <w:r>
        <w:rPr>
          <w:rFonts w:ascii="Arial" w:eastAsia="Arial" w:hAnsi="Arial" w:cs="Arial"/>
          <w:color w:val="000000"/>
          <w:sz w:val="20"/>
        </w:rPr>
        <w:t xml:space="preserve">, encountering blocked sidewalks while running errands). </w:t>
      </w:r>
      <w:bookmarkStart w:id="6266" w:name="Bookmark_I63R3BY72HM5PM0040000400"/>
      <w:bookmarkEnd w:id="6266"/>
      <w:r>
        <w:rPr>
          <w:rFonts w:ascii="Arial" w:eastAsia="Arial" w:hAnsi="Arial" w:cs="Arial"/>
          <w:color w:val="000000"/>
          <w:sz w:val="20"/>
        </w:rPr>
        <w:t xml:space="preserve">The district  [*961]  court failed to analyze Van Scoy and Suarez's injuries or the requirements of their ADA claim and abused its discretion by finding a likelihood of success on the merits. The ADA claim is therefore unable to support the sweeping relief ordered [**31]  in the preliminary injunction. </w:t>
      </w:r>
      <w:bookmarkStart w:id="6267" w:name="Bookmark_I63R3BY72HM5PM0030000400"/>
      <w:bookmarkEnd w:id="6267"/>
      <w:r>
        <w:rPr>
          <w:rFonts w:ascii="Arial" w:eastAsia="Arial" w:hAnsi="Arial" w:cs="Arial"/>
          <w:i/>
          <w:color w:val="000000"/>
          <w:sz w:val="20"/>
        </w:rPr>
        <w:t>Disney Enters., Inc.</w:t>
      </w:r>
      <w:r>
        <w:rPr>
          <w:rFonts w:ascii="Arial" w:eastAsia="Arial" w:hAnsi="Arial" w:cs="Arial"/>
          <w:color w:val="000000"/>
          <w:sz w:val="20"/>
        </w:rPr>
        <w:t>, 869 F.3d at 856.</w:t>
      </w:r>
    </w:p>
    <w:p w:rsidR="00022B47" w:rsidRDefault="00000000">
      <w:pPr>
        <w:pStyle w:val="Normal38"/>
        <w:widowControl w:val="0"/>
        <w:spacing w:before="120" w:line="260" w:lineRule="atLeast"/>
      </w:pPr>
      <w:r>
        <w:rPr>
          <w:rFonts w:ascii="Arial" w:eastAsia="Arial" w:hAnsi="Arial" w:cs="Arial"/>
          <w:color w:val="000000"/>
          <w:sz w:val="20"/>
        </w:rPr>
        <w:t>IV</w:t>
      </w:r>
    </w:p>
    <w:p w:rsidR="00022B47" w:rsidRDefault="00000000">
      <w:pPr>
        <w:pStyle w:val="Normal38"/>
        <w:widowControl w:val="0"/>
        <w:spacing w:before="200" w:line="260" w:lineRule="atLeast"/>
        <w:jc w:val="both"/>
      </w:pPr>
      <w:bookmarkStart w:id="6268" w:name="Bookmark_para_45_10"/>
      <w:bookmarkEnd w:id="6268"/>
      <w:r>
        <w:rPr>
          <w:rFonts w:ascii="Arial" w:eastAsia="Arial" w:hAnsi="Arial" w:cs="Arial"/>
          <w:color w:val="000000"/>
          <w:sz w:val="20"/>
        </w:rPr>
        <w:t xml:space="preserve">The district court undoubtedly has broad equitable power to remedy legal violations that have contributed to the complex problem of homelessness in Los Angeles. </w:t>
      </w:r>
      <w:bookmarkStart w:id="6269" w:name="Bookmark_LNHNREFclscc10_18"/>
      <w:bookmarkEnd w:id="6269"/>
      <w:r>
        <w:rPr>
          <w:rFonts w:ascii="Arial" w:eastAsia="Arial" w:hAnsi="Arial" w:cs="Arial"/>
          <w:color w:val="000000"/>
          <w:sz w:val="20"/>
        </w:rPr>
        <w:t>But that power must be exercised consistent with its discretionary authority and Article III. Because the district court did not do so, we VACATE the preliminary injunction order and REMAND for proceedings consistent with this opinion.</w:t>
      </w:r>
    </w:p>
    <w:p w:rsidR="00022B47" w:rsidRDefault="00000000">
      <w:pPr>
        <w:pStyle w:val="Normal38"/>
        <w:widowControl w:val="0"/>
        <w:spacing w:before="200" w:line="260" w:lineRule="atLeast"/>
        <w:jc w:val="both"/>
      </w:pPr>
      <w:bookmarkStart w:id="6270" w:name="Bookmark_para_46_10"/>
      <w:bookmarkEnd w:id="6270"/>
      <w:r>
        <w:rPr>
          <w:rFonts w:ascii="Arial" w:eastAsia="Arial" w:hAnsi="Arial" w:cs="Arial"/>
          <w:b/>
          <w:color w:val="000000"/>
          <w:sz w:val="20"/>
        </w:rPr>
        <w:t>VACATED and REMANDED</w:t>
      </w:r>
      <w:r>
        <w:rPr>
          <w:rFonts w:ascii="Arial" w:eastAsia="Arial" w:hAnsi="Arial" w:cs="Arial"/>
          <w:color w:val="000000"/>
          <w:sz w:val="20"/>
        </w:rPr>
        <w:t>.</w:t>
      </w:r>
    </w:p>
    <w:p w:rsidR="00022B47" w:rsidRDefault="00022B47">
      <w:pPr>
        <w:pStyle w:val="Normal38"/>
      </w:pPr>
    </w:p>
    <w:p w:rsidR="00022B47" w:rsidRDefault="00000000">
      <w:pPr>
        <w:pStyle w:val="Normal38"/>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40160"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444274185"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1212A0" id="Line 82"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39"/>
        <w:sectPr w:rsidR="00022B47">
          <w:headerReference w:type="even" r:id="rId241"/>
          <w:headerReference w:type="default" r:id="rId242"/>
          <w:footerReference w:type="even" r:id="rId243"/>
          <w:footerReference w:type="default" r:id="rId244"/>
          <w:headerReference w:type="first" r:id="rId245"/>
          <w:footerReference w:type="first" r:id="rId246"/>
          <w:pgSz w:w="12240" w:h="15840"/>
          <w:pgMar w:top="840" w:right="1000" w:bottom="840" w:left="1000" w:header="400" w:footer="400" w:gutter="0"/>
          <w:cols w:space="720"/>
          <w:titlePg/>
        </w:sectPr>
      </w:pPr>
    </w:p>
    <w:p w:rsidR="00022B47" w:rsidRDefault="00022B47">
      <w:pPr>
        <w:pStyle w:val="Normal39"/>
      </w:pPr>
    </w:p>
    <w:p w:rsidR="00022B47" w:rsidRDefault="00000000">
      <w:pPr>
        <w:pStyle w:val="Heading138"/>
        <w:keepNext w:val="0"/>
        <w:widowControl w:val="0"/>
        <w:spacing w:after="200" w:line="340" w:lineRule="atLeast"/>
        <w:jc w:val="center"/>
      </w:pPr>
      <w:r>
        <w:rPr>
          <w:rFonts w:eastAsia="Arial"/>
          <w:color w:val="000000"/>
          <w:sz w:val="28"/>
        </w:rPr>
        <w:t>Murphy v. Kamphuis</w:t>
      </w:r>
    </w:p>
    <w:p w:rsidR="00022B47" w:rsidRDefault="00000000">
      <w:pPr>
        <w:pStyle w:val="Normal39"/>
        <w:widowControl w:val="0"/>
        <w:spacing w:before="120" w:line="260" w:lineRule="atLeast"/>
        <w:jc w:val="center"/>
      </w:pPr>
      <w:r>
        <w:rPr>
          <w:rFonts w:ascii="Arial" w:eastAsia="Arial" w:hAnsi="Arial" w:cs="Arial"/>
          <w:color w:val="000000"/>
          <w:sz w:val="20"/>
        </w:rPr>
        <w:t>United States Court of Appeals for the Seventh Circuit</w:t>
      </w:r>
    </w:p>
    <w:p w:rsidR="00022B47" w:rsidRDefault="00000000">
      <w:pPr>
        <w:pStyle w:val="Normal39"/>
        <w:widowControl w:val="0"/>
        <w:spacing w:before="120" w:line="260" w:lineRule="atLeast"/>
        <w:jc w:val="center"/>
      </w:pPr>
      <w:r>
        <w:rPr>
          <w:rFonts w:ascii="Arial" w:eastAsia="Arial" w:hAnsi="Arial" w:cs="Arial"/>
          <w:color w:val="000000"/>
          <w:sz w:val="20"/>
        </w:rPr>
        <w:t>September 2, 2021</w:t>
      </w:r>
      <w:r>
        <w:rPr>
          <w:rFonts w:ascii="Arial" w:eastAsia="Arial" w:hAnsi="Arial" w:cs="Arial"/>
          <w:vertAlign w:val="superscript"/>
        </w:rPr>
        <w:footnoteReference w:customMarkFollows="1" w:id="183"/>
        <w:t>*</w:t>
      </w:r>
      <w:r>
        <w:rPr>
          <w:rFonts w:ascii="Arial" w:eastAsia="Arial" w:hAnsi="Arial" w:cs="Arial"/>
          <w:color w:val="000000"/>
          <w:sz w:val="20"/>
        </w:rPr>
        <w:t>, Submitted; September 14, 2021, Decided</w:t>
      </w:r>
    </w:p>
    <w:p w:rsidR="00022B47" w:rsidRDefault="00000000">
      <w:pPr>
        <w:pStyle w:val="Normal39"/>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20-2453</w:t>
      </w:r>
    </w:p>
    <w:p w:rsidR="00022B47" w:rsidRDefault="00022B47">
      <w:pPr>
        <w:pStyle w:val="Normal39"/>
        <w:widowControl w:val="0"/>
        <w:spacing w:line="240" w:lineRule="atLeast"/>
        <w:jc w:val="both"/>
      </w:pPr>
      <w:bookmarkStart w:id="6272" w:name="Bookmark_40"/>
      <w:bookmarkEnd w:id="6272"/>
    </w:p>
    <w:p w:rsidR="00022B47" w:rsidRDefault="00000000">
      <w:pPr>
        <w:pStyle w:val="Normal39"/>
        <w:widowControl w:val="0"/>
        <w:spacing w:before="200" w:line="240" w:lineRule="atLeast"/>
      </w:pPr>
      <w:bookmarkStart w:id="6273" w:name="Reporter_38"/>
      <w:bookmarkEnd w:id="6273"/>
      <w:r>
        <w:rPr>
          <w:rFonts w:ascii="Arial" w:eastAsia="Arial" w:hAnsi="Arial" w:cs="Arial"/>
          <w:b/>
          <w:color w:val="000000"/>
          <w:sz w:val="18"/>
        </w:rPr>
        <w:t>Reporter</w:t>
      </w:r>
    </w:p>
    <w:p w:rsidR="00022B47" w:rsidRDefault="00000000">
      <w:pPr>
        <w:pStyle w:val="Normal39"/>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858 Fed. Appx. 939 *; 2021 U.S. App. LEXIS 27549 **; 2021 WL 4166310</w:t>
      </w:r>
    </w:p>
    <w:p w:rsidR="00022B47" w:rsidRDefault="00000000">
      <w:pPr>
        <w:pStyle w:val="Normal39"/>
        <w:widowControl w:val="0"/>
        <w:spacing w:before="120" w:line="260" w:lineRule="atLeast"/>
      </w:pPr>
      <w:r>
        <w:rPr>
          <w:rFonts w:ascii="Arial" w:eastAsia="Arial" w:hAnsi="Arial" w:cs="Arial"/>
          <w:color w:val="000000"/>
          <w:sz w:val="20"/>
        </w:rPr>
        <w:t>SHAWN MURPHY, Plaintiff-Appellant, v. NICOLE KAMPHUIS, et al., Defendants-Appellees.</w:t>
      </w:r>
    </w:p>
    <w:p w:rsidR="00022B47" w:rsidRDefault="00000000">
      <w:pPr>
        <w:pStyle w:val="Normal39"/>
        <w:widowControl w:val="0"/>
        <w:spacing w:before="240" w:line="260" w:lineRule="atLeast"/>
        <w:jc w:val="both"/>
      </w:pPr>
      <w:bookmarkStart w:id="6274" w:name="Notice_20"/>
      <w:bookmarkEnd w:id="6274"/>
      <w:r>
        <w:rPr>
          <w:rFonts w:ascii="Arial" w:eastAsia="Arial" w:hAnsi="Arial" w:cs="Arial"/>
          <w:b/>
          <w:color w:val="000000"/>
          <w:sz w:val="20"/>
        </w:rPr>
        <w:t>Notice:</w:t>
      </w:r>
      <w:r>
        <w:rPr>
          <w:rFonts w:ascii="Arial" w:eastAsia="Arial" w:hAnsi="Arial" w:cs="Arial"/>
          <w:color w:val="000000"/>
          <w:sz w:val="20"/>
        </w:rPr>
        <w:t> </w:t>
      </w:r>
      <w:bookmarkStart w:id="6275" w:name="Bookmark_para_1_38"/>
      <w:bookmarkEnd w:id="6275"/>
      <w:r>
        <w:rPr>
          <w:rFonts w:ascii="Arial" w:eastAsia="Arial" w:hAnsi="Arial" w:cs="Arial"/>
          <w:color w:val="000000"/>
          <w:sz w:val="20"/>
        </w:rPr>
        <w:t>PLEASE REFER TO FEDERAL RULES OF APPELLATE PROCEDURE RULE 32.1 GOVERNING THE CITATION TO UNPUBLISHED OPINIONS.</w:t>
      </w:r>
    </w:p>
    <w:p w:rsidR="00022B47" w:rsidRDefault="00000000">
      <w:pPr>
        <w:pStyle w:val="Normal39"/>
        <w:widowControl w:val="0"/>
        <w:spacing w:before="240" w:line="260" w:lineRule="atLeast"/>
        <w:jc w:val="both"/>
      </w:pPr>
      <w:bookmarkStart w:id="6276" w:name="Prior_History_38"/>
      <w:bookmarkEnd w:id="6276"/>
      <w:r>
        <w:rPr>
          <w:rFonts w:ascii="Arial" w:eastAsia="Arial" w:hAnsi="Arial" w:cs="Arial"/>
          <w:b/>
          <w:color w:val="000000"/>
          <w:sz w:val="20"/>
        </w:rPr>
        <w:t>Prior History:</w:t>
      </w:r>
      <w:r>
        <w:rPr>
          <w:rFonts w:ascii="Arial" w:eastAsia="Arial" w:hAnsi="Arial" w:cs="Arial"/>
          <w:color w:val="000000"/>
          <w:sz w:val="20"/>
        </w:rPr>
        <w:t> </w:t>
      </w:r>
      <w:bookmarkStart w:id="6277" w:name="Bookmark_para_2_38"/>
      <w:bookmarkEnd w:id="6277"/>
      <w:r>
        <w:rPr>
          <w:rFonts w:ascii="Arial" w:eastAsia="Arial" w:hAnsi="Arial" w:cs="Arial"/>
          <w:color w:val="000000"/>
          <w:sz w:val="20"/>
        </w:rPr>
        <w:t> [**1] Appeal from the United States District Court for the Eastern District of Wisconsin. No. 16-cv-1462-pp. Pamela Pepper, Chief Judge.</w:t>
      </w:r>
    </w:p>
    <w:p w:rsidR="00022B47" w:rsidRDefault="00000000">
      <w:pPr>
        <w:pStyle w:val="Normal39"/>
        <w:widowControl w:val="0"/>
        <w:spacing w:before="120" w:line="260" w:lineRule="atLeast"/>
      </w:pPr>
      <w:r>
        <w:rPr>
          <w:rFonts w:ascii="Arial" w:eastAsia="Arial" w:hAnsi="Arial" w:cs="Arial"/>
          <w:color w:val="000000"/>
          <w:sz w:val="20"/>
        </w:rPr>
        <w:t>Murphy v. Kamphuis, 2020 U.S. Dist. LEXIS 57660, 2020 WL 1550136 (E.D. Wis., Mar. 31, 2020)</w:t>
      </w:r>
    </w:p>
    <w:p w:rsidR="00022B47" w:rsidRDefault="00000000">
      <w:pPr>
        <w:pStyle w:val="Normal39"/>
        <w:widowControl w:val="0"/>
        <w:spacing w:before="240" w:line="260" w:lineRule="atLeast"/>
        <w:jc w:val="both"/>
      </w:pPr>
      <w:bookmarkStart w:id="6278" w:name="Disposition_9"/>
      <w:bookmarkEnd w:id="6278"/>
      <w:r>
        <w:rPr>
          <w:rFonts w:ascii="Arial" w:eastAsia="Arial" w:hAnsi="Arial" w:cs="Arial"/>
          <w:b/>
          <w:color w:val="000000"/>
          <w:sz w:val="20"/>
        </w:rPr>
        <w:t>Disposition:</w:t>
      </w:r>
      <w:r>
        <w:rPr>
          <w:rFonts w:ascii="Arial" w:eastAsia="Arial" w:hAnsi="Arial" w:cs="Arial"/>
          <w:color w:val="000000"/>
          <w:sz w:val="20"/>
        </w:rPr>
        <w:t> </w:t>
      </w:r>
      <w:bookmarkStart w:id="6279" w:name="Bookmark_clspara_4_7"/>
      <w:bookmarkEnd w:id="6279"/>
      <w:r>
        <w:rPr>
          <w:rFonts w:ascii="Arial" w:eastAsia="Arial" w:hAnsi="Arial" w:cs="Arial"/>
          <w:color w:val="000000"/>
          <w:sz w:val="20"/>
        </w:rPr>
        <w:t>AFFIRMED.</w:t>
      </w:r>
    </w:p>
    <w:p w:rsidR="00022B47" w:rsidRDefault="00000000">
      <w:pPr>
        <w:pStyle w:val="Normal39"/>
        <w:widowControl w:val="0"/>
        <w:spacing w:before="240" w:line="260" w:lineRule="atLeast"/>
      </w:pPr>
      <w:bookmarkStart w:id="6280" w:name="Counsel_38"/>
      <w:bookmarkEnd w:id="6280"/>
      <w:r>
        <w:rPr>
          <w:rFonts w:ascii="Arial" w:eastAsia="Arial" w:hAnsi="Arial" w:cs="Arial"/>
          <w:b/>
          <w:color w:val="000000"/>
          <w:sz w:val="20"/>
        </w:rPr>
        <w:t>Counsel:</w:t>
      </w:r>
      <w:r>
        <w:rPr>
          <w:rFonts w:ascii="Arial" w:eastAsia="Arial" w:hAnsi="Arial" w:cs="Arial"/>
          <w:color w:val="000000"/>
          <w:sz w:val="20"/>
        </w:rPr>
        <w:t> SHAWN MURPHY, Plaintiff - Appellant, Pro se, Waupun, WI.</w:t>
      </w:r>
    </w:p>
    <w:p w:rsidR="00022B47" w:rsidRDefault="00000000">
      <w:pPr>
        <w:pStyle w:val="Normal39"/>
        <w:widowControl w:val="0"/>
        <w:spacing w:before="120" w:line="260" w:lineRule="atLeast"/>
      </w:pPr>
      <w:r>
        <w:rPr>
          <w:rFonts w:ascii="Arial" w:eastAsia="Arial" w:hAnsi="Arial" w:cs="Arial"/>
          <w:color w:val="000000"/>
          <w:sz w:val="20"/>
        </w:rPr>
        <w:t>For NICOLE KAMPHUIS, JAMES MUENCHOW, CARLA HARTMAN, BRIAN FOSTER, Officer, STEVEN SCHMIDT, Defendants - Appellees: Steven C. Kilpatrick, Attorney, OFFICE OF THE ATTORNEY GENERAL, Madison, WI.</w:t>
      </w:r>
    </w:p>
    <w:p w:rsidR="00022B47" w:rsidRDefault="00000000">
      <w:pPr>
        <w:pStyle w:val="Normal39"/>
        <w:widowControl w:val="0"/>
        <w:spacing w:before="240" w:line="260" w:lineRule="atLeast"/>
      </w:pPr>
      <w:bookmarkStart w:id="6281" w:name="Judges_38"/>
      <w:bookmarkEnd w:id="6281"/>
      <w:r>
        <w:rPr>
          <w:rFonts w:ascii="Arial" w:eastAsia="Arial" w:hAnsi="Arial" w:cs="Arial"/>
          <w:b/>
          <w:color w:val="000000"/>
          <w:sz w:val="20"/>
        </w:rPr>
        <w:t>Judges:</w:t>
      </w:r>
      <w:r>
        <w:rPr>
          <w:rFonts w:ascii="Arial" w:eastAsia="Arial" w:hAnsi="Arial" w:cs="Arial"/>
          <w:color w:val="000000"/>
          <w:sz w:val="20"/>
        </w:rPr>
        <w:t> Before FRANK H. EASTERBROOK, Circuit Judge, DIANE P. WOOD, Circuit Judge, MICHAEL B. BRENNAN, Circuit Judge.</w:t>
      </w:r>
    </w:p>
    <w:p w:rsidR="00022B47" w:rsidRDefault="00000000">
      <w:pPr>
        <w:pStyle w:val="Normal39"/>
        <w:keepNext/>
        <w:widowControl w:val="0"/>
        <w:spacing w:before="240" w:line="340" w:lineRule="atLeast"/>
      </w:pPr>
      <w:bookmarkStart w:id="6282" w:name="Opinion_38"/>
      <w:bookmarkEnd w:id="6282"/>
      <w:r>
        <w:rPr>
          <w:rFonts w:ascii="Arial" w:eastAsia="Arial" w:hAnsi="Arial" w:cs="Arial"/>
          <w:b/>
          <w:color w:val="000000"/>
          <w:sz w:val="28"/>
        </w:rPr>
        <w:t>Opinion</w:t>
      </w:r>
    </w:p>
    <w:p w:rsidR="00022B47" w:rsidRDefault="0025213E">
      <w:pPr>
        <w:pStyle w:val="Normal39"/>
        <w:spacing w:line="60" w:lineRule="exact"/>
      </w:pPr>
      <w:r>
        <w:rPr>
          <w:noProof/>
        </w:rPr>
        <mc:AlternateContent>
          <mc:Choice Requires="wps">
            <w:drawing>
              <wp:anchor distT="0" distB="0" distL="114300" distR="114300" simplePos="0" relativeHeight="251741184"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908960034"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64DCB7" id="Line 83"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39"/>
        <w:spacing w:line="120" w:lineRule="exact"/>
      </w:pPr>
    </w:p>
    <w:p w:rsidR="00022B47" w:rsidRDefault="00000000">
      <w:pPr>
        <w:pStyle w:val="Normal39"/>
        <w:widowControl w:val="0"/>
        <w:spacing w:before="240" w:line="260" w:lineRule="atLeast"/>
      </w:pPr>
      <w:r>
        <w:br/>
      </w:r>
      <w:r>
        <w:rPr>
          <w:rFonts w:ascii="Arial" w:eastAsia="Arial" w:hAnsi="Arial" w:cs="Arial"/>
          <w:color w:val="000000"/>
          <w:sz w:val="20"/>
        </w:rPr>
        <w:t xml:space="preserve"> [*939]  </w:t>
      </w:r>
      <w:r>
        <w:rPr>
          <w:rFonts w:ascii="Arial" w:eastAsia="Arial" w:hAnsi="Arial" w:cs="Arial"/>
          <w:b/>
          <w:color w:val="000000"/>
          <w:sz w:val="20"/>
        </w:rPr>
        <w:t>ORDER</w:t>
      </w:r>
    </w:p>
    <w:p w:rsidR="00022B47" w:rsidRDefault="00000000">
      <w:pPr>
        <w:pStyle w:val="Normal39"/>
        <w:widowControl w:val="0"/>
        <w:spacing w:before="200" w:line="260" w:lineRule="atLeast"/>
        <w:jc w:val="both"/>
      </w:pPr>
      <w:bookmarkStart w:id="6283" w:name="Bookmark_para_3_38"/>
      <w:bookmarkEnd w:id="6283"/>
      <w:r>
        <w:rPr>
          <w:rFonts w:ascii="Arial" w:eastAsia="Arial" w:hAnsi="Arial" w:cs="Arial"/>
          <w:color w:val="000000"/>
          <w:sz w:val="20"/>
        </w:rPr>
        <w:t>Shawn Murphy, a Wisconsin prisoner who says that he has a learning disability, asserts that officials at Waupun Correctional Institution discriminated against him and impeded his access to the courts by denying his requests for extra time in the law library and suspending his access to legal loans. He sued, claiming that the defendants had discriminated against him based on his disability and that they had violated his First Amendment right to access the courts. The district court entered summary judgment for the defendants, and we affirm.</w:t>
      </w:r>
    </w:p>
    <w:p w:rsidR="00022B47" w:rsidRDefault="00000000">
      <w:pPr>
        <w:pStyle w:val="Normal39"/>
        <w:widowControl w:val="0"/>
        <w:spacing w:before="200" w:line="260" w:lineRule="atLeast"/>
        <w:jc w:val="both"/>
      </w:pPr>
      <w:bookmarkStart w:id="6284" w:name="Bookmark_para_4_38"/>
      <w:bookmarkEnd w:id="6284"/>
      <w:r>
        <w:rPr>
          <w:rFonts w:ascii="Arial" w:eastAsia="Arial" w:hAnsi="Arial" w:cs="Arial"/>
          <w:color w:val="000000"/>
          <w:sz w:val="20"/>
        </w:rPr>
        <w:t>Murphy has not directed us to any specific diagnosis in the record, but we accept for present purposes that he has learning difficulties, including problems with visual sequencing [**2]  and visual memory, that make it hard for him to read and spell. He completed his high school equivalency degree and obtained an associate degree in electrical engineering, but only by deploying coping strategies to manage the effects of his impairments.</w:t>
      </w:r>
    </w:p>
    <w:p w:rsidR="00022B47" w:rsidRDefault="00000000">
      <w:pPr>
        <w:pStyle w:val="Normal39"/>
        <w:widowControl w:val="0"/>
        <w:spacing w:before="200" w:line="260" w:lineRule="atLeast"/>
        <w:jc w:val="both"/>
      </w:pPr>
      <w:bookmarkStart w:id="6285" w:name="Bookmark_para_5_38"/>
      <w:bookmarkEnd w:id="6285"/>
      <w:r>
        <w:rPr>
          <w:rFonts w:ascii="Arial" w:eastAsia="Arial" w:hAnsi="Arial" w:cs="Arial"/>
          <w:color w:val="000000"/>
          <w:sz w:val="20"/>
        </w:rPr>
        <w:t>Over several years, Murphy filed numerous requests for various accommodations, including in particular extra time in the prison law library; those requests were all denied. The prison official in charge of assessing inmates' accommodation requests found no records of a diagnosed learning disability. A psychologist, as well as the prison's education director, librarian,  [*940]  and educational guidance counselor, all agreed that Murphy did not qualify for a disability-based accommodation.</w:t>
      </w:r>
    </w:p>
    <w:p w:rsidR="00022B47" w:rsidRDefault="00000000">
      <w:pPr>
        <w:pStyle w:val="Normal39"/>
        <w:widowControl w:val="0"/>
        <w:spacing w:before="200" w:line="260" w:lineRule="atLeast"/>
        <w:jc w:val="both"/>
      </w:pPr>
      <w:bookmarkStart w:id="6286" w:name="Bookmark_para_6_38"/>
      <w:bookmarkStart w:id="6287" w:name="Bookmark_I63MRMWG28T4550020000400"/>
      <w:bookmarkStart w:id="6288" w:name="Bookmark_I63MRMWG28T4550040000400"/>
      <w:bookmarkEnd w:id="6286"/>
      <w:bookmarkEnd w:id="6287"/>
      <w:bookmarkEnd w:id="6288"/>
      <w:r>
        <w:rPr>
          <w:rFonts w:ascii="Arial" w:eastAsia="Arial" w:hAnsi="Arial" w:cs="Arial"/>
          <w:color w:val="000000"/>
          <w:sz w:val="20"/>
        </w:rPr>
        <w:t xml:space="preserve">Murphy believes that the denial of extra library time impeded his access to the courts, a problem that was compounded when his use of the Wisconsin Department of Corrections' legal loan program was suspended. Murphy is particularly concerned about his direct criminal appeal, in which the Wisconsin Court of Appeals summarily affirmed his sentence after his attorney filed a "no-merit report" under </w:t>
      </w:r>
      <w:r>
        <w:rPr>
          <w:rFonts w:ascii="Arial" w:eastAsia="Arial" w:hAnsi="Arial" w:cs="Arial"/>
          <w:smallCaps/>
          <w:color w:val="000000"/>
          <w:sz w:val="20"/>
        </w:rPr>
        <w:t>Wis. Stat.</w:t>
      </w:r>
      <w:r>
        <w:rPr>
          <w:rFonts w:ascii="Arial" w:eastAsia="Arial" w:hAnsi="Arial" w:cs="Arial"/>
          <w:color w:val="000000"/>
          <w:sz w:val="20"/>
        </w:rPr>
        <w:t xml:space="preserve"> § 809.32 (the Wisconsin implementation of the procedure described by </w:t>
      </w:r>
      <w:bookmarkStart w:id="6289" w:name="Bookmark_I63MRMWG28T4550010000400"/>
      <w:bookmarkEnd w:id="6289"/>
      <w:r>
        <w:rPr>
          <w:rFonts w:ascii="Arial" w:eastAsia="Arial" w:hAnsi="Arial" w:cs="Arial"/>
          <w:i/>
          <w:color w:val="000000"/>
          <w:sz w:val="20"/>
        </w:rPr>
        <w:t>Anders v. California</w:t>
      </w:r>
      <w:r>
        <w:rPr>
          <w:rFonts w:ascii="Arial" w:eastAsia="Arial" w:hAnsi="Arial" w:cs="Arial"/>
          <w:color w:val="000000"/>
          <w:sz w:val="20"/>
        </w:rPr>
        <w:t xml:space="preserve">, 386 U.S. 738, 87 S. Ct. 1396, 18 L. Ed. 2d 493 (1967)). [**3]  See </w:t>
      </w:r>
      <w:bookmarkStart w:id="6290" w:name="Bookmark_I63MRMWG28T4550030000400"/>
      <w:bookmarkEnd w:id="6290"/>
      <w:r>
        <w:rPr>
          <w:rFonts w:ascii="Arial" w:eastAsia="Arial" w:hAnsi="Arial" w:cs="Arial"/>
          <w:i/>
          <w:color w:val="000000"/>
          <w:sz w:val="20"/>
        </w:rPr>
        <w:t>State v. Murphy</w:t>
      </w:r>
      <w:r>
        <w:rPr>
          <w:rFonts w:ascii="Arial" w:eastAsia="Arial" w:hAnsi="Arial" w:cs="Arial"/>
          <w:color w:val="000000"/>
          <w:sz w:val="20"/>
        </w:rPr>
        <w:t>, No. 2014AP2237-CRNM, 2015 WL 13122825 (Wis. Ct. App. Mar. 11, 2015). Murphy opposed the motion, but the appeals court determined that "there [was] no arguable merit to any issue that could be raised on appeal." Shortly after that decision, a prison administrator suspended Murphy's access to legal loans for 30 days as a sanction for misuse of a prior loan. As a result, Murphy says, he was not able to file a timely petition asking the Wisconsin Supreme Court to accept his criminal appeal.</w:t>
      </w:r>
    </w:p>
    <w:p w:rsidR="00022B47" w:rsidRDefault="00000000">
      <w:pPr>
        <w:pStyle w:val="Normal39"/>
        <w:widowControl w:val="0"/>
        <w:spacing w:before="200" w:line="260" w:lineRule="atLeast"/>
        <w:jc w:val="both"/>
      </w:pPr>
      <w:bookmarkStart w:id="6291" w:name="Bookmark_para_7_38"/>
      <w:bookmarkEnd w:id="6291"/>
      <w:r>
        <w:rPr>
          <w:rFonts w:ascii="Arial" w:eastAsia="Arial" w:hAnsi="Arial" w:cs="Arial"/>
          <w:color w:val="000000"/>
          <w:sz w:val="20"/>
        </w:rPr>
        <w:t>Murphy sued several prison officials, contending that they violated Title II of the Americans with Disabilities Act, 42 U.S.C. §§ 12131-12165, Section 504 of the Rehabilitation Act, 29 U.S.C. §§ 701-796l, and his First Amendment right to meaningful access to the courts. The defendants moved for summary judgment, arguing that Murphy was not disabled and, regardless, they did not discriminate against him. They further argued that even if the loan suspension prevented him from seeking review in the Wisconsin Supreme Court (which they denied), he did not incur any injury because he had no non-frivolous basis for appeal.</w:t>
      </w:r>
    </w:p>
    <w:p w:rsidR="00022B47" w:rsidRDefault="00000000">
      <w:pPr>
        <w:pStyle w:val="Normal39"/>
        <w:widowControl w:val="0"/>
        <w:spacing w:before="200" w:line="260" w:lineRule="atLeast"/>
        <w:jc w:val="both"/>
      </w:pPr>
      <w:bookmarkStart w:id="6292" w:name="Bookmark_para_8_37"/>
      <w:bookmarkEnd w:id="6292"/>
      <w:r>
        <w:rPr>
          <w:rFonts w:ascii="Arial" w:eastAsia="Arial" w:hAnsi="Arial" w:cs="Arial"/>
          <w:color w:val="000000"/>
          <w:sz w:val="20"/>
        </w:rPr>
        <w:t>The district court granted the defendants' motion. It concluded that Murphy had raised a material dispute of fact as to whether he had a learning disability. But no reasonable jury could find that the defendants discriminated against him because of that disability, primarily [**4]  because the record showed that the defendants thoroughly considered his requests for accommodations but concluded he did not need them. As for his access-to-courts claim, the court explained that it failed because Murphy lacked evidence that he was prevented from litigating a potentially meritorious claim.</w:t>
      </w:r>
    </w:p>
    <w:p w:rsidR="00022B47" w:rsidRDefault="00000000">
      <w:pPr>
        <w:pStyle w:val="Normal39"/>
        <w:widowControl w:val="0"/>
        <w:spacing w:before="200" w:line="260" w:lineRule="atLeast"/>
        <w:jc w:val="both"/>
      </w:pPr>
      <w:bookmarkStart w:id="6293" w:name="Bookmark_para_9_36"/>
      <w:bookmarkStart w:id="6294" w:name="Bookmark_I63MRMWH2SF8F30010000400"/>
      <w:bookmarkEnd w:id="6293"/>
      <w:bookmarkEnd w:id="6294"/>
      <w:r>
        <w:rPr>
          <w:rFonts w:ascii="Arial" w:eastAsia="Arial" w:hAnsi="Arial" w:cs="Arial"/>
          <w:color w:val="000000"/>
          <w:sz w:val="20"/>
        </w:rPr>
        <w:t xml:space="preserve">On appeal, Murphy challenges both aspects of the district court's ruling. The appellees' first rejoinder is that we should dismiss the appeal because Murphy makes no cogent arguments, see </w:t>
      </w:r>
      <w:r>
        <w:rPr>
          <w:rFonts w:ascii="Arial" w:eastAsia="Arial" w:hAnsi="Arial" w:cs="Arial"/>
          <w:smallCaps/>
          <w:color w:val="000000"/>
          <w:sz w:val="20"/>
        </w:rPr>
        <w:t>Fed. R. App. P.</w:t>
      </w:r>
      <w:r>
        <w:rPr>
          <w:rFonts w:ascii="Arial" w:eastAsia="Arial" w:hAnsi="Arial" w:cs="Arial"/>
          <w:color w:val="000000"/>
          <w:sz w:val="20"/>
        </w:rPr>
        <w:t xml:space="preserve"> 28(a)(8), but we construe his briefs generously, see </w:t>
      </w:r>
      <w:bookmarkStart w:id="6295" w:name="Bookmark_I63MRMWG28T4550050000400"/>
      <w:bookmarkEnd w:id="6295"/>
      <w:r>
        <w:rPr>
          <w:rFonts w:ascii="Arial" w:eastAsia="Arial" w:hAnsi="Arial" w:cs="Arial"/>
          <w:i/>
          <w:color w:val="000000"/>
          <w:sz w:val="20"/>
        </w:rPr>
        <w:t>Parker v. Four Seasons Hotels, Ltd.</w:t>
      </w:r>
      <w:r>
        <w:rPr>
          <w:rFonts w:ascii="Arial" w:eastAsia="Arial" w:hAnsi="Arial" w:cs="Arial"/>
          <w:color w:val="000000"/>
          <w:sz w:val="20"/>
        </w:rPr>
        <w:t>, 845 F.3d 807, 811 (7th Cir. 2017), and can discern general arguments for vacating the judgment.</w:t>
      </w:r>
    </w:p>
    <w:p w:rsidR="00022B47" w:rsidRDefault="00000000">
      <w:pPr>
        <w:pStyle w:val="Normal39"/>
        <w:widowControl w:val="0"/>
        <w:spacing w:before="200" w:line="260" w:lineRule="atLeast"/>
        <w:jc w:val="both"/>
      </w:pPr>
      <w:bookmarkStart w:id="6296" w:name="Bookmark_para_10_36"/>
      <w:bookmarkStart w:id="6297" w:name="Bookmark_I63MRMWH2SF8F30030000400"/>
      <w:bookmarkStart w:id="6298" w:name="Bookmark_I63MRMWH2SF8F30050000400"/>
      <w:bookmarkEnd w:id="6296"/>
      <w:bookmarkEnd w:id="6297"/>
      <w:bookmarkEnd w:id="6298"/>
      <w:r>
        <w:rPr>
          <w:rFonts w:ascii="Arial" w:eastAsia="Arial" w:hAnsi="Arial" w:cs="Arial"/>
          <w:color w:val="000000"/>
          <w:sz w:val="20"/>
        </w:rPr>
        <w:t xml:space="preserve">On the merits, Murphy first asserts that the court should not have dismissed his disability-discrimination claims. </w:t>
      </w:r>
      <w:bookmarkStart w:id="6299" w:name="Bookmark_LNHNREFclscc1_33"/>
      <w:bookmarkEnd w:id="6299"/>
      <w:r>
        <w:rPr>
          <w:rFonts w:ascii="Arial" w:eastAsia="Arial" w:hAnsi="Arial" w:cs="Arial"/>
          <w:color w:val="000000"/>
          <w:sz w:val="20"/>
        </w:rPr>
        <w:t xml:space="preserve">To establish a violation of Title II of the ADA, Murphy needed to show that "he is a qualified individual with a disability, that he was denied the benefits of the services, programs, or activities of a public entity or otherwise subjected to discrimination by such an entity, and that the denial or discrimination was by reason of his disability." 42 U.S.C. § 12132; </w:t>
      </w:r>
      <w:bookmarkStart w:id="6300" w:name="Bookmark_I63MRMWH2SF8F30020000400"/>
      <w:bookmarkEnd w:id="6300"/>
      <w:r>
        <w:rPr>
          <w:rFonts w:ascii="Arial" w:eastAsia="Arial" w:hAnsi="Arial" w:cs="Arial"/>
          <w:i/>
          <w:color w:val="000000"/>
          <w:sz w:val="20"/>
        </w:rPr>
        <w:t>Hildreth v. Butler</w:t>
      </w:r>
      <w:r>
        <w:rPr>
          <w:rFonts w:ascii="Arial" w:eastAsia="Arial" w:hAnsi="Arial" w:cs="Arial"/>
          <w:color w:val="000000"/>
          <w:sz w:val="20"/>
        </w:rPr>
        <w:t xml:space="preserve">, 960 F.3d 420, 430 (7th Cir. 2020). The analysis under the Rehabilitation Act is the same, with the additional requirement that the relevant institution receive federal [**5]  funds, as all state corrections departments do. See </w:t>
      </w:r>
      <w:bookmarkStart w:id="6301" w:name="Bookmark_I63MRMWH2SF8F30040000400"/>
      <w:bookmarkEnd w:id="6301"/>
      <w:r>
        <w:rPr>
          <w:rFonts w:ascii="Arial" w:eastAsia="Arial" w:hAnsi="Arial" w:cs="Arial"/>
          <w:i/>
          <w:color w:val="000000"/>
          <w:sz w:val="20"/>
        </w:rPr>
        <w:t>Wagoner v. Lemmon</w:t>
      </w:r>
      <w:r>
        <w:rPr>
          <w:rFonts w:ascii="Arial" w:eastAsia="Arial" w:hAnsi="Arial" w:cs="Arial"/>
          <w:color w:val="000000"/>
          <w:sz w:val="20"/>
        </w:rPr>
        <w:t>, 778 F.3d 586, 592 (7th Cir. 2015).</w:t>
      </w:r>
    </w:p>
    <w:p w:rsidR="00022B47" w:rsidRDefault="00000000">
      <w:pPr>
        <w:pStyle w:val="Normal39"/>
        <w:widowControl w:val="0"/>
        <w:spacing w:before="200" w:line="260" w:lineRule="atLeast"/>
        <w:jc w:val="both"/>
      </w:pPr>
      <w:bookmarkStart w:id="6302" w:name="Bookmark_para_11_35"/>
      <w:bookmarkStart w:id="6303" w:name="Bookmark_I63MRMWJ28T45H0020000400"/>
      <w:bookmarkEnd w:id="6302"/>
      <w:bookmarkEnd w:id="6303"/>
      <w:r>
        <w:rPr>
          <w:rFonts w:ascii="Arial" w:eastAsia="Arial" w:hAnsi="Arial" w:cs="Arial"/>
          <w:color w:val="000000"/>
          <w:sz w:val="20"/>
        </w:rPr>
        <w:t xml:space="preserve">The district court did not err, however, because Murphy has offered no evidence  [*941]  indicating that he was excluded from any prison service or program. </w:t>
      </w:r>
      <w:bookmarkStart w:id="6304" w:name="Bookmark_I63MRMWJ28T45H0010000400"/>
      <w:bookmarkEnd w:id="6304"/>
      <w:r>
        <w:rPr>
          <w:rFonts w:ascii="Arial" w:eastAsia="Arial" w:hAnsi="Arial" w:cs="Arial"/>
          <w:i/>
          <w:color w:val="000000"/>
          <w:sz w:val="20"/>
        </w:rPr>
        <w:t>Wagoner</w:t>
      </w:r>
      <w:r>
        <w:rPr>
          <w:rFonts w:ascii="Arial" w:eastAsia="Arial" w:hAnsi="Arial" w:cs="Arial"/>
          <w:color w:val="000000"/>
          <w:sz w:val="20"/>
        </w:rPr>
        <w:t xml:space="preserve">, 778 F.3d at 593; </w:t>
      </w:r>
      <w:bookmarkStart w:id="6305" w:name="Bookmark_I63MRMWJ28T45H0030000400"/>
      <w:bookmarkEnd w:id="6305"/>
      <w:r>
        <w:rPr>
          <w:rFonts w:ascii="Arial" w:eastAsia="Arial" w:hAnsi="Arial" w:cs="Arial"/>
          <w:i/>
          <w:color w:val="000000"/>
          <w:sz w:val="20"/>
        </w:rPr>
        <w:t>Bryant v. Madigan</w:t>
      </w:r>
      <w:r>
        <w:rPr>
          <w:rFonts w:ascii="Arial" w:eastAsia="Arial" w:hAnsi="Arial" w:cs="Arial"/>
          <w:color w:val="000000"/>
          <w:sz w:val="20"/>
        </w:rPr>
        <w:t xml:space="preserve">, 84 F.3d 246, 249 (7th Cir. 1996). </w:t>
      </w:r>
      <w:bookmarkStart w:id="6306" w:name="Bookmark_I63MRMWJ2SF8F90010000400"/>
      <w:bookmarkEnd w:id="6306"/>
      <w:r>
        <w:rPr>
          <w:rFonts w:ascii="Arial" w:eastAsia="Arial" w:hAnsi="Arial" w:cs="Arial"/>
          <w:color w:val="000000"/>
          <w:sz w:val="20"/>
        </w:rPr>
        <w:t xml:space="preserve">Murphy concedes that he was not denied access to the library, but he contends that he needed more time there in order to receive the same benefits as non-disabled prisoners. </w:t>
      </w:r>
      <w:bookmarkStart w:id="6307" w:name="Bookmark_I63MRMWJ2SF8F90010000400_2"/>
      <w:bookmarkStart w:id="6308" w:name="Bookmark_LNHNREFclscc2_33"/>
      <w:bookmarkEnd w:id="6307"/>
      <w:bookmarkEnd w:id="6308"/>
      <w:r>
        <w:rPr>
          <w:rFonts w:ascii="Arial" w:eastAsia="Arial" w:hAnsi="Arial" w:cs="Arial"/>
          <w:color w:val="000000"/>
          <w:sz w:val="20"/>
        </w:rPr>
        <w:t xml:space="preserve">But failing to provide reasonable accommodations constitutes disability discrimination only if those accommodations were necessary to obtain access to the service or program. </w:t>
      </w:r>
      <w:bookmarkStart w:id="6309" w:name="Bookmark_I63MRMWJ2SF8F90050000400"/>
      <w:bookmarkStart w:id="6310" w:name="Bookmark_I63MRMWJ28T45H0050000400"/>
      <w:bookmarkEnd w:id="6309"/>
      <w:bookmarkEnd w:id="6310"/>
      <w:r>
        <w:rPr>
          <w:rFonts w:ascii="Arial" w:eastAsia="Arial" w:hAnsi="Arial" w:cs="Arial"/>
          <w:i/>
          <w:color w:val="000000"/>
          <w:sz w:val="20"/>
        </w:rPr>
        <w:t>Hildreth</w:t>
      </w:r>
      <w:r>
        <w:rPr>
          <w:rFonts w:ascii="Arial" w:eastAsia="Arial" w:hAnsi="Arial" w:cs="Arial"/>
          <w:color w:val="000000"/>
          <w:sz w:val="20"/>
        </w:rPr>
        <w:t xml:space="preserve">, 960 F.3d at 430-31; </w:t>
      </w:r>
      <w:bookmarkStart w:id="6311" w:name="Bookmark_I63MRMWJ2SF8F90020000400"/>
      <w:bookmarkEnd w:id="6311"/>
      <w:r>
        <w:rPr>
          <w:rFonts w:ascii="Arial" w:eastAsia="Arial" w:hAnsi="Arial" w:cs="Arial"/>
          <w:i/>
          <w:color w:val="000000"/>
          <w:sz w:val="20"/>
        </w:rPr>
        <w:t>Wisconsin Cmty. Servs., Inc. v. City of Milwaukee</w:t>
      </w:r>
      <w:r>
        <w:rPr>
          <w:rFonts w:ascii="Arial" w:eastAsia="Arial" w:hAnsi="Arial" w:cs="Arial"/>
          <w:color w:val="000000"/>
          <w:sz w:val="20"/>
        </w:rPr>
        <w:t xml:space="preserve">, 465 F.3d 737, 750-51 (7th Cir. 2006). </w:t>
      </w:r>
      <w:bookmarkStart w:id="6312" w:name="Bookmark_I63MRMWJ2SF8F90050000400_2"/>
      <w:bookmarkEnd w:id="6312"/>
      <w:r>
        <w:rPr>
          <w:rFonts w:ascii="Arial" w:eastAsia="Arial" w:hAnsi="Arial" w:cs="Arial"/>
          <w:color w:val="000000"/>
          <w:sz w:val="20"/>
        </w:rPr>
        <w:t xml:space="preserve">While he undoubtedly expressed his desire for more library time, Murphy has not introduced any evidence that he </w:t>
      </w:r>
      <w:r>
        <w:rPr>
          <w:rFonts w:ascii="Arial" w:eastAsia="Arial" w:hAnsi="Arial" w:cs="Arial"/>
          <w:i/>
          <w:color w:val="000000"/>
          <w:sz w:val="20"/>
        </w:rPr>
        <w:t>needed</w:t>
      </w:r>
      <w:r>
        <w:rPr>
          <w:rFonts w:ascii="Arial" w:eastAsia="Arial" w:hAnsi="Arial" w:cs="Arial"/>
          <w:color w:val="000000"/>
          <w:sz w:val="20"/>
        </w:rPr>
        <w:t xml:space="preserve"> that time to prepare legal documents. See </w:t>
      </w:r>
      <w:bookmarkStart w:id="6313" w:name="Bookmark_I63MRMWJ2SF8F90040000400"/>
      <w:bookmarkEnd w:id="6313"/>
      <w:r>
        <w:rPr>
          <w:rFonts w:ascii="Arial" w:eastAsia="Arial" w:hAnsi="Arial" w:cs="Arial"/>
          <w:i/>
          <w:color w:val="000000"/>
          <w:sz w:val="20"/>
        </w:rPr>
        <w:t>Hildreth</w:t>
      </w:r>
      <w:r>
        <w:rPr>
          <w:rFonts w:ascii="Arial" w:eastAsia="Arial" w:hAnsi="Arial" w:cs="Arial"/>
          <w:color w:val="000000"/>
          <w:sz w:val="20"/>
        </w:rPr>
        <w:t xml:space="preserve">, 960 F.3d at 431. (Indeed, there was some evidence that he was wasting the time he did have.) In the district court and this court, Murphy has filed numerous documents with citations to legal authority and has not missed any court deadlines because of insufficient library time. See </w:t>
      </w:r>
      <w:r>
        <w:rPr>
          <w:rFonts w:ascii="Arial" w:eastAsia="Arial" w:hAnsi="Arial" w:cs="Arial"/>
          <w:i/>
          <w:color w:val="000000"/>
          <w:sz w:val="20"/>
        </w:rPr>
        <w:t>id.</w:t>
      </w:r>
      <w:r>
        <w:rPr>
          <w:rFonts w:ascii="Arial" w:eastAsia="Arial" w:hAnsi="Arial" w:cs="Arial"/>
          <w:color w:val="000000"/>
          <w:sz w:val="20"/>
        </w:rPr>
        <w:t xml:space="preserve"> Murphy contends that more library time would have allowed him more effectively to present his challenges to his sentence, and that this in turn would have caused the Wisconsin Court of Appeals to understand them [**6]  and see their merit. But Murphy responded to his lawyer's no-merit brief in the direct appeal, and the court's order reflects that it understood Murphy's arguments but rejected them.</w:t>
      </w:r>
    </w:p>
    <w:p w:rsidR="00022B47" w:rsidRDefault="00000000">
      <w:pPr>
        <w:pStyle w:val="Normal39"/>
        <w:widowControl w:val="0"/>
        <w:spacing w:before="200" w:line="260" w:lineRule="atLeast"/>
        <w:jc w:val="both"/>
      </w:pPr>
      <w:bookmarkStart w:id="6314" w:name="Bookmark_para_12_34"/>
      <w:bookmarkStart w:id="6315" w:name="Bookmark_I63MRMWJ2HM5YF0020000400"/>
      <w:bookmarkEnd w:id="6314"/>
      <w:bookmarkEnd w:id="6315"/>
      <w:r>
        <w:rPr>
          <w:rFonts w:ascii="Arial" w:eastAsia="Arial" w:hAnsi="Arial" w:cs="Arial"/>
          <w:color w:val="000000"/>
          <w:sz w:val="20"/>
        </w:rPr>
        <w:t xml:space="preserve">We also agree with the district court that Murphy's access-to-courts claim fails because even if the prison prevented him from petitioning the Wisconsin Supreme Court, he cannot show that this caused any injury. </w:t>
      </w:r>
      <w:bookmarkStart w:id="6316" w:name="Bookmark_LNHNREFclscc3_33"/>
      <w:bookmarkEnd w:id="6316"/>
      <w:r>
        <w:rPr>
          <w:rFonts w:ascii="Arial" w:eastAsia="Arial" w:hAnsi="Arial" w:cs="Arial"/>
          <w:color w:val="000000"/>
          <w:sz w:val="20"/>
        </w:rPr>
        <w:t xml:space="preserve">To substantiate a denial of meaningful access to the courts, Murphy needed to show that he was prevented from pressing a nonfrivolous legal claim. See </w:t>
      </w:r>
      <w:bookmarkStart w:id="6317" w:name="Bookmark_I63MRMWJ2HM5YF0010000400"/>
      <w:bookmarkEnd w:id="6317"/>
      <w:r>
        <w:rPr>
          <w:rFonts w:ascii="Arial" w:eastAsia="Arial" w:hAnsi="Arial" w:cs="Arial"/>
          <w:i/>
          <w:color w:val="000000"/>
          <w:sz w:val="20"/>
        </w:rPr>
        <w:t>Lewis v. Casey</w:t>
      </w:r>
      <w:r>
        <w:rPr>
          <w:rFonts w:ascii="Arial" w:eastAsia="Arial" w:hAnsi="Arial" w:cs="Arial"/>
          <w:color w:val="000000"/>
          <w:sz w:val="20"/>
        </w:rPr>
        <w:t xml:space="preserve">, 518 U.S. 343, 351, 353, 116 S. Ct. 2174, 135 L. Ed. 2d 606 (1996); </w:t>
      </w:r>
      <w:bookmarkStart w:id="6318" w:name="Bookmark_I63MRMWJ2HM5YF0030000400"/>
      <w:bookmarkEnd w:id="6318"/>
      <w:r>
        <w:rPr>
          <w:rFonts w:ascii="Arial" w:eastAsia="Arial" w:hAnsi="Arial" w:cs="Arial"/>
          <w:i/>
          <w:color w:val="000000"/>
          <w:sz w:val="20"/>
        </w:rPr>
        <w:t>Ortiz v. Downey</w:t>
      </w:r>
      <w:r>
        <w:rPr>
          <w:rFonts w:ascii="Arial" w:eastAsia="Arial" w:hAnsi="Arial" w:cs="Arial"/>
          <w:color w:val="000000"/>
          <w:sz w:val="20"/>
        </w:rPr>
        <w:t xml:space="preserve">, 561 F.3d 664, 671 (7th Cir. 2009). The Wisconsin Court of Appeals concluded that Murphy's appeal was frivolous. Murphy has not set forth any potentially meritorious argument that he could have presented to obtain discretionary review, let alone to prevail on the merits, in the Wisconsin Supreme Court. </w:t>
      </w:r>
      <w:bookmarkStart w:id="6319" w:name="Bookmark_LNHNREFclscc4_33"/>
      <w:bookmarkEnd w:id="6319"/>
      <w:r>
        <w:rPr>
          <w:rFonts w:ascii="Arial" w:eastAsia="Arial" w:hAnsi="Arial" w:cs="Arial"/>
          <w:color w:val="000000"/>
          <w:sz w:val="20"/>
        </w:rPr>
        <w:t>The Constitution does not require the Department of Corrections to fund frivolous appeals.</w:t>
      </w:r>
    </w:p>
    <w:p w:rsidR="00022B47" w:rsidRDefault="00000000">
      <w:pPr>
        <w:pStyle w:val="Normal39"/>
        <w:widowControl w:val="0"/>
        <w:spacing w:before="200" w:line="260" w:lineRule="atLeast"/>
        <w:jc w:val="both"/>
      </w:pPr>
      <w:bookmarkStart w:id="6320" w:name="Bookmark_para_13_34"/>
      <w:bookmarkEnd w:id="6320"/>
      <w:r>
        <w:rPr>
          <w:rFonts w:ascii="Arial" w:eastAsia="Arial" w:hAnsi="Arial" w:cs="Arial"/>
          <w:color w:val="000000"/>
          <w:sz w:val="20"/>
        </w:rPr>
        <w:t>We have considered Murphy's remaining arguments, and none has merit.</w:t>
      </w:r>
    </w:p>
    <w:p w:rsidR="00022B47" w:rsidRDefault="00000000">
      <w:pPr>
        <w:pStyle w:val="Normal39"/>
        <w:widowControl w:val="0"/>
        <w:spacing w:before="200" w:line="260" w:lineRule="atLeast"/>
        <w:jc w:val="both"/>
      </w:pPr>
      <w:bookmarkStart w:id="6321" w:name="Bookmark_para_14_34"/>
      <w:bookmarkEnd w:id="6321"/>
      <w:r>
        <w:rPr>
          <w:rFonts w:ascii="Arial" w:eastAsia="Arial" w:hAnsi="Arial" w:cs="Arial"/>
          <w:color w:val="000000"/>
          <w:sz w:val="20"/>
        </w:rPr>
        <w:t>AFFIRMED</w:t>
      </w:r>
    </w:p>
    <w:p w:rsidR="00022B47" w:rsidRDefault="00022B47">
      <w:pPr>
        <w:pStyle w:val="Normal39"/>
      </w:pPr>
    </w:p>
    <w:p w:rsidR="00022B47" w:rsidRDefault="00000000">
      <w:pPr>
        <w:pStyle w:val="Normal39"/>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42208"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664469470"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AD6846" id="Line 84"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40"/>
        <w:sectPr w:rsidR="00022B47">
          <w:headerReference w:type="even" r:id="rId247"/>
          <w:headerReference w:type="default" r:id="rId248"/>
          <w:footerReference w:type="even" r:id="rId249"/>
          <w:footerReference w:type="default" r:id="rId250"/>
          <w:headerReference w:type="first" r:id="rId251"/>
          <w:footerReference w:type="first" r:id="rId252"/>
          <w:pgSz w:w="12240" w:h="15840"/>
          <w:pgMar w:top="840" w:right="1000" w:bottom="840" w:left="1000" w:header="400" w:footer="400" w:gutter="0"/>
          <w:cols w:space="720"/>
          <w:titlePg/>
        </w:sectPr>
      </w:pPr>
    </w:p>
    <w:p w:rsidR="00022B47" w:rsidRDefault="00022B47">
      <w:pPr>
        <w:pStyle w:val="Normal40"/>
      </w:pPr>
    </w:p>
    <w:p w:rsidR="00022B47" w:rsidRDefault="00000000">
      <w:pPr>
        <w:pStyle w:val="Heading139"/>
        <w:keepNext w:val="0"/>
        <w:widowControl w:val="0"/>
        <w:spacing w:after="200" w:line="340" w:lineRule="atLeast"/>
        <w:jc w:val="center"/>
      </w:pPr>
      <w:r>
        <w:rPr>
          <w:rFonts w:eastAsia="Arial"/>
          <w:color w:val="000000"/>
          <w:sz w:val="28"/>
        </w:rPr>
        <w:t>Brooks v. Colo. Dep't of Corr.</w:t>
      </w:r>
    </w:p>
    <w:p w:rsidR="00022B47" w:rsidRDefault="00000000">
      <w:pPr>
        <w:pStyle w:val="Normal40"/>
        <w:widowControl w:val="0"/>
        <w:spacing w:before="120" w:line="260" w:lineRule="atLeast"/>
        <w:jc w:val="center"/>
      </w:pPr>
      <w:r>
        <w:rPr>
          <w:rFonts w:ascii="Arial" w:eastAsia="Arial" w:hAnsi="Arial" w:cs="Arial"/>
          <w:color w:val="000000"/>
          <w:sz w:val="20"/>
        </w:rPr>
        <w:t>United States Court of Appeals for the Tenth Circuit</w:t>
      </w:r>
    </w:p>
    <w:p w:rsidR="00022B47" w:rsidRDefault="00000000">
      <w:pPr>
        <w:pStyle w:val="Normal40"/>
        <w:widowControl w:val="0"/>
        <w:spacing w:before="120" w:line="260" w:lineRule="atLeast"/>
        <w:jc w:val="center"/>
      </w:pPr>
      <w:r>
        <w:rPr>
          <w:rFonts w:ascii="Arial" w:eastAsia="Arial" w:hAnsi="Arial" w:cs="Arial"/>
          <w:color w:val="000000"/>
          <w:sz w:val="20"/>
        </w:rPr>
        <w:t>September 8, 2021, Filed</w:t>
      </w:r>
    </w:p>
    <w:p w:rsidR="00022B47" w:rsidRDefault="00000000">
      <w:pPr>
        <w:pStyle w:val="Normal40"/>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19-1390</w:t>
      </w:r>
    </w:p>
    <w:p w:rsidR="00022B47" w:rsidRDefault="00022B47">
      <w:pPr>
        <w:pStyle w:val="Normal40"/>
        <w:widowControl w:val="0"/>
        <w:spacing w:line="240" w:lineRule="atLeast"/>
        <w:jc w:val="both"/>
      </w:pPr>
      <w:bookmarkStart w:id="6322" w:name="Bookmark_41"/>
      <w:bookmarkEnd w:id="6322"/>
    </w:p>
    <w:p w:rsidR="00022B47" w:rsidRDefault="00000000">
      <w:pPr>
        <w:pStyle w:val="Normal40"/>
        <w:widowControl w:val="0"/>
        <w:spacing w:before="200" w:line="240" w:lineRule="atLeast"/>
      </w:pPr>
      <w:bookmarkStart w:id="6323" w:name="Reporter_39"/>
      <w:bookmarkEnd w:id="6323"/>
      <w:r>
        <w:rPr>
          <w:rFonts w:ascii="Arial" w:eastAsia="Arial" w:hAnsi="Arial" w:cs="Arial"/>
          <w:b/>
          <w:color w:val="000000"/>
          <w:sz w:val="18"/>
        </w:rPr>
        <w:t>Reporter</w:t>
      </w:r>
    </w:p>
    <w:p w:rsidR="00022B47" w:rsidRDefault="00000000">
      <w:pPr>
        <w:pStyle w:val="Normal40"/>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12 F.4th 1160 *; 2021 U.S. App. LEXIS 26967 **</w:t>
      </w:r>
    </w:p>
    <w:p w:rsidR="00022B47" w:rsidRDefault="00000000">
      <w:pPr>
        <w:pStyle w:val="Normal40"/>
        <w:widowControl w:val="0"/>
        <w:spacing w:before="120" w:line="260" w:lineRule="atLeast"/>
      </w:pPr>
      <w:r>
        <w:rPr>
          <w:rFonts w:ascii="Arial" w:eastAsia="Arial" w:hAnsi="Arial" w:cs="Arial"/>
          <w:color w:val="000000"/>
          <w:sz w:val="20"/>
        </w:rPr>
        <w:t>JASON BROOKS, Plaintiff - Appellant, v. COLORADO DEPARTMENT OF CORRECTIONS; JULIE RUSSELL; KATHY HOWELL; DAVID TESSIER, Defendants - Appellees.</w:t>
      </w:r>
    </w:p>
    <w:p w:rsidR="00022B47" w:rsidRDefault="00000000">
      <w:pPr>
        <w:pStyle w:val="Normal40"/>
        <w:widowControl w:val="0"/>
        <w:spacing w:before="240" w:line="260" w:lineRule="atLeast"/>
        <w:jc w:val="both"/>
      </w:pPr>
      <w:bookmarkStart w:id="6324" w:name="Prior_History_39"/>
      <w:bookmarkEnd w:id="6324"/>
      <w:r>
        <w:rPr>
          <w:rFonts w:ascii="Arial" w:eastAsia="Arial" w:hAnsi="Arial" w:cs="Arial"/>
          <w:b/>
          <w:color w:val="000000"/>
          <w:sz w:val="20"/>
        </w:rPr>
        <w:t>Prior History:</w:t>
      </w:r>
      <w:r>
        <w:rPr>
          <w:rFonts w:ascii="Arial" w:eastAsia="Arial" w:hAnsi="Arial" w:cs="Arial"/>
          <w:color w:val="000000"/>
          <w:sz w:val="20"/>
        </w:rPr>
        <w:t> </w:t>
      </w:r>
      <w:bookmarkStart w:id="6325" w:name="Bookmark_para_1_39"/>
      <w:bookmarkEnd w:id="6325"/>
      <w:r>
        <w:rPr>
          <w:rFonts w:ascii="Arial" w:eastAsia="Arial" w:hAnsi="Arial" w:cs="Arial"/>
          <w:color w:val="000000"/>
          <w:sz w:val="20"/>
        </w:rPr>
        <w:t> [**1] APPEAL FROM THE UNITED STATES DISTRICT COURT FOR THE DISTRICT OF COLORADO. (D.C. NO. 1:13-CV-02894-SKC).</w:t>
      </w:r>
    </w:p>
    <w:p w:rsidR="00022B47" w:rsidRDefault="00000000">
      <w:pPr>
        <w:pStyle w:val="Normal40"/>
        <w:widowControl w:val="0"/>
        <w:spacing w:before="120" w:line="260" w:lineRule="atLeast"/>
      </w:pPr>
      <w:r>
        <w:rPr>
          <w:rFonts w:ascii="Arial" w:eastAsia="Arial" w:hAnsi="Arial" w:cs="Arial"/>
          <w:color w:val="000000"/>
          <w:sz w:val="20"/>
        </w:rPr>
        <w:t>Brooks v. Colo. Dep't of Corr., 2019 U.S. Dist. LEXIS 229696, 2019 WL 8323948 (D. Colo., Sept. 30, 2019)</w:t>
      </w:r>
    </w:p>
    <w:p w:rsidR="00022B47" w:rsidRDefault="00000000">
      <w:pPr>
        <w:pStyle w:val="Normal40"/>
        <w:widowControl w:val="0"/>
        <w:spacing w:before="240" w:line="260" w:lineRule="atLeast"/>
      </w:pPr>
      <w:bookmarkStart w:id="6326" w:name="Counsel_39"/>
      <w:bookmarkEnd w:id="6326"/>
      <w:r>
        <w:rPr>
          <w:rFonts w:ascii="Arial" w:eastAsia="Arial" w:hAnsi="Arial" w:cs="Arial"/>
          <w:b/>
          <w:color w:val="000000"/>
          <w:sz w:val="20"/>
        </w:rPr>
        <w:t>Counsel:</w:t>
      </w:r>
      <w:r>
        <w:rPr>
          <w:rFonts w:ascii="Arial" w:eastAsia="Arial" w:hAnsi="Arial" w:cs="Arial"/>
          <w:color w:val="000000"/>
          <w:sz w:val="20"/>
        </w:rPr>
        <w:t> Angela Boettcher</w:t>
      </w:r>
      <w:r>
        <w:rPr>
          <w:rFonts w:ascii="Arial" w:eastAsia="Arial" w:hAnsi="Arial" w:cs="Arial"/>
          <w:vertAlign w:val="superscript"/>
        </w:rPr>
        <w:footnoteReference w:customMarkFollows="1" w:id="184"/>
        <w:t>*</w:t>
      </w:r>
      <w:r>
        <w:rPr>
          <w:rFonts w:ascii="Arial" w:eastAsia="Arial" w:hAnsi="Arial" w:cs="Arial"/>
          <w:color w:val="000000"/>
          <w:sz w:val="20"/>
        </w:rPr>
        <w:t xml:space="preserve"> and Aja Robbins,</w:t>
      </w:r>
      <w:r>
        <w:rPr>
          <w:rFonts w:ascii="Arial" w:eastAsia="Arial" w:hAnsi="Arial" w:cs="Arial"/>
          <w:vertAlign w:val="superscript"/>
        </w:rPr>
        <w:footnoteReference w:customMarkFollows="1" w:id="185"/>
        <w:t>**</w:t>
      </w:r>
      <w:r>
        <w:rPr>
          <w:rFonts w:ascii="Arial" w:eastAsia="Arial" w:hAnsi="Arial" w:cs="Arial"/>
          <w:color w:val="000000"/>
          <w:sz w:val="20"/>
        </w:rPr>
        <w:t xml:space="preserve"> Boulder, Colorado (Matthew Cushing, Matthew Cushing PLLC, Boulder, Colorado, on the briefs), for Plaintiff-Appellant.</w:t>
      </w:r>
    </w:p>
    <w:p w:rsidR="00022B47" w:rsidRDefault="00000000">
      <w:pPr>
        <w:pStyle w:val="Normal40"/>
        <w:widowControl w:val="0"/>
        <w:spacing w:before="120" w:line="260" w:lineRule="atLeast"/>
      </w:pPr>
      <w:r>
        <w:rPr>
          <w:rFonts w:ascii="Arial" w:eastAsia="Arial" w:hAnsi="Arial" w:cs="Arial"/>
          <w:color w:val="000000"/>
          <w:sz w:val="20"/>
        </w:rPr>
        <w:t>Karen Lorenz, Assistant Attorney General (Philip J. Weiser, Colorado Attorney General, with her on the brief), Colorado Department of Law, Ralph L. Carr Judicial Center, Denver, Colorado, for Defendants - Appellees.</w:t>
      </w:r>
    </w:p>
    <w:p w:rsidR="00022B47" w:rsidRDefault="00000000">
      <w:pPr>
        <w:pStyle w:val="Normal40"/>
        <w:widowControl w:val="0"/>
        <w:spacing w:before="240" w:line="260" w:lineRule="atLeast"/>
      </w:pPr>
      <w:bookmarkStart w:id="6329" w:name="Judges_39"/>
      <w:bookmarkEnd w:id="6329"/>
      <w:r>
        <w:rPr>
          <w:rFonts w:ascii="Arial" w:eastAsia="Arial" w:hAnsi="Arial" w:cs="Arial"/>
          <w:b/>
          <w:color w:val="000000"/>
          <w:sz w:val="20"/>
        </w:rPr>
        <w:t>Judges:</w:t>
      </w:r>
      <w:r>
        <w:rPr>
          <w:rFonts w:ascii="Arial" w:eastAsia="Arial" w:hAnsi="Arial" w:cs="Arial"/>
          <w:color w:val="000000"/>
          <w:sz w:val="20"/>
        </w:rPr>
        <w:t> Before TYMKOVICH, Chief Judge, BRISCOE, and MURPHY, Circuit Judges.</w:t>
      </w:r>
    </w:p>
    <w:p w:rsidR="00022B47" w:rsidRDefault="00000000">
      <w:pPr>
        <w:pStyle w:val="Normal40"/>
        <w:widowControl w:val="0"/>
        <w:spacing w:before="240" w:line="260" w:lineRule="atLeast"/>
      </w:pPr>
      <w:bookmarkStart w:id="6330" w:name="Opinion_by_20"/>
      <w:bookmarkEnd w:id="6330"/>
      <w:r>
        <w:rPr>
          <w:rFonts w:ascii="Arial" w:eastAsia="Arial" w:hAnsi="Arial" w:cs="Arial"/>
          <w:b/>
          <w:color w:val="000000"/>
          <w:sz w:val="20"/>
        </w:rPr>
        <w:t>Opinion by:</w:t>
      </w:r>
      <w:r>
        <w:rPr>
          <w:rFonts w:ascii="Arial" w:eastAsia="Arial" w:hAnsi="Arial" w:cs="Arial"/>
          <w:color w:val="000000"/>
          <w:sz w:val="20"/>
        </w:rPr>
        <w:t> MURPHY</w:t>
      </w:r>
    </w:p>
    <w:p w:rsidR="00022B47" w:rsidRDefault="00000000">
      <w:pPr>
        <w:pStyle w:val="Normal40"/>
        <w:keepNext/>
        <w:widowControl w:val="0"/>
        <w:spacing w:before="240" w:line="340" w:lineRule="atLeast"/>
      </w:pPr>
      <w:bookmarkStart w:id="6331" w:name="Opinion_39"/>
      <w:bookmarkEnd w:id="6331"/>
      <w:r>
        <w:rPr>
          <w:rFonts w:ascii="Arial" w:eastAsia="Arial" w:hAnsi="Arial" w:cs="Arial"/>
          <w:b/>
          <w:color w:val="000000"/>
          <w:sz w:val="28"/>
        </w:rPr>
        <w:t>Opinion</w:t>
      </w:r>
    </w:p>
    <w:p w:rsidR="00022B47" w:rsidRDefault="0025213E">
      <w:pPr>
        <w:pStyle w:val="Normal40"/>
        <w:spacing w:line="60" w:lineRule="exact"/>
      </w:pPr>
      <w:r>
        <w:rPr>
          <w:noProof/>
        </w:rPr>
        <mc:AlternateContent>
          <mc:Choice Requires="wps">
            <w:drawing>
              <wp:anchor distT="0" distB="0" distL="114300" distR="114300" simplePos="0" relativeHeight="251743232"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31942240"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EBD380" id="Line 85"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40"/>
      </w:pPr>
    </w:p>
    <w:p w:rsidR="00022B47" w:rsidRDefault="00000000">
      <w:pPr>
        <w:pStyle w:val="Normal40"/>
        <w:widowControl w:val="0"/>
        <w:spacing w:before="200" w:line="260" w:lineRule="atLeast"/>
        <w:jc w:val="both"/>
      </w:pPr>
      <w:bookmarkStart w:id="6332" w:name="Bookmark_para_2_39"/>
      <w:bookmarkEnd w:id="6332"/>
      <w:r>
        <w:rPr>
          <w:rFonts w:ascii="Arial" w:eastAsia="Arial" w:hAnsi="Arial" w:cs="Arial"/>
          <w:color w:val="000000"/>
          <w:sz w:val="20"/>
        </w:rPr>
        <w:t xml:space="preserve"> [*1163]  </w:t>
      </w:r>
      <w:r>
        <w:rPr>
          <w:rFonts w:ascii="Arial" w:eastAsia="Arial" w:hAnsi="Arial" w:cs="Arial"/>
          <w:b/>
          <w:color w:val="000000"/>
          <w:sz w:val="20"/>
        </w:rPr>
        <w:t>MURPHY</w:t>
      </w:r>
      <w:r>
        <w:rPr>
          <w:rFonts w:ascii="Arial" w:eastAsia="Arial" w:hAnsi="Arial" w:cs="Arial"/>
          <w:color w:val="000000"/>
          <w:sz w:val="20"/>
        </w:rPr>
        <w:t>, Circuit Judge.</w:t>
      </w:r>
    </w:p>
    <w:p w:rsidR="00022B47" w:rsidRDefault="00000000">
      <w:pPr>
        <w:pStyle w:val="Normal40"/>
        <w:widowControl w:val="0"/>
        <w:spacing w:before="240" w:line="260" w:lineRule="atLeast"/>
      </w:pPr>
      <w:r>
        <w:br/>
      </w:r>
      <w:r>
        <w:rPr>
          <w:rFonts w:ascii="Arial" w:eastAsia="Arial" w:hAnsi="Arial" w:cs="Arial"/>
          <w:b/>
          <w:color w:val="000000"/>
          <w:sz w:val="20"/>
        </w:rPr>
        <w:t>I. INTRODUCTION</w:t>
      </w:r>
    </w:p>
    <w:p w:rsidR="00022B47" w:rsidRDefault="00000000">
      <w:pPr>
        <w:pStyle w:val="Normal40"/>
        <w:widowControl w:val="0"/>
        <w:spacing w:before="200" w:line="260" w:lineRule="atLeast"/>
        <w:jc w:val="both"/>
      </w:pPr>
      <w:bookmarkStart w:id="6333" w:name="Bookmark_para_3_39"/>
      <w:bookmarkEnd w:id="6333"/>
      <w:r>
        <w:rPr>
          <w:rFonts w:ascii="Arial" w:eastAsia="Arial" w:hAnsi="Arial" w:cs="Arial"/>
          <w:color w:val="000000"/>
          <w:sz w:val="20"/>
        </w:rPr>
        <w:t>At the time this appeal was initiated, Jason Brooks was a Colorado-state inmate serving a lengthy prison sentence for securities fraud. Brooks has an extreme and incurable case of ulcerative colitis. As a result, even when his disease is well treated, Brooks suffers from frequent, unpredictable fecal incontinence.</w:t>
      </w:r>
    </w:p>
    <w:p w:rsidR="00022B47" w:rsidRDefault="00000000">
      <w:pPr>
        <w:pStyle w:val="Normal40"/>
        <w:widowControl w:val="0"/>
        <w:spacing w:before="200" w:line="260" w:lineRule="atLeast"/>
        <w:jc w:val="both"/>
      </w:pPr>
      <w:bookmarkStart w:id="6334" w:name="Bookmark_para_4_39"/>
      <w:bookmarkStart w:id="6335" w:name="Bookmark_I63M3RWS28T4890020000400"/>
      <w:bookmarkEnd w:id="6334"/>
      <w:bookmarkEnd w:id="6335"/>
      <w:r>
        <w:rPr>
          <w:rFonts w:ascii="Arial" w:eastAsia="Arial" w:hAnsi="Arial" w:cs="Arial"/>
          <w:color w:val="000000"/>
          <w:sz w:val="20"/>
        </w:rPr>
        <w:t xml:space="preserve">This case involves the Colorado Department of Corrections's ("CDOC") efforts, or lack thereof, to deal with the impact of Brooks's condition on his ability to access the prison cafeteria. </w:t>
      </w:r>
      <w:r>
        <w:rPr>
          <w:rFonts w:ascii="Arial" w:eastAsia="Arial" w:hAnsi="Arial" w:cs="Arial"/>
          <w:i/>
          <w:color w:val="000000"/>
          <w:sz w:val="20"/>
        </w:rPr>
        <w:t xml:space="preserve">See generally </w:t>
      </w:r>
      <w:bookmarkStart w:id="6336" w:name="Bookmark_I63M3RWS28T4890010000400"/>
      <w:bookmarkEnd w:id="6336"/>
      <w:r>
        <w:rPr>
          <w:rFonts w:ascii="Arial" w:eastAsia="Arial" w:hAnsi="Arial" w:cs="Arial"/>
          <w:i/>
          <w:color w:val="000000"/>
          <w:sz w:val="20"/>
        </w:rPr>
        <w:t>Brooks v. Colo. Dep't of Corr</w:t>
      </w:r>
      <w:r>
        <w:rPr>
          <w:rFonts w:ascii="Arial" w:eastAsia="Arial" w:hAnsi="Arial" w:cs="Arial"/>
          <w:color w:val="000000"/>
          <w:sz w:val="20"/>
        </w:rPr>
        <w:t>., 715 F. App'x 814 (10th Cir. 2017) (unpublished disposition) (discussing the basis for Brooks's civil rights suit). In particular, in its [**2]  current incarnation, this appeal turns on whether the district court erred when it concluded as follows: (1) Brooks's Americans with Disabilities Act ("ADA") claim for damages failed because the CDOC's offer to provide Brooks with adult diapers was a reasonable accommodation of Brooks's disability; and (2) Brooks's Eighth Amendment claim against ADA Inmate Coordinator Julie Russell failed because the decision not to access the cafeteria with the use of adult diapers was Brooks's alone.</w:t>
      </w:r>
      <w:r>
        <w:rPr>
          <w:rFonts w:ascii="Arial" w:eastAsia="Arial" w:hAnsi="Arial" w:cs="Arial"/>
          <w:vertAlign w:val="superscript"/>
        </w:rPr>
        <w:footnoteReference w:customMarkFollows="1" w:id="186"/>
        <w:t>1</w:t>
      </w:r>
    </w:p>
    <w:p w:rsidR="00022B47" w:rsidRDefault="00000000">
      <w:pPr>
        <w:pStyle w:val="Normal40"/>
        <w:widowControl w:val="0"/>
        <w:spacing w:before="200" w:line="260" w:lineRule="atLeast"/>
        <w:jc w:val="both"/>
      </w:pPr>
      <w:bookmarkStart w:id="6340" w:name="Bookmark_para_5_39"/>
      <w:bookmarkEnd w:id="6340"/>
      <w:r>
        <w:rPr>
          <w:rFonts w:ascii="Arial" w:eastAsia="Arial" w:hAnsi="Arial" w:cs="Arial"/>
          <w:color w:val="000000"/>
          <w:sz w:val="20"/>
        </w:rPr>
        <w:t xml:space="preserve">We conclude the district court erred in its treatment of Brooks's ADA claim for  [*1164]  damages. A reasonable juror could conclude the offer of adult diapers was not a reasonable accommodation of Brooks's disability. Thus, at least as to the question of the reasonableness of the proposed accommodation, the district court erred in granting CDOC summary judgment on Brooks's ADA claim for damages. </w:t>
      </w:r>
      <w:bookmarkStart w:id="6341" w:name="Bookmark_I63M3RWT2HM62B0010000400"/>
      <w:bookmarkEnd w:id="6341"/>
      <w:r>
        <w:rPr>
          <w:rFonts w:ascii="Arial" w:eastAsia="Arial" w:hAnsi="Arial" w:cs="Arial"/>
          <w:color w:val="000000"/>
          <w:sz w:val="20"/>
        </w:rPr>
        <w:t xml:space="preserve">The district court, on the other hand, correctly granted summary judgment in favor of Russell on Brooks's Eighth Amendment claim. In reaching that conclusion, however, this court relies on a ground not addressed by the district court. </w:t>
      </w:r>
      <w:bookmarkStart w:id="6342" w:name="Bookmark_I63M3RWS28T4890050000400"/>
      <w:bookmarkEnd w:id="6342"/>
      <w:r>
        <w:rPr>
          <w:rFonts w:ascii="Arial" w:eastAsia="Arial" w:hAnsi="Arial" w:cs="Arial"/>
          <w:i/>
          <w:color w:val="000000"/>
          <w:sz w:val="20"/>
        </w:rPr>
        <w:t>Carabajal v. City of Cheyenne</w:t>
      </w:r>
      <w:r>
        <w:rPr>
          <w:rFonts w:ascii="Arial" w:eastAsia="Arial" w:hAnsi="Arial" w:cs="Arial"/>
          <w:color w:val="000000"/>
          <w:sz w:val="20"/>
        </w:rPr>
        <w:t xml:space="preserve">, 847 F.3d 1203, 1213 (10th Cir. 2017) (recognizing that this court can affirm a district court's judgment "on any ground supported by the [**3]  record"). We conclude the record is devoid of sufficient evidence for a jury to find Russell acted with a sufficiently culpable state of mind—deliberate indifference to Brooks's ability to access food—when she declined Brooks's request for a movement pass. Accordingly, exercising jurisdiction pursuant to 28 U.S.C. § 1291, this court </w:t>
      </w:r>
      <w:r>
        <w:rPr>
          <w:rFonts w:ascii="Arial" w:eastAsia="Arial" w:hAnsi="Arial" w:cs="Arial"/>
          <w:b/>
          <w:color w:val="000000"/>
          <w:sz w:val="20"/>
        </w:rPr>
        <w:t>dismisses</w:t>
      </w:r>
      <w:r>
        <w:rPr>
          <w:rFonts w:ascii="Arial" w:eastAsia="Arial" w:hAnsi="Arial" w:cs="Arial"/>
          <w:color w:val="000000"/>
          <w:sz w:val="20"/>
        </w:rPr>
        <w:t xml:space="preserve"> in part, </w:t>
      </w:r>
      <w:r>
        <w:rPr>
          <w:rFonts w:ascii="Arial" w:eastAsia="Arial" w:hAnsi="Arial" w:cs="Arial"/>
          <w:b/>
          <w:color w:val="000000"/>
          <w:sz w:val="20"/>
        </w:rPr>
        <w:t>reverses</w:t>
      </w:r>
      <w:r>
        <w:rPr>
          <w:rFonts w:ascii="Arial" w:eastAsia="Arial" w:hAnsi="Arial" w:cs="Arial"/>
          <w:color w:val="000000"/>
          <w:sz w:val="20"/>
        </w:rPr>
        <w:t xml:space="preserve"> in part, </w:t>
      </w:r>
      <w:r>
        <w:rPr>
          <w:rFonts w:ascii="Arial" w:eastAsia="Arial" w:hAnsi="Arial" w:cs="Arial"/>
          <w:b/>
          <w:color w:val="000000"/>
          <w:sz w:val="20"/>
        </w:rPr>
        <w:t>affirms</w:t>
      </w:r>
      <w:r>
        <w:rPr>
          <w:rFonts w:ascii="Arial" w:eastAsia="Arial" w:hAnsi="Arial" w:cs="Arial"/>
          <w:color w:val="000000"/>
          <w:sz w:val="20"/>
        </w:rPr>
        <w:t xml:space="preserve"> in part, and </w:t>
      </w:r>
      <w:r>
        <w:rPr>
          <w:rFonts w:ascii="Arial" w:eastAsia="Arial" w:hAnsi="Arial" w:cs="Arial"/>
          <w:b/>
          <w:color w:val="000000"/>
          <w:sz w:val="20"/>
        </w:rPr>
        <w:t>remands</w:t>
      </w:r>
      <w:r>
        <w:rPr>
          <w:rFonts w:ascii="Arial" w:eastAsia="Arial" w:hAnsi="Arial" w:cs="Arial"/>
          <w:color w:val="000000"/>
          <w:sz w:val="20"/>
        </w:rPr>
        <w:t xml:space="preserve"> to the district court for further proceedings consistent with this opinion. Brooks's motion to proceed in forma pauperis, 28 U.S.C. § 1915, is hereby </w:t>
      </w:r>
      <w:r>
        <w:rPr>
          <w:rFonts w:ascii="Arial" w:eastAsia="Arial" w:hAnsi="Arial" w:cs="Arial"/>
          <w:b/>
          <w:color w:val="000000"/>
          <w:sz w:val="20"/>
        </w:rPr>
        <w:t>granted</w:t>
      </w:r>
      <w:r>
        <w:rPr>
          <w:rFonts w:ascii="Arial" w:eastAsia="Arial" w:hAnsi="Arial" w:cs="Arial"/>
          <w:color w:val="000000"/>
          <w:sz w:val="20"/>
        </w:rPr>
        <w:t>.</w:t>
      </w:r>
    </w:p>
    <w:p w:rsidR="00022B47" w:rsidRDefault="00000000">
      <w:pPr>
        <w:pStyle w:val="Normal40"/>
        <w:widowControl w:val="0"/>
        <w:spacing w:before="240" w:line="260" w:lineRule="atLeast"/>
      </w:pPr>
      <w:r>
        <w:br/>
      </w:r>
      <w:r>
        <w:rPr>
          <w:rFonts w:ascii="Arial" w:eastAsia="Arial" w:hAnsi="Arial" w:cs="Arial"/>
          <w:b/>
          <w:color w:val="000000"/>
          <w:sz w:val="20"/>
        </w:rPr>
        <w:t>II. BACKGROUND</w:t>
      </w:r>
    </w:p>
    <w:p w:rsidR="00022B47" w:rsidRDefault="00000000">
      <w:pPr>
        <w:pStyle w:val="Normal40"/>
        <w:widowControl w:val="0"/>
        <w:spacing w:before="240" w:line="260" w:lineRule="atLeast"/>
      </w:pPr>
      <w:r>
        <w:br/>
      </w:r>
      <w:r>
        <w:rPr>
          <w:rFonts w:ascii="Arial" w:eastAsia="Arial" w:hAnsi="Arial" w:cs="Arial"/>
          <w:b/>
          <w:color w:val="000000"/>
          <w:sz w:val="20"/>
        </w:rPr>
        <w:t>A. Factual Background</w:t>
      </w:r>
      <w:r>
        <w:rPr>
          <w:rFonts w:ascii="Arial" w:eastAsia="Arial" w:hAnsi="Arial" w:cs="Arial"/>
          <w:color w:val="000000"/>
          <w:sz w:val="20"/>
        </w:rPr>
        <w:t xml:space="preserve"> </w:t>
      </w:r>
      <w:r>
        <w:rPr>
          <w:rFonts w:ascii="Arial" w:eastAsia="Arial" w:hAnsi="Arial" w:cs="Arial"/>
          <w:vertAlign w:val="superscript"/>
        </w:rPr>
        <w:footnoteReference w:customMarkFollows="1" w:id="187"/>
        <w:t>2</w:t>
      </w:r>
    </w:p>
    <w:p w:rsidR="00022B47" w:rsidRDefault="00000000">
      <w:pPr>
        <w:pStyle w:val="Normal40"/>
        <w:widowControl w:val="0"/>
        <w:spacing w:before="200" w:line="260" w:lineRule="atLeast"/>
        <w:jc w:val="both"/>
      </w:pPr>
      <w:bookmarkStart w:id="6349" w:name="Bookmark_para_6_39"/>
      <w:bookmarkEnd w:id="6349"/>
      <w:r>
        <w:rPr>
          <w:rFonts w:ascii="Arial" w:eastAsia="Arial" w:hAnsi="Arial" w:cs="Arial"/>
          <w:color w:val="000000"/>
          <w:sz w:val="20"/>
        </w:rPr>
        <w:t>Brooks suffers from ulcerative colitis, a chronic autoimmune disease of the large intestine.</w:t>
      </w:r>
      <w:r>
        <w:rPr>
          <w:rFonts w:ascii="Arial" w:eastAsia="Arial" w:hAnsi="Arial" w:cs="Arial"/>
          <w:vertAlign w:val="superscript"/>
        </w:rPr>
        <w:footnoteReference w:customMarkFollows="1" w:id="188"/>
        <w:t>3</w:t>
      </w:r>
      <w:r>
        <w:rPr>
          <w:rFonts w:ascii="Arial" w:eastAsia="Arial" w:hAnsi="Arial" w:cs="Arial"/>
          <w:color w:val="000000"/>
          <w:sz w:val="20"/>
        </w:rPr>
        <w:t xml:space="preserve"> The disease causes a "significant amount" of abdominal pain as well as multiple "urgent, loose, watery, and often bloody bowel movement[s] per day." The disease can only be managed, not cured. It is uncontested that Brooks's ulcerative colitis qualifies as a disability under Title II of the ADA.</w:t>
      </w:r>
    </w:p>
    <w:p w:rsidR="00022B47" w:rsidRDefault="00000000">
      <w:pPr>
        <w:pStyle w:val="Normal40"/>
        <w:widowControl w:val="0"/>
        <w:spacing w:before="200" w:line="260" w:lineRule="atLeast"/>
        <w:jc w:val="both"/>
      </w:pPr>
      <w:bookmarkStart w:id="6351" w:name="Bookmark_para_7_39"/>
      <w:bookmarkEnd w:id="6351"/>
      <w:r>
        <w:rPr>
          <w:rFonts w:ascii="Arial" w:eastAsia="Arial" w:hAnsi="Arial" w:cs="Arial"/>
          <w:color w:val="000000"/>
          <w:sz w:val="20"/>
        </w:rPr>
        <w:t>During the relevant time period, management of Brooks's ulcerative colitis was complicated by his status as a CDOC inmate. During his incarceration, Brooks was transferred between numerous Colorado correctional facilities, including Brent [**4]  County Correctional Facility ("Brent County"), Fremont Correctional Facility ("Fremont"), and Sterling Correctional Facility ("Sterling"). After his transfer to Fremont from Brent County in February of 2012, Brooks missed hundreds of meals per year due to his disability.</w:t>
      </w:r>
      <w:r>
        <w:rPr>
          <w:rFonts w:ascii="Arial" w:eastAsia="Arial" w:hAnsi="Arial" w:cs="Arial"/>
          <w:vertAlign w:val="superscript"/>
        </w:rPr>
        <w:footnoteReference w:customMarkFollows="1" w:id="189"/>
        <w:t>4</w:t>
      </w:r>
      <w:r>
        <w:rPr>
          <w:rFonts w:ascii="Arial" w:eastAsia="Arial" w:hAnsi="Arial" w:cs="Arial"/>
          <w:color w:val="000000"/>
          <w:sz w:val="20"/>
        </w:rPr>
        <w:t xml:space="preserve"> At this time, Brooks's ulcerative colitis caused him to use the restroom nearly thirty times per day. His flare-ups were unpredictable, unmanageable, and frequently occurred during his assigned "chow pull."</w:t>
      </w:r>
      <w:r>
        <w:rPr>
          <w:rFonts w:ascii="Arial" w:eastAsia="Arial" w:hAnsi="Arial" w:cs="Arial"/>
          <w:vertAlign w:val="superscript"/>
        </w:rPr>
        <w:footnoteReference w:customMarkFollows="1" w:id="190"/>
        <w:t>5</w:t>
      </w:r>
      <w:r>
        <w:rPr>
          <w:rFonts w:ascii="Arial" w:eastAsia="Arial" w:hAnsi="Arial" w:cs="Arial"/>
          <w:color w:val="000000"/>
          <w:sz w:val="20"/>
        </w:rPr>
        <w:t xml:space="preserve"> The frequency  [*1165]  of these flare-ups, which were attended by debilitating gastrointestinal pain and the risk of soiling himself, forced Brooks to miss most of his meals. Often, it was necessary for Brooks to stay by the toilet rather than attend a chow pull. The record reveals that Brooks's ideal weight is 190 pounds with a nineteen pound variance (i.e., a healthy weight for Brooks was anywhere between 171 and 209 pounds). When Brooks arrived at Fremont, he weighed 150 pounds; by the next month, however, his weight had decreased to between 144 and 136 pounds.</w:t>
      </w:r>
    </w:p>
    <w:p w:rsidR="00022B47" w:rsidRDefault="00000000">
      <w:pPr>
        <w:pStyle w:val="Normal40"/>
        <w:widowControl w:val="0"/>
        <w:spacing w:before="200" w:line="260" w:lineRule="atLeast"/>
        <w:jc w:val="both"/>
      </w:pPr>
      <w:bookmarkStart w:id="6354" w:name="Bookmark_para_8_38"/>
      <w:bookmarkEnd w:id="6354"/>
      <w:r>
        <w:rPr>
          <w:rFonts w:ascii="Arial" w:eastAsia="Arial" w:hAnsi="Arial" w:cs="Arial"/>
          <w:color w:val="000000"/>
          <w:sz w:val="20"/>
        </w:rPr>
        <w:t>After Brooks was transferred to Fremont, clinical services officials placed him on a treatment plan to address his stomach pain and bleeding. Over time, this treatment [**5]  lessened Brooks's gastrointestinal pain. Unfortunately, however, the absence of triggering pain made it more difficult for Brooks to recognize when he needed to use the restroom. Thus, according to Brooks, he faced the following "impossible choice": he could either attempt to attend meals, endure the symptoms of his disability, and sit in his feces among the other inmates, or go without food. Even when he attempted to attend meals, Brooks's symptoms and flare-ups often forced him to leave the cafeteria before he could eat.</w:t>
      </w:r>
      <w:r>
        <w:rPr>
          <w:rFonts w:ascii="Arial" w:eastAsia="Arial" w:hAnsi="Arial" w:cs="Arial"/>
          <w:vertAlign w:val="superscript"/>
        </w:rPr>
        <w:footnoteReference w:customMarkFollows="1" w:id="191"/>
        <w:t>6</w:t>
      </w:r>
    </w:p>
    <w:p w:rsidR="00022B47" w:rsidRDefault="00000000">
      <w:pPr>
        <w:pStyle w:val="Normal40"/>
        <w:widowControl w:val="0"/>
        <w:spacing w:before="200" w:line="260" w:lineRule="atLeast"/>
        <w:jc w:val="both"/>
      </w:pPr>
      <w:bookmarkStart w:id="6356" w:name="Bookmark_para_9_37"/>
      <w:bookmarkEnd w:id="6356"/>
      <w:r>
        <w:rPr>
          <w:rFonts w:ascii="Arial" w:eastAsia="Arial" w:hAnsi="Arial" w:cs="Arial"/>
          <w:color w:val="000000"/>
          <w:sz w:val="20"/>
        </w:rPr>
        <w:t xml:space="preserve">The CDOC has a system in place to accommodate inmates with disabilities. ADA Inmate Coordinators like Russell are responsible for providing accommodations to ensure inmates with disabilities can gain meaningful access to programs and services. Diabetic inmates, for example, receive a pass that allows them to access meals before other inmates, accommodating their need to eat shortly after taking their medicine. Brooks requested a similar pass to accommodate his often unpredictable need to use the restroom around mealtimes. Shortly after he was transferred to Fremont, Brooks received such a pass from clinical services. </w:t>
      </w:r>
      <w:r>
        <w:rPr>
          <w:rFonts w:ascii="Arial" w:eastAsia="Arial" w:hAnsi="Arial" w:cs="Arial"/>
          <w:i/>
          <w:color w:val="000000"/>
          <w:sz w:val="20"/>
        </w:rPr>
        <w:t>See generally, e.g.</w:t>
      </w:r>
      <w:r>
        <w:rPr>
          <w:rFonts w:ascii="Arial" w:eastAsia="Arial" w:hAnsi="Arial" w:cs="Arial"/>
          <w:color w:val="000000"/>
          <w:sz w:val="20"/>
        </w:rPr>
        <w:t>, Colo. Dep't of Corr. Admin. [**6]  Reg. 300-55 (Offender Movement Schedule). That pass allowed him to attend meals with the diabetic inmates. According to Brooks, this pass allowed him to reasonably manage his disability by permitting him to (1) adjust his schedule to use the restroom before going to the dining hall, thus alleviating some of his pain and risk of incontinence while eating, and (2) enter the dining hall before a line formed, thus allowing him to eat quickly and return back to his cell to use the restroom if necessary.</w:t>
      </w:r>
    </w:p>
    <w:p w:rsidR="00022B47" w:rsidRDefault="00000000">
      <w:pPr>
        <w:pStyle w:val="Normal40"/>
        <w:widowControl w:val="0"/>
        <w:spacing w:before="200" w:line="260" w:lineRule="atLeast"/>
        <w:jc w:val="both"/>
      </w:pPr>
      <w:bookmarkStart w:id="6357" w:name="Bookmark_para_10_37"/>
      <w:bookmarkEnd w:id="6357"/>
      <w:r>
        <w:rPr>
          <w:rFonts w:ascii="Arial" w:eastAsia="Arial" w:hAnsi="Arial" w:cs="Arial"/>
          <w:color w:val="000000"/>
          <w:sz w:val="20"/>
        </w:rPr>
        <w:t>After three months, Brooks's movement pass expired.</w:t>
      </w:r>
      <w:r>
        <w:rPr>
          <w:rFonts w:ascii="Arial" w:eastAsia="Arial" w:hAnsi="Arial" w:cs="Arial"/>
          <w:vertAlign w:val="superscript"/>
        </w:rPr>
        <w:footnoteReference w:customMarkFollows="1" w:id="192"/>
        <w:t>7</w:t>
      </w:r>
      <w:r>
        <w:rPr>
          <w:rFonts w:ascii="Arial" w:eastAsia="Arial" w:hAnsi="Arial" w:cs="Arial"/>
          <w:color w:val="000000"/>
          <w:sz w:val="20"/>
        </w:rPr>
        <w:t xml:space="preserve"> Clinical services refused to renew the pass, alleging it was the ADA Inmate Coordinator's responsibility to do so. Without the pass, Brooks continued to miss an exceedingly high percentage of his meals. After nearly a year of unsuccessfully seeking other accommodations for his disability, Brooks filed a request with Russell, the ADA Inmate Coordinator, seeking the renewal of his pass. Russell denied the  [*1166]  request "for first pulls to eat meals," claiming (1) it was a medical issue to be dealt with by clinical services and (2) it was "unreasonable due to the unintended security concerns it would create." When Brooks returned to Clinical Services [**7]  to again request the pass, he was told that "these passes are no longer issued by clinical services" but were the responsibility of the ADA Inmate Coordinator.</w:t>
      </w:r>
    </w:p>
    <w:p w:rsidR="00022B47" w:rsidRDefault="00000000">
      <w:pPr>
        <w:pStyle w:val="Normal40"/>
        <w:widowControl w:val="0"/>
        <w:spacing w:before="200" w:line="260" w:lineRule="atLeast"/>
        <w:jc w:val="both"/>
      </w:pPr>
      <w:bookmarkStart w:id="6359" w:name="Bookmark_para_11_36"/>
      <w:bookmarkEnd w:id="6359"/>
      <w:r>
        <w:rPr>
          <w:rFonts w:ascii="Arial" w:eastAsia="Arial" w:hAnsi="Arial" w:cs="Arial"/>
          <w:color w:val="000000"/>
          <w:sz w:val="20"/>
        </w:rPr>
        <w:t>For more than a year, Brooks filed ADA requests through the office of the ADA Inmate Coordinator, filed numerous grievances through CDOC's grievance process, and attempted to secure accommodations through clinical services. These requests were repeatedly denied. In particular, Russell specifically refused Brooks's requested accommodations for his disability. In his first letter to the office of the ADA Inmate Coordinator in 2012, Brooks described the difficulties he faced while attempting to obtain treatment and accommodation for his disability. The office denied the request and recommended frequent restroom breaks. The office acknowledged, however, that such breaks would "not always [be] possible due to security and accountability reasons" and, instead, suggested that adult diapers would accommodate his digestive concerns "during those times." Ultimately, Brooks refused to wear the recommended diapers because, inter alia, having to sit in soiled diapers among other inmates in the dining hall would have placed him at risk of [**8]  assault. Throughout 2012 and 2013, Brooks made numerous other accommodation requests, all of which were denied.</w:t>
      </w:r>
    </w:p>
    <w:p w:rsidR="00022B47" w:rsidRDefault="00000000">
      <w:pPr>
        <w:pStyle w:val="Normal40"/>
        <w:widowControl w:val="0"/>
        <w:spacing w:before="200" w:line="260" w:lineRule="atLeast"/>
        <w:jc w:val="both"/>
      </w:pPr>
      <w:bookmarkStart w:id="6360" w:name="Bookmark_para_12_35"/>
      <w:bookmarkEnd w:id="6360"/>
      <w:r>
        <w:rPr>
          <w:rFonts w:ascii="Arial" w:eastAsia="Arial" w:hAnsi="Arial" w:cs="Arial"/>
          <w:color w:val="000000"/>
          <w:sz w:val="20"/>
        </w:rPr>
        <w:t>Brooks also unsuccessfully sought accommodations through clinical services during the same time period after his initial movement pass expired. For example, Brooks requested a transfer to an ADA-designated facility to help manage his condition. Defendant Kathy Howell, the Regional Director of Corrections and Clinical Services, who was responsible for overseeing health services at Fremont and a number of other prisons, attended the meeting addressing Brooks's request. Although the stated purpose of the meeting was to address Brooks's needs, Brooks's movement pass was not renewed to help him access meals, nor was he moved to a facility that could better accommodate him. Brooks also requested a movement pass and extra toilet paper from clinical services; Defendant David Tessier, a health services administrator assigned to Fremont, denied both requests.</w:t>
      </w:r>
    </w:p>
    <w:p w:rsidR="00022B47" w:rsidRDefault="00000000">
      <w:pPr>
        <w:pStyle w:val="Normal40"/>
        <w:widowControl w:val="0"/>
        <w:spacing w:before="240" w:line="260" w:lineRule="atLeast"/>
      </w:pPr>
      <w:r>
        <w:br/>
      </w:r>
      <w:r>
        <w:rPr>
          <w:rFonts w:ascii="Arial" w:eastAsia="Arial" w:hAnsi="Arial" w:cs="Arial"/>
          <w:b/>
          <w:color w:val="000000"/>
          <w:sz w:val="20"/>
        </w:rPr>
        <w:t>B. Procedural Background</w:t>
      </w:r>
    </w:p>
    <w:p w:rsidR="00022B47" w:rsidRDefault="00000000">
      <w:pPr>
        <w:pStyle w:val="Normal40"/>
        <w:widowControl w:val="0"/>
        <w:spacing w:before="200" w:line="260" w:lineRule="atLeast"/>
        <w:jc w:val="both"/>
      </w:pPr>
      <w:bookmarkStart w:id="6361" w:name="Bookmark_para_13_35"/>
      <w:bookmarkEnd w:id="6361"/>
      <w:r>
        <w:rPr>
          <w:rFonts w:ascii="Arial" w:eastAsia="Arial" w:hAnsi="Arial" w:cs="Arial"/>
          <w:color w:val="000000"/>
          <w:sz w:val="20"/>
        </w:rPr>
        <w:t>Brooks eventually commenced the instant litigation, seeking both injunctive relief and money damages. Among others, Brooks named as defendants the CDOC, Russell, Howell, and Tessier. As specifically regarding [**9]  Russell, Brooks alleged she violated both Title II of the ADA and the Eighth Amendment by refusing to provide reasonable accommodations—such as a movement pass and extra toilet paper—that would allow him to successfully manage his disability. As a result, Brooks alleged, Russell knowingly denied him access to food. Brooks claimed the CDOC violated Title II of the ADA and the Eighth Amendment by failing to train its employees properly, thereby perpetuating a department-wide policy that deprives inmates of reasonable accommodations under the ADA.</w:t>
      </w:r>
    </w:p>
    <w:p w:rsidR="00022B47" w:rsidRDefault="00000000">
      <w:pPr>
        <w:pStyle w:val="Normal40"/>
        <w:widowControl w:val="0"/>
        <w:spacing w:before="200" w:line="260" w:lineRule="atLeast"/>
        <w:jc w:val="both"/>
      </w:pPr>
      <w:bookmarkStart w:id="6362" w:name="Bookmark_para_14_35"/>
      <w:bookmarkEnd w:id="6362"/>
      <w:r>
        <w:rPr>
          <w:rFonts w:ascii="Arial" w:eastAsia="Arial" w:hAnsi="Arial" w:cs="Arial"/>
          <w:color w:val="000000"/>
          <w:sz w:val="20"/>
        </w:rPr>
        <w:t xml:space="preserve">The district court dismissed Brooks's ADA claims and his claims against the CDOC, but gave him leave "to amend his medical claim against Defendant Tessier and his conditions of confinement claim as related to his request for special meal passes." Brooks filed an amended complaint. In response, Russell, Tessier, and Howell sought summary judgment. </w:t>
      </w:r>
      <w:bookmarkStart w:id="6363" w:name="Bookmark_I63M3RWV2SF8JC0020000400"/>
      <w:bookmarkEnd w:id="6363"/>
      <w:r>
        <w:rPr>
          <w:rFonts w:ascii="Arial" w:eastAsia="Arial" w:hAnsi="Arial" w:cs="Arial"/>
          <w:color w:val="000000"/>
          <w:sz w:val="20"/>
        </w:rPr>
        <w:t xml:space="preserve">The district court granted the motion as to all  [*1167]  remaining Eighth Amendment claims. This court reversed in part and remanded. </w:t>
      </w:r>
      <w:bookmarkStart w:id="6364" w:name="Bookmark_I63M3RWV2SF8JC0040000400"/>
      <w:bookmarkStart w:id="6365" w:name="Bookmark_I63M3RWV2SF8JC0010000400"/>
      <w:bookmarkEnd w:id="6364"/>
      <w:bookmarkEnd w:id="6365"/>
      <w:r>
        <w:rPr>
          <w:rFonts w:ascii="Arial" w:eastAsia="Arial" w:hAnsi="Arial" w:cs="Arial"/>
          <w:i/>
          <w:color w:val="000000"/>
          <w:sz w:val="20"/>
        </w:rPr>
        <w:t>Brooks</w:t>
      </w:r>
      <w:r>
        <w:rPr>
          <w:rFonts w:ascii="Arial" w:eastAsia="Arial" w:hAnsi="Arial" w:cs="Arial"/>
          <w:color w:val="000000"/>
          <w:sz w:val="20"/>
        </w:rPr>
        <w:t xml:space="preserve">, 715 F. App'x at 814. </w:t>
      </w:r>
      <w:bookmarkStart w:id="6366" w:name="Bookmark_I63M3RWV2SF8JC0040000400_2"/>
      <w:bookmarkEnd w:id="6366"/>
      <w:r>
        <w:rPr>
          <w:rFonts w:ascii="Arial" w:eastAsia="Arial" w:hAnsi="Arial" w:cs="Arial"/>
          <w:color w:val="000000"/>
          <w:sz w:val="20"/>
        </w:rPr>
        <w:t xml:space="preserve">With regard to Title II of the ADA, this court revived Brooks's claims against Russell, Howell, and Tessier in their official capacities and reversed the dismissal of the claims against the CDOC, concluding Brooks "plausibly" [**10]  alleged diapers "were an insufficient accommodation" for his disability. </w:t>
      </w:r>
      <w:bookmarkStart w:id="6367" w:name="Bookmark_I63M3RWV2SF8JC0030000400"/>
      <w:bookmarkEnd w:id="6367"/>
      <w:r>
        <w:rPr>
          <w:rFonts w:ascii="Arial" w:eastAsia="Arial" w:hAnsi="Arial" w:cs="Arial"/>
          <w:i/>
          <w:color w:val="000000"/>
          <w:sz w:val="20"/>
        </w:rPr>
        <w:t>Id.</w:t>
      </w:r>
      <w:r>
        <w:rPr>
          <w:rFonts w:ascii="Arial" w:eastAsia="Arial" w:hAnsi="Arial" w:cs="Arial"/>
          <w:color w:val="000000"/>
          <w:sz w:val="20"/>
        </w:rPr>
        <w:t xml:space="preserve"> at 818, 823. This court also revived the Eighth Amendment claim against Russell in her individual capacity. </w:t>
      </w:r>
      <w:r>
        <w:rPr>
          <w:rFonts w:ascii="Arial" w:eastAsia="Arial" w:hAnsi="Arial" w:cs="Arial"/>
          <w:i/>
          <w:color w:val="000000"/>
          <w:sz w:val="20"/>
        </w:rPr>
        <w:t>Id.</w:t>
      </w:r>
    </w:p>
    <w:p w:rsidR="00022B47" w:rsidRDefault="00000000">
      <w:pPr>
        <w:pStyle w:val="Normal40"/>
        <w:widowControl w:val="0"/>
        <w:spacing w:before="200" w:line="260" w:lineRule="atLeast"/>
        <w:jc w:val="both"/>
      </w:pPr>
      <w:bookmarkStart w:id="6368" w:name="Bookmark_para_15_33"/>
      <w:bookmarkEnd w:id="6368"/>
      <w:r>
        <w:rPr>
          <w:rFonts w:ascii="Arial" w:eastAsia="Arial" w:hAnsi="Arial" w:cs="Arial"/>
          <w:color w:val="000000"/>
          <w:sz w:val="20"/>
        </w:rPr>
        <w:t>After this court's partial reversal and remand, the district court reopened the case. Shortly thereafter, the CDOC transferred Brooks to Sterling, where he was eventually issued a movement pass allowing him to access his meals with the diabetic chow pull. After additional discovery, the defendants again moved for summary judgment on all claims. Because Brooks had been transferred to Sterling, defendants argued Brooks's claims for injunctive relief were moot and should be dismissed. The district court dismissed Brooks's claim for injunctive relief under the ADA on the basis that his transfer from Fremont to Sterling mooted his request for injunctive relief. The district court concluded Brooks's ADA damages claim failed on the merits because the undisputed facts showed the CDOC's provision of diapers was a reasonable accommodation of Brooks's disability. Finally, the district court concluded the undisputed facts did not demonstrate an Eighth Amendment violation on the part of Russell because it was Brooks's own actions (i.e., his refusal to utilize [**11]  the reasonable accommodation of an adult diaper) that deprived him of adequate nutrition.</w:t>
      </w:r>
    </w:p>
    <w:p w:rsidR="00022B47" w:rsidRDefault="00000000">
      <w:pPr>
        <w:pStyle w:val="Normal40"/>
        <w:widowControl w:val="0"/>
        <w:spacing w:before="200" w:line="260" w:lineRule="atLeast"/>
        <w:jc w:val="both"/>
      </w:pPr>
      <w:bookmarkStart w:id="6369" w:name="Bookmark_para_16_33"/>
      <w:bookmarkEnd w:id="6369"/>
      <w:r>
        <w:rPr>
          <w:rFonts w:ascii="Arial" w:eastAsia="Arial" w:hAnsi="Arial" w:cs="Arial"/>
          <w:color w:val="000000"/>
          <w:sz w:val="20"/>
        </w:rPr>
        <w:t>Brooks appeals the district court's summary judgment order resolving his ADA and Eighth Amendment claims.</w:t>
      </w:r>
    </w:p>
    <w:p w:rsidR="00022B47" w:rsidRDefault="00000000">
      <w:pPr>
        <w:pStyle w:val="Normal40"/>
        <w:widowControl w:val="0"/>
        <w:spacing w:before="240" w:line="260" w:lineRule="atLeast"/>
      </w:pPr>
      <w:r>
        <w:br/>
      </w:r>
      <w:r>
        <w:rPr>
          <w:rFonts w:ascii="Arial" w:eastAsia="Arial" w:hAnsi="Arial" w:cs="Arial"/>
          <w:b/>
          <w:color w:val="000000"/>
          <w:sz w:val="20"/>
        </w:rPr>
        <w:t>III. ANALYSIS</w:t>
      </w:r>
    </w:p>
    <w:p w:rsidR="00022B47" w:rsidRDefault="00000000">
      <w:pPr>
        <w:pStyle w:val="Normal40"/>
        <w:widowControl w:val="0"/>
        <w:spacing w:before="240" w:line="260" w:lineRule="atLeast"/>
      </w:pPr>
      <w:r>
        <w:br/>
      </w:r>
      <w:r>
        <w:rPr>
          <w:rFonts w:ascii="Arial" w:eastAsia="Arial" w:hAnsi="Arial" w:cs="Arial"/>
          <w:b/>
          <w:color w:val="000000"/>
          <w:sz w:val="20"/>
        </w:rPr>
        <w:t>A. ADA Claim</w:t>
      </w:r>
    </w:p>
    <w:p w:rsidR="00022B47" w:rsidRDefault="00000000">
      <w:pPr>
        <w:pStyle w:val="Normal40"/>
        <w:widowControl w:val="0"/>
        <w:spacing w:before="200" w:line="260" w:lineRule="atLeast"/>
        <w:jc w:val="both"/>
      </w:pPr>
      <w:bookmarkStart w:id="6370" w:name="Bookmark_para_17_32"/>
      <w:bookmarkStart w:id="6371" w:name="Bookmark_I63M3RWV28T48M0010000400"/>
      <w:bookmarkEnd w:id="6370"/>
      <w:bookmarkEnd w:id="6371"/>
      <w:r>
        <w:rPr>
          <w:rFonts w:ascii="Arial" w:eastAsia="Arial" w:hAnsi="Arial" w:cs="Arial"/>
          <w:color w:val="000000"/>
          <w:sz w:val="20"/>
        </w:rPr>
        <w:t xml:space="preserve">Brooks asserts his Title II claim directly against the CDOC and against Howell, Russell, and Tessier in their official capacities. </w:t>
      </w:r>
      <w:bookmarkStart w:id="6372" w:name="Bookmark_LNHNREFclscc1_34"/>
      <w:bookmarkEnd w:id="6372"/>
      <w:r>
        <w:rPr>
          <w:rFonts w:ascii="Arial" w:eastAsia="Arial" w:hAnsi="Arial" w:cs="Arial"/>
          <w:color w:val="000000"/>
          <w:sz w:val="20"/>
        </w:rPr>
        <w:t xml:space="preserve">Title II of the ADA makes it illegal for a "public entity" to discriminate against a qualified individual with a disability in the provision of government programs, activities, and services. 42 U.S.C. § 12132. State prisons are public entities for purposes of Title II of the ADA. </w:t>
      </w:r>
      <w:bookmarkStart w:id="6373" w:name="Bookmark_I63M3RWV2SF8JC0050000400"/>
      <w:bookmarkEnd w:id="6373"/>
      <w:r>
        <w:rPr>
          <w:rFonts w:ascii="Arial" w:eastAsia="Arial" w:hAnsi="Arial" w:cs="Arial"/>
          <w:i/>
          <w:color w:val="000000"/>
          <w:sz w:val="20"/>
        </w:rPr>
        <w:t>Penn. Dep't of Corr. v. Yeskey</w:t>
      </w:r>
      <w:r>
        <w:rPr>
          <w:rFonts w:ascii="Arial" w:eastAsia="Arial" w:hAnsi="Arial" w:cs="Arial"/>
          <w:color w:val="000000"/>
          <w:sz w:val="20"/>
        </w:rPr>
        <w:t xml:space="preserve">, 524 U.S. 206, 210, 118 S. Ct. 1952, 141 L. Ed. 2d 215 (1998). The ADA protects qualified individuals with disabilities "who, with or without reasonable modifications to rules, policies, or practices . . . meet[] the essential eligibility requirements for the receipt of services or the participation in programs or activities provided by a public entity." 42 U.S.C. § 12131. The law places an affirmative obligation on public entities to reasonably accommodate qualified individuals with disabilities to allow them to participate in its programs and services. </w:t>
      </w:r>
      <w:r>
        <w:rPr>
          <w:rFonts w:ascii="Arial" w:eastAsia="Arial" w:hAnsi="Arial" w:cs="Arial"/>
          <w:i/>
          <w:color w:val="000000"/>
          <w:sz w:val="20"/>
        </w:rPr>
        <w:t>See generally</w:t>
      </w:r>
      <w:r>
        <w:rPr>
          <w:rFonts w:ascii="Arial" w:eastAsia="Arial" w:hAnsi="Arial" w:cs="Arial"/>
          <w:color w:val="000000"/>
          <w:sz w:val="20"/>
        </w:rPr>
        <w:t xml:space="preserve"> 28 C.F.R. § 35.130.</w:t>
      </w:r>
    </w:p>
    <w:p w:rsidR="00022B47" w:rsidRDefault="00000000">
      <w:pPr>
        <w:pStyle w:val="Normal40"/>
        <w:widowControl w:val="0"/>
        <w:spacing w:before="200" w:line="260" w:lineRule="atLeast"/>
        <w:jc w:val="both"/>
      </w:pPr>
      <w:bookmarkStart w:id="6374" w:name="Bookmark_para_18_31"/>
      <w:bookmarkStart w:id="6375" w:name="Bookmark_I2GG4377TB7000030FN0000X"/>
      <w:bookmarkStart w:id="6376" w:name="Bookmark_I63M3RWV28T48M0030000400"/>
      <w:bookmarkStart w:id="6377" w:name="Bookmark_LNHNREFclscc2_34"/>
      <w:bookmarkEnd w:id="6374"/>
      <w:bookmarkEnd w:id="6375"/>
      <w:bookmarkEnd w:id="6376"/>
      <w:bookmarkEnd w:id="6377"/>
      <w:r>
        <w:rPr>
          <w:rFonts w:ascii="Arial" w:eastAsia="Arial" w:hAnsi="Arial" w:cs="Arial"/>
          <w:color w:val="000000"/>
          <w:sz w:val="20"/>
        </w:rPr>
        <w:t xml:space="preserve">To establish a Title II violation under a reasonable accommodation theory, Brooks must show: (1) he is a [**12]  qualified individual with a disability; (2) he was "excluded from participation in or denied the benefits of some public entity's services, programs, or activities" and (3) such exclusion or denial of benefits was by reason of his disability. </w:t>
      </w:r>
      <w:bookmarkStart w:id="6378" w:name="Bookmark_I63M3RWV28T48M0050000400"/>
      <w:bookmarkStart w:id="6379" w:name="Bookmark_I63M3RWV28T48M0020000400"/>
      <w:bookmarkEnd w:id="6378"/>
      <w:bookmarkEnd w:id="6379"/>
      <w:r>
        <w:rPr>
          <w:rFonts w:ascii="Arial" w:eastAsia="Arial" w:hAnsi="Arial" w:cs="Arial"/>
          <w:i/>
          <w:color w:val="000000"/>
          <w:sz w:val="20"/>
        </w:rPr>
        <w:t>Gohier v. Enright</w:t>
      </w:r>
      <w:r>
        <w:rPr>
          <w:rFonts w:ascii="Arial" w:eastAsia="Arial" w:hAnsi="Arial" w:cs="Arial"/>
          <w:color w:val="000000"/>
          <w:sz w:val="20"/>
        </w:rPr>
        <w:t xml:space="preserve">, 186 F.3d 1216, 1219 (10th Cir. 1999) (quotation omitted). </w:t>
      </w:r>
      <w:bookmarkStart w:id="6380" w:name="Bookmark_I63M3RWV2HM62J0020000400"/>
      <w:bookmarkEnd w:id="6380"/>
      <w:r>
        <w:rPr>
          <w:rFonts w:ascii="Arial" w:eastAsia="Arial" w:hAnsi="Arial" w:cs="Arial"/>
          <w:color w:val="000000"/>
          <w:sz w:val="20"/>
        </w:rPr>
        <w:t xml:space="preserve">A claim for failure to make a reasonable accommodation does not require a showing of discriminatory motive. </w:t>
      </w:r>
      <w:bookmarkStart w:id="6381" w:name="Bookmark_I63M3RWV2HM62J0020000400_2"/>
      <w:bookmarkStart w:id="6382" w:name="Bookmark_I63M3RWV28T48M0050000400_2"/>
      <w:bookmarkStart w:id="6383" w:name="Bookmark_I63M3RWV28T48M0040000400"/>
      <w:bookmarkEnd w:id="6381"/>
      <w:bookmarkEnd w:id="6382"/>
      <w:bookmarkEnd w:id="6383"/>
      <w:r>
        <w:rPr>
          <w:rFonts w:ascii="Arial" w:eastAsia="Arial" w:hAnsi="Arial" w:cs="Arial"/>
          <w:i/>
          <w:color w:val="000000"/>
          <w:sz w:val="20"/>
        </w:rPr>
        <w:t>Punt v. Kelly Servs.</w:t>
      </w:r>
      <w:r>
        <w:rPr>
          <w:rFonts w:ascii="Arial" w:eastAsia="Arial" w:hAnsi="Arial" w:cs="Arial"/>
          <w:color w:val="000000"/>
          <w:sz w:val="20"/>
        </w:rPr>
        <w:t xml:space="preserve">, 862 F.3d 1040, 1048 (10th Cir. 2017). Nor is Brooks required to show a complete deprivation of access to food and nutrition to state a Title II reasonable accommodation claim. 28 C.F.R. § 35.150 (requiring that a public entity's services,  [*1168]  programs, and activities be "readily accessible"); </w:t>
      </w:r>
      <w:r>
        <w:rPr>
          <w:rFonts w:ascii="Arial" w:eastAsia="Arial" w:hAnsi="Arial" w:cs="Arial"/>
          <w:i/>
          <w:color w:val="000000"/>
          <w:sz w:val="20"/>
        </w:rPr>
        <w:t xml:space="preserve">see also </w:t>
      </w:r>
      <w:bookmarkStart w:id="6384" w:name="Bookmark_I63M3RWV2HM62J0010000400"/>
      <w:bookmarkEnd w:id="6384"/>
      <w:r>
        <w:rPr>
          <w:rFonts w:ascii="Arial" w:eastAsia="Arial" w:hAnsi="Arial" w:cs="Arial"/>
          <w:i/>
          <w:color w:val="000000"/>
          <w:sz w:val="20"/>
        </w:rPr>
        <w:t>Shotz v. Cates</w:t>
      </w:r>
      <w:r>
        <w:rPr>
          <w:rFonts w:ascii="Arial" w:eastAsia="Arial" w:hAnsi="Arial" w:cs="Arial"/>
          <w:color w:val="000000"/>
          <w:sz w:val="20"/>
        </w:rPr>
        <w:t>, 256 F.3d 1077, 1080 (11th Cir. 2001) (explaining how impediments to access short of complete deprivation can prevent ready access).</w:t>
      </w:r>
    </w:p>
    <w:p w:rsidR="00022B47" w:rsidRDefault="00000000">
      <w:pPr>
        <w:pStyle w:val="Normal40"/>
        <w:widowControl w:val="0"/>
        <w:spacing w:before="240" w:line="260" w:lineRule="atLeast"/>
      </w:pPr>
      <w:r>
        <w:br/>
      </w:r>
      <w:r>
        <w:rPr>
          <w:rFonts w:ascii="Arial" w:eastAsia="Arial" w:hAnsi="Arial" w:cs="Arial"/>
          <w:b/>
          <w:color w:val="000000"/>
          <w:sz w:val="20"/>
        </w:rPr>
        <w:t>1. Injunctive Relief</w:t>
      </w:r>
    </w:p>
    <w:p w:rsidR="00022B47" w:rsidRDefault="00000000">
      <w:pPr>
        <w:pStyle w:val="Normal40"/>
        <w:widowControl w:val="0"/>
        <w:spacing w:before="200" w:line="260" w:lineRule="atLeast"/>
        <w:jc w:val="both"/>
      </w:pPr>
      <w:bookmarkStart w:id="6385" w:name="Bookmark_para_19_30"/>
      <w:bookmarkEnd w:id="6385"/>
      <w:r>
        <w:rPr>
          <w:rFonts w:ascii="Arial" w:eastAsia="Arial" w:hAnsi="Arial" w:cs="Arial"/>
          <w:color w:val="000000"/>
          <w:sz w:val="20"/>
        </w:rPr>
        <w:t xml:space="preserve">As noted above, </w:t>
      </w:r>
      <w:r>
        <w:rPr>
          <w:rFonts w:ascii="Arial" w:eastAsia="Arial" w:hAnsi="Arial" w:cs="Arial"/>
          <w:i/>
          <w:color w:val="000000"/>
          <w:sz w:val="20"/>
        </w:rPr>
        <w:t>see supra</w:t>
      </w:r>
      <w:r>
        <w:rPr>
          <w:rFonts w:ascii="Arial" w:eastAsia="Arial" w:hAnsi="Arial" w:cs="Arial"/>
          <w:color w:val="000000"/>
          <w:sz w:val="20"/>
        </w:rPr>
        <w:t xml:space="preserve"> n.1, the parties agree that Brooks's challenge to the district court's dismissal of his request for ADA-based injunctive relief was mooted by his release on parole. </w:t>
      </w:r>
      <w:bookmarkStart w:id="6386" w:name="Bookmark_I63M3RWV2HM62J0040000400"/>
      <w:bookmarkEnd w:id="6386"/>
      <w:r>
        <w:rPr>
          <w:rFonts w:ascii="Arial" w:eastAsia="Arial" w:hAnsi="Arial" w:cs="Arial"/>
          <w:color w:val="000000"/>
          <w:sz w:val="20"/>
        </w:rPr>
        <w:t xml:space="preserve">Accordingly, we dismiss that portion of Brooks's appeal challenging the district court's treatment of his ADA claims for prospective injunctive relief. Furthermore, we direct the district court on remand to vacate that portion of its judgment addressing this particular issue. [**13]  </w:t>
      </w:r>
      <w:r>
        <w:rPr>
          <w:rFonts w:ascii="Arial" w:eastAsia="Arial" w:hAnsi="Arial" w:cs="Arial"/>
          <w:i/>
          <w:color w:val="000000"/>
          <w:sz w:val="20"/>
        </w:rPr>
        <w:t xml:space="preserve">See </w:t>
      </w:r>
      <w:bookmarkStart w:id="6387" w:name="Bookmark_I63M3RWV2HM62J0030000400"/>
      <w:bookmarkEnd w:id="6387"/>
      <w:r>
        <w:rPr>
          <w:rFonts w:ascii="Arial" w:eastAsia="Arial" w:hAnsi="Arial" w:cs="Arial"/>
          <w:i/>
          <w:color w:val="000000"/>
          <w:sz w:val="20"/>
        </w:rPr>
        <w:t>Wyoming v. USDA</w:t>
      </w:r>
      <w:r>
        <w:rPr>
          <w:rFonts w:ascii="Arial" w:eastAsia="Arial" w:hAnsi="Arial" w:cs="Arial"/>
          <w:color w:val="000000"/>
          <w:sz w:val="20"/>
        </w:rPr>
        <w:t>, 414 F.3d 1207, 1213 (10th Cir. 2005) ("</w:t>
      </w:r>
      <w:bookmarkStart w:id="6388" w:name="Bookmark_LNHNREFclscc3_34"/>
      <w:bookmarkEnd w:id="6388"/>
      <w:r>
        <w:rPr>
          <w:rFonts w:ascii="Arial" w:eastAsia="Arial" w:hAnsi="Arial" w:cs="Arial"/>
          <w:color w:val="000000"/>
          <w:sz w:val="20"/>
        </w:rPr>
        <w:t>When a case becomes moot pending appeal, the general practice is to vacate the judgment below and remand with directions to dismiss. This is because a party who seeks review of the merits of an adverse ruling, but is frustrated by the vagaries of circumstance, ought not in fairness be forced to acquiesce in the judgment. Consequently, it is frequently appropriate for an appellate court to vacate the judgment below when mootness results from happenstance . . . ." (citations, quotation, and alteration omitted)).</w:t>
      </w:r>
    </w:p>
    <w:p w:rsidR="00022B47" w:rsidRDefault="00000000">
      <w:pPr>
        <w:pStyle w:val="Normal40"/>
        <w:widowControl w:val="0"/>
        <w:spacing w:before="240" w:line="260" w:lineRule="atLeast"/>
      </w:pPr>
      <w:r>
        <w:br/>
      </w:r>
      <w:r>
        <w:rPr>
          <w:rFonts w:ascii="Arial" w:eastAsia="Arial" w:hAnsi="Arial" w:cs="Arial"/>
          <w:b/>
          <w:color w:val="000000"/>
          <w:sz w:val="20"/>
        </w:rPr>
        <w:t>2. Damages</w:t>
      </w:r>
    </w:p>
    <w:p w:rsidR="00022B47" w:rsidRDefault="00000000">
      <w:pPr>
        <w:pStyle w:val="Normal40"/>
        <w:widowControl w:val="0"/>
        <w:spacing w:before="240" w:line="260" w:lineRule="atLeast"/>
      </w:pPr>
      <w:r>
        <w:br/>
      </w:r>
      <w:r>
        <w:rPr>
          <w:rFonts w:ascii="Arial" w:eastAsia="Arial" w:hAnsi="Arial" w:cs="Arial"/>
          <w:b/>
          <w:color w:val="000000"/>
          <w:sz w:val="20"/>
        </w:rPr>
        <w:t>a. Background</w:t>
      </w:r>
    </w:p>
    <w:p w:rsidR="00022B47" w:rsidRDefault="00000000">
      <w:pPr>
        <w:pStyle w:val="Normal40"/>
        <w:widowControl w:val="0"/>
        <w:spacing w:before="200" w:line="260" w:lineRule="atLeast"/>
        <w:jc w:val="both"/>
      </w:pPr>
      <w:bookmarkStart w:id="6389" w:name="Bookmark_para_20_30"/>
      <w:bookmarkStart w:id="6390" w:name="Bookmark_I63M3RWW2D6NJG0010000400"/>
      <w:bookmarkStart w:id="6391" w:name="Bookmark_LNHNREFclscc4_34"/>
      <w:bookmarkEnd w:id="6389"/>
      <w:bookmarkEnd w:id="6390"/>
      <w:bookmarkEnd w:id="6391"/>
      <w:r>
        <w:rPr>
          <w:rFonts w:ascii="Arial" w:eastAsia="Arial" w:hAnsi="Arial" w:cs="Arial"/>
          <w:color w:val="000000"/>
          <w:sz w:val="20"/>
        </w:rPr>
        <w:t xml:space="preserve">The Supreme Court has established a three-step framework for evaluating whether Eleventh Amendment immunity applies to a state prisoner's Title II claim for money damages. Under that framework, courts must "determine in the first instance, on a claim-by-claim basis, . . . which aspects of the State's alleged conduct violated Title II." </w:t>
      </w:r>
      <w:bookmarkStart w:id="6392" w:name="Bookmark_I63M3RWV2HM62J0050000400"/>
      <w:bookmarkEnd w:id="6392"/>
      <w:r>
        <w:rPr>
          <w:rFonts w:ascii="Arial" w:eastAsia="Arial" w:hAnsi="Arial" w:cs="Arial"/>
          <w:i/>
          <w:color w:val="000000"/>
          <w:sz w:val="20"/>
        </w:rPr>
        <w:t>United States v. Georgia</w:t>
      </w:r>
      <w:r>
        <w:rPr>
          <w:rFonts w:ascii="Arial" w:eastAsia="Arial" w:hAnsi="Arial" w:cs="Arial"/>
          <w:color w:val="000000"/>
          <w:sz w:val="20"/>
        </w:rPr>
        <w:t xml:space="preserve">, 546 U.S. 151, 159, 126 S. Ct. 877, 163 L. Ed. 2d 650 (2006). </w:t>
      </w:r>
      <w:bookmarkStart w:id="6393" w:name="Bookmark_I63M3RWW2D6NJG0030000400"/>
      <w:bookmarkEnd w:id="6393"/>
      <w:r>
        <w:rPr>
          <w:rFonts w:ascii="Arial" w:eastAsia="Arial" w:hAnsi="Arial" w:cs="Arial"/>
          <w:color w:val="000000"/>
          <w:sz w:val="20"/>
        </w:rPr>
        <w:t xml:space="preserve">If a court concludes that some aspects of a state's conduct violated Title II, it should then move on to determine whether that conduct violated the Fourteenth Amendment. </w:t>
      </w:r>
      <w:bookmarkStart w:id="6394" w:name="Bookmark_I63M3RWW2D6NJG0030000400_2"/>
      <w:bookmarkEnd w:id="6394"/>
      <w:r>
        <w:rPr>
          <w:rFonts w:ascii="Arial" w:eastAsia="Arial" w:hAnsi="Arial" w:cs="Arial"/>
          <w:i/>
          <w:color w:val="000000"/>
          <w:sz w:val="20"/>
        </w:rPr>
        <w:t>Id.</w:t>
      </w:r>
      <w:r>
        <w:rPr>
          <w:rFonts w:ascii="Arial" w:eastAsia="Arial" w:hAnsi="Arial" w:cs="Arial"/>
          <w:color w:val="000000"/>
          <w:sz w:val="20"/>
        </w:rPr>
        <w:t xml:space="preserve"> Notably, the Supreme Court has made clear that the Fourteenth Amendment incorporates against the states the Eighth Amendment's prohibition against cruel and unusual punishment. </w:t>
      </w:r>
      <w:bookmarkStart w:id="6395" w:name="Bookmark_I63M3RWW2D6NJG0050000400"/>
      <w:bookmarkStart w:id="6396" w:name="Bookmark_I63M3RWW2D6NJG0020000400"/>
      <w:bookmarkEnd w:id="6395"/>
      <w:bookmarkEnd w:id="6396"/>
      <w:r>
        <w:rPr>
          <w:rFonts w:ascii="Arial" w:eastAsia="Arial" w:hAnsi="Arial" w:cs="Arial"/>
          <w:i/>
          <w:color w:val="000000"/>
          <w:sz w:val="20"/>
        </w:rPr>
        <w:t>Id.</w:t>
      </w:r>
      <w:r>
        <w:rPr>
          <w:rFonts w:ascii="Arial" w:eastAsia="Arial" w:hAnsi="Arial" w:cs="Arial"/>
          <w:color w:val="000000"/>
          <w:sz w:val="20"/>
        </w:rPr>
        <w:t xml:space="preserve"> at 157. </w:t>
      </w:r>
      <w:bookmarkStart w:id="6397" w:name="Bookmark_I63M3RWW2D6NJG0050000400_2"/>
      <w:bookmarkStart w:id="6398" w:name="Bookmark_I63M3RWW2SF8JK0020000400"/>
      <w:bookmarkEnd w:id="6397"/>
      <w:bookmarkEnd w:id="6398"/>
      <w:r>
        <w:rPr>
          <w:rFonts w:ascii="Arial" w:eastAsia="Arial" w:hAnsi="Arial" w:cs="Arial"/>
          <w:color w:val="000000"/>
          <w:sz w:val="20"/>
        </w:rPr>
        <w:t xml:space="preserve">As to any such acts of misconduct, Congress's [**14]  abrogation of the states' Eleventh Amendment immunity is constitutionally valid. </w:t>
      </w:r>
      <w:bookmarkStart w:id="6399" w:name="Bookmark_I63M3RWW2SF8JK0040000400"/>
      <w:bookmarkStart w:id="6400" w:name="Bookmark_I63M3RWW2D6NJG0040000400"/>
      <w:bookmarkEnd w:id="6399"/>
      <w:bookmarkEnd w:id="6400"/>
      <w:r>
        <w:rPr>
          <w:rFonts w:ascii="Arial" w:eastAsia="Arial" w:hAnsi="Arial" w:cs="Arial"/>
          <w:i/>
          <w:color w:val="000000"/>
          <w:sz w:val="20"/>
        </w:rPr>
        <w:t>Id.</w:t>
      </w:r>
      <w:r>
        <w:rPr>
          <w:rFonts w:ascii="Arial" w:eastAsia="Arial" w:hAnsi="Arial" w:cs="Arial"/>
          <w:color w:val="000000"/>
          <w:sz w:val="20"/>
        </w:rPr>
        <w:t xml:space="preserve"> at 158-59. </w:t>
      </w:r>
      <w:bookmarkStart w:id="6401" w:name="Bookmark_I63M3RWW2SF8JK0040000400_2"/>
      <w:bookmarkStart w:id="6402" w:name="Bookmark_I63M3RWW2SF8JK0020000400_2"/>
      <w:bookmarkStart w:id="6403" w:name="Bookmark_I63M3RWW28T4900010000400"/>
      <w:bookmarkEnd w:id="6401"/>
      <w:bookmarkEnd w:id="6402"/>
      <w:bookmarkEnd w:id="6403"/>
      <w:r>
        <w:rPr>
          <w:rFonts w:ascii="Arial" w:eastAsia="Arial" w:hAnsi="Arial" w:cs="Arial"/>
          <w:color w:val="000000"/>
          <w:sz w:val="20"/>
        </w:rPr>
        <w:t xml:space="preserve">Finally, at step three of the framework, courts should consider the following: "insofar as such misconduct violated Title II but did not violate the Fourteenth Amendment, whether Congress's purported abrogation of sovereign immunity as to that class of conduct is nevertheless valid." </w:t>
      </w:r>
      <w:bookmarkStart w:id="6404" w:name="Bookmark_I63M3RWW2SF8JK0010000400"/>
      <w:bookmarkEnd w:id="6404"/>
      <w:r>
        <w:rPr>
          <w:rFonts w:ascii="Arial" w:eastAsia="Arial" w:hAnsi="Arial" w:cs="Arial"/>
          <w:i/>
          <w:color w:val="000000"/>
          <w:sz w:val="20"/>
        </w:rPr>
        <w:t>Id.</w:t>
      </w:r>
      <w:r>
        <w:rPr>
          <w:rFonts w:ascii="Arial" w:eastAsia="Arial" w:hAnsi="Arial" w:cs="Arial"/>
          <w:color w:val="000000"/>
          <w:sz w:val="20"/>
        </w:rPr>
        <w:t xml:space="preserve"> at 159. </w:t>
      </w:r>
      <w:bookmarkStart w:id="6405" w:name="Bookmark_I63M3RWW28T4900010000400_2"/>
      <w:bookmarkEnd w:id="6405"/>
      <w:r>
        <w:rPr>
          <w:rFonts w:ascii="Arial" w:eastAsia="Arial" w:hAnsi="Arial" w:cs="Arial"/>
          <w:color w:val="000000"/>
          <w:sz w:val="20"/>
        </w:rPr>
        <w:t xml:space="preserve">This question is resolved by the reference to the congruence and proportionality test set out by the Supreme Court in </w:t>
      </w:r>
      <w:bookmarkStart w:id="6406" w:name="Bookmark_I63M3RWW2SF8JK0030000400"/>
      <w:bookmarkEnd w:id="6406"/>
      <w:r>
        <w:rPr>
          <w:rFonts w:ascii="Arial" w:eastAsia="Arial" w:hAnsi="Arial" w:cs="Arial"/>
          <w:i/>
          <w:color w:val="000000"/>
          <w:sz w:val="20"/>
        </w:rPr>
        <w:t>City of Boerne v. Flores</w:t>
      </w:r>
      <w:r>
        <w:rPr>
          <w:rFonts w:ascii="Arial" w:eastAsia="Arial" w:hAnsi="Arial" w:cs="Arial"/>
          <w:color w:val="000000"/>
          <w:sz w:val="20"/>
        </w:rPr>
        <w:t xml:space="preserve">, 521 U.S. 507, 520, 117 S. Ct. 2157, 138 L. Ed. 2d 624 (1997). </w:t>
      </w:r>
      <w:bookmarkStart w:id="6407" w:name="Bookmark_I63M3RWW28T4900010000400_3"/>
      <w:bookmarkEnd w:id="6407"/>
      <w:r>
        <w:rPr>
          <w:rFonts w:ascii="Arial" w:eastAsia="Arial" w:hAnsi="Arial" w:cs="Arial"/>
          <w:i/>
          <w:color w:val="000000"/>
          <w:sz w:val="20"/>
        </w:rPr>
        <w:t xml:space="preserve">See generally </w:t>
      </w:r>
      <w:bookmarkStart w:id="6408" w:name="Bookmark_I63M3RWW2SF8JK0050000400"/>
      <w:bookmarkEnd w:id="6408"/>
      <w:r>
        <w:rPr>
          <w:rFonts w:ascii="Arial" w:eastAsia="Arial" w:hAnsi="Arial" w:cs="Arial"/>
          <w:i/>
          <w:color w:val="000000"/>
          <w:sz w:val="20"/>
        </w:rPr>
        <w:t>Guttman v. Khalsa</w:t>
      </w:r>
      <w:r>
        <w:rPr>
          <w:rFonts w:ascii="Arial" w:eastAsia="Arial" w:hAnsi="Arial" w:cs="Arial"/>
          <w:color w:val="000000"/>
          <w:sz w:val="20"/>
        </w:rPr>
        <w:t>, 669 F.3d 1101, 1116-17 (10th Cir. 2012).</w:t>
      </w:r>
    </w:p>
    <w:p w:rsidR="00022B47" w:rsidRDefault="00000000">
      <w:pPr>
        <w:pStyle w:val="Normal40"/>
        <w:widowControl w:val="0"/>
        <w:spacing w:before="200" w:line="260" w:lineRule="atLeast"/>
        <w:jc w:val="both"/>
      </w:pPr>
      <w:bookmarkStart w:id="6409" w:name="Bookmark_para_21_29"/>
      <w:bookmarkEnd w:id="6409"/>
      <w:r>
        <w:rPr>
          <w:rFonts w:ascii="Arial" w:eastAsia="Arial" w:hAnsi="Arial" w:cs="Arial"/>
          <w:color w:val="000000"/>
          <w:sz w:val="20"/>
        </w:rPr>
        <w:t>The district court resolved this case at the first step of the three-part framework. The district court began by noting it was undisputed Brooks's ulcerative colitis rendered him a qualified individual with a disability. Likewise, the district court recognized defendants' concession that Brooks's disability left him unable to meaningfully access meals. Thus, the district court limited its inquiry to the following question: did the undisputed facts demonstrate that CDOC's offer to Brooks of adult diapers amounted to a reasonable accommodation of Brooks's disability? In resolving that question in defendants' favor, the district court concluded as follows:</w:t>
      </w:r>
    </w:p>
    <w:p w:rsidR="00022B47" w:rsidRDefault="00000000">
      <w:pPr>
        <w:pStyle w:val="Normal40"/>
        <w:widowControl w:val="0"/>
        <w:spacing w:before="200" w:line="260" w:lineRule="atLeast"/>
        <w:ind w:left="400"/>
        <w:jc w:val="both"/>
      </w:pPr>
      <w:bookmarkStart w:id="6410" w:name="Bookmark_para_22_28"/>
      <w:bookmarkEnd w:id="6410"/>
      <w:r>
        <w:rPr>
          <w:rFonts w:ascii="Arial" w:eastAsia="Arial" w:hAnsi="Arial" w:cs="Arial"/>
          <w:color w:val="000000"/>
          <w:sz w:val="20"/>
        </w:rPr>
        <w:t>The Court finds that Defendants' provision of adult undergarments to address [**15]  [Brooks's] incontinence, though not ideal, is a reasonable accommodation  [*1169]  that would provide him meaningful access to his meals. Incontinence is defined as: "inability of the body to control the evacuative functions of urination or defecation: partial or complete loss of bladder or bowel control." Inherent to the condition is the inability to control bladder or bowel functions, which Brooks has acknowledged. Given this aspect of the condition, a different meal pass would not meaningfully or reasonably accommodate Brooks' condition because, ultimately, he cannot control his bladder/bowel functions.</w:t>
      </w:r>
    </w:p>
    <w:p w:rsidR="00022B47" w:rsidRDefault="00000000">
      <w:pPr>
        <w:pStyle w:val="Normal40"/>
        <w:widowControl w:val="0"/>
        <w:spacing w:line="260" w:lineRule="atLeast"/>
        <w:ind w:left="400"/>
        <w:jc w:val="both"/>
      </w:pPr>
      <w:bookmarkStart w:id="6411" w:name="Bookmark_para_23_27"/>
      <w:bookmarkEnd w:id="6411"/>
      <w:r>
        <w:rPr>
          <w:rFonts w:ascii="Arial" w:eastAsia="Arial" w:hAnsi="Arial" w:cs="Arial"/>
          <w:color w:val="000000"/>
          <w:sz w:val="20"/>
        </w:rPr>
        <w:t>More to the point, Brooks conceded in his deposition that undergarments are reasonable if an individual has an inability to control their bowels, and he acknowledged that he is unable to control his bowels despite his efforts to hold them:</w:t>
      </w:r>
    </w:p>
    <w:p w:rsidR="00022B47" w:rsidRDefault="00000000">
      <w:pPr>
        <w:pStyle w:val="Normal40"/>
        <w:widowControl w:val="0"/>
        <w:spacing w:line="260" w:lineRule="atLeast"/>
        <w:ind w:left="800"/>
        <w:jc w:val="both"/>
      </w:pPr>
      <w:bookmarkStart w:id="6412" w:name="Bookmark_para_24_25"/>
      <w:bookmarkEnd w:id="6412"/>
      <w:r>
        <w:rPr>
          <w:rFonts w:ascii="Arial" w:eastAsia="Arial" w:hAnsi="Arial" w:cs="Arial"/>
          <w:color w:val="000000"/>
          <w:sz w:val="20"/>
        </w:rPr>
        <w:t>Q. (By Mr. Vanlandschoot): You testified before that you knew a couple of guys that used undergarments.</w:t>
      </w:r>
    </w:p>
    <w:p w:rsidR="00022B47" w:rsidRDefault="00000000">
      <w:pPr>
        <w:pStyle w:val="Normal40"/>
        <w:widowControl w:val="0"/>
        <w:spacing w:line="260" w:lineRule="atLeast"/>
        <w:ind w:left="800"/>
        <w:jc w:val="both"/>
      </w:pPr>
      <w:bookmarkStart w:id="6413" w:name="Bookmark_para_25_24"/>
      <w:bookmarkEnd w:id="6413"/>
      <w:r>
        <w:rPr>
          <w:rFonts w:ascii="Arial" w:eastAsia="Arial" w:hAnsi="Arial" w:cs="Arial"/>
          <w:color w:val="000000"/>
          <w:sz w:val="20"/>
        </w:rPr>
        <w:t>A. (By Mr. Brooks): Yeah.</w:t>
      </w:r>
    </w:p>
    <w:p w:rsidR="00022B47" w:rsidRDefault="00000000">
      <w:pPr>
        <w:pStyle w:val="Normal40"/>
        <w:widowControl w:val="0"/>
        <w:spacing w:line="260" w:lineRule="atLeast"/>
        <w:ind w:left="800"/>
        <w:jc w:val="both"/>
      </w:pPr>
      <w:bookmarkStart w:id="6414" w:name="Bookmark_para_26_22"/>
      <w:bookmarkEnd w:id="6414"/>
      <w:r>
        <w:rPr>
          <w:rFonts w:ascii="Arial" w:eastAsia="Arial" w:hAnsi="Arial" w:cs="Arial"/>
          <w:color w:val="000000"/>
          <w:sz w:val="20"/>
        </w:rPr>
        <w:t>Q. Explain to me why it's okay for them but not for you.</w:t>
      </w:r>
    </w:p>
    <w:p w:rsidR="00022B47" w:rsidRDefault="00000000">
      <w:pPr>
        <w:pStyle w:val="Normal40"/>
        <w:widowControl w:val="0"/>
        <w:spacing w:before="200" w:line="260" w:lineRule="atLeast"/>
        <w:ind w:left="800"/>
        <w:jc w:val="both"/>
      </w:pPr>
      <w:bookmarkStart w:id="6415" w:name="Bookmark_para_27_22"/>
      <w:bookmarkEnd w:id="6415"/>
      <w:r>
        <w:rPr>
          <w:rFonts w:ascii="Arial" w:eastAsia="Arial" w:hAnsi="Arial" w:cs="Arial"/>
          <w:color w:val="000000"/>
          <w:sz w:val="20"/>
        </w:rPr>
        <w:t>A. Oh, there's not really a rationale of being okay or not okay. There is a rationale of being reasonable or unreasonable, and in all situations it's completely unreasonable, [**16]  unless you have an inability to control your bowels. . . .</w:t>
      </w:r>
    </w:p>
    <w:p w:rsidR="00022B47" w:rsidRDefault="00000000">
      <w:pPr>
        <w:pStyle w:val="Normal40"/>
        <w:widowControl w:val="0"/>
        <w:spacing w:line="260" w:lineRule="atLeast"/>
        <w:ind w:left="800"/>
        <w:jc w:val="both"/>
      </w:pPr>
      <w:bookmarkStart w:id="6416" w:name="Bookmark_para_28_22"/>
      <w:bookmarkEnd w:id="6416"/>
      <w:r>
        <w:rPr>
          <w:rFonts w:ascii="Arial" w:eastAsia="Arial" w:hAnsi="Arial" w:cs="Arial"/>
          <w:color w:val="000000"/>
          <w:sz w:val="20"/>
        </w:rPr>
        <w:t>Q. So that gets back to sort of the interchangeable nature of the way that you use incontinence, because incontinence—my understanding is that you are incapable of controlling, whether it's your bowels or your urine.</w:t>
      </w:r>
    </w:p>
    <w:p w:rsidR="00022B47" w:rsidRDefault="00000000">
      <w:pPr>
        <w:pStyle w:val="Normal40"/>
        <w:widowControl w:val="0"/>
        <w:spacing w:line="260" w:lineRule="atLeast"/>
        <w:ind w:left="800"/>
        <w:jc w:val="both"/>
      </w:pPr>
      <w:bookmarkStart w:id="6417" w:name="Bookmark_para_29_20"/>
      <w:bookmarkEnd w:id="6417"/>
      <w:r>
        <w:rPr>
          <w:rFonts w:ascii="Arial" w:eastAsia="Arial" w:hAnsi="Arial" w:cs="Arial"/>
          <w:color w:val="000000"/>
          <w:sz w:val="20"/>
        </w:rPr>
        <w:t>A. Yeah.</w:t>
      </w:r>
    </w:p>
    <w:p w:rsidR="00022B47" w:rsidRDefault="00000000">
      <w:pPr>
        <w:pStyle w:val="Normal40"/>
        <w:widowControl w:val="0"/>
        <w:spacing w:line="260" w:lineRule="atLeast"/>
        <w:ind w:left="800"/>
        <w:jc w:val="both"/>
      </w:pPr>
      <w:bookmarkStart w:id="6418" w:name="Bookmark_para_30_19"/>
      <w:bookmarkEnd w:id="6418"/>
      <w:r>
        <w:rPr>
          <w:rFonts w:ascii="Arial" w:eastAsia="Arial" w:hAnsi="Arial" w:cs="Arial"/>
          <w:color w:val="000000"/>
          <w:sz w:val="20"/>
        </w:rPr>
        <w:t>Q. And so it sounds to me like what you are testifying to today is you're not incontinent, however, there are some circumstances when you have held your bowels for so long that you cannot stop or you cannot affect the leakage.</w:t>
      </w:r>
    </w:p>
    <w:p w:rsidR="00022B47" w:rsidRDefault="00000000">
      <w:pPr>
        <w:pStyle w:val="Normal40"/>
        <w:widowControl w:val="0"/>
        <w:spacing w:line="260" w:lineRule="atLeast"/>
        <w:ind w:left="800"/>
        <w:jc w:val="both"/>
      </w:pPr>
      <w:bookmarkStart w:id="6419" w:name="Bookmark_para_31_19"/>
      <w:bookmarkEnd w:id="6419"/>
      <w:r>
        <w:rPr>
          <w:rFonts w:ascii="Arial" w:eastAsia="Arial" w:hAnsi="Arial" w:cs="Arial"/>
          <w:color w:val="000000"/>
          <w:sz w:val="20"/>
        </w:rPr>
        <w:t>A. Yeah, that's both true. But right now, I can't even tell when the leakage is about to start. So that is not up to me. I can't even—without that pain response, without even knowing that. That's the difficulty now. So I can't tell. I know, if I use the restroom, that probably is a good indicator that it's not going to happen. It doesn't mean it's not going to happen entirely.</w:t>
      </w:r>
    </w:p>
    <w:p w:rsidR="00022B47" w:rsidRDefault="00000000">
      <w:pPr>
        <w:pStyle w:val="Normal40"/>
        <w:widowControl w:val="0"/>
        <w:spacing w:before="200" w:line="260" w:lineRule="atLeast"/>
        <w:ind w:left="400"/>
        <w:jc w:val="both"/>
      </w:pPr>
      <w:bookmarkStart w:id="6420" w:name="Bookmark_para_32_19"/>
      <w:bookmarkEnd w:id="6420"/>
      <w:r>
        <w:rPr>
          <w:rFonts w:ascii="Arial" w:eastAsia="Arial" w:hAnsi="Arial" w:cs="Arial"/>
          <w:color w:val="000000"/>
          <w:sz w:val="20"/>
        </w:rPr>
        <w:t>Brooks concedes three things with this testimony: (1) undergarments are reasonable if "you have an inability to control your bowels;" (2) he has an inability to control his bowels (whether or not he calls it "incontinence"); and, (3) because he has an inability to control his bowels, undergarments are a reasonable [**17]  accommodation.</w:t>
      </w:r>
    </w:p>
    <w:p w:rsidR="00022B47" w:rsidRDefault="00000000">
      <w:pPr>
        <w:pStyle w:val="Normal40"/>
        <w:widowControl w:val="0"/>
        <w:spacing w:line="260" w:lineRule="atLeast"/>
        <w:ind w:left="400"/>
        <w:jc w:val="both"/>
      </w:pPr>
      <w:bookmarkStart w:id="6421" w:name="Bookmark_para_33_18"/>
      <w:bookmarkEnd w:id="6421"/>
      <w:r>
        <w:rPr>
          <w:rFonts w:ascii="Arial" w:eastAsia="Arial" w:hAnsi="Arial" w:cs="Arial"/>
          <w:color w:val="000000"/>
          <w:sz w:val="20"/>
        </w:rPr>
        <w:t>. . . . The undisputed facts show that Defendants provided Brooks a reasonable accommodation to his incontinence that would allow him meaningful access to the chow hall.</w:t>
      </w:r>
    </w:p>
    <w:p w:rsidR="00022B47" w:rsidRDefault="00000000">
      <w:pPr>
        <w:pStyle w:val="Normal40"/>
        <w:widowControl w:val="0"/>
        <w:spacing w:line="260" w:lineRule="atLeast"/>
        <w:jc w:val="both"/>
      </w:pPr>
      <w:r>
        <w:rPr>
          <w:rFonts w:ascii="Arial" w:eastAsia="Arial" w:hAnsi="Arial" w:cs="Arial"/>
          <w:color w:val="000000"/>
          <w:sz w:val="20"/>
        </w:rPr>
        <w:t>District. Ct. Order at 21-23 (citations, both legal and record, and footnote omitted).</w:t>
      </w:r>
    </w:p>
    <w:p w:rsidR="00022B47" w:rsidRDefault="00000000">
      <w:pPr>
        <w:pStyle w:val="Normal40"/>
        <w:widowControl w:val="0"/>
        <w:spacing w:before="240" w:line="260" w:lineRule="atLeast"/>
      </w:pPr>
      <w:r>
        <w:br/>
      </w:r>
      <w:r>
        <w:rPr>
          <w:rFonts w:ascii="Arial" w:eastAsia="Arial" w:hAnsi="Arial" w:cs="Arial"/>
          <w:b/>
          <w:color w:val="000000"/>
          <w:sz w:val="20"/>
        </w:rPr>
        <w:t>b. Discussion</w:t>
      </w:r>
    </w:p>
    <w:p w:rsidR="00022B47" w:rsidRDefault="00000000">
      <w:pPr>
        <w:pStyle w:val="Normal40"/>
        <w:widowControl w:val="0"/>
        <w:spacing w:before="240" w:line="260" w:lineRule="atLeast"/>
      </w:pPr>
      <w:r>
        <w:br/>
      </w:r>
      <w:r>
        <w:rPr>
          <w:rFonts w:ascii="Arial" w:eastAsia="Arial" w:hAnsi="Arial" w:cs="Arial"/>
          <w:b/>
          <w:color w:val="000000"/>
          <w:sz w:val="20"/>
        </w:rPr>
        <w:t>i. Standard of Review</w:t>
      </w:r>
    </w:p>
    <w:p w:rsidR="00022B47" w:rsidRDefault="00000000">
      <w:pPr>
        <w:pStyle w:val="Normal40"/>
        <w:widowControl w:val="0"/>
        <w:spacing w:before="200" w:line="260" w:lineRule="atLeast"/>
        <w:jc w:val="both"/>
      </w:pPr>
      <w:bookmarkStart w:id="6422" w:name="Bookmark_para_34_18"/>
      <w:bookmarkStart w:id="6423" w:name="Bookmark_I63M3RWW28T4900030000400"/>
      <w:bookmarkStart w:id="6424" w:name="Bookmark_LNHNREFclscc5_33"/>
      <w:bookmarkEnd w:id="6422"/>
      <w:bookmarkEnd w:id="6423"/>
      <w:bookmarkEnd w:id="6424"/>
      <w:r>
        <w:rPr>
          <w:rFonts w:ascii="Arial" w:eastAsia="Arial" w:hAnsi="Arial" w:cs="Arial"/>
          <w:color w:val="000000"/>
          <w:sz w:val="20"/>
        </w:rPr>
        <w:t xml:space="preserve">This court reviews de novo a district court's grant of summary judgment. </w:t>
      </w:r>
      <w:bookmarkStart w:id="6425" w:name="Bookmark_I63M3RWW28T4900050000400"/>
      <w:bookmarkStart w:id="6426" w:name="Bookmark_I63M3RWW28T4900020000400"/>
      <w:bookmarkEnd w:id="6425"/>
      <w:bookmarkEnd w:id="6426"/>
      <w:r>
        <w:rPr>
          <w:rFonts w:ascii="Arial" w:eastAsia="Arial" w:hAnsi="Arial" w:cs="Arial"/>
          <w:i/>
          <w:color w:val="000000"/>
          <w:sz w:val="20"/>
        </w:rPr>
        <w:t>Osborne v. Baxter Healthcare Corp.</w:t>
      </w:r>
      <w:r>
        <w:rPr>
          <w:rFonts w:ascii="Arial" w:eastAsia="Arial" w:hAnsi="Arial" w:cs="Arial"/>
          <w:color w:val="000000"/>
          <w:sz w:val="20"/>
        </w:rPr>
        <w:t xml:space="preserve">, 798 F.3d 1260, 1266 (10th Cir. 2015). "The court shall grant summary judgment if the movant shows that there is no genuine dispute as to any material fact and the movant is entitled to judgment as a matter of law." Fed. R. Civ. P. 56(a). </w:t>
      </w:r>
      <w:bookmarkStart w:id="6427" w:name="Bookmark_I63M3RWW28T4900050000400_2"/>
      <w:bookmarkStart w:id="6428" w:name="Bookmark_I63M3RWX28T4920020000400"/>
      <w:bookmarkEnd w:id="6427"/>
      <w:bookmarkEnd w:id="6428"/>
      <w:r>
        <w:rPr>
          <w:rFonts w:ascii="Arial" w:eastAsia="Arial" w:hAnsi="Arial" w:cs="Arial"/>
          <w:color w:val="000000"/>
          <w:sz w:val="20"/>
        </w:rPr>
        <w:t xml:space="preserve">An issue is genuine "if there is sufficient evidence on each side so that a rational trier of fact could resolve the issue either way." </w:t>
      </w:r>
      <w:bookmarkStart w:id="6429" w:name="Bookmark_I63M3RWW28T4900040000400"/>
      <w:bookmarkEnd w:id="6429"/>
      <w:r>
        <w:rPr>
          <w:rFonts w:ascii="Arial" w:eastAsia="Arial" w:hAnsi="Arial" w:cs="Arial"/>
          <w:i/>
          <w:color w:val="000000"/>
          <w:sz w:val="20"/>
        </w:rPr>
        <w:t>Becker v. Bateman</w:t>
      </w:r>
      <w:r>
        <w:rPr>
          <w:rFonts w:ascii="Arial" w:eastAsia="Arial" w:hAnsi="Arial" w:cs="Arial"/>
          <w:color w:val="000000"/>
          <w:sz w:val="20"/>
        </w:rPr>
        <w:t xml:space="preserve">, 709 F.3d 1019, 1022 (10th Cir. 2013). </w:t>
      </w:r>
      <w:bookmarkStart w:id="6430" w:name="Bookmark_I63M3RWX28T4920020000400_2"/>
      <w:bookmarkStart w:id="6431" w:name="Bookmark_I63M3RWX28T4920040000400"/>
      <w:bookmarkEnd w:id="6430"/>
      <w:bookmarkEnd w:id="6431"/>
      <w:r>
        <w:rPr>
          <w:rFonts w:ascii="Arial" w:eastAsia="Arial" w:hAnsi="Arial" w:cs="Arial"/>
          <w:color w:val="000000"/>
          <w:sz w:val="20"/>
        </w:rPr>
        <w:t xml:space="preserve">In analyzing whether a genuine fact issue exists, this court views the facts, resolves all factual disputes, and draws all  [*1170]  reasonable inferences in favor of the nonmoving party. </w:t>
      </w:r>
      <w:bookmarkStart w:id="6432" w:name="Bookmark_I63M3RWX28T4920010000400"/>
      <w:bookmarkEnd w:id="6432"/>
      <w:r>
        <w:rPr>
          <w:rFonts w:ascii="Arial" w:eastAsia="Arial" w:hAnsi="Arial" w:cs="Arial"/>
          <w:i/>
          <w:color w:val="000000"/>
          <w:sz w:val="20"/>
        </w:rPr>
        <w:t>Cillo v. City of Greenwood Vill</w:t>
      </w:r>
      <w:r>
        <w:rPr>
          <w:rFonts w:ascii="Arial" w:eastAsia="Arial" w:hAnsi="Arial" w:cs="Arial"/>
          <w:color w:val="000000"/>
          <w:sz w:val="20"/>
        </w:rPr>
        <w:t xml:space="preserve">., 739 F.3d 451, 461 (10th Cir. 2013). </w:t>
      </w:r>
      <w:bookmarkStart w:id="6433" w:name="Bookmark_I63M3RWX28T4920040000400_2"/>
      <w:bookmarkEnd w:id="6433"/>
      <w:r>
        <w:rPr>
          <w:rFonts w:ascii="Arial" w:eastAsia="Arial" w:hAnsi="Arial" w:cs="Arial"/>
          <w:color w:val="000000"/>
          <w:sz w:val="20"/>
        </w:rPr>
        <w:t xml:space="preserve">"An issue of fact is material if under the substantive law it is essential to the proper disposition of the claim." </w:t>
      </w:r>
      <w:bookmarkStart w:id="6434" w:name="Bookmark_I63M3RWX28T4920030000400"/>
      <w:bookmarkEnd w:id="6434"/>
      <w:r>
        <w:rPr>
          <w:rFonts w:ascii="Arial" w:eastAsia="Arial" w:hAnsi="Arial" w:cs="Arial"/>
          <w:i/>
          <w:color w:val="000000"/>
          <w:sz w:val="20"/>
        </w:rPr>
        <w:t>Becker</w:t>
      </w:r>
      <w:r>
        <w:rPr>
          <w:rFonts w:ascii="Arial" w:eastAsia="Arial" w:hAnsi="Arial" w:cs="Arial"/>
          <w:color w:val="000000"/>
          <w:sz w:val="20"/>
        </w:rPr>
        <w:t>, 709 F.3d at 1022 (quotations omitted).</w:t>
      </w:r>
    </w:p>
    <w:p w:rsidR="00022B47" w:rsidRDefault="00000000">
      <w:pPr>
        <w:pStyle w:val="Normal40"/>
        <w:widowControl w:val="0"/>
        <w:spacing w:before="240" w:line="260" w:lineRule="atLeast"/>
      </w:pPr>
      <w:r>
        <w:br/>
      </w:r>
      <w:r>
        <w:rPr>
          <w:rFonts w:ascii="Arial" w:eastAsia="Arial" w:hAnsi="Arial" w:cs="Arial"/>
          <w:b/>
          <w:color w:val="000000"/>
          <w:sz w:val="20"/>
        </w:rPr>
        <w:t>ii. Application</w:t>
      </w:r>
    </w:p>
    <w:p w:rsidR="00022B47" w:rsidRDefault="00000000">
      <w:pPr>
        <w:pStyle w:val="Normal40"/>
        <w:widowControl w:val="0"/>
        <w:spacing w:before="200" w:line="260" w:lineRule="atLeast"/>
        <w:jc w:val="both"/>
      </w:pPr>
      <w:bookmarkStart w:id="6435" w:name="Bookmark_para_35_18"/>
      <w:bookmarkEnd w:id="6435"/>
      <w:r>
        <w:rPr>
          <w:rFonts w:ascii="Arial" w:eastAsia="Arial" w:hAnsi="Arial" w:cs="Arial"/>
          <w:color w:val="000000"/>
          <w:sz w:val="20"/>
        </w:rPr>
        <w:t>The district court's resolution of Brooks's ADA damages claim turned exclusively on the question whether defendants' offer of adult diapers amounted to a reasonable accommodation. [**18]  The district court erred in concluding no material issues of fact existed as to this question and, thus, it could resolve the matter as an issue of law.</w:t>
      </w:r>
      <w:r>
        <w:rPr>
          <w:rFonts w:ascii="Arial" w:eastAsia="Arial" w:hAnsi="Arial" w:cs="Arial"/>
          <w:vertAlign w:val="superscript"/>
        </w:rPr>
        <w:footnoteReference w:customMarkFollows="1" w:id="193"/>
        <w:t>8</w:t>
      </w:r>
      <w:r>
        <w:rPr>
          <w:rFonts w:ascii="Arial" w:eastAsia="Arial" w:hAnsi="Arial" w:cs="Arial"/>
          <w:color w:val="000000"/>
          <w:sz w:val="20"/>
        </w:rPr>
        <w:t xml:space="preserve"> First, despite the district court's contrary conclusion, there exist genuine issues of material fact as to whether adult diapers gave Brooks meaningful access to meals. In particular, the district court erred in concluding Brooks's deposition testimony conclusively establishes the reasonableness of the adult-diaper accommodation. </w:t>
      </w:r>
      <w:bookmarkStart w:id="6449" w:name="Bookmark_I63M3RWX2SF8JS0010000400"/>
      <w:bookmarkEnd w:id="6449"/>
      <w:r>
        <w:rPr>
          <w:rFonts w:ascii="Arial" w:eastAsia="Arial" w:hAnsi="Arial" w:cs="Arial"/>
          <w:color w:val="000000"/>
          <w:sz w:val="20"/>
        </w:rPr>
        <w:t xml:space="preserve">Read in its entirety, a reasonable juror could understand Brooks's deposition testimony as standing for the proposition that although diapers may be a reasonable accommodation for some sufferers of ulcerative colitis, they were not a reasonable accommodation at his stage of the disease. </w:t>
      </w:r>
      <w:bookmarkStart w:id="6450" w:name="Bookmark_LNHNREFclscc6_28"/>
      <w:bookmarkEnd w:id="6450"/>
      <w:r>
        <w:rPr>
          <w:rFonts w:ascii="Arial" w:eastAsia="Arial" w:hAnsi="Arial" w:cs="Arial"/>
          <w:color w:val="000000"/>
          <w:sz w:val="20"/>
        </w:rPr>
        <w:t xml:space="preserve">Second, a reasonable juror could conclude dignitary and safety interests render diapers an inadequate accommodation of Brooks's ulcerative colitis to facilitate cafeteria access. </w:t>
      </w:r>
      <w:r>
        <w:rPr>
          <w:rFonts w:ascii="Arial" w:eastAsia="Arial" w:hAnsi="Arial" w:cs="Arial"/>
          <w:i/>
          <w:color w:val="000000"/>
          <w:sz w:val="20"/>
        </w:rPr>
        <w:t xml:space="preserve">See </w:t>
      </w:r>
      <w:bookmarkStart w:id="6451" w:name="Bookmark_I63M3RWX28T4920050000400"/>
      <w:bookmarkEnd w:id="6451"/>
      <w:r>
        <w:rPr>
          <w:rFonts w:ascii="Arial" w:eastAsia="Arial" w:hAnsi="Arial" w:cs="Arial"/>
          <w:i/>
          <w:color w:val="000000"/>
          <w:sz w:val="20"/>
        </w:rPr>
        <w:t>Wright v. N.Y. State Dep't of Corr</w:t>
      </w:r>
      <w:r>
        <w:rPr>
          <w:rFonts w:ascii="Arial" w:eastAsia="Arial" w:hAnsi="Arial" w:cs="Arial"/>
          <w:color w:val="000000"/>
          <w:sz w:val="20"/>
        </w:rPr>
        <w:t xml:space="preserve">., 831 F.3d 64, 73 (2d Cir. 2016) (recognizing that if "[a]n accommodation . . . </w:t>
      </w:r>
      <w:bookmarkStart w:id="6452" w:name="Bookmark_I63M3RWX2SF8JS0030000400"/>
      <w:bookmarkEnd w:id="6452"/>
      <w:r>
        <w:rPr>
          <w:rFonts w:ascii="Arial" w:eastAsia="Arial" w:hAnsi="Arial" w:cs="Arial"/>
          <w:color w:val="000000"/>
          <w:sz w:val="20"/>
        </w:rPr>
        <w:t xml:space="preserve">[is] so inadequate that it deters the plaintiff from attempting to access the services otherwise available to him," then it is not a "reasonable accommodation" (citation omitted)). Third, a jury could [**19]  conclude that a movement pass is such a superior accommodation, and an accommodation for which defendants have not identified any significant institutional concerns, that diapers do not provide truly meaningful access to the cafeteria. </w:t>
      </w:r>
      <w:r>
        <w:rPr>
          <w:rFonts w:ascii="Arial" w:eastAsia="Arial" w:hAnsi="Arial" w:cs="Arial"/>
          <w:i/>
          <w:color w:val="000000"/>
          <w:sz w:val="20"/>
        </w:rPr>
        <w:t xml:space="preserve">See </w:t>
      </w:r>
      <w:bookmarkStart w:id="6453" w:name="Bookmark_I63M3RWX2SF8JS0020000400"/>
      <w:bookmarkEnd w:id="6453"/>
      <w:r>
        <w:rPr>
          <w:rFonts w:ascii="Arial" w:eastAsia="Arial" w:hAnsi="Arial" w:cs="Arial"/>
          <w:i/>
          <w:color w:val="000000"/>
          <w:sz w:val="20"/>
        </w:rPr>
        <w:t>Alexander v. Choate</w:t>
      </w:r>
      <w:r>
        <w:rPr>
          <w:rFonts w:ascii="Arial" w:eastAsia="Arial" w:hAnsi="Arial" w:cs="Arial"/>
          <w:color w:val="000000"/>
          <w:sz w:val="20"/>
        </w:rPr>
        <w:t xml:space="preserve">, 469 U.S. 287, 301-02, 105 S. Ct. 712, 83 L. Ed. 2d 661 (1985) (recognizing </w:t>
      </w:r>
      <w:bookmarkStart w:id="6454" w:name="Bookmark_LNHNREFclscc7_27"/>
      <w:bookmarkEnd w:id="6454"/>
      <w:r>
        <w:rPr>
          <w:rFonts w:ascii="Arial" w:eastAsia="Arial" w:hAnsi="Arial" w:cs="Arial"/>
          <w:color w:val="000000"/>
          <w:sz w:val="20"/>
        </w:rPr>
        <w:t>accommodations for an individual's disability are not "reasonable" for purposes of the ADA if they do not provide "meaningful access"—not just physical access—to the facility's services, programs or activities).</w:t>
      </w:r>
    </w:p>
    <w:p w:rsidR="00022B47" w:rsidRDefault="00000000">
      <w:pPr>
        <w:pStyle w:val="Normal40"/>
        <w:widowControl w:val="0"/>
        <w:spacing w:before="200" w:line="260" w:lineRule="atLeast"/>
        <w:jc w:val="both"/>
      </w:pPr>
      <w:bookmarkStart w:id="6455" w:name="Bookmark_para_36_18"/>
      <w:bookmarkEnd w:id="6455"/>
      <w:r>
        <w:rPr>
          <w:rFonts w:ascii="Arial" w:eastAsia="Arial" w:hAnsi="Arial" w:cs="Arial"/>
          <w:color w:val="000000"/>
          <w:sz w:val="20"/>
        </w:rPr>
        <w:t xml:space="preserve">In granting summary judgment to defendants, the district court relied heavily on what it described as a deposition-based concession from Brooks that adult diapers were a reasonable accommodation. The portion of Brooks's deposition cited by the district court, however, omits the context of his statements: diapers were reasonable for older inmates at the prison who were experiencing ulcerative colitis for the first time and who, thus, had no warning or ability to control their bowel movements. </w:t>
      </w:r>
      <w:r>
        <w:rPr>
          <w:rFonts w:ascii="Arial" w:eastAsia="Arial" w:hAnsi="Arial" w:cs="Arial"/>
          <w:i/>
          <w:color w:val="000000"/>
          <w:sz w:val="20"/>
        </w:rPr>
        <w:t>See</w:t>
      </w:r>
      <w:r>
        <w:rPr>
          <w:rFonts w:ascii="Arial" w:eastAsia="Arial" w:hAnsi="Arial" w:cs="Arial"/>
          <w:color w:val="000000"/>
          <w:sz w:val="20"/>
        </w:rPr>
        <w:t xml:space="preserve"> R. Vol. 7 at 260-61 ("[T]he guys that I knew that did use [diapers] were older, 50 [to] 60 years old . . . [t]hey had just gotten sick, so [they had] no understanding of"  [*1171]  what would happen when "this disease hits [**20]  you for the first time.").</w:t>
      </w:r>
      <w:r>
        <w:rPr>
          <w:rFonts w:ascii="Arial" w:eastAsia="Arial" w:hAnsi="Arial" w:cs="Arial"/>
          <w:vertAlign w:val="superscript"/>
        </w:rPr>
        <w:footnoteReference w:customMarkFollows="1" w:id="194"/>
        <w:t>9</w:t>
      </w:r>
      <w:r>
        <w:rPr>
          <w:rFonts w:ascii="Arial" w:eastAsia="Arial" w:hAnsi="Arial" w:cs="Arial"/>
          <w:color w:val="000000"/>
          <w:sz w:val="20"/>
        </w:rPr>
        <w:t xml:space="preserve"> In contrast to the district court, a reasonable juror could read the cited portion of Brooks's deposition to stand for the following propositions: (1) diapers in the prison environment are "completely unreasonable" unless the inmate has a total inability to control his bowels; (2) Brooks has, over the previous six or seven years, developed an effective strategy—using the restroom immediately prior to an available chow pull—for managing incontinence associated with his disease;</w:t>
      </w:r>
      <w:r>
        <w:rPr>
          <w:rFonts w:ascii="Arial" w:eastAsia="Arial" w:hAnsi="Arial" w:cs="Arial"/>
          <w:vertAlign w:val="superscript"/>
        </w:rPr>
        <w:footnoteReference w:customMarkFollows="1" w:id="195"/>
        <w:t>10</w:t>
      </w:r>
      <w:r>
        <w:rPr>
          <w:rFonts w:ascii="Arial" w:eastAsia="Arial" w:hAnsi="Arial" w:cs="Arial"/>
          <w:color w:val="000000"/>
          <w:sz w:val="20"/>
        </w:rPr>
        <w:t xml:space="preserve"> and, thus, (3) diapers are not an appropriate accommodation for his particular disability. Such a reading of Brooks's deposition is entirely consistent with all other aspects of the record, which demonstrates Brooks has always maintained, from his very first interactions with staff at Fremont to his appellate brief in this appeal, that diapers are both ineffective and an affront to his dignitary interests. The district court erred in concluding Brooks's deposition conclusively demonstrated diapers are a reasonable accommodation for his disability.</w:t>
      </w:r>
    </w:p>
    <w:p w:rsidR="00022B47" w:rsidRDefault="00000000">
      <w:pPr>
        <w:pStyle w:val="Normal40"/>
        <w:widowControl w:val="0"/>
        <w:spacing w:before="200" w:line="260" w:lineRule="atLeast"/>
        <w:jc w:val="both"/>
      </w:pPr>
      <w:bookmarkStart w:id="6458" w:name="Bookmark_para_37_15"/>
      <w:bookmarkEnd w:id="6458"/>
      <w:r>
        <w:rPr>
          <w:rFonts w:ascii="Arial" w:eastAsia="Arial" w:hAnsi="Arial" w:cs="Arial"/>
          <w:color w:val="000000"/>
          <w:sz w:val="20"/>
        </w:rPr>
        <w:t>The record also indicates a jury could conclude diapers did not provide Brooks with meaningful access to the cafeteria and, [**21]  thus, did not amount to a reasonable accommodation of Brooks's disability. First, evidence in the record indicates adult diapers did not allow Brooks to meaningfully access the cafeteria because it is unacceptable to both Brooks and other inmates for him to remain in the cafeteria with feces in his diaper.</w:t>
      </w:r>
      <w:r>
        <w:rPr>
          <w:rFonts w:ascii="Arial" w:eastAsia="Arial" w:hAnsi="Arial" w:cs="Arial"/>
          <w:vertAlign w:val="superscript"/>
        </w:rPr>
        <w:footnoteReference w:customMarkFollows="1" w:id="196"/>
        <w:t>11</w:t>
      </w:r>
      <w:r>
        <w:rPr>
          <w:rFonts w:ascii="Arial" w:eastAsia="Arial" w:hAnsi="Arial" w:cs="Arial"/>
          <w:color w:val="000000"/>
          <w:sz w:val="20"/>
        </w:rPr>
        <w:t xml:space="preserve"> The record also indicates Fremont did not have in place an adequate system for incontinent inmates to dispose of soiled diapers. </w:t>
      </w:r>
      <w:bookmarkStart w:id="6462" w:name="Bookmark_I63M3RWY2D6NJS0030000400"/>
      <w:bookmarkEnd w:id="6462"/>
      <w:r>
        <w:rPr>
          <w:rFonts w:ascii="Arial" w:eastAsia="Arial" w:hAnsi="Arial" w:cs="Arial"/>
          <w:i/>
          <w:color w:val="000000"/>
          <w:sz w:val="20"/>
        </w:rPr>
        <w:t>See</w:t>
      </w:r>
      <w:r>
        <w:rPr>
          <w:rFonts w:ascii="Arial" w:eastAsia="Arial" w:hAnsi="Arial" w:cs="Arial"/>
          <w:color w:val="000000"/>
          <w:sz w:val="20"/>
        </w:rPr>
        <w:t xml:space="preserve"> R. Vol. 7 at 261 (explaining difficulties experienced by Brooks's first cellmate, a paraplegic, in trying to dispose of a diaper after cleaning himself in a dry cell). Furthermore, the FSDMH shows Brooks missed an exceedingly large number of meals while at Fremont.</w:t>
      </w:r>
      <w:r>
        <w:rPr>
          <w:rFonts w:ascii="Arial" w:eastAsia="Arial" w:hAnsi="Arial" w:cs="Arial"/>
          <w:vertAlign w:val="superscript"/>
        </w:rPr>
        <w:footnoteReference w:customMarkFollows="1" w:id="197"/>
        <w:t>12</w:t>
      </w:r>
      <w:r>
        <w:rPr>
          <w:rFonts w:ascii="Arial" w:eastAsia="Arial" w:hAnsi="Arial" w:cs="Arial"/>
          <w:color w:val="000000"/>
          <w:sz w:val="20"/>
        </w:rPr>
        <w:t xml:space="preserve"> The reasons for these meal misses certainly bear on the question whether the offer of adult diapers was an appropriate,  [*1172]  not just effective, accommodation of Brooks's ulcerative colitis. </w:t>
      </w:r>
      <w:bookmarkStart w:id="6464" w:name="Bookmark_I63M3RWY2D6NJS0020000400"/>
      <w:bookmarkEnd w:id="6464"/>
      <w:r>
        <w:rPr>
          <w:rFonts w:ascii="Arial" w:eastAsia="Arial" w:hAnsi="Arial" w:cs="Arial"/>
          <w:i/>
          <w:color w:val="000000"/>
          <w:sz w:val="20"/>
        </w:rPr>
        <w:t>US Airways, Inc. v. Barnett</w:t>
      </w:r>
      <w:r>
        <w:rPr>
          <w:rFonts w:ascii="Arial" w:eastAsia="Arial" w:hAnsi="Arial" w:cs="Arial"/>
          <w:color w:val="000000"/>
          <w:sz w:val="20"/>
        </w:rPr>
        <w:t>, 535 U.S. 391, 399-400, 122 S. Ct. 1516, 152 L. Ed. 2d 589 (2002) (holding that "reasonable accommodation" in ADA means more than just effective accommodation).</w:t>
      </w:r>
    </w:p>
    <w:p w:rsidR="00022B47" w:rsidRDefault="00000000">
      <w:pPr>
        <w:pStyle w:val="Normal40"/>
        <w:widowControl w:val="0"/>
        <w:spacing w:before="200" w:line="260" w:lineRule="atLeast"/>
        <w:jc w:val="both"/>
      </w:pPr>
      <w:bookmarkStart w:id="6465" w:name="Bookmark_para_40_12"/>
      <w:bookmarkEnd w:id="6465"/>
      <w:r>
        <w:rPr>
          <w:rFonts w:ascii="Arial" w:eastAsia="Arial" w:hAnsi="Arial" w:cs="Arial"/>
          <w:color w:val="000000"/>
          <w:sz w:val="20"/>
        </w:rPr>
        <w:t>Finally, the record reveals the existence of another, equally permissible accommodation: a movement pass allowing Brooks to access his meals at a consistent time each day, giving him time to prepare himself so he can reduce the chances of soiling himself in the cafeteria. As noted above, a reasonable juror could read the FSDMH as demonstrating this accommodation was, at the very least, just as effective at allowing Brooks to access the cafeteria and did so without any of the extremely negative implications for Brooks's dignitary interests and his ability to avoid conflicts with other inmates. It is undisputed that numerous other inmates, such as diabetics and inmates with certain jobs, have these movement passes. This evidence undermines any argument that a movement pass could not be granted to Brooks because it would pose a security risk or alter the prison environment. Absent any evidence of security [**23]  concerns specific to Brooks, of which there is none in the record, a reasonable juror could conclude that if inmates can leave with the first chow pull to accommodate their diabetes or work schedules without altering the prison environment, Brooks could have been afforded a similar change in movement schedules in order to accommodate his disability.</w:t>
      </w:r>
    </w:p>
    <w:p w:rsidR="00022B47" w:rsidRDefault="00000000">
      <w:pPr>
        <w:pStyle w:val="Normal40"/>
        <w:widowControl w:val="0"/>
        <w:spacing w:before="200" w:line="260" w:lineRule="atLeast"/>
        <w:jc w:val="both"/>
      </w:pPr>
      <w:bookmarkStart w:id="6466" w:name="Bookmark_para_41_12"/>
      <w:bookmarkEnd w:id="6466"/>
      <w:r>
        <w:rPr>
          <w:rFonts w:ascii="Arial" w:eastAsia="Arial" w:hAnsi="Arial" w:cs="Arial"/>
          <w:color w:val="000000"/>
          <w:sz w:val="20"/>
        </w:rPr>
        <w:t>In summary, a reasonable juror could find the following facts: (1) diapers did not give Brooks meaningful access to meals, (2) movement passes are routinely granted, and (3) such a pass significantly improved Brooks's ability to access meals in the past. Given these underlying facts, a reasonable jury could ultimately conclude the defendants did not provide Brooks with a reasonable accommodation. Thus, the district court erred in granting summary judgment on the basis that actions of the defendants did not amount to a violation of the ADA.</w:t>
      </w:r>
      <w:r>
        <w:rPr>
          <w:rFonts w:ascii="Arial" w:eastAsia="Arial" w:hAnsi="Arial" w:cs="Arial"/>
          <w:vertAlign w:val="superscript"/>
        </w:rPr>
        <w:footnoteReference w:customMarkFollows="1" w:id="198"/>
        <w:t>13</w:t>
      </w:r>
    </w:p>
    <w:p w:rsidR="00022B47" w:rsidRDefault="00000000">
      <w:pPr>
        <w:pStyle w:val="Normal40"/>
        <w:widowControl w:val="0"/>
        <w:spacing w:before="240" w:line="260" w:lineRule="atLeast"/>
      </w:pPr>
      <w:r>
        <w:br/>
      </w:r>
      <w:r>
        <w:rPr>
          <w:rFonts w:ascii="Arial" w:eastAsia="Arial" w:hAnsi="Arial" w:cs="Arial"/>
          <w:color w:val="000000"/>
          <w:sz w:val="20"/>
        </w:rPr>
        <w:t xml:space="preserve"> [*1173]  </w:t>
      </w:r>
      <w:r>
        <w:rPr>
          <w:rFonts w:ascii="Arial" w:eastAsia="Arial" w:hAnsi="Arial" w:cs="Arial"/>
          <w:b/>
          <w:color w:val="000000"/>
          <w:sz w:val="20"/>
        </w:rPr>
        <w:t>B. Eighth Amendment Claim</w:t>
      </w:r>
    </w:p>
    <w:p w:rsidR="00022B47" w:rsidRDefault="00000000">
      <w:pPr>
        <w:pStyle w:val="Normal40"/>
        <w:widowControl w:val="0"/>
        <w:spacing w:before="240" w:line="260" w:lineRule="atLeast"/>
      </w:pPr>
      <w:r>
        <w:br/>
      </w:r>
      <w:r>
        <w:rPr>
          <w:rFonts w:ascii="Arial" w:eastAsia="Arial" w:hAnsi="Arial" w:cs="Arial"/>
          <w:b/>
          <w:color w:val="000000"/>
          <w:sz w:val="20"/>
        </w:rPr>
        <w:t>1. Background</w:t>
      </w:r>
    </w:p>
    <w:p w:rsidR="00022B47" w:rsidRDefault="00000000">
      <w:pPr>
        <w:pStyle w:val="Normal40"/>
        <w:widowControl w:val="0"/>
        <w:spacing w:before="200" w:line="260" w:lineRule="atLeast"/>
        <w:jc w:val="both"/>
      </w:pPr>
      <w:bookmarkStart w:id="6480" w:name="Bookmark_para_42_11"/>
      <w:bookmarkStart w:id="6481" w:name="Bookmark_I2GG43781M2000030FN00011"/>
      <w:bookmarkStart w:id="6482" w:name="Bookmark_I63M3RWY2N1RW60050000400"/>
      <w:bookmarkStart w:id="6483" w:name="Bookmark_I63M3RX02N1RW70020000400"/>
      <w:bookmarkStart w:id="6484" w:name="Bookmark_LNHNREFclscc9_21"/>
      <w:bookmarkEnd w:id="6480"/>
      <w:bookmarkEnd w:id="6481"/>
      <w:bookmarkEnd w:id="6482"/>
      <w:bookmarkEnd w:id="6483"/>
      <w:bookmarkEnd w:id="6484"/>
      <w:r>
        <w:rPr>
          <w:rFonts w:ascii="Arial" w:eastAsia="Arial" w:hAnsi="Arial" w:cs="Arial"/>
          <w:color w:val="000000"/>
          <w:sz w:val="20"/>
        </w:rPr>
        <w:t xml:space="preserve">Prison officials must ensure that inmates receive adequate food, clothing, shelter, [**24]  and medical care. </w:t>
      </w:r>
      <w:bookmarkStart w:id="6485" w:name="Bookmark_I63M3RWY2N1RW60040000400"/>
      <w:bookmarkEnd w:id="6485"/>
      <w:r>
        <w:rPr>
          <w:rFonts w:ascii="Arial" w:eastAsia="Arial" w:hAnsi="Arial" w:cs="Arial"/>
          <w:i/>
          <w:color w:val="000000"/>
          <w:sz w:val="20"/>
        </w:rPr>
        <w:t>Farmer v. Brennan</w:t>
      </w:r>
      <w:r>
        <w:rPr>
          <w:rFonts w:ascii="Arial" w:eastAsia="Arial" w:hAnsi="Arial" w:cs="Arial"/>
          <w:color w:val="000000"/>
          <w:sz w:val="20"/>
        </w:rPr>
        <w:t xml:space="preserve">, 511 U.S. 825, 832, 114 S. Ct. 1970, 128 L. Ed. 2d 811 (1994). </w:t>
      </w:r>
      <w:bookmarkStart w:id="6486" w:name="Bookmark_I2GG4377WHM000030FN0000Y"/>
      <w:bookmarkStart w:id="6487" w:name="Bookmark_I63M3RX02N1RW70040000400"/>
      <w:bookmarkEnd w:id="6486"/>
      <w:bookmarkEnd w:id="6487"/>
      <w:r>
        <w:rPr>
          <w:rFonts w:ascii="Arial" w:eastAsia="Arial" w:hAnsi="Arial" w:cs="Arial"/>
          <w:color w:val="000000"/>
          <w:sz w:val="20"/>
        </w:rPr>
        <w:t xml:space="preserve">An inmate raising an Eighth Amendment conditions-of-confinement claim must prove both an objective and subjective component associated with the deficiency. </w:t>
      </w:r>
      <w:bookmarkStart w:id="6488" w:name="Bookmark_I63M3RX02HM6370010000400"/>
      <w:bookmarkStart w:id="6489" w:name="Bookmark_I63M3RX02N1RW70010000400"/>
      <w:bookmarkEnd w:id="6488"/>
      <w:bookmarkEnd w:id="6489"/>
      <w:r>
        <w:rPr>
          <w:rFonts w:ascii="Arial" w:eastAsia="Arial" w:hAnsi="Arial" w:cs="Arial"/>
          <w:i/>
          <w:color w:val="000000"/>
          <w:sz w:val="20"/>
        </w:rPr>
        <w:t>Id.</w:t>
      </w:r>
      <w:r>
        <w:rPr>
          <w:rFonts w:ascii="Arial" w:eastAsia="Arial" w:hAnsi="Arial" w:cs="Arial"/>
          <w:color w:val="000000"/>
          <w:sz w:val="20"/>
        </w:rPr>
        <w:t xml:space="preserve"> at 834. </w:t>
      </w:r>
      <w:bookmarkStart w:id="6490" w:name="Bookmark_I63M3RX02HM6370010000400_2"/>
      <w:bookmarkStart w:id="6491" w:name="Bookmark_I63M3RX02N1RW70040000400_2"/>
      <w:bookmarkEnd w:id="6490"/>
      <w:bookmarkEnd w:id="6491"/>
      <w:r>
        <w:rPr>
          <w:rFonts w:ascii="Arial" w:eastAsia="Arial" w:hAnsi="Arial" w:cs="Arial"/>
          <w:color w:val="000000"/>
          <w:sz w:val="20"/>
        </w:rPr>
        <w:t xml:space="preserve">The objective component requires conditions sufficiently serious so as to (1) deprive an inmate "of the minimal civilized measure of life's necessities" or (2) subject an inmate to "a substantial risk of serious harm." </w:t>
      </w:r>
      <w:bookmarkStart w:id="6492" w:name="Bookmark_I63M3RX02N1RW70030000400"/>
      <w:bookmarkEnd w:id="6492"/>
      <w:r>
        <w:rPr>
          <w:rFonts w:ascii="Arial" w:eastAsia="Arial" w:hAnsi="Arial" w:cs="Arial"/>
          <w:i/>
          <w:color w:val="000000"/>
          <w:sz w:val="20"/>
        </w:rPr>
        <w:t>Shannon v. Graves</w:t>
      </w:r>
      <w:r>
        <w:rPr>
          <w:rFonts w:ascii="Arial" w:eastAsia="Arial" w:hAnsi="Arial" w:cs="Arial"/>
          <w:color w:val="000000"/>
          <w:sz w:val="20"/>
        </w:rPr>
        <w:t xml:space="preserve">, 257 F.3d 1164, 1168 (10th Cir. 2001) (quotation omitted). </w:t>
      </w:r>
      <w:bookmarkStart w:id="6493" w:name="Bookmark_I63M3RX02HM6370030000400"/>
      <w:bookmarkEnd w:id="6493"/>
      <w:r>
        <w:rPr>
          <w:rFonts w:ascii="Arial" w:eastAsia="Arial" w:hAnsi="Arial" w:cs="Arial"/>
          <w:color w:val="000000"/>
          <w:sz w:val="20"/>
        </w:rPr>
        <w:t xml:space="preserve">"The subjective component requires that a defendant prison official have a culpable state of mind, that he or she acts or fails to act with deliberate indifference to inmate health and safety." </w:t>
      </w:r>
      <w:r>
        <w:rPr>
          <w:rFonts w:ascii="Arial" w:eastAsia="Arial" w:hAnsi="Arial" w:cs="Arial"/>
          <w:i/>
          <w:color w:val="000000"/>
          <w:sz w:val="20"/>
        </w:rPr>
        <w:t>Id.</w:t>
      </w:r>
      <w:r>
        <w:rPr>
          <w:rFonts w:ascii="Arial" w:eastAsia="Arial" w:hAnsi="Arial" w:cs="Arial"/>
          <w:color w:val="000000"/>
          <w:sz w:val="20"/>
        </w:rPr>
        <w:t xml:space="preserve"> To prove deliberate indifference, a prisoner must adduce sufficient facts to show the defendant knew of and disregarded "an excessive risk to inmate health or safety." </w:t>
      </w:r>
      <w:bookmarkStart w:id="6494" w:name="Bookmark_I63M3RX02N1RW70050000400"/>
      <w:bookmarkEnd w:id="6494"/>
      <w:r>
        <w:rPr>
          <w:rFonts w:ascii="Arial" w:eastAsia="Arial" w:hAnsi="Arial" w:cs="Arial"/>
          <w:i/>
          <w:color w:val="000000"/>
          <w:sz w:val="20"/>
        </w:rPr>
        <w:t>Farmer</w:t>
      </w:r>
      <w:r>
        <w:rPr>
          <w:rFonts w:ascii="Arial" w:eastAsia="Arial" w:hAnsi="Arial" w:cs="Arial"/>
          <w:color w:val="000000"/>
          <w:sz w:val="20"/>
        </w:rPr>
        <w:t xml:space="preserve">, 511 U.S. at 837. </w:t>
      </w:r>
      <w:bookmarkStart w:id="6495" w:name="Bookmark_I63M3RX02HM6370030000400_2"/>
      <w:bookmarkEnd w:id="6495"/>
      <w:r>
        <w:rPr>
          <w:rFonts w:ascii="Arial" w:eastAsia="Arial" w:hAnsi="Arial" w:cs="Arial"/>
          <w:color w:val="000000"/>
          <w:sz w:val="20"/>
        </w:rPr>
        <w:t xml:space="preserve">Under this standard, "the official must both be aware of the facts from which the inference could be drawn that a substantial risk of serious harm exists, and he must also draw the inference." </w:t>
      </w:r>
      <w:r>
        <w:rPr>
          <w:rFonts w:ascii="Arial" w:eastAsia="Arial" w:hAnsi="Arial" w:cs="Arial"/>
          <w:i/>
          <w:color w:val="000000"/>
          <w:sz w:val="20"/>
        </w:rPr>
        <w:t>Id.</w:t>
      </w:r>
      <w:r>
        <w:rPr>
          <w:rFonts w:ascii="Arial" w:eastAsia="Arial" w:hAnsi="Arial" w:cs="Arial"/>
          <w:color w:val="000000"/>
          <w:sz w:val="20"/>
        </w:rPr>
        <w:t xml:space="preserve"> This high standard for imposing personal liability on prison officials (i.e., the same standard of subjective recklessness used in the criminal law) is necessary to ensure that only those prison officials that inflict punishment are [**25]  liable for violating the dictates of the Eighth Amendment. </w:t>
      </w:r>
      <w:bookmarkStart w:id="6496" w:name="Bookmark_I63M3RX02HM6370020000400"/>
      <w:bookmarkEnd w:id="6496"/>
      <w:r>
        <w:rPr>
          <w:rFonts w:ascii="Arial" w:eastAsia="Arial" w:hAnsi="Arial" w:cs="Arial"/>
          <w:i/>
          <w:color w:val="000000"/>
          <w:sz w:val="20"/>
        </w:rPr>
        <w:t>Id.</w:t>
      </w:r>
      <w:r>
        <w:rPr>
          <w:rFonts w:ascii="Arial" w:eastAsia="Arial" w:hAnsi="Arial" w:cs="Arial"/>
          <w:color w:val="000000"/>
          <w:sz w:val="20"/>
        </w:rPr>
        <w:t xml:space="preserve"> at 835-45; </w:t>
      </w:r>
      <w:r>
        <w:rPr>
          <w:rFonts w:ascii="Arial" w:eastAsia="Arial" w:hAnsi="Arial" w:cs="Arial"/>
          <w:i/>
          <w:color w:val="000000"/>
          <w:sz w:val="20"/>
        </w:rPr>
        <w:t xml:space="preserve">see also </w:t>
      </w:r>
      <w:bookmarkStart w:id="6497" w:name="Bookmark_I63M3RX02HM6370040000400"/>
      <w:bookmarkEnd w:id="6497"/>
      <w:r>
        <w:rPr>
          <w:rFonts w:ascii="Arial" w:eastAsia="Arial" w:hAnsi="Arial" w:cs="Arial"/>
          <w:i/>
          <w:color w:val="000000"/>
          <w:sz w:val="20"/>
        </w:rPr>
        <w:t>Self v. Crum</w:t>
      </w:r>
      <w:r>
        <w:rPr>
          <w:rFonts w:ascii="Arial" w:eastAsia="Arial" w:hAnsi="Arial" w:cs="Arial"/>
          <w:color w:val="000000"/>
          <w:sz w:val="20"/>
        </w:rPr>
        <w:t xml:space="preserve">, 439 F.3d 1227, 1232 (10th Cir. 2006) (holding that </w:t>
      </w:r>
      <w:r>
        <w:rPr>
          <w:rFonts w:ascii="Arial" w:eastAsia="Arial" w:hAnsi="Arial" w:cs="Arial"/>
          <w:i/>
          <w:color w:val="000000"/>
          <w:sz w:val="20"/>
        </w:rPr>
        <w:t>Farmer</w:t>
      </w:r>
      <w:r>
        <w:rPr>
          <w:rFonts w:ascii="Arial" w:eastAsia="Arial" w:hAnsi="Arial" w:cs="Arial"/>
          <w:color w:val="000000"/>
          <w:sz w:val="20"/>
        </w:rPr>
        <w:t xml:space="preserve">'s "subjective component is not satisfied[] absent an extraordinary degree of neglect"); </w:t>
      </w:r>
      <w:bookmarkStart w:id="6498" w:name="Bookmark_I63M3RX02HM6380010000400"/>
      <w:bookmarkEnd w:id="6498"/>
      <w:r>
        <w:rPr>
          <w:rFonts w:ascii="Arial" w:eastAsia="Arial" w:hAnsi="Arial" w:cs="Arial"/>
          <w:i/>
          <w:color w:val="000000"/>
          <w:sz w:val="20"/>
        </w:rPr>
        <w:t>Giron v. Corr. Corp. of Am</w:t>
      </w:r>
      <w:r>
        <w:rPr>
          <w:rFonts w:ascii="Arial" w:eastAsia="Arial" w:hAnsi="Arial" w:cs="Arial"/>
          <w:color w:val="000000"/>
          <w:sz w:val="20"/>
        </w:rPr>
        <w:t xml:space="preserve">., 191 F.3d 1281, 1286 (10th Cir. 1999) (recognizing that </w:t>
      </w:r>
      <w:r>
        <w:rPr>
          <w:rFonts w:ascii="Arial" w:eastAsia="Arial" w:hAnsi="Arial" w:cs="Arial"/>
          <w:i/>
          <w:color w:val="000000"/>
          <w:sz w:val="20"/>
        </w:rPr>
        <w:t>Farmer</w:t>
      </w:r>
      <w:r>
        <w:rPr>
          <w:rFonts w:ascii="Arial" w:eastAsia="Arial" w:hAnsi="Arial" w:cs="Arial"/>
          <w:color w:val="000000"/>
          <w:sz w:val="20"/>
        </w:rPr>
        <w:t>'s deliberate indifference standard sets out a "stringent standard of fault").</w:t>
      </w:r>
    </w:p>
    <w:p w:rsidR="00022B47" w:rsidRDefault="00000000">
      <w:pPr>
        <w:pStyle w:val="Normal40"/>
        <w:widowControl w:val="0"/>
        <w:spacing w:before="200" w:line="260" w:lineRule="atLeast"/>
        <w:jc w:val="both"/>
      </w:pPr>
      <w:bookmarkStart w:id="6499" w:name="Bookmark_para_43_11"/>
      <w:bookmarkEnd w:id="6499"/>
      <w:r>
        <w:rPr>
          <w:rFonts w:ascii="Arial" w:eastAsia="Arial" w:hAnsi="Arial" w:cs="Arial"/>
          <w:color w:val="000000"/>
          <w:sz w:val="20"/>
        </w:rPr>
        <w:t xml:space="preserve">The district court concluded Brooks's Eighth Amendment claim against Russell failed because Russell's actions did not implicate </w:t>
      </w:r>
      <w:r>
        <w:rPr>
          <w:rFonts w:ascii="Arial" w:eastAsia="Arial" w:hAnsi="Arial" w:cs="Arial"/>
          <w:i/>
          <w:color w:val="000000"/>
          <w:sz w:val="20"/>
        </w:rPr>
        <w:t>Farmer</w:t>
      </w:r>
      <w:r>
        <w:rPr>
          <w:rFonts w:ascii="Arial" w:eastAsia="Arial" w:hAnsi="Arial" w:cs="Arial"/>
          <w:color w:val="000000"/>
          <w:sz w:val="20"/>
        </w:rPr>
        <w:t>'s objective component. Consistent with its decision on the merits  [*1174]  of Brooks's ADA damages claim, the district court concluded any risk of harm was occasioned by Brooks's own choice to reject the offer of adult diapers and, concomitantly, to simply skip meals. The district court also noted that late in the litigation the parties had jointly agreed the movement pass Brooks requested was not medically indicated. Instead, the matter was purely one of an ADA reasonable accommodation.</w:t>
      </w:r>
      <w:r>
        <w:rPr>
          <w:rFonts w:ascii="Arial" w:eastAsia="Arial" w:hAnsi="Arial" w:cs="Arial"/>
          <w:vertAlign w:val="superscript"/>
        </w:rPr>
        <w:footnoteReference w:customMarkFollows="1" w:id="199"/>
        <w:t>14</w:t>
      </w:r>
      <w:r>
        <w:rPr>
          <w:rFonts w:ascii="Arial" w:eastAsia="Arial" w:hAnsi="Arial" w:cs="Arial"/>
          <w:color w:val="000000"/>
          <w:sz w:val="20"/>
        </w:rPr>
        <w:t xml:space="preserve"> According to the district court, Brooks's Eighth Amendment claim failed, even if treated as a conditions-of-confinement claim, because denial of medical care that is not medically indicated is not an Eighth Amendment violation.</w:t>
      </w:r>
    </w:p>
    <w:p w:rsidR="00022B47" w:rsidRDefault="00000000">
      <w:pPr>
        <w:pStyle w:val="Normal40"/>
        <w:widowControl w:val="0"/>
        <w:spacing w:before="240" w:line="260" w:lineRule="atLeast"/>
      </w:pPr>
      <w:r>
        <w:br/>
      </w:r>
      <w:r>
        <w:rPr>
          <w:rFonts w:ascii="Arial" w:eastAsia="Arial" w:hAnsi="Arial" w:cs="Arial"/>
          <w:b/>
          <w:color w:val="000000"/>
          <w:sz w:val="20"/>
        </w:rPr>
        <w:t>2. Discussion</w:t>
      </w:r>
    </w:p>
    <w:p w:rsidR="00022B47" w:rsidRDefault="00000000">
      <w:pPr>
        <w:pStyle w:val="Normal40"/>
        <w:widowControl w:val="0"/>
        <w:spacing w:before="200" w:line="260" w:lineRule="atLeast"/>
        <w:jc w:val="both"/>
      </w:pPr>
      <w:bookmarkStart w:id="6506" w:name="Bookmark_para_44_11"/>
      <w:bookmarkStart w:id="6507" w:name="Bookmark_I63M3RX12D6NK30030000400"/>
      <w:bookmarkEnd w:id="6506"/>
      <w:bookmarkEnd w:id="6507"/>
      <w:r>
        <w:rPr>
          <w:rFonts w:ascii="Arial" w:eastAsia="Arial" w:hAnsi="Arial" w:cs="Arial"/>
          <w:color w:val="000000"/>
          <w:sz w:val="20"/>
        </w:rPr>
        <w:t xml:space="preserve">As set out above, </w:t>
      </w:r>
      <w:r>
        <w:rPr>
          <w:rFonts w:ascii="Arial" w:eastAsia="Arial" w:hAnsi="Arial" w:cs="Arial"/>
          <w:i/>
          <w:color w:val="000000"/>
          <w:sz w:val="20"/>
        </w:rPr>
        <w:t>supra</w:t>
      </w:r>
      <w:r>
        <w:rPr>
          <w:rFonts w:ascii="Arial" w:eastAsia="Arial" w:hAnsi="Arial" w:cs="Arial"/>
          <w:color w:val="000000"/>
          <w:sz w:val="20"/>
        </w:rPr>
        <w:t xml:space="preserve"> Section III.A.2.b.i, this court reviews de novo a district court's grant of summary judgment, construing [**26]  all evidence and drawing all inferences in favor of Brooks, the nonmoving party. </w:t>
      </w:r>
      <w:bookmarkStart w:id="6508" w:name="Bookmark_LNHNREFclscc11_14"/>
      <w:bookmarkEnd w:id="6508"/>
      <w:r>
        <w:rPr>
          <w:rFonts w:ascii="Arial" w:eastAsia="Arial" w:hAnsi="Arial" w:cs="Arial"/>
          <w:color w:val="000000"/>
          <w:sz w:val="20"/>
        </w:rPr>
        <w:t xml:space="preserve">Notably, "[a] complete failure of proof concerning an essential element of the nonmoving party's case necessarily renders all other facts immaterial." </w:t>
      </w:r>
      <w:bookmarkStart w:id="6509" w:name="Bookmark_I63M3RX12D6NK30020000400"/>
      <w:bookmarkEnd w:id="6509"/>
      <w:r>
        <w:rPr>
          <w:rFonts w:ascii="Arial" w:eastAsia="Arial" w:hAnsi="Arial" w:cs="Arial"/>
          <w:i/>
          <w:color w:val="000000"/>
          <w:sz w:val="20"/>
        </w:rPr>
        <w:t>Bruner v. Baker</w:t>
      </w:r>
      <w:r>
        <w:rPr>
          <w:rFonts w:ascii="Arial" w:eastAsia="Arial" w:hAnsi="Arial" w:cs="Arial"/>
          <w:color w:val="000000"/>
          <w:sz w:val="20"/>
        </w:rPr>
        <w:t>, 506 F.3d 1021, 1025 (10th Cir. 2007) (quotation omitted).</w:t>
      </w:r>
    </w:p>
    <w:p w:rsidR="00022B47" w:rsidRDefault="00000000">
      <w:pPr>
        <w:pStyle w:val="Normal40"/>
        <w:widowControl w:val="0"/>
        <w:spacing w:before="200" w:line="260" w:lineRule="atLeast"/>
        <w:jc w:val="both"/>
      </w:pPr>
      <w:bookmarkStart w:id="6510" w:name="Bookmark_para_45_11"/>
      <w:bookmarkStart w:id="6511" w:name="Bookmark_I63M3RX12D6NK30050000400"/>
      <w:bookmarkEnd w:id="6510"/>
      <w:bookmarkEnd w:id="6511"/>
      <w:r>
        <w:rPr>
          <w:rFonts w:ascii="Arial" w:eastAsia="Arial" w:hAnsi="Arial" w:cs="Arial"/>
          <w:color w:val="000000"/>
          <w:sz w:val="20"/>
        </w:rPr>
        <w:t xml:space="preserve">For many of those reasons set out above in reversing the district court's grant of summary judgment in favor of the defendants on Brooks's ADA claim, there is serious reason to doubt the district court's conclusion that the situation faced by Brooks in accessing the cafeteria does not meet the Eighth Amendment's objective component. </w:t>
      </w:r>
      <w:bookmarkStart w:id="6512" w:name="Bookmark_I63M3RX12D6NK60020000400"/>
      <w:bookmarkEnd w:id="6512"/>
      <w:r>
        <w:rPr>
          <w:rFonts w:ascii="Arial" w:eastAsia="Arial" w:hAnsi="Arial" w:cs="Arial"/>
          <w:i/>
          <w:color w:val="000000"/>
          <w:sz w:val="20"/>
        </w:rPr>
        <w:t>See supra</w:t>
      </w:r>
      <w:r>
        <w:rPr>
          <w:rFonts w:ascii="Arial" w:eastAsia="Arial" w:hAnsi="Arial" w:cs="Arial"/>
          <w:color w:val="000000"/>
          <w:sz w:val="20"/>
        </w:rPr>
        <w:t xml:space="preserve"> Section III.A.2.b.ii. </w:t>
      </w:r>
      <w:bookmarkStart w:id="6513" w:name="Bookmark_LNHNREFclscc12_12"/>
      <w:bookmarkEnd w:id="6513"/>
      <w:r>
        <w:rPr>
          <w:rFonts w:ascii="Arial" w:eastAsia="Arial" w:hAnsi="Arial" w:cs="Arial"/>
          <w:color w:val="000000"/>
          <w:sz w:val="20"/>
        </w:rPr>
        <w:t xml:space="preserve">This court can, however, "affirm the district court for any reason that finds support in the record." </w:t>
      </w:r>
      <w:r>
        <w:rPr>
          <w:rFonts w:ascii="Arial" w:eastAsia="Arial" w:hAnsi="Arial" w:cs="Arial"/>
          <w:i/>
          <w:color w:val="000000"/>
          <w:sz w:val="20"/>
        </w:rPr>
        <w:t xml:space="preserve">See </w:t>
      </w:r>
      <w:bookmarkStart w:id="6514" w:name="Bookmark_I63M3RX12D6NK30040000400"/>
      <w:bookmarkEnd w:id="6514"/>
      <w:r>
        <w:rPr>
          <w:rFonts w:ascii="Arial" w:eastAsia="Arial" w:hAnsi="Arial" w:cs="Arial"/>
          <w:i/>
          <w:color w:val="000000"/>
          <w:sz w:val="20"/>
        </w:rPr>
        <w:t>Smith v. Ingersoll-Rand Co.</w:t>
      </w:r>
      <w:r>
        <w:rPr>
          <w:rFonts w:ascii="Arial" w:eastAsia="Arial" w:hAnsi="Arial" w:cs="Arial"/>
          <w:color w:val="000000"/>
          <w:sz w:val="20"/>
        </w:rPr>
        <w:t xml:space="preserve">, 214 F.3d 1235, 1248 (10th Cir. 2000). Here, the record reveals that Brooks failed to come forward with evidence creating a genuine issue of material fact as to whether Russell acted with deliberate indifference to his ability to access food and nutrition. </w:t>
      </w:r>
      <w:bookmarkStart w:id="6515" w:name="Bookmark_I63M3RX12D6NK60020000400_2"/>
      <w:bookmarkEnd w:id="6515"/>
      <w:r>
        <w:rPr>
          <w:rFonts w:ascii="Arial" w:eastAsia="Arial" w:hAnsi="Arial" w:cs="Arial"/>
          <w:color w:val="000000"/>
          <w:sz w:val="20"/>
        </w:rPr>
        <w:t xml:space="preserve">The absence of such evidence is fatal to his Eighth Amendment claim, </w:t>
      </w:r>
      <w:bookmarkStart w:id="6516" w:name="Bookmark_I63M3RX12D6NK60010000400"/>
      <w:bookmarkEnd w:id="6516"/>
      <w:r>
        <w:rPr>
          <w:rFonts w:ascii="Arial" w:eastAsia="Arial" w:hAnsi="Arial" w:cs="Arial"/>
          <w:i/>
          <w:color w:val="000000"/>
          <w:sz w:val="20"/>
        </w:rPr>
        <w:t>Farmer</w:t>
      </w:r>
      <w:r>
        <w:rPr>
          <w:rFonts w:ascii="Arial" w:eastAsia="Arial" w:hAnsi="Arial" w:cs="Arial"/>
          <w:color w:val="000000"/>
          <w:sz w:val="20"/>
        </w:rPr>
        <w:t xml:space="preserve">, 511 U.S. at 834, and renders all other facts immaterial, </w:t>
      </w:r>
      <w:bookmarkStart w:id="6517" w:name="Bookmark_I63M3RX12D6NK60030000400"/>
      <w:bookmarkEnd w:id="6517"/>
      <w:r>
        <w:rPr>
          <w:rFonts w:ascii="Arial" w:eastAsia="Arial" w:hAnsi="Arial" w:cs="Arial"/>
          <w:i/>
          <w:color w:val="000000"/>
          <w:sz w:val="20"/>
        </w:rPr>
        <w:t>Bruner</w:t>
      </w:r>
      <w:r>
        <w:rPr>
          <w:rFonts w:ascii="Arial" w:eastAsia="Arial" w:hAnsi="Arial" w:cs="Arial"/>
          <w:color w:val="000000"/>
          <w:sz w:val="20"/>
        </w:rPr>
        <w:t>, 506 F.3d at 1025.</w:t>
      </w:r>
    </w:p>
    <w:p w:rsidR="00022B47" w:rsidRDefault="00000000">
      <w:pPr>
        <w:pStyle w:val="Normal40"/>
        <w:widowControl w:val="0"/>
        <w:spacing w:before="200" w:line="260" w:lineRule="atLeast"/>
        <w:jc w:val="both"/>
      </w:pPr>
      <w:bookmarkStart w:id="6518" w:name="Bookmark_para_46_11"/>
      <w:bookmarkEnd w:id="6518"/>
      <w:r>
        <w:rPr>
          <w:rFonts w:ascii="Arial" w:eastAsia="Arial" w:hAnsi="Arial" w:cs="Arial"/>
          <w:color w:val="000000"/>
          <w:sz w:val="20"/>
        </w:rPr>
        <w:t xml:space="preserve">Brooks asserts an issue of material fact exists as to Russell's state of mind because there is evidence of the three following overarching facts: (1) Russell had authority to issue [**27]  a movement pass; (2) Russell knew she had that authority; and (3) Russell was aware Brooks was missing hundreds of meals a year as a result of her inaction. Brooks is wrong, however, in asserting the record contains evidence from which a reasonable juror could conclude Russell knew she had the authority to issue a movement pass (and, therefore, also wrong in asserting she knew her "inaction" led Brooks to miss hundreds of meals). Brooks cites to a portion of the  [*1175]  record containing excerpts of Russell's deposition. Appellant's Opening Br. at 48 (citing R. Vol. 7 at 275-77 for the following proposition: Russell admitted "her office had the authority to issue any accommodation 'that would be . . . a modification of a policy, process or procedure' that would assist an inmate in accessing meals and the dining facility"). The deposition material cited in Brooks's brief, however, merely recognizes that ADA accommodations can relate to a "wide range" of "activities, programs, or services," including "daily living" and physical access to the cafeteria. R. Vol. 7 at 274-75. There is simply nothing in this deposition testimony to support Brooks's assertion Russell recognized her authority to grant [**28]  him a movement pass. Indeed, in several other portions of her deposition Russell makes clear she did not believe she had authority to issue a movement pass (i.e., in the parlance used in the deposition, a med-line or meal pass). </w:t>
      </w:r>
      <w:r>
        <w:rPr>
          <w:rFonts w:ascii="Arial" w:eastAsia="Arial" w:hAnsi="Arial" w:cs="Arial"/>
          <w:i/>
          <w:color w:val="000000"/>
          <w:sz w:val="20"/>
        </w:rPr>
        <w:t>Id.</w:t>
      </w:r>
      <w:r>
        <w:rPr>
          <w:rFonts w:ascii="Arial" w:eastAsia="Arial" w:hAnsi="Arial" w:cs="Arial"/>
          <w:color w:val="000000"/>
          <w:sz w:val="20"/>
        </w:rPr>
        <w:t xml:space="preserve"> at 275-81. Thus, the only record evidence identified by Brooks in his appellate briefs fails to create an issue of fact as to Russell's state of mind.</w:t>
      </w:r>
    </w:p>
    <w:p w:rsidR="00022B47" w:rsidRDefault="00000000">
      <w:pPr>
        <w:pStyle w:val="Normal40"/>
        <w:widowControl w:val="0"/>
        <w:spacing w:before="200" w:line="260" w:lineRule="atLeast"/>
        <w:jc w:val="both"/>
      </w:pPr>
      <w:bookmarkStart w:id="6519" w:name="Bookmark_para_47_10"/>
      <w:bookmarkEnd w:id="6519"/>
      <w:r>
        <w:rPr>
          <w:rFonts w:ascii="Arial" w:eastAsia="Arial" w:hAnsi="Arial" w:cs="Arial"/>
          <w:color w:val="000000"/>
          <w:sz w:val="20"/>
        </w:rPr>
        <w:t>Although this failure on the part of Brooks to identify relevant evidence is enough to doom his Eighth Amendment claim, we note that having scoured the record, this court is confident Brooks's failure to cite such evidence is attributable solely to the fact no such evidence exists. The record establishes that the only movement pass Brooks had during the relevant time period was granted by a member of clinical services, not an ADA Inmate Coordinator. In denying Brooks's request for a movement pass at step two of CDOC's grievance procedure, Russell specifically informed Brooks he may "request early med line pass and adult undergarments from Clinical services as part of your treatment plan." Russell's determination that the availability of a movement pass was a medical issue beyond her purview was affirmed by Anthony A. DeCesaro [**29]  at step three of the grievance process.</w:t>
      </w:r>
      <w:r>
        <w:rPr>
          <w:rFonts w:ascii="Arial" w:eastAsia="Arial" w:hAnsi="Arial" w:cs="Arial"/>
          <w:vertAlign w:val="superscript"/>
        </w:rPr>
        <w:footnoteReference w:customMarkFollows="1" w:id="200"/>
        <w:t>15</w:t>
      </w:r>
      <w:r>
        <w:rPr>
          <w:rFonts w:ascii="Arial" w:eastAsia="Arial" w:hAnsi="Arial" w:cs="Arial"/>
          <w:color w:val="000000"/>
          <w:sz w:val="20"/>
        </w:rPr>
        <w:t xml:space="preserve"> There is no evidence that Russell, or any other ADA Inmate Coordinator, has ever granted an inmate a movement pass. Russell's view that she lacked power to grant Brooks a movement pass is not a view held by her alone. In response to interrogatories propounded by Brooks during the period of additional discovery following this court's remand, ADA Inmate Coordinator Janet Smith averred as follows: "Under CDOC policy a medical/meal pass is not an ADA accommodation. To the extent Mr. Brooks believes his condition required a specific provision from clinical services, he must communicate his needs to his providers and work with them to determine what is appropriate for his condition." R. Vol. 7 at 538. Likewise, a declaration submitted by Ryder May, a nurse within CDOC familiar with Brooks's medical condition, stated she held a meeting with Brooks and a CDOC dietician to discuss Brooks's medical needs. When, during that meeting, Brooks stated he was attempting to obtain a movement pass from the "ADA office," May informed Brooks as follows: "I told him that this issue could be addressed through medical and was not something typically handled by the ADA [**30]  coordinator. I told Mr. Brooks the facility provides undergarments to offenders that have incontinence issues." R. Vol. 7 at 267.</w:t>
      </w:r>
    </w:p>
    <w:p w:rsidR="00022B47" w:rsidRDefault="00000000">
      <w:pPr>
        <w:pStyle w:val="Normal40"/>
        <w:widowControl w:val="0"/>
        <w:spacing w:before="200" w:line="260" w:lineRule="atLeast"/>
        <w:jc w:val="both"/>
      </w:pPr>
      <w:bookmarkStart w:id="6521" w:name="Bookmark_para_48_10"/>
      <w:bookmarkEnd w:id="6521"/>
      <w:r>
        <w:rPr>
          <w:rFonts w:ascii="Arial" w:eastAsia="Arial" w:hAnsi="Arial" w:cs="Arial"/>
          <w:color w:val="000000"/>
          <w:sz w:val="20"/>
        </w:rPr>
        <w:t xml:space="preserve">Based on the record before this court, no reasonable juror could conclude Russell acted with deliberate indifference to  [*1176]  Brooks's right to receive adequate access to the prison cafeteria. </w:t>
      </w:r>
      <w:bookmarkStart w:id="6522" w:name="Bookmark_I63M3RX12SF8K90010000400"/>
      <w:bookmarkEnd w:id="6522"/>
      <w:r>
        <w:rPr>
          <w:rFonts w:ascii="Arial" w:eastAsia="Arial" w:hAnsi="Arial" w:cs="Arial"/>
          <w:color w:val="000000"/>
          <w:sz w:val="20"/>
        </w:rPr>
        <w:t xml:space="preserve">Instead, at best, Russell had a reasonably mistaken belief that she did not have the power to accommodate Brooks's request and, critically, that clinical services did have that power. This state of affairs does not satisfy </w:t>
      </w:r>
      <w:r>
        <w:rPr>
          <w:rFonts w:ascii="Arial" w:eastAsia="Arial" w:hAnsi="Arial" w:cs="Arial"/>
          <w:i/>
          <w:color w:val="000000"/>
          <w:sz w:val="20"/>
        </w:rPr>
        <w:t>Farmer</w:t>
      </w:r>
      <w:r>
        <w:rPr>
          <w:rFonts w:ascii="Arial" w:eastAsia="Arial" w:hAnsi="Arial" w:cs="Arial"/>
          <w:color w:val="000000"/>
          <w:sz w:val="20"/>
        </w:rPr>
        <w:t xml:space="preserve">'s "stringent" deliberate indifference standard. </w:t>
      </w:r>
      <w:r>
        <w:rPr>
          <w:rFonts w:ascii="Arial" w:eastAsia="Arial" w:hAnsi="Arial" w:cs="Arial"/>
          <w:i/>
          <w:color w:val="000000"/>
          <w:sz w:val="20"/>
        </w:rPr>
        <w:t xml:space="preserve">See </w:t>
      </w:r>
      <w:bookmarkStart w:id="6523" w:name="Bookmark_I63M3RX12D6NK60050000400"/>
      <w:bookmarkEnd w:id="6523"/>
      <w:r>
        <w:rPr>
          <w:rFonts w:ascii="Arial" w:eastAsia="Arial" w:hAnsi="Arial" w:cs="Arial"/>
          <w:i/>
          <w:color w:val="000000"/>
          <w:sz w:val="20"/>
        </w:rPr>
        <w:t>Giron</w:t>
      </w:r>
      <w:r>
        <w:rPr>
          <w:rFonts w:ascii="Arial" w:eastAsia="Arial" w:hAnsi="Arial" w:cs="Arial"/>
          <w:color w:val="000000"/>
          <w:sz w:val="20"/>
        </w:rPr>
        <w:t>, 191 F.3d at 1286.</w:t>
      </w:r>
    </w:p>
    <w:p w:rsidR="00022B47" w:rsidRDefault="00000000">
      <w:pPr>
        <w:pStyle w:val="Normal40"/>
        <w:widowControl w:val="0"/>
        <w:spacing w:before="240" w:line="260" w:lineRule="atLeast"/>
      </w:pPr>
      <w:r>
        <w:br/>
      </w:r>
      <w:r>
        <w:rPr>
          <w:rFonts w:ascii="Arial" w:eastAsia="Arial" w:hAnsi="Arial" w:cs="Arial"/>
          <w:b/>
          <w:color w:val="000000"/>
          <w:sz w:val="20"/>
        </w:rPr>
        <w:t>IV. CONCLUSION</w:t>
      </w:r>
    </w:p>
    <w:p w:rsidR="00022B47" w:rsidRDefault="00000000">
      <w:pPr>
        <w:pStyle w:val="Normal40"/>
        <w:widowControl w:val="0"/>
        <w:spacing w:before="200" w:line="260" w:lineRule="atLeast"/>
        <w:jc w:val="both"/>
      </w:pPr>
      <w:bookmarkStart w:id="6524" w:name="Bookmark_para_49_10"/>
      <w:bookmarkEnd w:id="6524"/>
      <w:r>
        <w:rPr>
          <w:rFonts w:ascii="Arial" w:eastAsia="Arial" w:hAnsi="Arial" w:cs="Arial"/>
          <w:color w:val="000000"/>
          <w:sz w:val="20"/>
        </w:rPr>
        <w:t xml:space="preserve">Brooks's challenge to the district court's dismissal of his ADA claims for prospective injunctive relief was rendered moot by Brooks's release from CDOC custody on parole during the pendency of this appeal. </w:t>
      </w:r>
      <w:bookmarkStart w:id="6525" w:name="Bookmark_I63KWRXM2N1R220010000400"/>
      <w:bookmarkEnd w:id="6525"/>
      <w:r>
        <w:rPr>
          <w:rFonts w:ascii="Arial" w:eastAsia="Arial" w:hAnsi="Arial" w:cs="Arial"/>
          <w:color w:val="000000"/>
          <w:sz w:val="20"/>
        </w:rPr>
        <w:t xml:space="preserve">Thus, as to that single issue, Brooks's appeal is </w:t>
      </w:r>
      <w:r>
        <w:rPr>
          <w:rFonts w:ascii="Arial" w:eastAsia="Arial" w:hAnsi="Arial" w:cs="Arial"/>
          <w:b/>
          <w:color w:val="000000"/>
          <w:sz w:val="20"/>
        </w:rPr>
        <w:t>DISMISSED</w:t>
      </w:r>
      <w:r>
        <w:rPr>
          <w:rFonts w:ascii="Arial" w:eastAsia="Arial" w:hAnsi="Arial" w:cs="Arial"/>
          <w:color w:val="000000"/>
          <w:sz w:val="20"/>
        </w:rPr>
        <w:t xml:space="preserve">. The district court erred in concluding Brooks's ADA claim for damages failed because the defendants' offer to Brooks of the use of a diaper to access the cafeteria was a reasonable accommodation of Brooks's particular disability. Thus, the district court's judgment in favor of the defendants on Brooks's ADA-based claim [**31]  for damages is </w:t>
      </w:r>
      <w:r>
        <w:rPr>
          <w:rFonts w:ascii="Arial" w:eastAsia="Arial" w:hAnsi="Arial" w:cs="Arial"/>
          <w:b/>
          <w:color w:val="000000"/>
          <w:sz w:val="20"/>
        </w:rPr>
        <w:t>REVERSED</w:t>
      </w:r>
      <w:r>
        <w:rPr>
          <w:rFonts w:ascii="Arial" w:eastAsia="Arial" w:hAnsi="Arial" w:cs="Arial"/>
          <w:color w:val="000000"/>
          <w:sz w:val="20"/>
        </w:rPr>
        <w:t xml:space="preserve">. The district court, however, correctly granted summary judgment to Russell on Brooks's Eighth Amendment conditions-of-confinement claim because Brooks failed to adduce evidence showing Russell acted with deliberate indifference. Thus, the district court judgment in favor of Russell on Brooks's Eighth Amendment claim is </w:t>
      </w:r>
      <w:r>
        <w:rPr>
          <w:rFonts w:ascii="Arial" w:eastAsia="Arial" w:hAnsi="Arial" w:cs="Arial"/>
          <w:b/>
          <w:color w:val="000000"/>
          <w:sz w:val="20"/>
        </w:rPr>
        <w:t>AFFIRMED</w:t>
      </w:r>
      <w:r>
        <w:rPr>
          <w:rFonts w:ascii="Arial" w:eastAsia="Arial" w:hAnsi="Arial" w:cs="Arial"/>
          <w:color w:val="000000"/>
          <w:sz w:val="20"/>
        </w:rPr>
        <w:t xml:space="preserve">. This matter is </w:t>
      </w:r>
      <w:r>
        <w:rPr>
          <w:rFonts w:ascii="Arial" w:eastAsia="Arial" w:hAnsi="Arial" w:cs="Arial"/>
          <w:b/>
          <w:color w:val="000000"/>
          <w:sz w:val="20"/>
        </w:rPr>
        <w:t>REMANDED</w:t>
      </w:r>
      <w:r>
        <w:rPr>
          <w:rFonts w:ascii="Arial" w:eastAsia="Arial" w:hAnsi="Arial" w:cs="Arial"/>
          <w:color w:val="000000"/>
          <w:sz w:val="20"/>
        </w:rPr>
        <w:t xml:space="preserve"> to the district court for further proceedings consistent with this opinion as to Brooks's ADA damages claim and to vacate that portion of its judgment addressing Brooks's ADA claim for prospective injunctive relief.</w:t>
      </w:r>
    </w:p>
    <w:p w:rsidR="00022B47" w:rsidRDefault="00022B47">
      <w:pPr>
        <w:pStyle w:val="Normal40"/>
      </w:pPr>
    </w:p>
    <w:p w:rsidR="00022B47" w:rsidRDefault="00000000">
      <w:pPr>
        <w:pStyle w:val="Normal40"/>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44256"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863681938"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95EC6E" id="Line 86"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41"/>
        <w:sectPr w:rsidR="00022B47">
          <w:headerReference w:type="even" r:id="rId253"/>
          <w:headerReference w:type="default" r:id="rId254"/>
          <w:footerReference w:type="even" r:id="rId255"/>
          <w:footerReference w:type="default" r:id="rId256"/>
          <w:headerReference w:type="first" r:id="rId257"/>
          <w:footerReference w:type="first" r:id="rId258"/>
          <w:pgSz w:w="12240" w:h="15840"/>
          <w:pgMar w:top="840" w:right="1000" w:bottom="840" w:left="1000" w:header="400" w:footer="400" w:gutter="0"/>
          <w:cols w:space="720"/>
          <w:titlePg/>
        </w:sectPr>
      </w:pPr>
    </w:p>
    <w:p w:rsidR="00022B47" w:rsidRDefault="00022B47">
      <w:pPr>
        <w:pStyle w:val="Normal41"/>
      </w:pPr>
    </w:p>
    <w:p w:rsidR="00022B47" w:rsidRDefault="00000000">
      <w:pPr>
        <w:pStyle w:val="Heading140"/>
        <w:keepNext w:val="0"/>
        <w:widowControl w:val="0"/>
        <w:spacing w:after="200" w:line="340" w:lineRule="atLeast"/>
        <w:jc w:val="center"/>
      </w:pPr>
      <w:r>
        <w:rPr>
          <w:rFonts w:eastAsia="Arial"/>
          <w:color w:val="000000"/>
          <w:sz w:val="28"/>
        </w:rPr>
        <w:t>Breyer v. Pac. Univ.</w:t>
      </w:r>
    </w:p>
    <w:p w:rsidR="00022B47" w:rsidRDefault="00000000">
      <w:pPr>
        <w:pStyle w:val="Normal41"/>
        <w:widowControl w:val="0"/>
        <w:spacing w:before="120" w:line="260" w:lineRule="atLeast"/>
        <w:jc w:val="center"/>
      </w:pPr>
      <w:r>
        <w:rPr>
          <w:rFonts w:ascii="Arial" w:eastAsia="Arial" w:hAnsi="Arial" w:cs="Arial"/>
          <w:color w:val="000000"/>
          <w:sz w:val="20"/>
        </w:rPr>
        <w:t>United States Court of Appeals for the Ninth Circuit</w:t>
      </w:r>
    </w:p>
    <w:p w:rsidR="00022B47" w:rsidRDefault="00000000">
      <w:pPr>
        <w:pStyle w:val="Normal41"/>
        <w:widowControl w:val="0"/>
        <w:spacing w:before="120" w:line="260" w:lineRule="atLeast"/>
        <w:jc w:val="center"/>
      </w:pPr>
      <w:r>
        <w:rPr>
          <w:rFonts w:ascii="Arial" w:eastAsia="Arial" w:hAnsi="Arial" w:cs="Arial"/>
          <w:color w:val="000000"/>
          <w:sz w:val="20"/>
        </w:rPr>
        <w:t>July 9, 2021, Argued and Submitted, Portland, Oregon; August 27, 2021, Filed</w:t>
      </w:r>
    </w:p>
    <w:p w:rsidR="00022B47" w:rsidRDefault="00000000">
      <w:pPr>
        <w:pStyle w:val="Normal41"/>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20-35304</w:t>
      </w:r>
    </w:p>
    <w:p w:rsidR="00022B47" w:rsidRDefault="00022B47">
      <w:pPr>
        <w:pStyle w:val="Normal41"/>
        <w:widowControl w:val="0"/>
        <w:spacing w:line="240" w:lineRule="atLeast"/>
        <w:jc w:val="both"/>
      </w:pPr>
      <w:bookmarkStart w:id="6526" w:name="Bookmark_42"/>
      <w:bookmarkEnd w:id="6526"/>
    </w:p>
    <w:p w:rsidR="00022B47" w:rsidRDefault="00000000">
      <w:pPr>
        <w:pStyle w:val="Normal41"/>
        <w:widowControl w:val="0"/>
        <w:spacing w:before="200" w:line="240" w:lineRule="atLeast"/>
      </w:pPr>
      <w:bookmarkStart w:id="6527" w:name="Reporter_40"/>
      <w:bookmarkEnd w:id="6527"/>
      <w:r>
        <w:rPr>
          <w:rFonts w:ascii="Arial" w:eastAsia="Arial" w:hAnsi="Arial" w:cs="Arial"/>
          <w:b/>
          <w:color w:val="000000"/>
          <w:sz w:val="18"/>
        </w:rPr>
        <w:t>Reporter</w:t>
      </w:r>
    </w:p>
    <w:p w:rsidR="00022B47" w:rsidRDefault="00000000">
      <w:pPr>
        <w:pStyle w:val="Normal41"/>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2021 U.S. App. LEXIS 25937 *; __ Fed. Appx. __; 2021 WL 3829966</w:t>
      </w:r>
    </w:p>
    <w:p w:rsidR="00022B47" w:rsidRDefault="00000000">
      <w:pPr>
        <w:pStyle w:val="Normal41"/>
        <w:widowControl w:val="0"/>
        <w:spacing w:before="120" w:line="260" w:lineRule="atLeast"/>
      </w:pPr>
      <w:r>
        <w:rPr>
          <w:rFonts w:ascii="Arial" w:eastAsia="Arial" w:hAnsi="Arial" w:cs="Arial"/>
          <w:color w:val="000000"/>
          <w:sz w:val="20"/>
        </w:rPr>
        <w:t>REBEKAH J. BREYER, Plaintiff-Appellant, v. PACIFIC UNIVERSITY, a domestic nonprofit corporation, Defendant-Appellee.</w:t>
      </w:r>
    </w:p>
    <w:p w:rsidR="00022B47" w:rsidRDefault="00000000">
      <w:pPr>
        <w:pStyle w:val="Normal41"/>
        <w:widowControl w:val="0"/>
        <w:spacing w:before="240" w:line="260" w:lineRule="atLeast"/>
        <w:jc w:val="both"/>
      </w:pPr>
      <w:bookmarkStart w:id="6528" w:name="Notice_21"/>
      <w:bookmarkEnd w:id="6528"/>
      <w:r>
        <w:rPr>
          <w:rFonts w:ascii="Arial" w:eastAsia="Arial" w:hAnsi="Arial" w:cs="Arial"/>
          <w:b/>
          <w:color w:val="000000"/>
          <w:sz w:val="20"/>
        </w:rPr>
        <w:t>Notice:</w:t>
      </w:r>
      <w:r>
        <w:rPr>
          <w:rFonts w:ascii="Arial" w:eastAsia="Arial" w:hAnsi="Arial" w:cs="Arial"/>
          <w:color w:val="000000"/>
          <w:sz w:val="20"/>
        </w:rPr>
        <w:t> </w:t>
      </w:r>
      <w:bookmarkStart w:id="6529" w:name="Bookmark_para_1_40"/>
      <w:bookmarkEnd w:id="6529"/>
      <w:r>
        <w:rPr>
          <w:rFonts w:ascii="Arial" w:eastAsia="Arial" w:hAnsi="Arial" w:cs="Arial"/>
          <w:color w:val="000000"/>
          <w:sz w:val="20"/>
        </w:rPr>
        <w:t>PLEASE REFER TO FEDERAL RULES OF APPELLATE PROCEDURE RULE 32.1 GOVERNING THE CITATION TO UNPUBLISHED OPINIONS.</w:t>
      </w:r>
    </w:p>
    <w:p w:rsidR="00022B47" w:rsidRDefault="00000000">
      <w:pPr>
        <w:pStyle w:val="Normal41"/>
        <w:widowControl w:val="0"/>
        <w:spacing w:before="240" w:line="260" w:lineRule="atLeast"/>
        <w:jc w:val="both"/>
      </w:pPr>
      <w:bookmarkStart w:id="6530" w:name="Prior_History_40"/>
      <w:bookmarkEnd w:id="6530"/>
      <w:r>
        <w:rPr>
          <w:rFonts w:ascii="Arial" w:eastAsia="Arial" w:hAnsi="Arial" w:cs="Arial"/>
          <w:b/>
          <w:color w:val="000000"/>
          <w:sz w:val="20"/>
        </w:rPr>
        <w:t>Prior History:</w:t>
      </w:r>
      <w:r>
        <w:rPr>
          <w:rFonts w:ascii="Arial" w:eastAsia="Arial" w:hAnsi="Arial" w:cs="Arial"/>
          <w:color w:val="000000"/>
          <w:sz w:val="20"/>
        </w:rPr>
        <w:t> </w:t>
      </w:r>
      <w:bookmarkStart w:id="6531" w:name="Bookmark_para_2_40"/>
      <w:bookmarkEnd w:id="6531"/>
      <w:r>
        <w:rPr>
          <w:rFonts w:ascii="Arial" w:eastAsia="Arial" w:hAnsi="Arial" w:cs="Arial"/>
          <w:color w:val="000000"/>
          <w:sz w:val="20"/>
        </w:rPr>
        <w:t> [*1] Appeal from the United States District Court for the District of Oregon. D.C. No. 3:17-cv-00036-AC. John V. Acosta, Magistrate Judge, Presiding.</w:t>
      </w:r>
    </w:p>
    <w:p w:rsidR="00022B47" w:rsidRDefault="00000000">
      <w:pPr>
        <w:pStyle w:val="Normal41"/>
        <w:widowControl w:val="0"/>
        <w:spacing w:before="240" w:line="260" w:lineRule="atLeast"/>
        <w:jc w:val="both"/>
      </w:pPr>
      <w:bookmarkStart w:id="6532" w:name="Disposition_10"/>
      <w:bookmarkEnd w:id="6532"/>
      <w:r>
        <w:rPr>
          <w:rFonts w:ascii="Arial" w:eastAsia="Arial" w:hAnsi="Arial" w:cs="Arial"/>
          <w:b/>
          <w:color w:val="000000"/>
          <w:sz w:val="20"/>
        </w:rPr>
        <w:t>Disposition:</w:t>
      </w:r>
      <w:r>
        <w:rPr>
          <w:rFonts w:ascii="Arial" w:eastAsia="Arial" w:hAnsi="Arial" w:cs="Arial"/>
          <w:color w:val="000000"/>
          <w:sz w:val="20"/>
        </w:rPr>
        <w:t> </w:t>
      </w:r>
      <w:bookmarkStart w:id="6533" w:name="Bookmark_clspara_4_8"/>
      <w:bookmarkEnd w:id="6533"/>
      <w:r>
        <w:rPr>
          <w:rFonts w:ascii="Arial" w:eastAsia="Arial" w:hAnsi="Arial" w:cs="Arial"/>
          <w:color w:val="000000"/>
          <w:sz w:val="20"/>
        </w:rPr>
        <w:t>AFFIRMED.</w:t>
      </w:r>
    </w:p>
    <w:p w:rsidR="00022B47" w:rsidRDefault="00000000">
      <w:pPr>
        <w:pStyle w:val="Normal41"/>
        <w:widowControl w:val="0"/>
        <w:spacing w:before="240" w:line="260" w:lineRule="atLeast"/>
      </w:pPr>
      <w:bookmarkStart w:id="6534" w:name="Counsel_40"/>
      <w:bookmarkEnd w:id="6534"/>
      <w:r>
        <w:rPr>
          <w:rFonts w:ascii="Arial" w:eastAsia="Arial" w:hAnsi="Arial" w:cs="Arial"/>
          <w:b/>
          <w:color w:val="000000"/>
          <w:sz w:val="20"/>
        </w:rPr>
        <w:t>Counsel:</w:t>
      </w:r>
      <w:r>
        <w:rPr>
          <w:rFonts w:ascii="Arial" w:eastAsia="Arial" w:hAnsi="Arial" w:cs="Arial"/>
          <w:color w:val="000000"/>
          <w:sz w:val="20"/>
        </w:rPr>
        <w:t> For REBEKAH J. BREYER, Plaintiff - Appellant: Shenoa L. Payne, Attorney, Shenoa Payne Attorney at Law PC, Portland, OR; Christina Stephenson, Stephenson Law, LLC, Portland, OR.</w:t>
      </w:r>
    </w:p>
    <w:p w:rsidR="00022B47" w:rsidRDefault="00000000">
      <w:pPr>
        <w:pStyle w:val="Normal41"/>
        <w:widowControl w:val="0"/>
        <w:spacing w:before="120" w:line="260" w:lineRule="atLeast"/>
      </w:pPr>
      <w:r>
        <w:rPr>
          <w:rFonts w:ascii="Arial" w:eastAsia="Arial" w:hAnsi="Arial" w:cs="Arial"/>
          <w:color w:val="000000"/>
          <w:sz w:val="20"/>
        </w:rPr>
        <w:t>For PACIFIC UNIVERSITY, a domestic nonprofit corporation, Defendant - Appellee: Bruce L. Campbell, Attorney, Ivan Resendiz Gutierrez, Miller Nash, LLP, Portland, OR.</w:t>
      </w:r>
    </w:p>
    <w:p w:rsidR="00022B47" w:rsidRDefault="00000000">
      <w:pPr>
        <w:pStyle w:val="Normal41"/>
        <w:widowControl w:val="0"/>
        <w:spacing w:before="240" w:line="260" w:lineRule="atLeast"/>
      </w:pPr>
      <w:bookmarkStart w:id="6535" w:name="Judges_40"/>
      <w:bookmarkEnd w:id="6535"/>
      <w:r>
        <w:rPr>
          <w:rFonts w:ascii="Arial" w:eastAsia="Arial" w:hAnsi="Arial" w:cs="Arial"/>
          <w:b/>
          <w:color w:val="000000"/>
          <w:sz w:val="20"/>
        </w:rPr>
        <w:t>Judges:</w:t>
      </w:r>
      <w:r>
        <w:rPr>
          <w:rFonts w:ascii="Arial" w:eastAsia="Arial" w:hAnsi="Arial" w:cs="Arial"/>
          <w:color w:val="000000"/>
          <w:sz w:val="20"/>
        </w:rPr>
        <w:t> Before: O'SCANNLAIN, PAEZ, and BENNETT, Circuit Judges. Partial Dissent by Judge BENNETT.</w:t>
      </w:r>
    </w:p>
    <w:p w:rsidR="00022B47" w:rsidRDefault="00000000">
      <w:pPr>
        <w:pStyle w:val="Normal41"/>
        <w:keepNext/>
        <w:widowControl w:val="0"/>
        <w:spacing w:before="240" w:line="340" w:lineRule="atLeast"/>
      </w:pPr>
      <w:bookmarkStart w:id="6536" w:name="Opinion_40"/>
      <w:bookmarkEnd w:id="6536"/>
      <w:r>
        <w:rPr>
          <w:rFonts w:ascii="Arial" w:eastAsia="Arial" w:hAnsi="Arial" w:cs="Arial"/>
          <w:b/>
          <w:color w:val="000000"/>
          <w:sz w:val="28"/>
        </w:rPr>
        <w:t>Opinion</w:t>
      </w:r>
    </w:p>
    <w:p w:rsidR="00022B47" w:rsidRDefault="0025213E">
      <w:pPr>
        <w:pStyle w:val="Normal41"/>
        <w:spacing w:line="60" w:lineRule="exact"/>
      </w:pPr>
      <w:r>
        <w:rPr>
          <w:noProof/>
        </w:rPr>
        <mc:AlternateContent>
          <mc:Choice Requires="wps">
            <w:drawing>
              <wp:anchor distT="0" distB="0" distL="114300" distR="114300" simplePos="0" relativeHeight="25174528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306773812"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88991D" id="Line 87"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41"/>
        <w:spacing w:line="120" w:lineRule="exact"/>
      </w:pPr>
    </w:p>
    <w:p w:rsidR="00022B47" w:rsidRDefault="00000000">
      <w:pPr>
        <w:pStyle w:val="Normal41"/>
        <w:widowControl w:val="0"/>
        <w:spacing w:before="120" w:line="260" w:lineRule="atLeast"/>
      </w:pPr>
      <w:r>
        <w:rPr>
          <w:rFonts w:ascii="Arial" w:eastAsia="Arial" w:hAnsi="Arial" w:cs="Arial"/>
          <w:color w:val="000000"/>
          <w:sz w:val="20"/>
        </w:rPr>
        <w:t>MEMORANDUM</w:t>
      </w:r>
      <w:r>
        <w:rPr>
          <w:rFonts w:ascii="Arial" w:eastAsia="Arial" w:hAnsi="Arial" w:cs="Arial"/>
          <w:vertAlign w:val="superscript"/>
        </w:rPr>
        <w:footnoteReference w:customMarkFollows="1" w:id="201"/>
        <w:t>*</w:t>
      </w:r>
    </w:p>
    <w:p w:rsidR="00022B47" w:rsidRDefault="00000000">
      <w:pPr>
        <w:pStyle w:val="Normal41"/>
        <w:widowControl w:val="0"/>
        <w:spacing w:before="200" w:line="260" w:lineRule="atLeast"/>
        <w:jc w:val="both"/>
      </w:pPr>
      <w:bookmarkStart w:id="6538" w:name="Bookmark_para_3_40"/>
      <w:bookmarkEnd w:id="6538"/>
      <w:r>
        <w:rPr>
          <w:rFonts w:ascii="Arial" w:eastAsia="Arial" w:hAnsi="Arial" w:cs="Arial"/>
          <w:color w:val="000000"/>
          <w:sz w:val="20"/>
        </w:rPr>
        <w:t>Rebekah Breyer ("Breyer") appeals the district court's grant of summary judgment in her action under § 504 of the Rehabilitation Act and Title III of the Americans with Disabilities Act ("ADA") (collectively, "the Acts") against Pacific University ("the University"). Breyer, who has cerebral palsy, alleged ten counts of disability discrimination during the admissions process for, and during her time as a student in, the University's doctor of clinical psychology program.</w:t>
      </w:r>
    </w:p>
    <w:p w:rsidR="00022B47" w:rsidRDefault="00000000">
      <w:pPr>
        <w:pStyle w:val="Normal41"/>
        <w:widowControl w:val="0"/>
        <w:spacing w:before="200" w:line="260" w:lineRule="atLeast"/>
        <w:jc w:val="both"/>
      </w:pPr>
      <w:bookmarkStart w:id="6539" w:name="Bookmark_para_4_40"/>
      <w:bookmarkStart w:id="6540" w:name="Bookmark_I63HS3282N1RD50020000400"/>
      <w:bookmarkStart w:id="6541" w:name="Bookmark_LNHNREFclscc1_35"/>
      <w:bookmarkEnd w:id="6539"/>
      <w:bookmarkEnd w:id="6540"/>
      <w:bookmarkEnd w:id="6541"/>
      <w:r>
        <w:rPr>
          <w:rFonts w:ascii="Arial" w:eastAsia="Arial" w:hAnsi="Arial" w:cs="Arial"/>
          <w:color w:val="000000"/>
          <w:sz w:val="20"/>
        </w:rPr>
        <w:t xml:space="preserve">Summary judgment is appropriate when "there is no genuine dispute as to any material fact and the movant is entitled to judgment as a matter of law." Fed. R. Civ. P. 56(a); </w:t>
      </w:r>
      <w:bookmarkStart w:id="6542" w:name="Bookmark_I63HS3282N1RD50010000400"/>
      <w:bookmarkEnd w:id="6542"/>
      <w:r>
        <w:rPr>
          <w:rFonts w:ascii="Arial" w:eastAsia="Arial" w:hAnsi="Arial" w:cs="Arial"/>
          <w:i/>
          <w:color w:val="000000"/>
          <w:sz w:val="20"/>
        </w:rPr>
        <w:t>Monzon v. City of Murrieta</w:t>
      </w:r>
      <w:r>
        <w:rPr>
          <w:rFonts w:ascii="Arial" w:eastAsia="Arial" w:hAnsi="Arial" w:cs="Arial"/>
          <w:color w:val="000000"/>
          <w:sz w:val="20"/>
        </w:rPr>
        <w:t>, 978 F.3d 1150, 1155-56 (9th Cir. 2020). No genuine issues of material fact preclude [*2]  summary judgment on Breyer's various theories of discrimination. Reviewing de novo, we affirm.</w:t>
      </w:r>
    </w:p>
    <w:p w:rsidR="00022B47" w:rsidRDefault="00000000">
      <w:pPr>
        <w:pStyle w:val="Normal41"/>
        <w:widowControl w:val="0"/>
        <w:spacing w:before="200" w:line="260" w:lineRule="atLeast"/>
        <w:jc w:val="both"/>
      </w:pPr>
      <w:bookmarkStart w:id="6543" w:name="Bookmark_para_5_40"/>
      <w:bookmarkStart w:id="6544" w:name="Bookmark_I63HS3282N1RD50040000400"/>
      <w:bookmarkEnd w:id="6543"/>
      <w:bookmarkEnd w:id="6544"/>
      <w:r>
        <w:rPr>
          <w:rFonts w:ascii="Arial" w:eastAsia="Arial" w:hAnsi="Arial" w:cs="Arial"/>
          <w:b/>
          <w:color w:val="000000"/>
          <w:sz w:val="20"/>
        </w:rPr>
        <w:t>1</w:t>
      </w:r>
      <w:r>
        <w:rPr>
          <w:rFonts w:ascii="Arial" w:eastAsia="Arial" w:hAnsi="Arial" w:cs="Arial"/>
          <w:color w:val="000000"/>
          <w:sz w:val="20"/>
        </w:rPr>
        <w:t xml:space="preserve">. The district court correctly applied a "meaningful access" standard to assess Breyer's discrimination claims and correctly reasoned that whether a student has received meaningful access depends on viewing the program as a whole. </w:t>
      </w:r>
      <w:bookmarkStart w:id="6545" w:name="Bookmark_I63HS3282N1RD50030000400"/>
      <w:bookmarkEnd w:id="6545"/>
      <w:r>
        <w:rPr>
          <w:rFonts w:ascii="Arial" w:eastAsia="Arial" w:hAnsi="Arial" w:cs="Arial"/>
          <w:i/>
          <w:color w:val="000000"/>
          <w:sz w:val="20"/>
        </w:rPr>
        <w:t>Bird v. Lewis &amp; Clark Coll.</w:t>
      </w:r>
      <w:r>
        <w:rPr>
          <w:rFonts w:ascii="Arial" w:eastAsia="Arial" w:hAnsi="Arial" w:cs="Arial"/>
          <w:color w:val="000000"/>
          <w:sz w:val="20"/>
        </w:rPr>
        <w:t xml:space="preserve">, 303 F.3d 1015, 1020, 1022 (9th Cir. 2002); </w:t>
      </w:r>
      <w:r>
        <w:rPr>
          <w:rFonts w:ascii="Arial" w:eastAsia="Arial" w:hAnsi="Arial" w:cs="Arial"/>
          <w:i/>
          <w:color w:val="000000"/>
          <w:sz w:val="20"/>
        </w:rPr>
        <w:t>see also</w:t>
      </w:r>
      <w:r>
        <w:rPr>
          <w:rFonts w:ascii="Arial" w:eastAsia="Arial" w:hAnsi="Arial" w:cs="Arial"/>
          <w:color w:val="000000"/>
          <w:sz w:val="20"/>
        </w:rPr>
        <w:t xml:space="preserve"> 28 C.F.R. § 35.150(a).</w:t>
      </w:r>
    </w:p>
    <w:p w:rsidR="00022B47" w:rsidRDefault="00000000">
      <w:pPr>
        <w:pStyle w:val="Normal41"/>
        <w:widowControl w:val="0"/>
        <w:spacing w:before="200" w:line="260" w:lineRule="atLeast"/>
        <w:jc w:val="both"/>
      </w:pPr>
      <w:bookmarkStart w:id="6546" w:name="Bookmark_para_6_40"/>
      <w:bookmarkEnd w:id="6546"/>
      <w:r>
        <w:rPr>
          <w:rFonts w:ascii="Arial" w:eastAsia="Arial" w:hAnsi="Arial" w:cs="Arial"/>
          <w:b/>
          <w:color w:val="000000"/>
          <w:sz w:val="20"/>
        </w:rPr>
        <w:t>2</w:t>
      </w:r>
      <w:r>
        <w:rPr>
          <w:rFonts w:ascii="Arial" w:eastAsia="Arial" w:hAnsi="Arial" w:cs="Arial"/>
          <w:color w:val="000000"/>
          <w:sz w:val="20"/>
        </w:rPr>
        <w:t xml:space="preserve">. </w:t>
      </w:r>
      <w:bookmarkStart w:id="6547" w:name="Bookmark_I63HS32B2N1RDB0010000400"/>
      <w:bookmarkEnd w:id="6547"/>
      <w:r>
        <w:rPr>
          <w:rFonts w:ascii="Arial" w:eastAsia="Arial" w:hAnsi="Arial" w:cs="Arial"/>
          <w:color w:val="000000"/>
          <w:sz w:val="20"/>
        </w:rPr>
        <w:t xml:space="preserve">The district court did not err in granting summary judgment on Breyer's claim that the University failed to provide her an equal opportunity in the admissions process and doctor of psychology program once she was admitted. </w:t>
      </w:r>
      <w:bookmarkStart w:id="6548" w:name="Bookmark_LNHNREFclscc2_35"/>
      <w:bookmarkEnd w:id="6548"/>
      <w:r>
        <w:rPr>
          <w:rFonts w:ascii="Arial" w:eastAsia="Arial" w:hAnsi="Arial" w:cs="Arial"/>
          <w:color w:val="000000"/>
          <w:sz w:val="20"/>
        </w:rPr>
        <w:t xml:space="preserve">The Acts permit the University to investigate further whether an applicant meets all academic and technical requirements for admission. </w:t>
      </w:r>
      <w:bookmarkStart w:id="6549" w:name="Bookmark_I63HS3282N1RD50050000400"/>
      <w:bookmarkEnd w:id="6549"/>
      <w:r>
        <w:rPr>
          <w:rFonts w:ascii="Arial" w:eastAsia="Arial" w:hAnsi="Arial" w:cs="Arial"/>
          <w:i/>
          <w:color w:val="000000"/>
          <w:sz w:val="20"/>
        </w:rPr>
        <w:t>Se. Comm. Coll. v. Davis</w:t>
      </w:r>
      <w:r>
        <w:rPr>
          <w:rFonts w:ascii="Arial" w:eastAsia="Arial" w:hAnsi="Arial" w:cs="Arial"/>
          <w:color w:val="000000"/>
          <w:sz w:val="20"/>
        </w:rPr>
        <w:t>, 442 U.S. 397, 405, 99 S. Ct. 2361, 60 L. Ed. 2d 980 (1979). The University determined that Breyer was a strong candidate for admission and she was admitted. After admission and before Breyer began classes, the University sought to determine appropriate accommodations for Breyer such that she would be afforded an equal opportunity to participate in her academic program.</w:t>
      </w:r>
    </w:p>
    <w:p w:rsidR="00022B47" w:rsidRDefault="00000000">
      <w:pPr>
        <w:pStyle w:val="Normal41"/>
        <w:widowControl w:val="0"/>
        <w:spacing w:before="200" w:line="260" w:lineRule="atLeast"/>
        <w:jc w:val="both"/>
      </w:pPr>
      <w:bookmarkStart w:id="6550" w:name="Bookmark_para_7_40"/>
      <w:bookmarkEnd w:id="6550"/>
      <w:r>
        <w:rPr>
          <w:rFonts w:ascii="Arial" w:eastAsia="Arial" w:hAnsi="Arial" w:cs="Arial"/>
          <w:color w:val="000000"/>
          <w:sz w:val="20"/>
        </w:rPr>
        <w:t>After Breyer began classes, the University counseled her about her intended career path, informing Breyer that the adult psychology track in which she was enrolled was not well-matched with [*3]  her stated career interest in forensic psychology. The University sought to inform Breyer that internships and practicum placements might have differing requirements for certain fine motor skills. Breyer requested meetings and sought information from the University about upcoming course requirements and the need for accommodations to complete certain coursework. Contrary to Breyer's argument, the undisputed facts do not establish that the University tried to steer Breyer away from her program or provided her with an unequal opportunity on account of her disability. Nor do the undisputed facts show that University officials believed that she was unable to succeed as a student with disabilities.</w:t>
      </w:r>
    </w:p>
    <w:p w:rsidR="00022B47" w:rsidRDefault="00000000">
      <w:pPr>
        <w:pStyle w:val="Normal41"/>
        <w:widowControl w:val="0"/>
        <w:spacing w:before="200" w:line="260" w:lineRule="atLeast"/>
        <w:jc w:val="both"/>
      </w:pPr>
      <w:bookmarkStart w:id="6551" w:name="Bookmark_para_8_39"/>
      <w:bookmarkStart w:id="6552" w:name="Bookmark_I63HS32B2N1RDB0030000400"/>
      <w:bookmarkEnd w:id="6551"/>
      <w:bookmarkEnd w:id="6552"/>
      <w:r>
        <w:rPr>
          <w:rFonts w:ascii="Arial" w:eastAsia="Arial" w:hAnsi="Arial" w:cs="Arial"/>
          <w:color w:val="000000"/>
          <w:sz w:val="20"/>
        </w:rPr>
        <w:t xml:space="preserve">The University's refusal to provide Breyer with a paid personal assistant to complete certain future course requirements did not threaten Breyer's meaningful participation in the doctor of psychology program nor render her access to it unequal overall. </w:t>
      </w:r>
      <w:r>
        <w:rPr>
          <w:rFonts w:ascii="Arial" w:eastAsia="Arial" w:hAnsi="Arial" w:cs="Arial"/>
          <w:i/>
          <w:color w:val="000000"/>
          <w:sz w:val="20"/>
        </w:rPr>
        <w:t xml:space="preserve">See </w:t>
      </w:r>
      <w:bookmarkStart w:id="6553" w:name="Bookmark_I63HS32B2N1RDB0020000400"/>
      <w:bookmarkEnd w:id="6553"/>
      <w:r>
        <w:rPr>
          <w:rFonts w:ascii="Arial" w:eastAsia="Arial" w:hAnsi="Arial" w:cs="Arial"/>
          <w:i/>
          <w:color w:val="000000"/>
          <w:sz w:val="20"/>
        </w:rPr>
        <w:t>Bird</w:t>
      </w:r>
      <w:r>
        <w:rPr>
          <w:rFonts w:ascii="Arial" w:eastAsia="Arial" w:hAnsi="Arial" w:cs="Arial"/>
          <w:color w:val="000000"/>
          <w:sz w:val="20"/>
        </w:rPr>
        <w:t>, 303 F.3d at 1020, 1022. Breyer's insistence that she needed a paid personal assistant, and her subsequent withdrawal from the University two days after she made the request, occurred before the University had determined whether certain course requirements could be [*4]  modified for the following semester. Moreover, the record shows that the University granted Breyer all other accommodations requested by Breyer during the semester in which she was enrolled.</w:t>
      </w:r>
    </w:p>
    <w:p w:rsidR="00022B47" w:rsidRDefault="00000000">
      <w:pPr>
        <w:pStyle w:val="Normal41"/>
        <w:widowControl w:val="0"/>
        <w:spacing w:before="200" w:line="260" w:lineRule="atLeast"/>
        <w:jc w:val="both"/>
      </w:pPr>
      <w:bookmarkStart w:id="6554" w:name="Bookmark_para_9_38"/>
      <w:bookmarkStart w:id="6555" w:name="Bookmark_I63HS32B2N1RDB0050000400"/>
      <w:bookmarkStart w:id="6556" w:name="Bookmark_I63HS32B2D6N4T0030000400"/>
      <w:bookmarkEnd w:id="6554"/>
      <w:bookmarkEnd w:id="6555"/>
      <w:bookmarkEnd w:id="6556"/>
      <w:r>
        <w:rPr>
          <w:rFonts w:ascii="Arial" w:eastAsia="Arial" w:hAnsi="Arial" w:cs="Arial"/>
          <w:b/>
          <w:color w:val="000000"/>
          <w:sz w:val="20"/>
        </w:rPr>
        <w:t>3</w:t>
      </w:r>
      <w:r>
        <w:rPr>
          <w:rFonts w:ascii="Arial" w:eastAsia="Arial" w:hAnsi="Arial" w:cs="Arial"/>
          <w:color w:val="000000"/>
          <w:sz w:val="20"/>
        </w:rPr>
        <w:t xml:space="preserve">. The district court did not err in granting summary judgment to the University on Breyer's retaliation claim. </w:t>
      </w:r>
      <w:bookmarkStart w:id="6557" w:name="Bookmark_I63HS32B2HM6Y00040000400"/>
      <w:bookmarkStart w:id="6558" w:name="Bookmark_LNHNREFclscc3_35"/>
      <w:bookmarkEnd w:id="6557"/>
      <w:bookmarkEnd w:id="6558"/>
      <w:r>
        <w:rPr>
          <w:rFonts w:ascii="Arial" w:eastAsia="Arial" w:hAnsi="Arial" w:cs="Arial"/>
          <w:color w:val="000000"/>
          <w:sz w:val="20"/>
        </w:rPr>
        <w:t xml:space="preserve">Retaliation claims arising under the ADA are evaluated using the burden-shifting framework established in </w:t>
      </w:r>
      <w:bookmarkStart w:id="6559" w:name="Bookmark_I63HS32B2N1RDB0040000400"/>
      <w:bookmarkEnd w:id="6559"/>
      <w:r>
        <w:rPr>
          <w:rFonts w:ascii="Arial" w:eastAsia="Arial" w:hAnsi="Arial" w:cs="Arial"/>
          <w:i/>
          <w:color w:val="000000"/>
          <w:sz w:val="20"/>
        </w:rPr>
        <w:t>McDonnell Douglas Corp. v. Green</w:t>
      </w:r>
      <w:r>
        <w:rPr>
          <w:rFonts w:ascii="Arial" w:eastAsia="Arial" w:hAnsi="Arial" w:cs="Arial"/>
          <w:color w:val="000000"/>
          <w:sz w:val="20"/>
        </w:rPr>
        <w:t>, 411 U.S. 792, 93 S. Ct. 1817, 36 L. Ed. 2d 668 (1973).</w:t>
      </w:r>
      <w:r>
        <w:rPr>
          <w:rFonts w:ascii="Arial" w:eastAsia="Arial" w:hAnsi="Arial" w:cs="Arial"/>
          <w:vertAlign w:val="superscript"/>
        </w:rPr>
        <w:footnoteReference w:customMarkFollows="1" w:id="202"/>
        <w:t>1</w:t>
      </w:r>
      <w:r>
        <w:rPr>
          <w:rFonts w:ascii="Arial" w:eastAsia="Arial" w:hAnsi="Arial" w:cs="Arial"/>
          <w:color w:val="000000"/>
          <w:sz w:val="20"/>
        </w:rPr>
        <w:t xml:space="preserve"> </w:t>
      </w:r>
      <w:bookmarkStart w:id="6563" w:name="Bookmark_I63HS32B2HM6Y00010000400"/>
      <w:bookmarkEnd w:id="6563"/>
      <w:r>
        <w:rPr>
          <w:rFonts w:ascii="Arial" w:eastAsia="Arial" w:hAnsi="Arial" w:cs="Arial"/>
          <w:i/>
          <w:color w:val="000000"/>
          <w:sz w:val="20"/>
        </w:rPr>
        <w:t>T.B. ex rel. Brenneise v. San Diego Unified Sch. Dist.</w:t>
      </w:r>
      <w:r>
        <w:rPr>
          <w:rFonts w:ascii="Arial" w:eastAsia="Arial" w:hAnsi="Arial" w:cs="Arial"/>
          <w:color w:val="000000"/>
          <w:sz w:val="20"/>
        </w:rPr>
        <w:t xml:space="preserve">, 806 F.3d 451, 472-73 (9th Cir. 2015). </w:t>
      </w:r>
      <w:bookmarkStart w:id="6564" w:name="Bookmark_I63HS32B2HM6Y00040000400_2"/>
      <w:bookmarkEnd w:id="6564"/>
      <w:r>
        <w:rPr>
          <w:rFonts w:ascii="Arial" w:eastAsia="Arial" w:hAnsi="Arial" w:cs="Arial"/>
          <w:color w:val="000000"/>
          <w:sz w:val="20"/>
        </w:rPr>
        <w:t xml:space="preserve">Under that framework, a plaintiff must first establish a prima facie claim of retaliation by demonstrating that (1) she was engaged in protected activity; (2) she suffered an adverse action; and (3) a causal connection exists between the protected activity and the adverse action. </w:t>
      </w:r>
      <w:r>
        <w:rPr>
          <w:rFonts w:ascii="Arial" w:eastAsia="Arial" w:hAnsi="Arial" w:cs="Arial"/>
          <w:i/>
          <w:color w:val="000000"/>
          <w:sz w:val="20"/>
        </w:rPr>
        <w:t>Id.</w:t>
      </w:r>
      <w:r>
        <w:rPr>
          <w:rFonts w:ascii="Arial" w:eastAsia="Arial" w:hAnsi="Arial" w:cs="Arial"/>
          <w:color w:val="000000"/>
          <w:sz w:val="20"/>
        </w:rPr>
        <w:t xml:space="preserve"> (quoting </w:t>
      </w:r>
      <w:bookmarkStart w:id="6565" w:name="Bookmark_I63HS32B2HM6Y00030000400"/>
      <w:bookmarkEnd w:id="6565"/>
      <w:r>
        <w:rPr>
          <w:rFonts w:ascii="Arial" w:eastAsia="Arial" w:hAnsi="Arial" w:cs="Arial"/>
          <w:i/>
          <w:color w:val="000000"/>
          <w:sz w:val="20"/>
        </w:rPr>
        <w:t>Emeldi v. Univ. of Or.</w:t>
      </w:r>
      <w:r>
        <w:rPr>
          <w:rFonts w:ascii="Arial" w:eastAsia="Arial" w:hAnsi="Arial" w:cs="Arial"/>
          <w:color w:val="000000"/>
          <w:sz w:val="20"/>
        </w:rPr>
        <w:t xml:space="preserve">, 673 F.3d 1218, 1223 (9th Cir. 2012)); </w:t>
      </w:r>
      <w:bookmarkStart w:id="6566" w:name="Bookmark_I63HS32B2HM6Y00050000400"/>
      <w:bookmarkEnd w:id="6566"/>
      <w:r>
        <w:rPr>
          <w:rFonts w:ascii="Arial" w:eastAsia="Arial" w:hAnsi="Arial" w:cs="Arial"/>
          <w:i/>
          <w:color w:val="000000"/>
          <w:sz w:val="20"/>
        </w:rPr>
        <w:t>Ray v. Henderson</w:t>
      </w:r>
      <w:r>
        <w:rPr>
          <w:rFonts w:ascii="Arial" w:eastAsia="Arial" w:hAnsi="Arial" w:cs="Arial"/>
          <w:color w:val="000000"/>
          <w:sz w:val="20"/>
        </w:rPr>
        <w:t>, 217 F.3d 1234, 1240 (9th Cir. 2000).</w:t>
      </w:r>
    </w:p>
    <w:p w:rsidR="00022B47" w:rsidRDefault="00000000">
      <w:pPr>
        <w:pStyle w:val="Normal41"/>
        <w:widowControl w:val="0"/>
        <w:spacing w:before="200" w:line="260" w:lineRule="atLeast"/>
        <w:jc w:val="both"/>
      </w:pPr>
      <w:bookmarkStart w:id="6567" w:name="Bookmark_para_10_38"/>
      <w:bookmarkStart w:id="6568" w:name="Bookmark_I63HS32B2D6N4T0050000400"/>
      <w:bookmarkStart w:id="6569" w:name="Bookmark_I63HS32D2SF84F0040000400"/>
      <w:bookmarkStart w:id="6570" w:name="Bookmark_LNHNREFclscc5_34"/>
      <w:bookmarkEnd w:id="6567"/>
      <w:bookmarkEnd w:id="6568"/>
      <w:bookmarkEnd w:id="6569"/>
      <w:bookmarkEnd w:id="6570"/>
      <w:r>
        <w:rPr>
          <w:rFonts w:ascii="Arial" w:eastAsia="Arial" w:hAnsi="Arial" w:cs="Arial"/>
          <w:color w:val="000000"/>
          <w:sz w:val="20"/>
        </w:rPr>
        <w:t xml:space="preserve">An adverse action is any action "reasonably likely to deter [individuals] from engaging in protected activity." </w:t>
      </w:r>
      <w:bookmarkStart w:id="6571" w:name="Bookmark_I63HS32B2D6N4T0040000400"/>
      <w:bookmarkEnd w:id="6571"/>
      <w:r>
        <w:rPr>
          <w:rFonts w:ascii="Arial" w:eastAsia="Arial" w:hAnsi="Arial" w:cs="Arial"/>
          <w:i/>
          <w:color w:val="000000"/>
          <w:sz w:val="20"/>
        </w:rPr>
        <w:t>Pardi v. Kaiser Found. Hosp.</w:t>
      </w:r>
      <w:r>
        <w:rPr>
          <w:rFonts w:ascii="Arial" w:eastAsia="Arial" w:hAnsi="Arial" w:cs="Arial"/>
          <w:color w:val="000000"/>
          <w:sz w:val="20"/>
        </w:rPr>
        <w:t xml:space="preserve">, 389 F.3d 840, 850 (9th Cir. 2004); </w:t>
      </w:r>
      <w:r>
        <w:rPr>
          <w:rFonts w:ascii="Arial" w:eastAsia="Arial" w:hAnsi="Arial" w:cs="Arial"/>
          <w:i/>
          <w:color w:val="000000"/>
          <w:sz w:val="20"/>
        </w:rPr>
        <w:t xml:space="preserve">see also </w:t>
      </w:r>
      <w:bookmarkStart w:id="6572" w:name="Bookmark_I63HS32D2SF84F0010000400"/>
      <w:bookmarkEnd w:id="6572"/>
      <w:r>
        <w:rPr>
          <w:rFonts w:ascii="Arial" w:eastAsia="Arial" w:hAnsi="Arial" w:cs="Arial"/>
          <w:i/>
          <w:color w:val="000000"/>
          <w:sz w:val="20"/>
        </w:rPr>
        <w:t>Burlington N. &amp; Santa Fe Ry. Co. v. White</w:t>
      </w:r>
      <w:r>
        <w:rPr>
          <w:rFonts w:ascii="Arial" w:eastAsia="Arial" w:hAnsi="Arial" w:cs="Arial"/>
          <w:color w:val="000000"/>
          <w:sz w:val="20"/>
        </w:rPr>
        <w:t xml:space="preserve">, 548 U.S. 53, 68, 126 S. Ct. 2405, 165 L. Ed. 2d 345 (2006). Adverse actions include, among other things, tolerating harassment, depriving a person of available support services, and requiring an individual to go through unnecessary hoops. </w:t>
      </w:r>
      <w:r>
        <w:rPr>
          <w:rFonts w:ascii="Arial" w:eastAsia="Arial" w:hAnsi="Arial" w:cs="Arial"/>
          <w:i/>
          <w:color w:val="000000"/>
          <w:sz w:val="20"/>
        </w:rPr>
        <w:t xml:space="preserve">See </w:t>
      </w:r>
      <w:bookmarkStart w:id="6573" w:name="Bookmark_I63HS32D2SF84F0030000400"/>
      <w:bookmarkEnd w:id="6573"/>
      <w:r>
        <w:rPr>
          <w:rFonts w:ascii="Arial" w:eastAsia="Arial" w:hAnsi="Arial" w:cs="Arial"/>
          <w:i/>
          <w:color w:val="000000"/>
          <w:sz w:val="20"/>
        </w:rPr>
        <w:t>Ray</w:t>
      </w:r>
      <w:r>
        <w:rPr>
          <w:rFonts w:ascii="Arial" w:eastAsia="Arial" w:hAnsi="Arial" w:cs="Arial"/>
          <w:color w:val="000000"/>
          <w:sz w:val="20"/>
        </w:rPr>
        <w:t>, 217 F.3d at 1241-42 (outlining cases finding adverse actions).</w:t>
      </w:r>
    </w:p>
    <w:p w:rsidR="00022B47" w:rsidRDefault="00000000">
      <w:pPr>
        <w:pStyle w:val="Normal41"/>
        <w:widowControl w:val="0"/>
        <w:spacing w:before="200" w:line="260" w:lineRule="atLeast"/>
        <w:jc w:val="both"/>
      </w:pPr>
      <w:bookmarkStart w:id="6574" w:name="Bookmark_para_11_37"/>
      <w:bookmarkEnd w:id="6574"/>
      <w:r>
        <w:rPr>
          <w:rFonts w:ascii="Arial" w:eastAsia="Arial" w:hAnsi="Arial" w:cs="Arial"/>
          <w:color w:val="000000"/>
          <w:sz w:val="20"/>
        </w:rPr>
        <w:t xml:space="preserve">The record does not show a genuine dispute of material fact as to whether the University engaged in retaliation against Breyer. </w:t>
      </w:r>
      <w:bookmarkStart w:id="6575" w:name="Bookmark_I63HS32D2SF84K0010000400"/>
      <w:bookmarkEnd w:id="6575"/>
      <w:r>
        <w:rPr>
          <w:rFonts w:ascii="Arial" w:eastAsia="Arial" w:hAnsi="Arial" w:cs="Arial"/>
          <w:color w:val="000000"/>
          <w:sz w:val="20"/>
        </w:rPr>
        <w:t xml:space="preserve">Breyer initiated [*5]  several meetings with university officials to discuss possible accommodations and course requirements, and university officials proactively reached out to Breyer to discuss concerns that Breyer expressed during class time. There is no evidence that the University took any adverse action against Breyer to dissuade her from complaining of discrimination. Nor is there any evidence that the University failed to respond to her complaints—the University responded to each of Breyer's concerns as they arose and instructed Breyer on how to file a formal complaint. </w:t>
      </w:r>
      <w:r>
        <w:rPr>
          <w:rFonts w:ascii="Arial" w:eastAsia="Arial" w:hAnsi="Arial" w:cs="Arial"/>
          <w:i/>
          <w:color w:val="000000"/>
          <w:sz w:val="20"/>
        </w:rPr>
        <w:t xml:space="preserve">See </w:t>
      </w:r>
      <w:bookmarkStart w:id="6576" w:name="Bookmark_I63HS32D2SF84F0050000400"/>
      <w:bookmarkEnd w:id="6576"/>
      <w:r>
        <w:rPr>
          <w:rFonts w:ascii="Arial" w:eastAsia="Arial" w:hAnsi="Arial" w:cs="Arial"/>
          <w:i/>
          <w:color w:val="000000"/>
          <w:sz w:val="20"/>
        </w:rPr>
        <w:t>White</w:t>
      </w:r>
      <w:r>
        <w:rPr>
          <w:rFonts w:ascii="Arial" w:eastAsia="Arial" w:hAnsi="Arial" w:cs="Arial"/>
          <w:color w:val="000000"/>
          <w:sz w:val="20"/>
        </w:rPr>
        <w:t xml:space="preserve">, 548 U.S. at 57; </w:t>
      </w:r>
      <w:bookmarkStart w:id="6577" w:name="Bookmark_I63HS32D2SF84K0020000400"/>
      <w:bookmarkEnd w:id="6577"/>
      <w:r>
        <w:rPr>
          <w:rFonts w:ascii="Arial" w:eastAsia="Arial" w:hAnsi="Arial" w:cs="Arial"/>
          <w:i/>
          <w:color w:val="000000"/>
          <w:sz w:val="20"/>
        </w:rPr>
        <w:t>Pardi</w:t>
      </w:r>
      <w:r>
        <w:rPr>
          <w:rFonts w:ascii="Arial" w:eastAsia="Arial" w:hAnsi="Arial" w:cs="Arial"/>
          <w:color w:val="000000"/>
          <w:sz w:val="20"/>
        </w:rPr>
        <w:t>, 389 F.3d at 850.</w:t>
      </w:r>
    </w:p>
    <w:p w:rsidR="00022B47" w:rsidRDefault="00000000">
      <w:pPr>
        <w:pStyle w:val="Normal41"/>
        <w:widowControl w:val="0"/>
        <w:spacing w:before="200" w:line="260" w:lineRule="atLeast"/>
        <w:jc w:val="both"/>
      </w:pPr>
      <w:bookmarkStart w:id="6578" w:name="Bookmark_para_12_36"/>
      <w:bookmarkEnd w:id="6578"/>
      <w:r>
        <w:rPr>
          <w:rFonts w:ascii="Arial" w:eastAsia="Arial" w:hAnsi="Arial" w:cs="Arial"/>
          <w:b/>
          <w:color w:val="000000"/>
          <w:sz w:val="20"/>
        </w:rPr>
        <w:t>4</w:t>
      </w:r>
      <w:r>
        <w:rPr>
          <w:rFonts w:ascii="Arial" w:eastAsia="Arial" w:hAnsi="Arial" w:cs="Arial"/>
          <w:color w:val="000000"/>
          <w:sz w:val="20"/>
        </w:rPr>
        <w:t xml:space="preserve">. </w:t>
      </w:r>
      <w:bookmarkStart w:id="6579" w:name="Bookmark_I63HS32D2SF84K0050000400"/>
      <w:bookmarkEnd w:id="6579"/>
      <w:r>
        <w:rPr>
          <w:rFonts w:ascii="Arial" w:eastAsia="Arial" w:hAnsi="Arial" w:cs="Arial"/>
          <w:color w:val="000000"/>
          <w:sz w:val="20"/>
        </w:rPr>
        <w:t xml:space="preserve">The district court declined to recognize a hostile environment theory of disability discrimination under the Acts. Indeed, we have not held that such a claim is cognizable. But even assuming, without deciding, that such a claim is cognizable, it fails here. The record does not demonstrate that the University's actions rise to the level of severe or pervasive harassment. </w:t>
      </w:r>
      <w:r>
        <w:rPr>
          <w:rFonts w:ascii="Arial" w:eastAsia="Arial" w:hAnsi="Arial" w:cs="Arial"/>
          <w:i/>
          <w:color w:val="000000"/>
          <w:sz w:val="20"/>
        </w:rPr>
        <w:t xml:space="preserve">See </w:t>
      </w:r>
      <w:bookmarkStart w:id="6580" w:name="Bookmark_I63HS32D2SF84K0040000400"/>
      <w:bookmarkEnd w:id="6580"/>
      <w:r>
        <w:rPr>
          <w:rFonts w:ascii="Arial" w:eastAsia="Arial" w:hAnsi="Arial" w:cs="Arial"/>
          <w:i/>
          <w:color w:val="000000"/>
          <w:sz w:val="20"/>
        </w:rPr>
        <w:t>Arizona ex rel</w:t>
      </w:r>
      <w:r>
        <w:rPr>
          <w:rFonts w:ascii="Arial" w:eastAsia="Arial" w:hAnsi="Arial" w:cs="Arial"/>
          <w:color w:val="000000"/>
          <w:sz w:val="20"/>
        </w:rPr>
        <w:t xml:space="preserve">. </w:t>
      </w:r>
      <w:r>
        <w:rPr>
          <w:rFonts w:ascii="Arial" w:eastAsia="Arial" w:hAnsi="Arial" w:cs="Arial"/>
          <w:i/>
          <w:color w:val="000000"/>
          <w:sz w:val="20"/>
        </w:rPr>
        <w:t>Horne v. Geo Grp., Inc.</w:t>
      </w:r>
      <w:r>
        <w:rPr>
          <w:rFonts w:ascii="Arial" w:eastAsia="Arial" w:hAnsi="Arial" w:cs="Arial"/>
          <w:color w:val="000000"/>
          <w:sz w:val="20"/>
        </w:rPr>
        <w:t xml:space="preserve">, 816 F.3d 1189, 1206 (9th Cir. 2016). Breyer has not pointed to any evidence in the record that suggests she experienced an abusive educational environment. </w:t>
      </w:r>
      <w:r>
        <w:rPr>
          <w:rFonts w:ascii="Arial" w:eastAsia="Arial" w:hAnsi="Arial" w:cs="Arial"/>
          <w:i/>
          <w:color w:val="000000"/>
          <w:sz w:val="20"/>
        </w:rPr>
        <w:t>See id.</w:t>
      </w:r>
    </w:p>
    <w:p w:rsidR="00022B47" w:rsidRDefault="00000000">
      <w:pPr>
        <w:pStyle w:val="Normal41"/>
        <w:widowControl w:val="0"/>
        <w:spacing w:before="200" w:line="260" w:lineRule="atLeast"/>
        <w:jc w:val="both"/>
      </w:pPr>
      <w:bookmarkStart w:id="6581" w:name="Bookmark_para_13_36"/>
      <w:bookmarkEnd w:id="6581"/>
      <w:r>
        <w:rPr>
          <w:rFonts w:ascii="Arial" w:eastAsia="Arial" w:hAnsi="Arial" w:cs="Arial"/>
          <w:b/>
          <w:color w:val="000000"/>
          <w:sz w:val="20"/>
        </w:rPr>
        <w:t>5</w:t>
      </w:r>
      <w:r>
        <w:rPr>
          <w:rFonts w:ascii="Arial" w:eastAsia="Arial" w:hAnsi="Arial" w:cs="Arial"/>
          <w:color w:val="000000"/>
          <w:sz w:val="20"/>
        </w:rPr>
        <w:t xml:space="preserve">. The district court did not err in granting summary judgment on Breyer's discrimination claims relating to the admissions [*6]  process. Breyer made several references to her disability status throughout her application materials. The University did not discriminate against Breyer when it asked Breyer program-related questions about her self-disclosed functional limitations. </w:t>
      </w:r>
      <w:bookmarkStart w:id="6582" w:name="Bookmark_I63HS32F2D6N500020000400"/>
      <w:bookmarkEnd w:id="6582"/>
      <w:r>
        <w:rPr>
          <w:rFonts w:ascii="Arial" w:eastAsia="Arial" w:hAnsi="Arial" w:cs="Arial"/>
          <w:i/>
          <w:color w:val="000000"/>
          <w:sz w:val="20"/>
        </w:rPr>
        <w:t>See</w:t>
      </w:r>
      <w:r>
        <w:rPr>
          <w:rFonts w:ascii="Arial" w:eastAsia="Arial" w:hAnsi="Arial" w:cs="Arial"/>
          <w:color w:val="000000"/>
          <w:sz w:val="20"/>
        </w:rPr>
        <w:t xml:space="preserve"> 34 C.F.R. § 104.42(b)(4). </w:t>
      </w:r>
      <w:bookmarkStart w:id="6583" w:name="Bookmark_LNHNREFclscc6_29"/>
      <w:bookmarkEnd w:id="6583"/>
      <w:r>
        <w:rPr>
          <w:rFonts w:ascii="Arial" w:eastAsia="Arial" w:hAnsi="Arial" w:cs="Arial"/>
          <w:color w:val="000000"/>
          <w:sz w:val="20"/>
        </w:rPr>
        <w:t xml:space="preserve">Inquiries about an applicant's functional limitations are permissible because they address whether a person is qualified for a program. </w:t>
      </w:r>
      <w:r>
        <w:rPr>
          <w:rFonts w:ascii="Arial" w:eastAsia="Arial" w:hAnsi="Arial" w:cs="Arial"/>
          <w:i/>
          <w:color w:val="000000"/>
          <w:sz w:val="20"/>
        </w:rPr>
        <w:t xml:space="preserve">See </w:t>
      </w:r>
      <w:bookmarkStart w:id="6584" w:name="Bookmark_I63HS32F2D6N500010000400"/>
      <w:bookmarkEnd w:id="6584"/>
      <w:r>
        <w:rPr>
          <w:rFonts w:ascii="Arial" w:eastAsia="Arial" w:hAnsi="Arial" w:cs="Arial"/>
          <w:i/>
          <w:color w:val="000000"/>
          <w:sz w:val="20"/>
        </w:rPr>
        <w:t>Wong v. Regents of Univ. of Cal.</w:t>
      </w:r>
      <w:r>
        <w:rPr>
          <w:rFonts w:ascii="Arial" w:eastAsia="Arial" w:hAnsi="Arial" w:cs="Arial"/>
          <w:color w:val="000000"/>
          <w:sz w:val="20"/>
        </w:rPr>
        <w:t>, 192 F.3d 807, 817 (9th Cir. 1999); 34 C.F.R. § 104.42(a); 45 C.F.R. § 84.3(l)(3).</w:t>
      </w:r>
    </w:p>
    <w:p w:rsidR="00022B47" w:rsidRDefault="00000000">
      <w:pPr>
        <w:pStyle w:val="Normal41"/>
        <w:widowControl w:val="0"/>
        <w:spacing w:before="200" w:line="260" w:lineRule="atLeast"/>
        <w:jc w:val="both"/>
      </w:pPr>
      <w:bookmarkStart w:id="6585" w:name="Bookmark_para_14_36"/>
      <w:bookmarkStart w:id="6586" w:name="Bookmark_I63HS32F2D6N500040000400"/>
      <w:bookmarkEnd w:id="6585"/>
      <w:bookmarkEnd w:id="6586"/>
      <w:r>
        <w:rPr>
          <w:rFonts w:ascii="Arial" w:eastAsia="Arial" w:hAnsi="Arial" w:cs="Arial"/>
          <w:b/>
          <w:color w:val="000000"/>
          <w:sz w:val="20"/>
        </w:rPr>
        <w:t>6</w:t>
      </w:r>
      <w:r>
        <w:rPr>
          <w:rFonts w:ascii="Arial" w:eastAsia="Arial" w:hAnsi="Arial" w:cs="Arial"/>
          <w:color w:val="000000"/>
          <w:sz w:val="20"/>
        </w:rPr>
        <w:t xml:space="preserve">. The district court did not err in granting summary judgment on Breyer's reasonable modification and auxiliary aid claims. </w:t>
      </w:r>
      <w:bookmarkStart w:id="6587" w:name="Bookmark_LNHNREFclscc7_28"/>
      <w:bookmarkEnd w:id="6587"/>
      <w:r>
        <w:rPr>
          <w:rFonts w:ascii="Arial" w:eastAsia="Arial" w:hAnsi="Arial" w:cs="Arial"/>
          <w:color w:val="000000"/>
          <w:sz w:val="20"/>
        </w:rPr>
        <w:t xml:space="preserve">A university is only required to make reasonable accommodations, </w:t>
      </w:r>
      <w:bookmarkStart w:id="6588" w:name="Bookmark_I63HS32F2D6N500030000400"/>
      <w:bookmarkEnd w:id="6588"/>
      <w:r>
        <w:rPr>
          <w:rFonts w:ascii="Arial" w:eastAsia="Arial" w:hAnsi="Arial" w:cs="Arial"/>
          <w:i/>
          <w:color w:val="000000"/>
          <w:sz w:val="20"/>
        </w:rPr>
        <w:t>Baughman v. Walt Disney World Co.</w:t>
      </w:r>
      <w:r>
        <w:rPr>
          <w:rFonts w:ascii="Arial" w:eastAsia="Arial" w:hAnsi="Arial" w:cs="Arial"/>
          <w:color w:val="000000"/>
          <w:sz w:val="20"/>
        </w:rPr>
        <w:t xml:space="preserve">, 685 F.3d 1131, 1135 (9th Cir. 2012), and is not required to make fundamental or substantial modifications to its programs for a student with disabilities, </w:t>
      </w:r>
      <w:bookmarkStart w:id="6589" w:name="Bookmark_I63HS32F2D6N500050000400"/>
      <w:bookmarkEnd w:id="6589"/>
      <w:r>
        <w:rPr>
          <w:rFonts w:ascii="Arial" w:eastAsia="Arial" w:hAnsi="Arial" w:cs="Arial"/>
          <w:i/>
          <w:color w:val="000000"/>
          <w:sz w:val="20"/>
        </w:rPr>
        <w:t>Bird</w:t>
      </w:r>
      <w:r>
        <w:rPr>
          <w:rFonts w:ascii="Arial" w:eastAsia="Arial" w:hAnsi="Arial" w:cs="Arial"/>
          <w:color w:val="000000"/>
          <w:sz w:val="20"/>
        </w:rPr>
        <w:t xml:space="preserve">, 303 F.3d at 1020 (citing </w:t>
      </w:r>
      <w:bookmarkStart w:id="6590" w:name="Bookmark_I63HS32F28T4SM0020000400"/>
      <w:bookmarkEnd w:id="6590"/>
      <w:r>
        <w:rPr>
          <w:rFonts w:ascii="Arial" w:eastAsia="Arial" w:hAnsi="Arial" w:cs="Arial"/>
          <w:i/>
          <w:color w:val="000000"/>
          <w:sz w:val="20"/>
        </w:rPr>
        <w:t>Alexander v. Choate</w:t>
      </w:r>
      <w:r>
        <w:rPr>
          <w:rFonts w:ascii="Arial" w:eastAsia="Arial" w:hAnsi="Arial" w:cs="Arial"/>
          <w:color w:val="000000"/>
          <w:sz w:val="20"/>
        </w:rPr>
        <w:t xml:space="preserve">, 469 U.S. 287, 300, 105 S. Ct. 712, 83 L. Ed. 2d 661 (1985)). </w:t>
      </w:r>
      <w:r>
        <w:rPr>
          <w:rFonts w:ascii="Arial" w:eastAsia="Arial" w:hAnsi="Arial" w:cs="Arial"/>
          <w:i/>
          <w:color w:val="000000"/>
          <w:sz w:val="20"/>
        </w:rPr>
        <w:t>See also</w:t>
      </w:r>
      <w:r>
        <w:rPr>
          <w:rFonts w:ascii="Arial" w:eastAsia="Arial" w:hAnsi="Arial" w:cs="Arial"/>
          <w:color w:val="000000"/>
          <w:sz w:val="20"/>
        </w:rPr>
        <w:t xml:space="preserve"> 42 U.S.C. § 12182(b)(2)(A)(ii); 34 C.F.R. §§ 104.44(a), 104.44(d)(2); 28 C.F.R. §§ 36.303(a), 36.306. Although Breyer withdrew from the university mid-way through her first semester, after the University denied her request for a paid personal assistant, the officials in charge of her academic program were still researching which reasonable accommodations would be appropriate in light of future course requirements. The record shows that the University granted Breyer every accommodation that she requested to facilitate her participation in her first semester [*7]  classes.</w:t>
      </w:r>
    </w:p>
    <w:p w:rsidR="00022B47" w:rsidRDefault="00000000">
      <w:pPr>
        <w:pStyle w:val="Normal41"/>
        <w:widowControl w:val="0"/>
        <w:spacing w:before="200" w:line="260" w:lineRule="atLeast"/>
        <w:jc w:val="both"/>
      </w:pPr>
      <w:bookmarkStart w:id="6591" w:name="Bookmark_para_15_34"/>
      <w:bookmarkEnd w:id="6591"/>
      <w:r>
        <w:rPr>
          <w:rFonts w:ascii="Arial" w:eastAsia="Arial" w:hAnsi="Arial" w:cs="Arial"/>
          <w:b/>
          <w:color w:val="000000"/>
          <w:sz w:val="20"/>
        </w:rPr>
        <w:t>7</w:t>
      </w:r>
      <w:r>
        <w:rPr>
          <w:rFonts w:ascii="Arial" w:eastAsia="Arial" w:hAnsi="Arial" w:cs="Arial"/>
          <w:color w:val="000000"/>
          <w:sz w:val="20"/>
        </w:rPr>
        <w:t xml:space="preserve">. The district court did not err in granting summary judgment on all of Breyer's claims. The University moved for summary judgment against each of Breyer's claims as alleged in the Second Amended Complaint. </w:t>
      </w:r>
      <w:bookmarkStart w:id="6592" w:name="Bookmark_LNHNREFclscc8_25"/>
      <w:bookmarkEnd w:id="6592"/>
      <w:r>
        <w:rPr>
          <w:rFonts w:ascii="Arial" w:eastAsia="Arial" w:hAnsi="Arial" w:cs="Arial"/>
          <w:color w:val="000000"/>
          <w:sz w:val="20"/>
        </w:rPr>
        <w:t>Summary judgment is appropriate where, as here, there is no genuine dispute of material fact, Fed. R. Civ. P. 56(a), and the moving party is entitled to judgment as a matter of law.</w:t>
      </w:r>
    </w:p>
    <w:p w:rsidR="00022B47" w:rsidRDefault="00000000">
      <w:pPr>
        <w:pStyle w:val="Normal41"/>
        <w:widowControl w:val="0"/>
        <w:spacing w:before="200" w:line="260" w:lineRule="atLeast"/>
        <w:jc w:val="both"/>
      </w:pPr>
      <w:bookmarkStart w:id="6593" w:name="Bookmark_para_16_34"/>
      <w:bookmarkEnd w:id="6593"/>
      <w:r>
        <w:rPr>
          <w:rFonts w:ascii="Arial" w:eastAsia="Arial" w:hAnsi="Arial" w:cs="Arial"/>
          <w:b/>
          <w:color w:val="000000"/>
          <w:sz w:val="20"/>
        </w:rPr>
        <w:t>AFFIRMED</w:t>
      </w:r>
      <w:r>
        <w:rPr>
          <w:rFonts w:ascii="Arial" w:eastAsia="Arial" w:hAnsi="Arial" w:cs="Arial"/>
          <w:color w:val="000000"/>
          <w:sz w:val="20"/>
        </w:rPr>
        <w:t>.</w:t>
      </w:r>
    </w:p>
    <w:p w:rsidR="00022B47" w:rsidRDefault="00000000">
      <w:pPr>
        <w:pStyle w:val="Normal41"/>
        <w:widowControl w:val="0"/>
        <w:spacing w:before="240" w:line="260" w:lineRule="atLeast"/>
      </w:pPr>
      <w:bookmarkStart w:id="6594" w:name="Dissent_by_1"/>
      <w:bookmarkEnd w:id="6594"/>
      <w:r>
        <w:rPr>
          <w:rFonts w:ascii="Arial" w:eastAsia="Arial" w:hAnsi="Arial" w:cs="Arial"/>
          <w:b/>
          <w:color w:val="000000"/>
          <w:sz w:val="20"/>
        </w:rPr>
        <w:t>Dissent by:</w:t>
      </w:r>
      <w:r>
        <w:rPr>
          <w:rFonts w:ascii="Arial" w:eastAsia="Arial" w:hAnsi="Arial" w:cs="Arial"/>
          <w:color w:val="000000"/>
          <w:sz w:val="20"/>
        </w:rPr>
        <w:t> BENNETT (In Part)</w:t>
      </w:r>
    </w:p>
    <w:p w:rsidR="00022B47" w:rsidRDefault="00000000">
      <w:pPr>
        <w:pStyle w:val="Normal41"/>
        <w:keepNext/>
        <w:widowControl w:val="0"/>
        <w:spacing w:before="240" w:line="340" w:lineRule="atLeast"/>
      </w:pPr>
      <w:bookmarkStart w:id="6595" w:name="Dissent_1"/>
      <w:bookmarkEnd w:id="6595"/>
      <w:r>
        <w:rPr>
          <w:rFonts w:ascii="Arial" w:eastAsia="Arial" w:hAnsi="Arial" w:cs="Arial"/>
          <w:b/>
          <w:color w:val="000000"/>
          <w:sz w:val="28"/>
        </w:rPr>
        <w:t>Dissent</w:t>
      </w:r>
    </w:p>
    <w:p w:rsidR="00022B47" w:rsidRDefault="0025213E">
      <w:pPr>
        <w:pStyle w:val="Normal41"/>
        <w:spacing w:line="60" w:lineRule="exact"/>
      </w:pPr>
      <w:r>
        <w:rPr>
          <w:noProof/>
        </w:rPr>
        <mc:AlternateContent>
          <mc:Choice Requires="wps">
            <w:drawing>
              <wp:anchor distT="0" distB="0" distL="114300" distR="114300" simplePos="0" relativeHeight="251746304"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103161593"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F881B4" id="Line 88"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41"/>
      </w:pPr>
    </w:p>
    <w:p w:rsidR="00022B47" w:rsidRDefault="00000000">
      <w:pPr>
        <w:pStyle w:val="Normal41"/>
        <w:widowControl w:val="0"/>
        <w:spacing w:before="200" w:line="260" w:lineRule="atLeast"/>
        <w:jc w:val="both"/>
      </w:pPr>
      <w:bookmarkStart w:id="6596" w:name="Bookmark_para_17_33"/>
      <w:bookmarkEnd w:id="6596"/>
      <w:r>
        <w:rPr>
          <w:rFonts w:ascii="Arial" w:eastAsia="Arial" w:hAnsi="Arial" w:cs="Arial"/>
          <w:color w:val="000000"/>
          <w:sz w:val="20"/>
        </w:rPr>
        <w:t>BENNETT, Circuit Judge, dissenting in part:</w:t>
      </w:r>
    </w:p>
    <w:p w:rsidR="00022B47" w:rsidRDefault="00000000">
      <w:pPr>
        <w:pStyle w:val="Normal41"/>
        <w:widowControl w:val="0"/>
        <w:spacing w:before="200" w:line="260" w:lineRule="atLeast"/>
        <w:jc w:val="both"/>
      </w:pPr>
      <w:bookmarkStart w:id="6597" w:name="Bookmark_para_18_32"/>
      <w:bookmarkStart w:id="6598" w:name="Bookmark_I2M677DCDN400002PDG0001B"/>
      <w:bookmarkStart w:id="6599" w:name="Bookmark_I63HS32F28T4SM0050000400"/>
      <w:bookmarkStart w:id="6600" w:name="Bookmark_I2M677DCBXH00002PDG00019"/>
      <w:bookmarkStart w:id="6601" w:name="Bookmark_I63HS32H2N1RDX0020000400"/>
      <w:bookmarkEnd w:id="6597"/>
      <w:bookmarkEnd w:id="6598"/>
      <w:bookmarkEnd w:id="6599"/>
      <w:bookmarkEnd w:id="6600"/>
      <w:bookmarkEnd w:id="6601"/>
      <w:r>
        <w:rPr>
          <w:rFonts w:ascii="Arial" w:eastAsia="Arial" w:hAnsi="Arial" w:cs="Arial"/>
          <w:color w:val="000000"/>
          <w:sz w:val="20"/>
        </w:rPr>
        <w:t xml:space="preserve">The failure to reasonably accommodate an otherwise qualified individual's disability is discrimination under Section 504 of the Rehabilitation Act. </w:t>
      </w:r>
      <w:bookmarkStart w:id="6602" w:name="Bookmark_I63HS32F28T4SM0040000400"/>
      <w:bookmarkEnd w:id="6602"/>
      <w:r>
        <w:rPr>
          <w:rFonts w:ascii="Arial" w:eastAsia="Arial" w:hAnsi="Arial" w:cs="Arial"/>
          <w:i/>
          <w:color w:val="000000"/>
          <w:sz w:val="20"/>
        </w:rPr>
        <w:t>Alexander v. Choate</w:t>
      </w:r>
      <w:r>
        <w:rPr>
          <w:rFonts w:ascii="Arial" w:eastAsia="Arial" w:hAnsi="Arial" w:cs="Arial"/>
          <w:color w:val="000000"/>
          <w:sz w:val="20"/>
        </w:rPr>
        <w:t xml:space="preserve">, 469 U.S. 287, 300-01, 105 S. Ct. 712, 83 L. Ed. 2d 661 (1985). An individual is "otherwise qualified" if she "is able to meet all of a program's requirements in spite of [her] handicap." </w:t>
      </w:r>
      <w:bookmarkStart w:id="6603" w:name="Bookmark_I63HS32H2N1RDX0010000400"/>
      <w:bookmarkEnd w:id="6603"/>
      <w:r>
        <w:rPr>
          <w:rFonts w:ascii="Arial" w:eastAsia="Arial" w:hAnsi="Arial" w:cs="Arial"/>
          <w:i/>
          <w:color w:val="000000"/>
          <w:sz w:val="20"/>
        </w:rPr>
        <w:t>Se</w:t>
      </w:r>
      <w:r>
        <w:rPr>
          <w:rFonts w:ascii="Arial" w:eastAsia="Arial" w:hAnsi="Arial" w:cs="Arial"/>
          <w:color w:val="000000"/>
          <w:sz w:val="20"/>
        </w:rPr>
        <w:t xml:space="preserve">. </w:t>
      </w:r>
      <w:r>
        <w:rPr>
          <w:rFonts w:ascii="Arial" w:eastAsia="Arial" w:hAnsi="Arial" w:cs="Arial"/>
          <w:i/>
          <w:color w:val="000000"/>
          <w:sz w:val="20"/>
        </w:rPr>
        <w:t>Cmty. Coll. v. Davis</w:t>
      </w:r>
      <w:r>
        <w:rPr>
          <w:rFonts w:ascii="Arial" w:eastAsia="Arial" w:hAnsi="Arial" w:cs="Arial"/>
          <w:color w:val="000000"/>
          <w:sz w:val="20"/>
        </w:rPr>
        <w:t>, 442 U.S. 397, 406, 99 S. Ct. 2361, 60 L. Ed. 2d 980 (1979). Title III of the ADA likewise makes it actionable discrimination to fail to make reasonable modifications that are necessary to accommodate an individual's disability, unless a proposed modification would "fundamentally alter" the service being offered. 42 U.S.C. § 12182(b)(2)(A)(ii).</w:t>
      </w:r>
    </w:p>
    <w:p w:rsidR="00022B47" w:rsidRDefault="00000000">
      <w:pPr>
        <w:pStyle w:val="Normal41"/>
        <w:widowControl w:val="0"/>
        <w:spacing w:before="200" w:line="260" w:lineRule="atLeast"/>
        <w:jc w:val="both"/>
      </w:pPr>
      <w:bookmarkStart w:id="6604" w:name="Bookmark_para_19_31"/>
      <w:bookmarkEnd w:id="6604"/>
      <w:r>
        <w:rPr>
          <w:rFonts w:ascii="Arial" w:eastAsia="Arial" w:hAnsi="Arial" w:cs="Arial"/>
          <w:color w:val="000000"/>
          <w:sz w:val="20"/>
        </w:rPr>
        <w:t>Defendant-Appellee Pacific University ("Pacific") was concerned that Plaintiff-Appellant Rebekah Breyer would be unable to complete certain parts of her cognitive assessment course unaccommodated. During one meeting, the Director of Diversity, [*8]  Dr. Susan Li, expressed that Breyer's current accommodations "did not appear to be sufficient to provide [her] the support that she would need in the area of assessment." In particular, Dr. Li was concerned that the standardized testing component of the assessment course would "require timed administrations and manipulation of materials," and that "any nonstandard administration might result in unreliable and invalid test results." Those concerns were reiterated in a subsequent meeting between Breyer and the Director of the School of Professional Psychology, Dr. Jennifer Clark, who also explained that the cognitive assessment course would require "manipulation of materials and using a [stopwatch] to administer timed subtests"; that the validity of test results might be affected "if not administered according to standardized procedures"; and that Pacific would "gather more information about accommodations."</w:t>
      </w:r>
    </w:p>
    <w:p w:rsidR="00022B47" w:rsidRDefault="00000000">
      <w:pPr>
        <w:pStyle w:val="Normal41"/>
        <w:widowControl w:val="0"/>
        <w:spacing w:before="200" w:line="260" w:lineRule="atLeast"/>
        <w:jc w:val="both"/>
      </w:pPr>
      <w:bookmarkStart w:id="6605" w:name="Bookmark_para_20_31"/>
      <w:bookmarkEnd w:id="6605"/>
      <w:r>
        <w:rPr>
          <w:rFonts w:ascii="Arial" w:eastAsia="Arial" w:hAnsi="Arial" w:cs="Arial"/>
          <w:color w:val="000000"/>
          <w:sz w:val="20"/>
        </w:rPr>
        <w:t xml:space="preserve">Responding to those concerns, Breyer took the initiative to research and request a possible accommodation—an assistant provided by Pacific to perform the tasks that she would be unable to perform due to her disability. Dr. Clark granted this request on behalf of Pacific, allowing [*9]  Breyer to "complete the requirements of the coursework with the assistance of someone who would administer the testing." Yet there was one important caveat: the cost of an assistant would be </w:t>
      </w:r>
      <w:r>
        <w:rPr>
          <w:rFonts w:ascii="Arial" w:eastAsia="Arial" w:hAnsi="Arial" w:cs="Arial"/>
          <w:i/>
          <w:color w:val="000000"/>
          <w:sz w:val="20"/>
        </w:rPr>
        <w:t>Breyer's</w:t>
      </w:r>
      <w:r>
        <w:rPr>
          <w:rFonts w:ascii="Arial" w:eastAsia="Arial" w:hAnsi="Arial" w:cs="Arial"/>
          <w:color w:val="000000"/>
          <w:sz w:val="20"/>
        </w:rPr>
        <w:t xml:space="preserve"> responsibility.</w:t>
      </w:r>
      <w:r>
        <w:rPr>
          <w:rFonts w:ascii="Arial" w:eastAsia="Arial" w:hAnsi="Arial" w:cs="Arial"/>
          <w:vertAlign w:val="superscript"/>
        </w:rPr>
        <w:footnoteReference w:customMarkFollows="1" w:id="203"/>
        <w:t>1</w:t>
      </w:r>
    </w:p>
    <w:p w:rsidR="00022B47" w:rsidRDefault="00000000">
      <w:pPr>
        <w:pStyle w:val="Normal41"/>
        <w:widowControl w:val="0"/>
        <w:spacing w:before="200" w:line="260" w:lineRule="atLeast"/>
        <w:jc w:val="both"/>
      </w:pPr>
      <w:bookmarkStart w:id="6608" w:name="Bookmark_para_22_29"/>
      <w:bookmarkStart w:id="6609" w:name="Bookmark_I2M677DC95S00002PDG00018"/>
      <w:bookmarkStart w:id="6610" w:name="Bookmark_I63HS32H2N1RDX0040000400"/>
      <w:bookmarkEnd w:id="6608"/>
      <w:bookmarkEnd w:id="6609"/>
      <w:bookmarkEnd w:id="6610"/>
      <w:r>
        <w:rPr>
          <w:rFonts w:ascii="Arial" w:eastAsia="Arial" w:hAnsi="Arial" w:cs="Arial"/>
          <w:color w:val="000000"/>
          <w:sz w:val="20"/>
        </w:rPr>
        <w:t xml:space="preserve">In other words, Pacific determined that Breyer did not have to administer the standardized tests to complete the cognitive assessment course and thus necessarily determined that doing so was </w:t>
      </w:r>
      <w:r>
        <w:rPr>
          <w:rFonts w:ascii="Arial" w:eastAsia="Arial" w:hAnsi="Arial" w:cs="Arial"/>
          <w:i/>
          <w:color w:val="000000"/>
          <w:sz w:val="20"/>
        </w:rPr>
        <w:t>not</w:t>
      </w:r>
      <w:r>
        <w:rPr>
          <w:rFonts w:ascii="Arial" w:eastAsia="Arial" w:hAnsi="Arial" w:cs="Arial"/>
          <w:color w:val="000000"/>
          <w:sz w:val="20"/>
        </w:rPr>
        <w:t xml:space="preserve"> a "requirement" of the Doctor of Clinical Psychology Program and would </w:t>
      </w:r>
      <w:r>
        <w:rPr>
          <w:rFonts w:ascii="Arial" w:eastAsia="Arial" w:hAnsi="Arial" w:cs="Arial"/>
          <w:i/>
          <w:color w:val="000000"/>
          <w:sz w:val="20"/>
        </w:rPr>
        <w:t>not</w:t>
      </w:r>
      <w:r>
        <w:rPr>
          <w:rFonts w:ascii="Arial" w:eastAsia="Arial" w:hAnsi="Arial" w:cs="Arial"/>
          <w:color w:val="000000"/>
          <w:sz w:val="20"/>
        </w:rPr>
        <w:t xml:space="preserve"> "fundamentally alter" it. Those determinations meant that under both the Rehabilitation Act and the ADA, Pacific owed Breyer a duty to reasonably accommodate her disability. Pacific failed that duty, and thus discriminated against her, when it refused to provide the accommodation she requested or to suggest a reasonable alternative. [*10]  </w:t>
      </w:r>
      <w:r>
        <w:rPr>
          <w:rFonts w:ascii="Arial" w:eastAsia="Arial" w:hAnsi="Arial" w:cs="Arial"/>
          <w:i/>
          <w:color w:val="000000"/>
          <w:sz w:val="20"/>
        </w:rPr>
        <w:t xml:space="preserve">See </w:t>
      </w:r>
      <w:bookmarkStart w:id="6611" w:name="Bookmark_I63HS32H2N1RDX0030000400"/>
      <w:bookmarkEnd w:id="6611"/>
      <w:r>
        <w:rPr>
          <w:rFonts w:ascii="Arial" w:eastAsia="Arial" w:hAnsi="Arial" w:cs="Arial"/>
          <w:i/>
          <w:color w:val="000000"/>
          <w:sz w:val="20"/>
        </w:rPr>
        <w:t>Stewart v. Happy Herman's Cheshire Bridge, Inc.</w:t>
      </w:r>
      <w:r>
        <w:rPr>
          <w:rFonts w:ascii="Arial" w:eastAsia="Arial" w:hAnsi="Arial" w:cs="Arial"/>
          <w:color w:val="000000"/>
          <w:sz w:val="20"/>
        </w:rPr>
        <w:t>, 117 F.3d 1278, 1286 (11th Cir. 1997) ("[A] qualified individual with a disability is not entitled to the accommodation of her choice, but only to a reasonable accommodation." (quotation marks and citation omitted)).</w:t>
      </w:r>
    </w:p>
    <w:p w:rsidR="00022B47" w:rsidRDefault="00000000">
      <w:pPr>
        <w:pStyle w:val="Normal41"/>
        <w:widowControl w:val="0"/>
        <w:spacing w:before="200" w:line="260" w:lineRule="atLeast"/>
        <w:jc w:val="both"/>
      </w:pPr>
      <w:bookmarkStart w:id="6612" w:name="Bookmark_para_23_28"/>
      <w:bookmarkEnd w:id="6612"/>
      <w:r>
        <w:rPr>
          <w:rFonts w:ascii="Arial" w:eastAsia="Arial" w:hAnsi="Arial" w:cs="Arial"/>
          <w:color w:val="000000"/>
          <w:sz w:val="20"/>
        </w:rPr>
        <w:t>The majority avoids that conclusion and affirms summary judgment on Breyer's reasonable accommodation claim under the belief that "officials in charge of [Breyer's] academic program were still researching which reasonable accommodations would be appropriate in light of future course requirements." Majority at 6-7. But this belief finds no support in the record. At the very least, it is subject to a genuine factual dispute.</w:t>
      </w:r>
    </w:p>
    <w:p w:rsidR="00022B47" w:rsidRDefault="00000000">
      <w:pPr>
        <w:pStyle w:val="Normal41"/>
        <w:widowControl w:val="0"/>
        <w:spacing w:before="200" w:line="260" w:lineRule="atLeast"/>
        <w:jc w:val="both"/>
      </w:pPr>
      <w:bookmarkStart w:id="6613" w:name="Bookmark_para_24_26"/>
      <w:bookmarkEnd w:id="6613"/>
      <w:r>
        <w:rPr>
          <w:rFonts w:ascii="Arial" w:eastAsia="Arial" w:hAnsi="Arial" w:cs="Arial"/>
          <w:color w:val="000000"/>
          <w:sz w:val="20"/>
        </w:rPr>
        <w:t xml:space="preserve">On the Sunday </w:t>
      </w:r>
      <w:r>
        <w:rPr>
          <w:rFonts w:ascii="Arial" w:eastAsia="Arial" w:hAnsi="Arial" w:cs="Arial"/>
          <w:i/>
          <w:color w:val="000000"/>
          <w:sz w:val="20"/>
        </w:rPr>
        <w:t>before</w:t>
      </w:r>
      <w:r>
        <w:rPr>
          <w:rFonts w:ascii="Arial" w:eastAsia="Arial" w:hAnsi="Arial" w:cs="Arial"/>
          <w:color w:val="000000"/>
          <w:sz w:val="20"/>
        </w:rPr>
        <w:t xml:space="preserve"> Dr. Clark decided to allow Breyer to use an assistant at her own expense, Dr. Clark was indeed still exploring "what accommodations would be allowable and acceptable." It was her "plan to address/discuss these issues on Monday with involved faculty," and indeed by Monday, Dr. Clark </w:t>
      </w:r>
      <w:r>
        <w:rPr>
          <w:rFonts w:ascii="Arial" w:eastAsia="Arial" w:hAnsi="Arial" w:cs="Arial"/>
          <w:i/>
          <w:color w:val="000000"/>
          <w:sz w:val="20"/>
        </w:rPr>
        <w:t>had</w:t>
      </w:r>
      <w:r>
        <w:rPr>
          <w:rFonts w:ascii="Arial" w:eastAsia="Arial" w:hAnsi="Arial" w:cs="Arial"/>
          <w:color w:val="000000"/>
          <w:sz w:val="20"/>
        </w:rPr>
        <w:t xml:space="preserve"> determined that allowing Breyer to use an assistant to administer the standardized tests </w:t>
      </w:r>
      <w:r>
        <w:rPr>
          <w:rFonts w:ascii="Arial" w:eastAsia="Arial" w:hAnsi="Arial" w:cs="Arial"/>
          <w:i/>
          <w:color w:val="000000"/>
          <w:sz w:val="20"/>
        </w:rPr>
        <w:t>was</w:t>
      </w:r>
      <w:r>
        <w:rPr>
          <w:rFonts w:ascii="Arial" w:eastAsia="Arial" w:hAnsi="Arial" w:cs="Arial"/>
          <w:color w:val="000000"/>
          <w:sz w:val="20"/>
        </w:rPr>
        <w:t xml:space="preserve"> an allowable and acceptable accommodation. Pacific was simply unwilling to pay for the accommodation, or to offer to provide any of the obvious alternatives to a paid assistant, such as allowing [*11]  another student to administer the tests on Breyer's behalf.</w:t>
      </w:r>
    </w:p>
    <w:p w:rsidR="00022B47" w:rsidRDefault="00000000">
      <w:pPr>
        <w:pStyle w:val="Normal41"/>
        <w:widowControl w:val="0"/>
        <w:spacing w:before="200" w:line="260" w:lineRule="atLeast"/>
        <w:jc w:val="both"/>
      </w:pPr>
      <w:bookmarkStart w:id="6614" w:name="Bookmark_para_25_25"/>
      <w:bookmarkStart w:id="6615" w:name="Bookmark_I2M677DC5VR00002PDG00016"/>
      <w:bookmarkStart w:id="6616" w:name="Bookmark_I2M677DC7JN00002PDG00017"/>
      <w:bookmarkStart w:id="6617" w:name="Bookmark_I63HS32H2D6N5B0010000400"/>
      <w:bookmarkEnd w:id="6614"/>
      <w:bookmarkEnd w:id="6615"/>
      <w:bookmarkEnd w:id="6616"/>
      <w:bookmarkEnd w:id="6617"/>
      <w:r>
        <w:rPr>
          <w:rFonts w:ascii="Arial" w:eastAsia="Arial" w:hAnsi="Arial" w:cs="Arial"/>
          <w:color w:val="000000"/>
          <w:sz w:val="20"/>
        </w:rPr>
        <w:t>In short, Pacific has presented no evidence that it was "still researching what reasonable accommodations would be appropriate" when it refused to pay for a personal assistant—</w:t>
      </w:r>
      <w:r>
        <w:rPr>
          <w:rFonts w:ascii="Arial" w:eastAsia="Arial" w:hAnsi="Arial" w:cs="Arial"/>
          <w:i/>
          <w:color w:val="000000"/>
          <w:sz w:val="20"/>
        </w:rPr>
        <w:t>i.e.</w:t>
      </w:r>
      <w:r>
        <w:rPr>
          <w:rFonts w:ascii="Arial" w:eastAsia="Arial" w:hAnsi="Arial" w:cs="Arial"/>
          <w:color w:val="000000"/>
          <w:sz w:val="20"/>
        </w:rPr>
        <w:t xml:space="preserve">, it has presented no evidence to undermine Breyer's claim that it outright denied her request for a reasonable accommodation. Nor has it shown—or even argued—that providing Breyer an assistant (or any other available accommodation) would have caused undue hardship. </w:t>
      </w:r>
      <w:r>
        <w:rPr>
          <w:rFonts w:ascii="Arial" w:eastAsia="Arial" w:hAnsi="Arial" w:cs="Arial"/>
          <w:i/>
          <w:color w:val="000000"/>
          <w:sz w:val="20"/>
        </w:rPr>
        <w:t xml:space="preserve">See </w:t>
      </w:r>
      <w:bookmarkStart w:id="6618" w:name="Bookmark_I63HS32H2N1RDX0050000400"/>
      <w:bookmarkEnd w:id="6618"/>
      <w:r>
        <w:rPr>
          <w:rFonts w:ascii="Arial" w:eastAsia="Arial" w:hAnsi="Arial" w:cs="Arial"/>
          <w:i/>
          <w:color w:val="000000"/>
          <w:sz w:val="20"/>
        </w:rPr>
        <w:t>Vinson v. Thomas</w:t>
      </w:r>
      <w:r>
        <w:rPr>
          <w:rFonts w:ascii="Arial" w:eastAsia="Arial" w:hAnsi="Arial" w:cs="Arial"/>
          <w:color w:val="000000"/>
          <w:sz w:val="20"/>
        </w:rPr>
        <w:t xml:space="preserve">, 288 F.3d 1145, 1154 (9th Cir. 2002) (under the Rehabilitation Act, the defendant bears the burden of producing evidence that an accommodation is not reasonable after the plaintiff produces evidence that an accommodation is possible); </w:t>
      </w:r>
      <w:bookmarkStart w:id="6619" w:name="Bookmark_I63HS32H2D6N5B0020000400"/>
      <w:bookmarkEnd w:id="6619"/>
      <w:r>
        <w:rPr>
          <w:rFonts w:ascii="Arial" w:eastAsia="Arial" w:hAnsi="Arial" w:cs="Arial"/>
          <w:i/>
          <w:color w:val="000000"/>
          <w:sz w:val="20"/>
        </w:rPr>
        <w:t>Karczewski v. DCH Mission Valley LLC</w:t>
      </w:r>
      <w:r>
        <w:rPr>
          <w:rFonts w:ascii="Arial" w:eastAsia="Arial" w:hAnsi="Arial" w:cs="Arial"/>
          <w:color w:val="000000"/>
          <w:sz w:val="20"/>
        </w:rPr>
        <w:t>, 862 F.3d 1006, 1010 (9th Cir. 2017) (under Title III of the ADA, "[i]f Plaintiff establishes a prima facie case, then Defendant must make the requested modification unless it proves that doing so would alter the fundamental nature of its business" (quotation marks and citation omitted)). And yet, Pacific has defeated Breyer's reasonable accommodation claim at summary judgment.</w:t>
      </w:r>
    </w:p>
    <w:p w:rsidR="00022B47" w:rsidRDefault="00000000">
      <w:pPr>
        <w:pStyle w:val="Normal41"/>
        <w:widowControl w:val="0"/>
        <w:spacing w:before="200" w:line="260" w:lineRule="atLeast"/>
        <w:jc w:val="both"/>
      </w:pPr>
      <w:bookmarkStart w:id="6620" w:name="Bookmark_para_26_23"/>
      <w:bookmarkEnd w:id="6620"/>
      <w:r>
        <w:rPr>
          <w:rFonts w:ascii="Arial" w:eastAsia="Arial" w:hAnsi="Arial" w:cs="Arial"/>
          <w:color w:val="000000"/>
          <w:sz w:val="20"/>
        </w:rPr>
        <w:t>Thus, because I would remand the reasonable accommodation claim for trial, I respectfully dissent from this portion of the majority disposition.</w:t>
      </w:r>
      <w:r>
        <w:rPr>
          <w:rFonts w:ascii="Arial" w:eastAsia="Arial" w:hAnsi="Arial" w:cs="Arial"/>
          <w:vertAlign w:val="superscript"/>
        </w:rPr>
        <w:footnoteReference w:customMarkFollows="1" w:id="204"/>
        <w:t>2</w:t>
      </w:r>
    </w:p>
    <w:p w:rsidR="00022B47" w:rsidRDefault="00022B47">
      <w:pPr>
        <w:pStyle w:val="Normal41"/>
      </w:pPr>
    </w:p>
    <w:p w:rsidR="00022B47" w:rsidRDefault="00000000">
      <w:pPr>
        <w:pStyle w:val="Normal41"/>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47328"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376420337"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3D3CDA" id="Line 89"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42"/>
        <w:sectPr w:rsidR="00022B47">
          <w:headerReference w:type="even" r:id="rId259"/>
          <w:headerReference w:type="default" r:id="rId260"/>
          <w:footerReference w:type="even" r:id="rId261"/>
          <w:footerReference w:type="default" r:id="rId262"/>
          <w:headerReference w:type="first" r:id="rId263"/>
          <w:footerReference w:type="first" r:id="rId264"/>
          <w:pgSz w:w="12240" w:h="15840"/>
          <w:pgMar w:top="840" w:right="1000" w:bottom="840" w:left="1000" w:header="400" w:footer="400" w:gutter="0"/>
          <w:cols w:space="720"/>
          <w:titlePg/>
        </w:sectPr>
      </w:pPr>
    </w:p>
    <w:p w:rsidR="00022B47" w:rsidRDefault="00022B47">
      <w:pPr>
        <w:pStyle w:val="Normal42"/>
      </w:pPr>
    </w:p>
    <w:p w:rsidR="00022B47" w:rsidRDefault="00000000">
      <w:pPr>
        <w:pStyle w:val="Heading141"/>
        <w:keepNext w:val="0"/>
        <w:widowControl w:val="0"/>
        <w:spacing w:after="200" w:line="340" w:lineRule="atLeast"/>
        <w:jc w:val="center"/>
      </w:pPr>
      <w:r>
        <w:rPr>
          <w:rFonts w:eastAsia="Arial"/>
          <w:color w:val="000000"/>
          <w:sz w:val="28"/>
        </w:rPr>
        <w:t>Friedel v. Sun Cmtys., Inc.</w:t>
      </w:r>
    </w:p>
    <w:p w:rsidR="00022B47" w:rsidRDefault="00000000">
      <w:pPr>
        <w:pStyle w:val="Normal42"/>
        <w:widowControl w:val="0"/>
        <w:spacing w:before="120" w:line="260" w:lineRule="atLeast"/>
        <w:jc w:val="center"/>
      </w:pPr>
      <w:r>
        <w:rPr>
          <w:rFonts w:ascii="Arial" w:eastAsia="Arial" w:hAnsi="Arial" w:cs="Arial"/>
          <w:color w:val="000000"/>
          <w:sz w:val="20"/>
        </w:rPr>
        <w:t>United States Court of Appeals for the Eleventh Circuit</w:t>
      </w:r>
    </w:p>
    <w:p w:rsidR="00022B47" w:rsidRDefault="00000000">
      <w:pPr>
        <w:pStyle w:val="Normal42"/>
        <w:widowControl w:val="0"/>
        <w:spacing w:before="120" w:line="260" w:lineRule="atLeast"/>
        <w:jc w:val="center"/>
      </w:pPr>
      <w:r>
        <w:rPr>
          <w:rFonts w:ascii="Arial" w:eastAsia="Arial" w:hAnsi="Arial" w:cs="Arial"/>
          <w:color w:val="000000"/>
          <w:sz w:val="20"/>
        </w:rPr>
        <w:t>August 24, 2021, Decided</w:t>
      </w:r>
    </w:p>
    <w:p w:rsidR="00022B47" w:rsidRDefault="00000000">
      <w:pPr>
        <w:pStyle w:val="Normal42"/>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20-12275 Non-Argument Calendar</w:t>
      </w:r>
    </w:p>
    <w:p w:rsidR="00022B47" w:rsidRDefault="00022B47">
      <w:pPr>
        <w:pStyle w:val="Normal42"/>
        <w:widowControl w:val="0"/>
        <w:spacing w:line="240" w:lineRule="atLeast"/>
        <w:jc w:val="both"/>
      </w:pPr>
      <w:bookmarkStart w:id="6622" w:name="Bookmark_43"/>
      <w:bookmarkEnd w:id="6622"/>
    </w:p>
    <w:p w:rsidR="00022B47" w:rsidRDefault="00000000">
      <w:pPr>
        <w:pStyle w:val="Normal42"/>
        <w:widowControl w:val="0"/>
        <w:spacing w:before="200" w:line="240" w:lineRule="atLeast"/>
      </w:pPr>
      <w:bookmarkStart w:id="6623" w:name="Reporter_41"/>
      <w:bookmarkEnd w:id="6623"/>
      <w:r>
        <w:rPr>
          <w:rFonts w:ascii="Arial" w:eastAsia="Arial" w:hAnsi="Arial" w:cs="Arial"/>
          <w:b/>
          <w:color w:val="000000"/>
          <w:sz w:val="18"/>
        </w:rPr>
        <w:t>Reporter</w:t>
      </w:r>
    </w:p>
    <w:p w:rsidR="00022B47" w:rsidRDefault="00000000">
      <w:pPr>
        <w:pStyle w:val="Normal42"/>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2021 U.S. App. LEXIS 25384 *; __ Fed. Appx. __; 2021 WL 3732992</w:t>
      </w:r>
    </w:p>
    <w:p w:rsidR="00022B47" w:rsidRDefault="00000000">
      <w:pPr>
        <w:pStyle w:val="Normal42"/>
        <w:widowControl w:val="0"/>
        <w:spacing w:before="120" w:line="260" w:lineRule="atLeast"/>
      </w:pPr>
      <w:r>
        <w:rPr>
          <w:rFonts w:ascii="Arial" w:eastAsia="Arial" w:hAnsi="Arial" w:cs="Arial"/>
          <w:color w:val="000000"/>
          <w:sz w:val="20"/>
        </w:rPr>
        <w:t>GEORGE FRIEDEL, Plaintiff - Appellant, KATHLEEN FRIEDEL, Plaintiff, versus SUN COMMUNITIES, INC., PARK PLACE COMMUNITY L.L.C., Defendants - Appellees.</w:t>
      </w:r>
    </w:p>
    <w:p w:rsidR="00022B47" w:rsidRDefault="00000000">
      <w:pPr>
        <w:pStyle w:val="Normal42"/>
        <w:widowControl w:val="0"/>
        <w:spacing w:before="240" w:line="260" w:lineRule="atLeast"/>
        <w:jc w:val="both"/>
      </w:pPr>
      <w:bookmarkStart w:id="6624" w:name="Notice_22"/>
      <w:bookmarkEnd w:id="6624"/>
      <w:r>
        <w:rPr>
          <w:rFonts w:ascii="Arial" w:eastAsia="Arial" w:hAnsi="Arial" w:cs="Arial"/>
          <w:b/>
          <w:color w:val="000000"/>
          <w:sz w:val="20"/>
        </w:rPr>
        <w:t>Notice:</w:t>
      </w:r>
      <w:r>
        <w:rPr>
          <w:rFonts w:ascii="Arial" w:eastAsia="Arial" w:hAnsi="Arial" w:cs="Arial"/>
          <w:color w:val="000000"/>
          <w:sz w:val="20"/>
        </w:rPr>
        <w:t> </w:t>
      </w:r>
      <w:bookmarkStart w:id="6625" w:name="Bookmark_para_1_41"/>
      <w:bookmarkEnd w:id="6625"/>
      <w:r>
        <w:rPr>
          <w:rFonts w:ascii="Arial" w:eastAsia="Arial" w:hAnsi="Arial" w:cs="Arial"/>
          <w:color w:val="000000"/>
          <w:sz w:val="20"/>
        </w:rPr>
        <w:t>PLEASE REFER TO FEDERAL RULES OF APPELLATE PROCEDURE RULE 32.1 GOVERNING THE CITATION TO UNPUBLISHED OPINIONS.</w:t>
      </w:r>
    </w:p>
    <w:p w:rsidR="00022B47" w:rsidRDefault="00000000">
      <w:pPr>
        <w:pStyle w:val="Normal42"/>
        <w:widowControl w:val="0"/>
        <w:spacing w:before="240" w:line="260" w:lineRule="atLeast"/>
        <w:jc w:val="both"/>
      </w:pPr>
      <w:bookmarkStart w:id="6626" w:name="Prior_History_41"/>
      <w:bookmarkEnd w:id="6626"/>
      <w:r>
        <w:rPr>
          <w:rFonts w:ascii="Arial" w:eastAsia="Arial" w:hAnsi="Arial" w:cs="Arial"/>
          <w:b/>
          <w:color w:val="000000"/>
          <w:sz w:val="20"/>
        </w:rPr>
        <w:t>Prior History:</w:t>
      </w:r>
      <w:r>
        <w:rPr>
          <w:rFonts w:ascii="Arial" w:eastAsia="Arial" w:hAnsi="Arial" w:cs="Arial"/>
          <w:color w:val="000000"/>
          <w:sz w:val="20"/>
        </w:rPr>
        <w:t> </w:t>
      </w:r>
      <w:bookmarkStart w:id="6627" w:name="Bookmark_para_2_41"/>
      <w:bookmarkEnd w:id="6627"/>
      <w:r>
        <w:rPr>
          <w:rFonts w:ascii="Arial" w:eastAsia="Arial" w:hAnsi="Arial" w:cs="Arial"/>
          <w:color w:val="000000"/>
          <w:sz w:val="20"/>
        </w:rPr>
        <w:t> [*1] Appeal from the United States District Court for the Southern District of Florida. D.C. Docket No. 2:19-cv-14394-RLR.</w:t>
      </w:r>
    </w:p>
    <w:p w:rsidR="00022B47" w:rsidRDefault="00000000">
      <w:pPr>
        <w:pStyle w:val="Normal42"/>
        <w:widowControl w:val="0"/>
        <w:spacing w:before="120" w:line="260" w:lineRule="atLeast"/>
      </w:pPr>
      <w:r>
        <w:rPr>
          <w:rFonts w:ascii="Arial" w:eastAsia="Arial" w:hAnsi="Arial" w:cs="Arial"/>
          <w:color w:val="000000"/>
          <w:sz w:val="20"/>
        </w:rPr>
        <w:t>Friedel v. Sun Cmtys., Inc., 2020 U.S. Dist. LEXIS 87720, 2020 WL 2542633 (S.D. Fla., May 18, 2020)</w:t>
      </w:r>
    </w:p>
    <w:p w:rsidR="00022B47" w:rsidRDefault="00000000">
      <w:pPr>
        <w:pStyle w:val="Normal42"/>
        <w:widowControl w:val="0"/>
        <w:spacing w:before="240" w:line="260" w:lineRule="atLeast"/>
        <w:jc w:val="both"/>
      </w:pPr>
      <w:bookmarkStart w:id="6628" w:name="Disposition_11"/>
      <w:bookmarkEnd w:id="6628"/>
      <w:r>
        <w:rPr>
          <w:rFonts w:ascii="Arial" w:eastAsia="Arial" w:hAnsi="Arial" w:cs="Arial"/>
          <w:b/>
          <w:color w:val="000000"/>
          <w:sz w:val="20"/>
        </w:rPr>
        <w:t>Disposition:</w:t>
      </w:r>
      <w:r>
        <w:rPr>
          <w:rFonts w:ascii="Arial" w:eastAsia="Arial" w:hAnsi="Arial" w:cs="Arial"/>
          <w:color w:val="000000"/>
          <w:sz w:val="20"/>
        </w:rPr>
        <w:t> </w:t>
      </w:r>
      <w:bookmarkStart w:id="6629" w:name="Bookmark_clspara_4_9"/>
      <w:bookmarkEnd w:id="6629"/>
      <w:r>
        <w:rPr>
          <w:rFonts w:ascii="Arial" w:eastAsia="Arial" w:hAnsi="Arial" w:cs="Arial"/>
          <w:color w:val="000000"/>
          <w:sz w:val="20"/>
        </w:rPr>
        <w:t>AFFIRMED.</w:t>
      </w:r>
    </w:p>
    <w:p w:rsidR="00022B47" w:rsidRDefault="00000000">
      <w:pPr>
        <w:pStyle w:val="Normal42"/>
        <w:widowControl w:val="0"/>
        <w:spacing w:before="240" w:line="260" w:lineRule="atLeast"/>
      </w:pPr>
      <w:bookmarkStart w:id="6630" w:name="Counsel_41"/>
      <w:bookmarkEnd w:id="6630"/>
      <w:r>
        <w:rPr>
          <w:rFonts w:ascii="Arial" w:eastAsia="Arial" w:hAnsi="Arial" w:cs="Arial"/>
          <w:b/>
          <w:color w:val="000000"/>
          <w:sz w:val="20"/>
        </w:rPr>
        <w:t>Counsel:</w:t>
      </w:r>
      <w:r>
        <w:rPr>
          <w:rFonts w:ascii="Arial" w:eastAsia="Arial" w:hAnsi="Arial" w:cs="Arial"/>
          <w:color w:val="000000"/>
          <w:sz w:val="20"/>
        </w:rPr>
        <w:t> For GEORGE FRIEDEL, Plaintiff - Appellant: Marcy I. LaHart, Marcy I. LaHart, PA, GAINESVILLE, FL.</w:t>
      </w:r>
    </w:p>
    <w:p w:rsidR="00022B47" w:rsidRDefault="00000000">
      <w:pPr>
        <w:pStyle w:val="Normal42"/>
        <w:widowControl w:val="0"/>
        <w:spacing w:before="120" w:line="260" w:lineRule="atLeast"/>
      </w:pPr>
      <w:r>
        <w:rPr>
          <w:rFonts w:ascii="Arial" w:eastAsia="Arial" w:hAnsi="Arial" w:cs="Arial"/>
          <w:color w:val="000000"/>
          <w:sz w:val="20"/>
        </w:rPr>
        <w:t>For SUN COMMUNITIES INC., PARK PLACE COMMUNITY LLC, Defendants - Appellees: Brian C. Chase, Ryan John Vatalaro, Atlas Law, TAMPA, FL.</w:t>
      </w:r>
    </w:p>
    <w:p w:rsidR="00022B47" w:rsidRDefault="00000000">
      <w:pPr>
        <w:pStyle w:val="Normal42"/>
        <w:widowControl w:val="0"/>
        <w:spacing w:before="240" w:line="260" w:lineRule="atLeast"/>
      </w:pPr>
      <w:bookmarkStart w:id="6631" w:name="Judges_41"/>
      <w:bookmarkEnd w:id="6631"/>
      <w:r>
        <w:rPr>
          <w:rFonts w:ascii="Arial" w:eastAsia="Arial" w:hAnsi="Arial" w:cs="Arial"/>
          <w:b/>
          <w:color w:val="000000"/>
          <w:sz w:val="20"/>
        </w:rPr>
        <w:t>Judges:</w:t>
      </w:r>
      <w:r>
        <w:rPr>
          <w:rFonts w:ascii="Arial" w:eastAsia="Arial" w:hAnsi="Arial" w:cs="Arial"/>
          <w:color w:val="000000"/>
          <w:sz w:val="20"/>
        </w:rPr>
        <w:t> Before JORDAN, GRANT and MARCUS, Circuit Judges.</w:t>
      </w:r>
    </w:p>
    <w:p w:rsidR="00022B47" w:rsidRDefault="00000000">
      <w:pPr>
        <w:pStyle w:val="Normal42"/>
        <w:keepNext/>
        <w:widowControl w:val="0"/>
        <w:spacing w:before="240" w:line="340" w:lineRule="atLeast"/>
      </w:pPr>
      <w:bookmarkStart w:id="6632" w:name="Opinion_41"/>
      <w:bookmarkEnd w:id="6632"/>
      <w:r>
        <w:rPr>
          <w:rFonts w:ascii="Arial" w:eastAsia="Arial" w:hAnsi="Arial" w:cs="Arial"/>
          <w:b/>
          <w:color w:val="000000"/>
          <w:sz w:val="28"/>
        </w:rPr>
        <w:t>Opinion</w:t>
      </w:r>
    </w:p>
    <w:p w:rsidR="00022B47" w:rsidRDefault="0025213E">
      <w:pPr>
        <w:pStyle w:val="Normal42"/>
        <w:spacing w:line="60" w:lineRule="exact"/>
      </w:pPr>
      <w:r>
        <w:rPr>
          <w:noProof/>
        </w:rPr>
        <mc:AlternateContent>
          <mc:Choice Requires="wps">
            <w:drawing>
              <wp:anchor distT="0" distB="0" distL="114300" distR="114300" simplePos="0" relativeHeight="251748352"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739418116"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523383" id="Line 90"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42"/>
      </w:pPr>
    </w:p>
    <w:p w:rsidR="00022B47" w:rsidRDefault="00000000">
      <w:pPr>
        <w:pStyle w:val="Normal42"/>
        <w:widowControl w:val="0"/>
        <w:spacing w:before="200" w:line="260" w:lineRule="atLeast"/>
        <w:jc w:val="both"/>
      </w:pPr>
      <w:bookmarkStart w:id="6633" w:name="Bookmark_para_3_41"/>
      <w:bookmarkEnd w:id="6633"/>
      <w:r>
        <w:rPr>
          <w:rFonts w:ascii="Arial" w:eastAsia="Arial" w:hAnsi="Arial" w:cs="Arial"/>
          <w:color w:val="000000"/>
          <w:sz w:val="20"/>
        </w:rPr>
        <w:t>PER CURIAM:</w:t>
      </w:r>
    </w:p>
    <w:p w:rsidR="00022B47" w:rsidRDefault="00000000">
      <w:pPr>
        <w:pStyle w:val="Normal42"/>
        <w:widowControl w:val="0"/>
        <w:spacing w:before="200" w:line="260" w:lineRule="atLeast"/>
        <w:jc w:val="both"/>
      </w:pPr>
      <w:bookmarkStart w:id="6634" w:name="Bookmark_para_4_41"/>
      <w:bookmarkStart w:id="6635" w:name="Bookmark_I63GP6NH2SF8NG0020000400"/>
      <w:bookmarkEnd w:id="6634"/>
      <w:bookmarkEnd w:id="6635"/>
      <w:r>
        <w:rPr>
          <w:rFonts w:ascii="Arial" w:eastAsia="Arial" w:hAnsi="Arial" w:cs="Arial"/>
          <w:color w:val="000000"/>
          <w:sz w:val="20"/>
        </w:rPr>
        <w:t xml:space="preserve">George and Kathleen Friedel (the "Friedels") appeal the district court's order dismissing with prejudice their action against Sun Communities, Inc. and Park Place Community, LLC. This is the Friedels' second case about their dog Maggie. In the first one, </w:t>
      </w:r>
      <w:bookmarkStart w:id="6636" w:name="Bookmark_I63GP6NH2SF8NG0010000400"/>
      <w:bookmarkEnd w:id="6636"/>
      <w:r>
        <w:rPr>
          <w:rFonts w:ascii="Arial" w:eastAsia="Arial" w:hAnsi="Arial" w:cs="Arial"/>
          <w:color w:val="000000"/>
          <w:sz w:val="20"/>
          <w:u w:val="single"/>
        </w:rPr>
        <w:t>Friedel v. Park Place Cmty., LLC ("Friedel I")</w:t>
      </w:r>
      <w:r>
        <w:rPr>
          <w:rFonts w:ascii="Arial" w:eastAsia="Arial" w:hAnsi="Arial" w:cs="Arial"/>
          <w:color w:val="000000"/>
          <w:sz w:val="20"/>
        </w:rPr>
        <w:t xml:space="preserve">, 747 F. App'x 775 (11th Cir. 2018), the Friedels sued Park Place, a mobile home park where they've lived with Maggie, for disability discrimination in violation of the Fair Housing Act ("FHA"). Following a jury trial that found in favor of Park Place, the Friedels filed the complaint in the instant action, </w:t>
      </w:r>
      <w:r>
        <w:rPr>
          <w:rFonts w:ascii="Arial" w:eastAsia="Arial" w:hAnsi="Arial" w:cs="Arial"/>
          <w:color w:val="000000"/>
          <w:sz w:val="20"/>
          <w:u w:val="single"/>
        </w:rPr>
        <w:t>Friedel II. Friedel II</w:t>
      </w:r>
      <w:r>
        <w:rPr>
          <w:rFonts w:ascii="Arial" w:eastAsia="Arial" w:hAnsi="Arial" w:cs="Arial"/>
          <w:color w:val="000000"/>
          <w:sz w:val="20"/>
        </w:rPr>
        <w:t xml:space="preserve"> concerns the same circumstances, but the Friedels sued a new defendant, Sun Communities, the parent company of the defendant in </w:t>
      </w:r>
      <w:r>
        <w:rPr>
          <w:rFonts w:ascii="Arial" w:eastAsia="Arial" w:hAnsi="Arial" w:cs="Arial"/>
          <w:color w:val="000000"/>
          <w:sz w:val="20"/>
          <w:u w:val="single"/>
        </w:rPr>
        <w:t>Friedel I</w:t>
      </w:r>
      <w:r>
        <w:rPr>
          <w:rFonts w:ascii="Arial" w:eastAsia="Arial" w:hAnsi="Arial" w:cs="Arial"/>
          <w:color w:val="000000"/>
          <w:sz w:val="20"/>
        </w:rPr>
        <w:t>, Park Place. The district court ordered the Friedels to join Park Place as an additional defendant [*2]  in this case, which they did in a second amended complaint that raised FHA and state law claims. Thereafter, the district court dismissed their claims with prejudice for failure to state a claim under Fed. R. Civ. P. 12(b)(6) and held that any amendment of the complaint would have been futile. After careful review, we affirm.</w:t>
      </w:r>
    </w:p>
    <w:p w:rsidR="00022B47" w:rsidRDefault="00000000">
      <w:pPr>
        <w:pStyle w:val="Normal42"/>
        <w:widowControl w:val="0"/>
        <w:spacing w:before="200" w:line="260" w:lineRule="atLeast"/>
        <w:jc w:val="both"/>
      </w:pPr>
      <w:bookmarkStart w:id="6637" w:name="Bookmark_para_5_41"/>
      <w:bookmarkStart w:id="6638" w:name="Bookmark_I63GP6NH2SF8NG0040000400"/>
      <w:bookmarkEnd w:id="6637"/>
      <w:bookmarkEnd w:id="6638"/>
      <w:r>
        <w:rPr>
          <w:rFonts w:ascii="Arial" w:eastAsia="Arial" w:hAnsi="Arial" w:cs="Arial"/>
          <w:color w:val="000000"/>
          <w:sz w:val="20"/>
        </w:rPr>
        <w:t>The Friedels' allegations, gleaned from the complaint, its attachments, and the prior lawsuit,</w:t>
      </w:r>
      <w:r>
        <w:rPr>
          <w:rFonts w:ascii="Arial" w:eastAsia="Arial" w:hAnsi="Arial" w:cs="Arial"/>
          <w:vertAlign w:val="superscript"/>
        </w:rPr>
        <w:footnoteReference w:customMarkFollows="1" w:id="205"/>
        <w:t>1</w:t>
      </w:r>
      <w:r>
        <w:rPr>
          <w:rFonts w:ascii="Arial" w:eastAsia="Arial" w:hAnsi="Arial" w:cs="Arial"/>
          <w:color w:val="000000"/>
          <w:sz w:val="20"/>
        </w:rPr>
        <w:t xml:space="preserve"> are these. George Friedel suffers from "several chronic physical and mental impairments" and major depressive disorder. The Friedels say that because his "disabilities substantially limit one or more of his major life activities," he has a "handicap" under the FHA. Maggie was an 11-year-old golden retriever serving as George's emotional support animal and living with the Friedels in Park Place. In January 2016, before </w:t>
      </w:r>
      <w:r>
        <w:rPr>
          <w:rFonts w:ascii="Arial" w:eastAsia="Arial" w:hAnsi="Arial" w:cs="Arial"/>
          <w:color w:val="000000"/>
          <w:sz w:val="20"/>
          <w:u w:val="single"/>
        </w:rPr>
        <w:t>Friedel I</w:t>
      </w:r>
      <w:r>
        <w:rPr>
          <w:rFonts w:ascii="Arial" w:eastAsia="Arial" w:hAnsi="Arial" w:cs="Arial"/>
          <w:color w:val="000000"/>
          <w:sz w:val="20"/>
        </w:rPr>
        <w:t xml:space="preserve"> was filed, Maggie bit a dog living in Park Place. After the attack -- which was not the first time Maggie displayed aggressive behavior or injured another dog in the community -- Park Place issued a notice of violation to the Friedels, notifying them that Maggie had to be removed from the community.</w:t>
      </w:r>
      <w:r>
        <w:rPr>
          <w:rFonts w:ascii="Arial" w:eastAsia="Arial" w:hAnsi="Arial" w:cs="Arial"/>
          <w:vertAlign w:val="superscript"/>
        </w:rPr>
        <w:footnoteReference w:customMarkFollows="1" w:id="206"/>
        <w:t>2</w:t>
      </w:r>
    </w:p>
    <w:p w:rsidR="00022B47" w:rsidRDefault="00000000">
      <w:pPr>
        <w:pStyle w:val="Normal42"/>
        <w:widowControl w:val="0"/>
        <w:spacing w:before="200" w:line="260" w:lineRule="atLeast"/>
        <w:jc w:val="both"/>
      </w:pPr>
      <w:bookmarkStart w:id="6642" w:name="Bookmark_para_6_41"/>
      <w:bookmarkEnd w:id="6642"/>
      <w:r>
        <w:rPr>
          <w:rFonts w:ascii="Arial" w:eastAsia="Arial" w:hAnsi="Arial" w:cs="Arial"/>
          <w:color w:val="000000"/>
          <w:sz w:val="20"/>
        </w:rPr>
        <w:t>The Friedels complied with Park Place's notice of violation; [*3]  notably, they did not inform Park Place that George was disabled, nor did they claim that Maggie was an emotional support animal assisting George. However, the symptoms of George's depression "immediately worsened" when Maggie left, and in April 2016, the Friedels secretly brought Maggie back to live with them. The symptoms of George's depression "significantly lessened" once Maggie returned. Maggie lived with the Friedels, undetected, until a neighbor spotted her in January 2017.</w:t>
      </w:r>
    </w:p>
    <w:p w:rsidR="00022B47" w:rsidRDefault="00000000">
      <w:pPr>
        <w:pStyle w:val="Normal42"/>
        <w:widowControl w:val="0"/>
        <w:spacing w:before="200" w:line="260" w:lineRule="atLeast"/>
        <w:jc w:val="both"/>
      </w:pPr>
      <w:bookmarkStart w:id="6643" w:name="Bookmark_para_7_41"/>
      <w:bookmarkEnd w:id="6643"/>
      <w:r>
        <w:rPr>
          <w:rFonts w:ascii="Arial" w:eastAsia="Arial" w:hAnsi="Arial" w:cs="Arial"/>
          <w:color w:val="000000"/>
          <w:sz w:val="20"/>
        </w:rPr>
        <w:t xml:space="preserve">At this point, the Friedels made a formal request for accommodation, informing Park Place that George was diagnosed with depression and, thus, disabled, and that Maggie was his emotional support animal. Meanwhile, at the direction of Sun Communities, Park Place requested that the Friedels remove Maggie again and alerted them that a failure to comply could result in eviction. On February 15, 2017, Park Place sent another notice to cure, requiring the Friedels to remove Maggie or face eviction. Four days later, the Friedels filed the complaint in </w:t>
      </w:r>
      <w:r>
        <w:rPr>
          <w:rFonts w:ascii="Arial" w:eastAsia="Arial" w:hAnsi="Arial" w:cs="Arial"/>
          <w:color w:val="000000"/>
          <w:sz w:val="20"/>
          <w:u w:val="single"/>
        </w:rPr>
        <w:t>Friedel I</w:t>
      </w:r>
      <w:r>
        <w:rPr>
          <w:rFonts w:ascii="Arial" w:eastAsia="Arial" w:hAnsi="Arial" w:cs="Arial"/>
          <w:color w:val="000000"/>
          <w:sz w:val="20"/>
        </w:rPr>
        <w:t>, claiming that Park Place's refusal to accommodate George's disability violated the FHA.</w:t>
      </w:r>
    </w:p>
    <w:p w:rsidR="00022B47" w:rsidRDefault="00000000">
      <w:pPr>
        <w:pStyle w:val="Normal42"/>
        <w:widowControl w:val="0"/>
        <w:spacing w:before="200" w:line="260" w:lineRule="atLeast"/>
        <w:jc w:val="both"/>
      </w:pPr>
      <w:bookmarkStart w:id="6644" w:name="Bookmark_para_8_40"/>
      <w:bookmarkStart w:id="6645" w:name="Bookmark_I63GP6NJ2D6NP60010000400"/>
      <w:bookmarkEnd w:id="6644"/>
      <w:bookmarkEnd w:id="6645"/>
      <w:r>
        <w:rPr>
          <w:rFonts w:ascii="Arial" w:eastAsia="Arial" w:hAnsi="Arial" w:cs="Arial"/>
          <w:color w:val="000000"/>
          <w:sz w:val="20"/>
        </w:rPr>
        <w:t xml:space="preserve">At trial, the jury found that: (1) Park Place took action that made [*4]  George's home unavailable to him; (2) George was disabled within the meaning of the FHA; (3) Park Place would not have taken adverse action against George if not for his dog, Maggie; and (4) Maggie alleviated one or more of the symptoms of George's disability. However, the jury credited Park Place's affirmative defense that Maggie posed a direct threat to the health or safety of other individuals and no reasonable accommodation would have eliminated or acceptably minimized the risk Maggie posed to other residents. We affirmed the district court's judgment on appeal in full. </w:t>
      </w:r>
      <w:bookmarkStart w:id="6646" w:name="Bookmark_I63GP6NH2SF8NG0050000400"/>
      <w:bookmarkEnd w:id="6646"/>
      <w:r>
        <w:rPr>
          <w:rFonts w:ascii="Arial" w:eastAsia="Arial" w:hAnsi="Arial" w:cs="Arial"/>
          <w:color w:val="000000"/>
          <w:sz w:val="20"/>
          <w:u w:val="single"/>
        </w:rPr>
        <w:t>Friedel I</w:t>
      </w:r>
      <w:r>
        <w:rPr>
          <w:rFonts w:ascii="Arial" w:eastAsia="Arial" w:hAnsi="Arial" w:cs="Arial"/>
          <w:color w:val="000000"/>
          <w:sz w:val="20"/>
        </w:rPr>
        <w:t>, 747 F. App'x at 776. On October 18, 2017, the day after the trial concluded, Park Place served the Friedels with a notice to vacate within 30 days.</w:t>
      </w:r>
    </w:p>
    <w:p w:rsidR="00022B47" w:rsidRDefault="00000000">
      <w:pPr>
        <w:pStyle w:val="Normal42"/>
        <w:widowControl w:val="0"/>
        <w:spacing w:before="200" w:line="260" w:lineRule="atLeast"/>
        <w:jc w:val="both"/>
      </w:pPr>
      <w:bookmarkStart w:id="6647" w:name="Bookmark_para_9_39"/>
      <w:bookmarkEnd w:id="6647"/>
      <w:r>
        <w:rPr>
          <w:rFonts w:ascii="Arial" w:eastAsia="Arial" w:hAnsi="Arial" w:cs="Arial"/>
          <w:color w:val="000000"/>
          <w:sz w:val="20"/>
        </w:rPr>
        <w:t>This lawsuit followed. The Friedels now allege that as of October 18, 2017, "Maggie had received more than nine months of professional training and had not demonstrated any recent conduct indicating" that she "posed a direct (or any) threat to other residents or their property." The Friedels claim the defendants discriminated against them in violation of the FHA by issuing the October 2017 notice to vacate after they sent Park Place a new request for accommodation outlining the behavior [*5]  training Maggie had received. They further allege that the defendants breached the implied covenant of good faith and fair dealing within their lease agreement or tortiously interfered with their lease agreement. The district court dismissed all the Friedels' claims for failure to state a claim, and the Friedels appealed to this Court.</w:t>
      </w:r>
    </w:p>
    <w:p w:rsidR="00022B47" w:rsidRDefault="00000000">
      <w:pPr>
        <w:pStyle w:val="Normal42"/>
        <w:widowControl w:val="0"/>
        <w:spacing w:before="200" w:line="260" w:lineRule="atLeast"/>
        <w:jc w:val="both"/>
      </w:pPr>
      <w:bookmarkStart w:id="6648" w:name="Bookmark_para_10_39"/>
      <w:bookmarkStart w:id="6649" w:name="Bookmark_I63GP6NJ2D6NP60030000400"/>
      <w:bookmarkStart w:id="6650" w:name="Bookmark_I63GP6NJ2D6NP60050000400"/>
      <w:bookmarkStart w:id="6651" w:name="Bookmark_LNHNREFclscc1_36"/>
      <w:bookmarkEnd w:id="6648"/>
      <w:bookmarkEnd w:id="6649"/>
      <w:bookmarkEnd w:id="6650"/>
      <w:bookmarkEnd w:id="6651"/>
      <w:r>
        <w:rPr>
          <w:rFonts w:ascii="Arial" w:eastAsia="Arial" w:hAnsi="Arial" w:cs="Arial"/>
          <w:color w:val="000000"/>
          <w:sz w:val="20"/>
        </w:rPr>
        <w:t xml:space="preserve">We review </w:t>
      </w:r>
      <w:r>
        <w:rPr>
          <w:rFonts w:ascii="Arial" w:eastAsia="Arial" w:hAnsi="Arial" w:cs="Arial"/>
          <w:color w:val="000000"/>
          <w:sz w:val="20"/>
          <w:u w:val="single"/>
        </w:rPr>
        <w:t>de novo</w:t>
      </w:r>
      <w:r>
        <w:rPr>
          <w:rFonts w:ascii="Arial" w:eastAsia="Arial" w:hAnsi="Arial" w:cs="Arial"/>
          <w:color w:val="000000"/>
          <w:sz w:val="20"/>
        </w:rPr>
        <w:t xml:space="preserve"> the grant of a Rule 12(b)(6) motion to dismiss for failure to state a claim, accepting the allegations in the complaint as true and construing them in the light most favorable to the plaintiff. </w:t>
      </w:r>
      <w:bookmarkStart w:id="6652" w:name="Bookmark_I63GP6NJ2D6NPB0020000400"/>
      <w:bookmarkStart w:id="6653" w:name="Bookmark_I63GP6NJ2D6NP60020000400"/>
      <w:bookmarkEnd w:id="6652"/>
      <w:bookmarkEnd w:id="6653"/>
      <w:r>
        <w:rPr>
          <w:rFonts w:ascii="Arial" w:eastAsia="Arial" w:hAnsi="Arial" w:cs="Arial"/>
          <w:color w:val="000000"/>
          <w:sz w:val="20"/>
          <w:u w:val="single"/>
        </w:rPr>
        <w:t>Hill v. White</w:t>
      </w:r>
      <w:r>
        <w:rPr>
          <w:rFonts w:ascii="Arial" w:eastAsia="Arial" w:hAnsi="Arial" w:cs="Arial"/>
          <w:color w:val="000000"/>
          <w:sz w:val="20"/>
        </w:rPr>
        <w:t xml:space="preserve">, 321 F.3d 1334, 1335 (11th Cir. 2003). </w:t>
      </w:r>
      <w:bookmarkStart w:id="6654" w:name="Bookmark_I63GP6NJ2D6NPB0040000400"/>
      <w:bookmarkEnd w:id="6654"/>
      <w:r>
        <w:rPr>
          <w:rFonts w:ascii="Arial" w:eastAsia="Arial" w:hAnsi="Arial" w:cs="Arial"/>
          <w:color w:val="000000"/>
          <w:sz w:val="20"/>
        </w:rPr>
        <w:t xml:space="preserve">To survive a Rule 12(b)(6) motion, a complaint must allege sufficient facts to state a claim that is plausible on its face. </w:t>
      </w:r>
      <w:bookmarkStart w:id="6655" w:name="Bookmark_I63GP6NJ2D6NP60040000400"/>
      <w:bookmarkEnd w:id="6655"/>
      <w:r>
        <w:rPr>
          <w:rFonts w:ascii="Arial" w:eastAsia="Arial" w:hAnsi="Arial" w:cs="Arial"/>
          <w:color w:val="000000"/>
          <w:sz w:val="20"/>
          <w:u w:val="single"/>
        </w:rPr>
        <w:t>Ashcroft v. Iqbal</w:t>
      </w:r>
      <w:r>
        <w:rPr>
          <w:rFonts w:ascii="Arial" w:eastAsia="Arial" w:hAnsi="Arial" w:cs="Arial"/>
          <w:color w:val="000000"/>
          <w:sz w:val="20"/>
        </w:rPr>
        <w:t xml:space="preserve">, 556 U.S. 662, 678, 129 S. Ct. 1937, 173 L. Ed. 2d 868 (2009). </w:t>
      </w:r>
      <w:bookmarkStart w:id="6656" w:name="Bookmark_I63GP6NJ2D6NPB0040000400_2"/>
      <w:bookmarkStart w:id="6657" w:name="Bookmark_I63GP6NJ2D6NPB0020000400_2"/>
      <w:bookmarkStart w:id="6658" w:name="Bookmark_I63GP6NK28T4270010000400"/>
      <w:bookmarkEnd w:id="6656"/>
      <w:bookmarkEnd w:id="6657"/>
      <w:bookmarkEnd w:id="6658"/>
      <w:r>
        <w:rPr>
          <w:rFonts w:ascii="Arial" w:eastAsia="Arial" w:hAnsi="Arial" w:cs="Arial"/>
          <w:color w:val="000000"/>
          <w:sz w:val="20"/>
        </w:rPr>
        <w:t xml:space="preserve">"[A] formulaic recitation of the elements of a cause of action will not do." </w:t>
      </w:r>
      <w:bookmarkStart w:id="6659" w:name="Bookmark_I63GP6NJ2D6NPB0010000400"/>
      <w:bookmarkEnd w:id="6659"/>
      <w:r>
        <w:rPr>
          <w:rFonts w:ascii="Arial" w:eastAsia="Arial" w:hAnsi="Arial" w:cs="Arial"/>
          <w:color w:val="000000"/>
          <w:sz w:val="20"/>
          <w:u w:val="single"/>
        </w:rPr>
        <w:t>Bell Atlantic Corp. v. Twombly</w:t>
      </w:r>
      <w:r>
        <w:rPr>
          <w:rFonts w:ascii="Arial" w:eastAsia="Arial" w:hAnsi="Arial" w:cs="Arial"/>
          <w:color w:val="000000"/>
          <w:sz w:val="20"/>
        </w:rPr>
        <w:t xml:space="preserve">, 550 U.S. 544, 555, 127 S. Ct. 1955, 167 L. Ed. 2d 929 (2007). </w:t>
      </w:r>
      <w:bookmarkStart w:id="6660" w:name="Bookmark_I63GP6NK28T4270010000400_2"/>
      <w:bookmarkEnd w:id="6660"/>
      <w:r>
        <w:rPr>
          <w:rFonts w:ascii="Arial" w:eastAsia="Arial" w:hAnsi="Arial" w:cs="Arial"/>
          <w:color w:val="000000"/>
          <w:sz w:val="20"/>
        </w:rPr>
        <w:t xml:space="preserve">"[C]onclusory allegations, unwarranted deductions of facts or legal conclusions masquerading as facts will not prevent dismissal." </w:t>
      </w:r>
      <w:bookmarkStart w:id="6661" w:name="Bookmark_I63GP6NJ2D6NPB0030000400"/>
      <w:bookmarkEnd w:id="6661"/>
      <w:r>
        <w:rPr>
          <w:rFonts w:ascii="Arial" w:eastAsia="Arial" w:hAnsi="Arial" w:cs="Arial"/>
          <w:color w:val="000000"/>
          <w:sz w:val="20"/>
          <w:u w:val="single"/>
        </w:rPr>
        <w:t>Oxford Asset Mgmt., Ltd. v. Jaharis</w:t>
      </w:r>
      <w:r>
        <w:rPr>
          <w:rFonts w:ascii="Arial" w:eastAsia="Arial" w:hAnsi="Arial" w:cs="Arial"/>
          <w:color w:val="000000"/>
          <w:sz w:val="20"/>
        </w:rPr>
        <w:t xml:space="preserve">, 297 F.3d 1182, 1188 (11th Cir. 2002). </w:t>
      </w:r>
      <w:bookmarkStart w:id="6662" w:name="Bookmark_I63GP6NK28T4270010000400_3"/>
      <w:bookmarkStart w:id="6663" w:name="Bookmark_I63GP6NK28T4270030000400"/>
      <w:bookmarkEnd w:id="6662"/>
      <w:bookmarkEnd w:id="6663"/>
      <w:r>
        <w:rPr>
          <w:rFonts w:ascii="Arial" w:eastAsia="Arial" w:hAnsi="Arial" w:cs="Arial"/>
          <w:color w:val="000000"/>
          <w:sz w:val="20"/>
        </w:rPr>
        <w:t xml:space="preserve">Rather, the "complaint must include factual content that allows the court to draw the reasonable inference that the defendant is liable for the alleged misconduct." </w:t>
      </w:r>
      <w:bookmarkStart w:id="6664" w:name="Bookmark_I63GP6NJ2D6NPB0050000400"/>
      <w:bookmarkEnd w:id="6664"/>
      <w:r>
        <w:rPr>
          <w:rFonts w:ascii="Arial" w:eastAsia="Arial" w:hAnsi="Arial" w:cs="Arial"/>
          <w:color w:val="000000"/>
          <w:sz w:val="20"/>
          <w:u w:val="single"/>
        </w:rPr>
        <w:t>Waldman v. Ala. Prison Comm'r</w:t>
      </w:r>
      <w:r>
        <w:rPr>
          <w:rFonts w:ascii="Arial" w:eastAsia="Arial" w:hAnsi="Arial" w:cs="Arial"/>
          <w:color w:val="000000"/>
          <w:sz w:val="20"/>
        </w:rPr>
        <w:t xml:space="preserve">, 871 F.3d 1283, 1289 (11th Cir. 2017). </w:t>
      </w:r>
      <w:bookmarkStart w:id="6665" w:name="Bookmark_I63GP6NK28T4270030000400_2"/>
      <w:bookmarkEnd w:id="6665"/>
      <w:r>
        <w:rPr>
          <w:rFonts w:ascii="Arial" w:eastAsia="Arial" w:hAnsi="Arial" w:cs="Arial"/>
          <w:color w:val="000000"/>
          <w:sz w:val="20"/>
        </w:rPr>
        <w:t xml:space="preserve">We may consider the exhibits attached to the complaint on a 12(b)(6) motion. Fed. R. Civ. P. 10(c); </w:t>
      </w:r>
      <w:bookmarkStart w:id="6666" w:name="Bookmark_I63GP6NK28T4270020000400"/>
      <w:bookmarkEnd w:id="6666"/>
      <w:r>
        <w:rPr>
          <w:rFonts w:ascii="Arial" w:eastAsia="Arial" w:hAnsi="Arial" w:cs="Arial"/>
          <w:color w:val="000000"/>
          <w:sz w:val="20"/>
          <w:u w:val="single"/>
        </w:rPr>
        <w:t>Thaeter v. Palm Beach Cnty. Sheriff's Off.</w:t>
      </w:r>
      <w:r>
        <w:rPr>
          <w:rFonts w:ascii="Arial" w:eastAsia="Arial" w:hAnsi="Arial" w:cs="Arial"/>
          <w:color w:val="000000"/>
          <w:sz w:val="20"/>
        </w:rPr>
        <w:t>, 449 F.3d 1342, 1352 n.7 (11th Cir. 2006).</w:t>
      </w:r>
    </w:p>
    <w:p w:rsidR="00022B47" w:rsidRDefault="00000000">
      <w:pPr>
        <w:pStyle w:val="Normal42"/>
        <w:widowControl w:val="0"/>
        <w:spacing w:before="200" w:line="260" w:lineRule="atLeast"/>
        <w:jc w:val="both"/>
      </w:pPr>
      <w:bookmarkStart w:id="6667" w:name="Bookmark_para_11_38"/>
      <w:bookmarkStart w:id="6668" w:name="Bookmark_I63GP6NK28T4270050000400"/>
      <w:bookmarkEnd w:id="6667"/>
      <w:bookmarkEnd w:id="6668"/>
      <w:r>
        <w:rPr>
          <w:rFonts w:ascii="Arial" w:eastAsia="Arial" w:hAnsi="Arial" w:cs="Arial"/>
          <w:color w:val="000000"/>
          <w:sz w:val="20"/>
        </w:rPr>
        <w:t xml:space="preserve">First, we are unpersuaded by the Friedel's claim that the defendants discriminated against them by [*6]  making a dwelling unavailable because of a handicap. </w:t>
      </w:r>
      <w:bookmarkStart w:id="6669" w:name="Bookmark_LNHNREFclscc2_36"/>
      <w:bookmarkEnd w:id="6669"/>
      <w:r>
        <w:rPr>
          <w:rFonts w:ascii="Arial" w:eastAsia="Arial" w:hAnsi="Arial" w:cs="Arial"/>
          <w:color w:val="000000"/>
          <w:sz w:val="20"/>
        </w:rPr>
        <w:t>Under the FHA, it is unlawful to discriminate in the rental of housing "because of" a "handicap" or to refuse to make a "reasonable" accommodation to rules or policies when necessary to afford equal use of a dwelling. 42 U.S.C. § 3604(f)(1)(A), (f)(3)(B). To state a claim for discrimination "</w:t>
      </w:r>
      <w:r>
        <w:rPr>
          <w:rFonts w:ascii="Arial" w:eastAsia="Arial" w:hAnsi="Arial" w:cs="Arial"/>
          <w:color w:val="000000"/>
          <w:sz w:val="20"/>
          <w:u w:val="single"/>
        </w:rPr>
        <w:t>because of</w:t>
      </w:r>
      <w:r>
        <w:rPr>
          <w:rFonts w:ascii="Arial" w:eastAsia="Arial" w:hAnsi="Arial" w:cs="Arial"/>
          <w:color w:val="000000"/>
          <w:sz w:val="20"/>
        </w:rPr>
        <w:t xml:space="preserve">" a disability, "a complaint must allege that the adverse action was taken because of a disability and state the facts on which the plaintiff relies to support that claim." </w:t>
      </w:r>
      <w:bookmarkStart w:id="6670" w:name="Bookmark_I63GP6NK28T4270040000400"/>
      <w:bookmarkEnd w:id="6670"/>
      <w:r>
        <w:rPr>
          <w:rFonts w:ascii="Arial" w:eastAsia="Arial" w:hAnsi="Arial" w:cs="Arial"/>
          <w:color w:val="000000"/>
          <w:sz w:val="20"/>
          <w:u w:val="single"/>
        </w:rPr>
        <w:t>Hunt v. Aimco Properties, L.P.</w:t>
      </w:r>
      <w:r>
        <w:rPr>
          <w:rFonts w:ascii="Arial" w:eastAsia="Arial" w:hAnsi="Arial" w:cs="Arial"/>
          <w:color w:val="000000"/>
          <w:sz w:val="20"/>
        </w:rPr>
        <w:t xml:space="preserve">, 814 F.3d 1213, 1222 (11th Cir. 2016) (emphasis in original). It is undisputed that George has a handicap under the FHA. The critical issue is whether the Friedels alleged facts sufficient to support a claim that the adverse action -- the issuance of the notice to vacate in October 2017 -- was taken </w:t>
      </w:r>
      <w:r>
        <w:rPr>
          <w:rFonts w:ascii="Arial" w:eastAsia="Arial" w:hAnsi="Arial" w:cs="Arial"/>
          <w:color w:val="000000"/>
          <w:sz w:val="20"/>
          <w:u w:val="single"/>
        </w:rPr>
        <w:t>because</w:t>
      </w:r>
      <w:r>
        <w:rPr>
          <w:rFonts w:ascii="Arial" w:eastAsia="Arial" w:hAnsi="Arial" w:cs="Arial"/>
          <w:color w:val="000000"/>
          <w:sz w:val="20"/>
        </w:rPr>
        <w:t xml:space="preserve"> of George's disability.</w:t>
      </w:r>
    </w:p>
    <w:p w:rsidR="00022B47" w:rsidRDefault="00000000">
      <w:pPr>
        <w:pStyle w:val="Normal42"/>
        <w:widowControl w:val="0"/>
        <w:spacing w:before="200" w:line="260" w:lineRule="atLeast"/>
        <w:jc w:val="both"/>
      </w:pPr>
      <w:bookmarkStart w:id="6671" w:name="Bookmark_para_12_37"/>
      <w:bookmarkEnd w:id="6671"/>
      <w:r>
        <w:rPr>
          <w:rFonts w:ascii="Arial" w:eastAsia="Arial" w:hAnsi="Arial" w:cs="Arial"/>
          <w:color w:val="000000"/>
          <w:sz w:val="20"/>
        </w:rPr>
        <w:t xml:space="preserve">Here, the Friedels failed to plausibly state facts supporting their vague allegation that Park Place issued the notice to vacate because of George's disability. If anything, the allegations made in the complaint directly contradict their unsupported claim of discrimination. For instance, they allege that the defendants told George "that whether or not Maggie assisted him with a disability was irrelevant," suggesting [*7]  that his disability had no effect on their decision. Similarly, the Friedels allege that in </w:t>
      </w:r>
      <w:r>
        <w:rPr>
          <w:rFonts w:ascii="Arial" w:eastAsia="Arial" w:hAnsi="Arial" w:cs="Arial"/>
          <w:color w:val="000000"/>
          <w:sz w:val="20"/>
          <w:u w:val="single"/>
        </w:rPr>
        <w:t>Friedel I</w:t>
      </w:r>
      <w:r>
        <w:rPr>
          <w:rFonts w:ascii="Arial" w:eastAsia="Arial" w:hAnsi="Arial" w:cs="Arial"/>
          <w:color w:val="000000"/>
          <w:sz w:val="20"/>
        </w:rPr>
        <w:t>, Park Place claimed as an affirmative defense that George was lying about his disability "and only visited a doctor for an alleged 'handicap' after his animal attacked other animals and was banned from the park." Moreover, the Friedels never say that there were exceptions to the Park Place rules -- which plainly allow management to remove "[a]ny animal that displays dangerous or aggressive behavior, as determined by Management in its sole and unfettered discretion" -- nor do they say that the rules were applied differently to others.</w:t>
      </w:r>
    </w:p>
    <w:p w:rsidR="00022B47" w:rsidRDefault="00000000">
      <w:pPr>
        <w:pStyle w:val="Normal42"/>
        <w:widowControl w:val="0"/>
        <w:spacing w:before="200" w:line="260" w:lineRule="atLeast"/>
        <w:jc w:val="both"/>
      </w:pPr>
      <w:bookmarkStart w:id="6672" w:name="Bookmark_para_13_37"/>
      <w:bookmarkStart w:id="6673" w:name="Bookmark_I63GP6NK2HM6740020000400"/>
      <w:bookmarkEnd w:id="6672"/>
      <w:bookmarkEnd w:id="6673"/>
      <w:r>
        <w:rPr>
          <w:rFonts w:ascii="Arial" w:eastAsia="Arial" w:hAnsi="Arial" w:cs="Arial"/>
          <w:color w:val="000000"/>
          <w:sz w:val="20"/>
        </w:rPr>
        <w:t xml:space="preserve">Rather than offering support for the idea that Park Place discriminated against the Friedels because of George's disability, the pleadings reveal that the most likely reason Park Place issued its notice of eviction was because, on the day prior, Park Place prevailed in a jury trial. The complaint plainly admits: "[O]n October 18, 2017, the day after the trial concluded, [defendants] served [the Friedels] with a '[statutory thirty (30) day notice to vacate].'" </w:t>
      </w:r>
      <w:bookmarkStart w:id="6674" w:name="Bookmark_LNHNREFclscc3_36"/>
      <w:bookmarkEnd w:id="6674"/>
      <w:r>
        <w:rPr>
          <w:rFonts w:ascii="Arial" w:eastAsia="Arial" w:hAnsi="Arial" w:cs="Arial"/>
          <w:color w:val="000000"/>
          <w:sz w:val="20"/>
        </w:rPr>
        <w:t xml:space="preserve">As the Supreme Court has instructed, when a complaint's factual allegations are "not only compatible [*8]  with, but indeed [are] more likely explained by," lawful activity, the complaint must be dismissed. </w:t>
      </w:r>
      <w:bookmarkStart w:id="6675" w:name="Bookmark_I63GP6NK2HM6740010000400"/>
      <w:bookmarkEnd w:id="6675"/>
      <w:r>
        <w:rPr>
          <w:rFonts w:ascii="Arial" w:eastAsia="Arial" w:hAnsi="Arial" w:cs="Arial"/>
          <w:color w:val="000000"/>
          <w:sz w:val="20"/>
          <w:u w:val="single"/>
        </w:rPr>
        <w:t>Iqbal</w:t>
      </w:r>
      <w:r>
        <w:rPr>
          <w:rFonts w:ascii="Arial" w:eastAsia="Arial" w:hAnsi="Arial" w:cs="Arial"/>
          <w:color w:val="000000"/>
          <w:sz w:val="20"/>
        </w:rPr>
        <w:t xml:space="preserve">, 556 U.S. at 680. The Friedels' allegations here are easily explained by Park Place's success in </w:t>
      </w:r>
      <w:r>
        <w:rPr>
          <w:rFonts w:ascii="Arial" w:eastAsia="Arial" w:hAnsi="Arial" w:cs="Arial"/>
          <w:color w:val="000000"/>
          <w:sz w:val="20"/>
          <w:u w:val="single"/>
        </w:rPr>
        <w:t>Friedel I</w:t>
      </w:r>
      <w:r>
        <w:rPr>
          <w:rFonts w:ascii="Arial" w:eastAsia="Arial" w:hAnsi="Arial" w:cs="Arial"/>
          <w:color w:val="000000"/>
          <w:sz w:val="20"/>
        </w:rPr>
        <w:t xml:space="preserve">, in which the jury accepted its affirmative defense that Maggie was a "direct threat" to the community. Importantly, the defendants did not issue the eviction notice before the </w:t>
      </w:r>
      <w:r>
        <w:rPr>
          <w:rFonts w:ascii="Arial" w:eastAsia="Arial" w:hAnsi="Arial" w:cs="Arial"/>
          <w:color w:val="000000"/>
          <w:sz w:val="20"/>
          <w:u w:val="single"/>
        </w:rPr>
        <w:t>Friedel I</w:t>
      </w:r>
      <w:r>
        <w:rPr>
          <w:rFonts w:ascii="Arial" w:eastAsia="Arial" w:hAnsi="Arial" w:cs="Arial"/>
          <w:color w:val="000000"/>
          <w:sz w:val="20"/>
        </w:rPr>
        <w:t xml:space="preserve"> jury verdict, when they were on notice of George's disability, but instead issued it the next day. Thus, the complaint failed to allege facts to support a claim that the proximate cause of the notice to vacate was George's disability, and we affirm the dismissal of their FHA discrimination claim.</w:t>
      </w:r>
    </w:p>
    <w:p w:rsidR="00022B47" w:rsidRDefault="00000000">
      <w:pPr>
        <w:pStyle w:val="Normal42"/>
        <w:widowControl w:val="0"/>
        <w:spacing w:before="200" w:line="260" w:lineRule="atLeast"/>
        <w:jc w:val="both"/>
      </w:pPr>
      <w:bookmarkStart w:id="6676" w:name="Bookmark_para_14_37"/>
      <w:bookmarkStart w:id="6677" w:name="Bookmark_I63GP6NK2HM6740040000400"/>
      <w:bookmarkStart w:id="6678" w:name="Bookmark_I63GP6NM2HM6760030000400"/>
      <w:bookmarkStart w:id="6679" w:name="Bookmark_I63GP6NM2HM6780020000400"/>
      <w:bookmarkStart w:id="6680" w:name="Bookmark_I63GP6NM2HM6780040000400"/>
      <w:bookmarkStart w:id="6681" w:name="Bookmark_LNHNREFclscc4_36"/>
      <w:bookmarkEnd w:id="6676"/>
      <w:bookmarkEnd w:id="6677"/>
      <w:bookmarkEnd w:id="6678"/>
      <w:bookmarkEnd w:id="6679"/>
      <w:bookmarkEnd w:id="6680"/>
      <w:bookmarkEnd w:id="6681"/>
      <w:r>
        <w:rPr>
          <w:rFonts w:ascii="Arial" w:eastAsia="Arial" w:hAnsi="Arial" w:cs="Arial"/>
          <w:color w:val="000000"/>
          <w:sz w:val="20"/>
        </w:rPr>
        <w:t xml:space="preserve">As for the Freidels' claim for failure to reasonably accommodate under § 3604(f)(3), a plaintiff with a disability within the meaning of the FHA or a person associated with that individual must show a "[1] refusal[] to make [2] reasonable accommodations in rules, policies, practices, or services, when such accommodations [3] may be necessary to afford such person equal opportunity to use and enjoy a dwelling[.]" </w:t>
      </w:r>
      <w:bookmarkStart w:id="6682" w:name="Bookmark_I63GP6NK2HM6740030000400"/>
      <w:bookmarkEnd w:id="6682"/>
      <w:r>
        <w:rPr>
          <w:rFonts w:ascii="Arial" w:eastAsia="Arial" w:hAnsi="Arial" w:cs="Arial"/>
          <w:color w:val="000000"/>
          <w:sz w:val="20"/>
          <w:u w:val="single"/>
        </w:rPr>
        <w:t>Schwarz v. City of Treasure Island</w:t>
      </w:r>
      <w:r>
        <w:rPr>
          <w:rFonts w:ascii="Arial" w:eastAsia="Arial" w:hAnsi="Arial" w:cs="Arial"/>
          <w:color w:val="000000"/>
          <w:sz w:val="20"/>
        </w:rPr>
        <w:t xml:space="preserve">, 544 F.3d 1201, 1218-19 (11th Cir. 2008) (quoting 42 U.S.C. § 3604(f)(3)(B)); </w:t>
      </w:r>
      <w:r>
        <w:rPr>
          <w:rFonts w:ascii="Arial" w:eastAsia="Arial" w:hAnsi="Arial" w:cs="Arial"/>
          <w:color w:val="000000"/>
          <w:sz w:val="20"/>
          <w:u w:val="single"/>
        </w:rPr>
        <w:t xml:space="preserve">see also </w:t>
      </w:r>
      <w:bookmarkStart w:id="6683" w:name="Bookmark_I63GP6NK2HM6740050000400"/>
      <w:bookmarkEnd w:id="6683"/>
      <w:r>
        <w:rPr>
          <w:rFonts w:ascii="Arial" w:eastAsia="Arial" w:hAnsi="Arial" w:cs="Arial"/>
          <w:color w:val="000000"/>
          <w:sz w:val="20"/>
          <w:u w:val="single"/>
        </w:rPr>
        <w:t>Hunt</w:t>
      </w:r>
      <w:r>
        <w:rPr>
          <w:rFonts w:ascii="Arial" w:eastAsia="Arial" w:hAnsi="Arial" w:cs="Arial"/>
          <w:color w:val="000000"/>
          <w:sz w:val="20"/>
        </w:rPr>
        <w:t xml:space="preserve">, 814 F.3d at 1225-26 &amp; n.9 (adopting the prima facie elements of a § 3604(f)(3) claim as pleading requirements). A qualified individual [*9]  with a disability is "not entitled to the accommodation of [his] choice [or to his preferred accommodation], but only to a reasonable accommodation." </w:t>
      </w:r>
      <w:bookmarkStart w:id="6684" w:name="Bookmark_I63GP6NM2HM6760020000400"/>
      <w:bookmarkEnd w:id="6684"/>
      <w:r>
        <w:rPr>
          <w:rFonts w:ascii="Arial" w:eastAsia="Arial" w:hAnsi="Arial" w:cs="Arial"/>
          <w:color w:val="000000"/>
          <w:sz w:val="20"/>
          <w:u w:val="single"/>
        </w:rPr>
        <w:t>Stewart v. Happy Herman's Cheshire Bridge, Inc.</w:t>
      </w:r>
      <w:r>
        <w:rPr>
          <w:rFonts w:ascii="Arial" w:eastAsia="Arial" w:hAnsi="Arial" w:cs="Arial"/>
          <w:color w:val="000000"/>
          <w:sz w:val="20"/>
        </w:rPr>
        <w:t>, 117 F.3d 1278, 1285-86 (11th Cir. 1997) (defining "reasonable accommodation" in the context of the American with Disabilities Act ("ADA")) (quotation omitted).</w:t>
      </w:r>
      <w:r>
        <w:rPr>
          <w:rFonts w:ascii="Arial" w:eastAsia="Arial" w:hAnsi="Arial" w:cs="Arial"/>
          <w:vertAlign w:val="superscript"/>
        </w:rPr>
        <w:footnoteReference w:customMarkFollows="1" w:id="207"/>
        <w:t>3</w:t>
      </w:r>
      <w:r>
        <w:rPr>
          <w:rFonts w:ascii="Arial" w:eastAsia="Arial" w:hAnsi="Arial" w:cs="Arial"/>
          <w:color w:val="000000"/>
          <w:sz w:val="20"/>
        </w:rPr>
        <w:t xml:space="preserve"> An accommodation is reasonable under the FHA if it is "both efficacious and proportional to the costs to implement it." </w:t>
      </w:r>
      <w:bookmarkStart w:id="6688" w:name="Bookmark_I63GP6NM2HM6760040000400"/>
      <w:bookmarkEnd w:id="6688"/>
      <w:r>
        <w:rPr>
          <w:rFonts w:ascii="Arial" w:eastAsia="Arial" w:hAnsi="Arial" w:cs="Arial"/>
          <w:color w:val="000000"/>
          <w:sz w:val="20"/>
          <w:u w:val="single"/>
        </w:rPr>
        <w:t>Bhogaita v. Altamonte Heights Condo. Ass'n, Inc.</w:t>
      </w:r>
      <w:r>
        <w:rPr>
          <w:rFonts w:ascii="Arial" w:eastAsia="Arial" w:hAnsi="Arial" w:cs="Arial"/>
          <w:color w:val="000000"/>
          <w:sz w:val="20"/>
        </w:rPr>
        <w:t xml:space="preserve">, 765 F.3d 1277, 1289 (11th Cir. 2014) (quotation omitted). The burden is on the plaintiff to show that the accommodation is reasonable on its face. </w:t>
      </w:r>
      <w:bookmarkStart w:id="6689" w:name="Bookmark_I63GP6NM2HM6780010000400"/>
      <w:bookmarkEnd w:id="6689"/>
      <w:r>
        <w:rPr>
          <w:rFonts w:ascii="Arial" w:eastAsia="Arial" w:hAnsi="Arial" w:cs="Arial"/>
          <w:color w:val="000000"/>
          <w:sz w:val="20"/>
          <w:u w:val="single"/>
        </w:rPr>
        <w:t>U.S. Airways, Inc. v. Barnett</w:t>
      </w:r>
      <w:r>
        <w:rPr>
          <w:rFonts w:ascii="Arial" w:eastAsia="Arial" w:hAnsi="Arial" w:cs="Arial"/>
          <w:color w:val="000000"/>
          <w:sz w:val="20"/>
        </w:rPr>
        <w:t>, 535 U.S. 391, 401-02, 122 S. Ct. 1516, 152 L. Ed. 2d 589 (2002).</w:t>
      </w:r>
    </w:p>
    <w:p w:rsidR="00022B47" w:rsidRDefault="00000000">
      <w:pPr>
        <w:pStyle w:val="Normal42"/>
        <w:widowControl w:val="0"/>
        <w:spacing w:before="200" w:line="260" w:lineRule="atLeast"/>
        <w:jc w:val="both"/>
      </w:pPr>
      <w:bookmarkStart w:id="6690" w:name="Bookmark_para_15_35"/>
      <w:bookmarkStart w:id="6691" w:name="Bookmark_I63GP6NM2N1PPK0010000400"/>
      <w:bookmarkEnd w:id="6690"/>
      <w:bookmarkEnd w:id="6691"/>
      <w:r>
        <w:rPr>
          <w:rFonts w:ascii="Arial" w:eastAsia="Arial" w:hAnsi="Arial" w:cs="Arial"/>
          <w:color w:val="000000"/>
          <w:sz w:val="20"/>
        </w:rPr>
        <w:t xml:space="preserve">Here, the Friedels failed to allege sufficient facts to show that their requested accommodation -- allowing Maggie to remain on the property -- was reasonable on its face. Indeed, the jury found in </w:t>
      </w:r>
      <w:r>
        <w:rPr>
          <w:rFonts w:ascii="Arial" w:eastAsia="Arial" w:hAnsi="Arial" w:cs="Arial"/>
          <w:color w:val="000000"/>
          <w:sz w:val="20"/>
          <w:u w:val="single"/>
        </w:rPr>
        <w:t>Friedel I</w:t>
      </w:r>
      <w:r>
        <w:rPr>
          <w:rFonts w:ascii="Arial" w:eastAsia="Arial" w:hAnsi="Arial" w:cs="Arial"/>
          <w:color w:val="000000"/>
          <w:sz w:val="20"/>
        </w:rPr>
        <w:t xml:space="preserve"> that "no reasonable accommodation would have eliminated or acceptably minimized the risk Maggie posed to other residents." Moreover, while the Friedels now allege that Maggie received months of training and is no longer reactive, they fail to explain why having Maggie live on the property was "both efficacious and proportional to the costs to implement" the accommodation they seek. </w:t>
      </w:r>
      <w:bookmarkStart w:id="6692" w:name="Bookmark_I63GP6NM2HM6780050000400"/>
      <w:bookmarkEnd w:id="6692"/>
      <w:r>
        <w:rPr>
          <w:rFonts w:ascii="Arial" w:eastAsia="Arial" w:hAnsi="Arial" w:cs="Arial"/>
          <w:color w:val="000000"/>
          <w:sz w:val="20"/>
          <w:u w:val="single"/>
        </w:rPr>
        <w:t>Bhogaita</w:t>
      </w:r>
      <w:r>
        <w:rPr>
          <w:rFonts w:ascii="Arial" w:eastAsia="Arial" w:hAnsi="Arial" w:cs="Arial"/>
          <w:color w:val="000000"/>
          <w:sz w:val="20"/>
        </w:rPr>
        <w:t xml:space="preserve">, 765 F.3d at 1289 (quotation omitted). As the pleadings reveal, the Park Place rules flatly bar Maggie from the property [*10]  since she has displayed "dangerous or aggressive behavior" and the rules provide no exceptions that could make their accommodation reasonable. </w:t>
      </w:r>
      <w:bookmarkStart w:id="6693" w:name="Bookmark_I63GP6NM2N1PPK0030000400"/>
      <w:bookmarkEnd w:id="6693"/>
      <w:r>
        <w:rPr>
          <w:rFonts w:ascii="Arial" w:eastAsia="Arial" w:hAnsi="Arial" w:cs="Arial"/>
          <w:color w:val="000000"/>
          <w:sz w:val="20"/>
        </w:rPr>
        <w:t xml:space="preserve">Further, after Park Place determined that Maggie posed a risk to the community, the Friedels did not promptly or forthrightly address that risk -- instead, they snuck Maggie back onto their property a few months after the January 2016 biting incident without any training, and then waited until about eighteen months later before claiming that Maggie had been trained. </w:t>
      </w:r>
      <w:bookmarkStart w:id="6694" w:name="Bookmark_I63GP6NM2N1PPK0030000400_2"/>
      <w:bookmarkEnd w:id="6694"/>
      <w:r>
        <w:rPr>
          <w:rFonts w:ascii="Arial" w:eastAsia="Arial" w:hAnsi="Arial" w:cs="Arial"/>
          <w:color w:val="000000"/>
          <w:sz w:val="20"/>
        </w:rPr>
        <w:t xml:space="preserve">Nor is there any indication that they asked Park Place about acceptable training programs before claiming that her training was complete or that they otherwise pursued other alternative accommodations. By insisting that the only possible accommodation is for Park Place to allow Maggie to live with them, the Friedels are not seeking a reasonable accommodation but simply their "preferred accommodation," which is not required under the law. </w:t>
      </w:r>
      <w:r>
        <w:rPr>
          <w:rFonts w:ascii="Arial" w:eastAsia="Arial" w:hAnsi="Arial" w:cs="Arial"/>
          <w:color w:val="000000"/>
          <w:sz w:val="20"/>
          <w:u w:val="single"/>
        </w:rPr>
        <w:t xml:space="preserve">See </w:t>
      </w:r>
      <w:bookmarkStart w:id="6695" w:name="Bookmark_I63GP6NM2N1PPK0020000400"/>
      <w:bookmarkEnd w:id="6695"/>
      <w:r>
        <w:rPr>
          <w:rFonts w:ascii="Arial" w:eastAsia="Arial" w:hAnsi="Arial" w:cs="Arial"/>
          <w:color w:val="000000"/>
          <w:sz w:val="20"/>
          <w:u w:val="single"/>
        </w:rPr>
        <w:t>Stewart</w:t>
      </w:r>
      <w:r>
        <w:rPr>
          <w:rFonts w:ascii="Arial" w:eastAsia="Arial" w:hAnsi="Arial" w:cs="Arial"/>
          <w:color w:val="000000"/>
          <w:sz w:val="20"/>
        </w:rPr>
        <w:t xml:space="preserve">, 117 F.3d at 1285-86. Accordingly, because the Friedels failed to allege that the defendants refused to provide them with an accommodation that was </w:t>
      </w:r>
      <w:r>
        <w:rPr>
          <w:rFonts w:ascii="Arial" w:eastAsia="Arial" w:hAnsi="Arial" w:cs="Arial"/>
          <w:color w:val="000000"/>
          <w:sz w:val="20"/>
          <w:u w:val="single"/>
        </w:rPr>
        <w:t>reasonable</w:t>
      </w:r>
      <w:r>
        <w:rPr>
          <w:rFonts w:ascii="Arial" w:eastAsia="Arial" w:hAnsi="Arial" w:cs="Arial"/>
          <w:color w:val="000000"/>
          <w:sz w:val="20"/>
        </w:rPr>
        <w:t>, the district court did not err in dismissing this claim.</w:t>
      </w:r>
    </w:p>
    <w:p w:rsidR="00022B47" w:rsidRDefault="00000000">
      <w:pPr>
        <w:pStyle w:val="Normal42"/>
        <w:widowControl w:val="0"/>
        <w:spacing w:before="200" w:line="260" w:lineRule="atLeast"/>
        <w:jc w:val="both"/>
      </w:pPr>
      <w:bookmarkStart w:id="6696" w:name="Bookmark_para_16_35"/>
      <w:bookmarkStart w:id="6697" w:name="Bookmark_I63GP6NM2N1PPK0050000400"/>
      <w:bookmarkEnd w:id="6696"/>
      <w:bookmarkEnd w:id="6697"/>
      <w:r>
        <w:rPr>
          <w:rFonts w:ascii="Arial" w:eastAsia="Arial" w:hAnsi="Arial" w:cs="Arial"/>
          <w:color w:val="000000"/>
          <w:sz w:val="20"/>
        </w:rPr>
        <w:t xml:space="preserve">As for the Friedels' claim of retaliatory housing [*11]  discrimination, we again are unpersuaded. </w:t>
      </w:r>
      <w:bookmarkStart w:id="6698" w:name="Bookmark_LNHNREFclscc6_30"/>
      <w:bookmarkEnd w:id="6698"/>
      <w:r>
        <w:rPr>
          <w:rFonts w:ascii="Arial" w:eastAsia="Arial" w:hAnsi="Arial" w:cs="Arial"/>
          <w:color w:val="000000"/>
          <w:sz w:val="20"/>
        </w:rPr>
        <w:t xml:space="preserve">The FHA provides that it is "unlawful to coerce, intimidate, threaten, or interfere with any person in the exercise or enjoyment of, or on account of his having exercised or enjoyed, or on account of his having aided or encouraged any other person in the exercise or enjoyment of, any right granted or protected" by the FHA discrimination provisions. 42 U.S.C. § 3617. In </w:t>
      </w:r>
      <w:bookmarkStart w:id="6699" w:name="Bookmark_I63GP6NM2N1PPK0040000400"/>
      <w:bookmarkEnd w:id="6699"/>
      <w:r>
        <w:rPr>
          <w:rFonts w:ascii="Arial" w:eastAsia="Arial" w:hAnsi="Arial" w:cs="Arial"/>
          <w:color w:val="000000"/>
          <w:sz w:val="20"/>
          <w:u w:val="single"/>
        </w:rPr>
        <w:t>Sofarelli v. Pinellas County</w:t>
      </w:r>
      <w:r>
        <w:rPr>
          <w:rFonts w:ascii="Arial" w:eastAsia="Arial" w:hAnsi="Arial" w:cs="Arial"/>
          <w:color w:val="000000"/>
          <w:sz w:val="20"/>
        </w:rPr>
        <w:t>, 931 F.2d 718, 720, 722 (11th Cir. 1991), for example, we held that a plaintiff sufficiently made a claim under § 3617 by alleging that the defendants interfered with his efforts to move into a neighborhood on account of the plaintiff's race, which the plaintiff supported with "statements in the newspaper" that quoted the defendants "as stating that they had racial motivations for halting the house move."</w:t>
      </w:r>
    </w:p>
    <w:p w:rsidR="00022B47" w:rsidRDefault="00000000">
      <w:pPr>
        <w:pStyle w:val="Normal42"/>
        <w:widowControl w:val="0"/>
        <w:spacing w:before="200" w:line="260" w:lineRule="atLeast"/>
        <w:jc w:val="both"/>
      </w:pPr>
      <w:bookmarkStart w:id="6700" w:name="Bookmark_para_17_34"/>
      <w:bookmarkEnd w:id="6700"/>
      <w:r>
        <w:rPr>
          <w:rFonts w:ascii="Arial" w:eastAsia="Arial" w:hAnsi="Arial" w:cs="Arial"/>
          <w:color w:val="000000"/>
          <w:sz w:val="20"/>
        </w:rPr>
        <w:t xml:space="preserve">The Friedels allege that their eviction was a direct result of both their initial suit against the defendants and their requests for accommodation. But the circumstances before us belie this conclusory allegation. </w:t>
      </w:r>
      <w:bookmarkStart w:id="6701" w:name="Bookmark_I63GP6NM28T42J0020000400"/>
      <w:bookmarkEnd w:id="6701"/>
      <w:r>
        <w:rPr>
          <w:rFonts w:ascii="Arial" w:eastAsia="Arial" w:hAnsi="Arial" w:cs="Arial"/>
          <w:color w:val="000000"/>
          <w:sz w:val="20"/>
        </w:rPr>
        <w:t xml:space="preserve">The Friedels had received notice </w:t>
      </w:r>
      <w:r>
        <w:rPr>
          <w:rFonts w:ascii="Arial" w:eastAsia="Arial" w:hAnsi="Arial" w:cs="Arial"/>
          <w:color w:val="000000"/>
          <w:sz w:val="20"/>
          <w:u w:val="single"/>
        </w:rPr>
        <w:t>before</w:t>
      </w:r>
      <w:r>
        <w:rPr>
          <w:rFonts w:ascii="Arial" w:eastAsia="Arial" w:hAnsi="Arial" w:cs="Arial"/>
          <w:color w:val="000000"/>
          <w:sz w:val="20"/>
        </w:rPr>
        <w:t xml:space="preserve"> they filed </w:t>
      </w:r>
      <w:r>
        <w:rPr>
          <w:rFonts w:ascii="Arial" w:eastAsia="Arial" w:hAnsi="Arial" w:cs="Arial"/>
          <w:color w:val="000000"/>
          <w:sz w:val="20"/>
          <w:u w:val="single"/>
        </w:rPr>
        <w:t>Friedel I</w:t>
      </w:r>
      <w:r>
        <w:rPr>
          <w:rFonts w:ascii="Arial" w:eastAsia="Arial" w:hAnsi="Arial" w:cs="Arial"/>
          <w:color w:val="000000"/>
          <w:sz w:val="20"/>
        </w:rPr>
        <w:t xml:space="preserve"> that a potential consequence for refusing to remove Maggie from their home was eviction. Nevertheless, they secretly brought Maggie back to their home. Further, Park [*12]  Place prevailed at trial in proving that Maggie was a dangerous animal to the community, and the post-</w:t>
      </w:r>
      <w:r>
        <w:rPr>
          <w:rFonts w:ascii="Arial" w:eastAsia="Arial" w:hAnsi="Arial" w:cs="Arial"/>
          <w:color w:val="000000"/>
          <w:sz w:val="20"/>
          <w:u w:val="single"/>
        </w:rPr>
        <w:t>Friedel I</w:t>
      </w:r>
      <w:r>
        <w:rPr>
          <w:rFonts w:ascii="Arial" w:eastAsia="Arial" w:hAnsi="Arial" w:cs="Arial"/>
          <w:color w:val="000000"/>
          <w:sz w:val="20"/>
        </w:rPr>
        <w:t xml:space="preserve"> notice to vacate was consistent with the jury verdict. </w:t>
      </w:r>
      <w:bookmarkStart w:id="6702" w:name="Bookmark_I63GP6NM28T42J0040000400"/>
      <w:bookmarkEnd w:id="6702"/>
      <w:r>
        <w:rPr>
          <w:rFonts w:ascii="Arial" w:eastAsia="Arial" w:hAnsi="Arial" w:cs="Arial"/>
          <w:color w:val="000000"/>
          <w:sz w:val="20"/>
          <w:u w:val="single"/>
        </w:rPr>
        <w:t xml:space="preserve">See </w:t>
      </w:r>
      <w:bookmarkStart w:id="6703" w:name="Bookmark_I63GP6NM28T42J0010000400"/>
      <w:bookmarkEnd w:id="6703"/>
      <w:r>
        <w:rPr>
          <w:rFonts w:ascii="Arial" w:eastAsia="Arial" w:hAnsi="Arial" w:cs="Arial"/>
          <w:color w:val="000000"/>
          <w:sz w:val="20"/>
          <w:u w:val="single"/>
        </w:rPr>
        <w:t>Friedel</w:t>
      </w:r>
      <w:r>
        <w:rPr>
          <w:rFonts w:ascii="Arial" w:eastAsia="Arial" w:hAnsi="Arial" w:cs="Arial"/>
          <w:color w:val="000000"/>
          <w:sz w:val="20"/>
        </w:rPr>
        <w:t xml:space="preserve">, 747 F. App'x at 776 ("A jury found that Park Place was excluded from having to make a dwelling available to Friedel because his dog's aggressive behavior posed a direct threat to the health and safety of other residents and their property."). </w:t>
      </w:r>
      <w:bookmarkStart w:id="6704" w:name="Bookmark_I63GP6NM28T42J0040000400_2"/>
      <w:bookmarkEnd w:id="6704"/>
      <w:r>
        <w:rPr>
          <w:rFonts w:ascii="Arial" w:eastAsia="Arial" w:hAnsi="Arial" w:cs="Arial"/>
          <w:color w:val="000000"/>
          <w:sz w:val="20"/>
        </w:rPr>
        <w:t xml:space="preserve">The Friedels never offer any allegation of retaliatory animus or other improper motive behind Park Place's notice of eviction. Thus, we cannot say the Friedels sufficiently claimed that the defendants retaliated "on account of" </w:t>
      </w:r>
      <w:r>
        <w:rPr>
          <w:rFonts w:ascii="Arial" w:eastAsia="Arial" w:hAnsi="Arial" w:cs="Arial"/>
          <w:color w:val="000000"/>
          <w:sz w:val="20"/>
          <w:u w:val="single"/>
        </w:rPr>
        <w:t>Friedel I</w:t>
      </w:r>
      <w:r>
        <w:rPr>
          <w:rFonts w:ascii="Arial" w:eastAsia="Arial" w:hAnsi="Arial" w:cs="Arial"/>
          <w:color w:val="000000"/>
          <w:sz w:val="20"/>
        </w:rPr>
        <w:t xml:space="preserve"> or the Friedels' requests for accommodation. 42 U.S.C. § 3617; </w:t>
      </w:r>
      <w:r>
        <w:rPr>
          <w:rFonts w:ascii="Arial" w:eastAsia="Arial" w:hAnsi="Arial" w:cs="Arial"/>
          <w:color w:val="000000"/>
          <w:sz w:val="20"/>
          <w:u w:val="single"/>
        </w:rPr>
        <w:t xml:space="preserve">see also </w:t>
      </w:r>
      <w:bookmarkStart w:id="6705" w:name="Bookmark_I63GP6NM28T42J0030000400"/>
      <w:bookmarkEnd w:id="6705"/>
      <w:r>
        <w:rPr>
          <w:rFonts w:ascii="Arial" w:eastAsia="Arial" w:hAnsi="Arial" w:cs="Arial"/>
          <w:color w:val="000000"/>
          <w:sz w:val="20"/>
          <w:u w:val="single"/>
        </w:rPr>
        <w:t>Sofarelli</w:t>
      </w:r>
      <w:r>
        <w:rPr>
          <w:rFonts w:ascii="Arial" w:eastAsia="Arial" w:hAnsi="Arial" w:cs="Arial"/>
          <w:color w:val="000000"/>
          <w:sz w:val="20"/>
        </w:rPr>
        <w:t>, 931 F.2d at 722 (requiring a § 3617 plaintiff to establish that a protected ground "played some role in the actions of" the defendants).</w:t>
      </w:r>
    </w:p>
    <w:p w:rsidR="00022B47" w:rsidRDefault="00000000">
      <w:pPr>
        <w:pStyle w:val="Normal42"/>
        <w:widowControl w:val="0"/>
        <w:spacing w:before="200" w:line="260" w:lineRule="atLeast"/>
        <w:jc w:val="both"/>
      </w:pPr>
      <w:bookmarkStart w:id="6706" w:name="Bookmark_para_18_33"/>
      <w:bookmarkStart w:id="6707" w:name="Bookmark_I63GP6NM2SF8P70010000400"/>
      <w:bookmarkStart w:id="6708" w:name="Bookmark_I63GP6NM2SF8P70030000400"/>
      <w:bookmarkStart w:id="6709" w:name="Bookmark_I63GP6NM2SF8P70050000400"/>
      <w:bookmarkEnd w:id="6706"/>
      <w:bookmarkEnd w:id="6707"/>
      <w:bookmarkEnd w:id="6708"/>
      <w:bookmarkEnd w:id="6709"/>
      <w:r>
        <w:rPr>
          <w:rFonts w:ascii="Arial" w:eastAsia="Arial" w:hAnsi="Arial" w:cs="Arial"/>
          <w:color w:val="000000"/>
          <w:sz w:val="20"/>
        </w:rPr>
        <w:t xml:space="preserve">The Friedels' final claim is for "breach of the coven[an]t of good faith and fair dealing and/or tortious interference with contract" under Florida law. </w:t>
      </w:r>
      <w:bookmarkStart w:id="6710" w:name="Bookmark_LNHNREFclscc7_29"/>
      <w:bookmarkEnd w:id="6710"/>
      <w:r>
        <w:rPr>
          <w:rFonts w:ascii="Arial" w:eastAsia="Arial" w:hAnsi="Arial" w:cs="Arial"/>
          <w:color w:val="000000"/>
          <w:sz w:val="20"/>
        </w:rPr>
        <w:t xml:space="preserve">"While every contract contains an implied covenant of good faith and fair dealing under Florida law, a breach of this covenant -- standing alone -- does not create an independent cause of action." </w:t>
      </w:r>
      <w:bookmarkStart w:id="6711" w:name="Bookmark_I63GP6NM28T42J0050000400"/>
      <w:bookmarkEnd w:id="6711"/>
      <w:r>
        <w:rPr>
          <w:rFonts w:ascii="Arial" w:eastAsia="Arial" w:hAnsi="Arial" w:cs="Arial"/>
          <w:color w:val="000000"/>
          <w:sz w:val="20"/>
          <w:u w:val="single"/>
        </w:rPr>
        <w:t>Resnick v. AvMed, Inc.</w:t>
      </w:r>
      <w:r>
        <w:rPr>
          <w:rFonts w:ascii="Arial" w:eastAsia="Arial" w:hAnsi="Arial" w:cs="Arial"/>
          <w:color w:val="000000"/>
          <w:sz w:val="20"/>
        </w:rPr>
        <w:t xml:space="preserve">, 693 F.3d 1317, 1329 (11th Cir. 2012) (quotation omitted). Rather, it must "relate [*13]  to the performance of an express term of the contract and is not an abstract and independent term of a contract which may be asserted as a source of breach when all other terms have been performed pursuant to the contract requirements." </w:t>
      </w:r>
      <w:bookmarkStart w:id="6712" w:name="Bookmark_I63GP6NM2SF8P70020000400"/>
      <w:bookmarkEnd w:id="6712"/>
      <w:r>
        <w:rPr>
          <w:rFonts w:ascii="Arial" w:eastAsia="Arial" w:hAnsi="Arial" w:cs="Arial"/>
          <w:color w:val="000000"/>
          <w:sz w:val="20"/>
          <w:u w:val="single"/>
        </w:rPr>
        <w:t>Ins. Concepts &amp; Design, Inc. v. Healthplan Servs., Inc.</w:t>
      </w:r>
      <w:r>
        <w:rPr>
          <w:rFonts w:ascii="Arial" w:eastAsia="Arial" w:hAnsi="Arial" w:cs="Arial"/>
          <w:color w:val="000000"/>
          <w:sz w:val="20"/>
        </w:rPr>
        <w:t xml:space="preserve">, 785 So. 2d 1232, 1235 (Fla. Dist. Ct. App. 2001) (per curiam) (emphasis and quotation omitted). As we've noted, "[a] claimant asserting a cause of action for breach of the implied covenant must allege a failure or refusal to discharge contractual responsibilities, prompted not by an honest mistake, bad judgment or negligence; but, rather by a conscious and deliberate act, which unfairly frustrates the agreed common purpose and disappoints the reasonable expectations of the other party." </w:t>
      </w:r>
      <w:bookmarkStart w:id="6713" w:name="Bookmark_I63GP6NM2SF8P70040000400"/>
      <w:bookmarkEnd w:id="6713"/>
      <w:r>
        <w:rPr>
          <w:rFonts w:ascii="Arial" w:eastAsia="Arial" w:hAnsi="Arial" w:cs="Arial"/>
          <w:color w:val="000000"/>
          <w:sz w:val="20"/>
          <w:u w:val="single"/>
        </w:rPr>
        <w:t>Resnick</w:t>
      </w:r>
      <w:r>
        <w:rPr>
          <w:rFonts w:ascii="Arial" w:eastAsia="Arial" w:hAnsi="Arial" w:cs="Arial"/>
          <w:color w:val="000000"/>
          <w:sz w:val="20"/>
        </w:rPr>
        <w:t>, 693 F.3d at 1329 (quotation omitted).</w:t>
      </w:r>
    </w:p>
    <w:p w:rsidR="00022B47" w:rsidRDefault="00000000">
      <w:pPr>
        <w:pStyle w:val="Normal42"/>
        <w:widowControl w:val="0"/>
        <w:spacing w:before="200" w:line="260" w:lineRule="atLeast"/>
        <w:jc w:val="both"/>
      </w:pPr>
      <w:bookmarkStart w:id="6714" w:name="Bookmark_para_19_32"/>
      <w:bookmarkStart w:id="6715" w:name="Bookmark_I63GP6NN2N1PPR0020000400"/>
      <w:bookmarkEnd w:id="6714"/>
      <w:bookmarkEnd w:id="6715"/>
      <w:r>
        <w:rPr>
          <w:rFonts w:ascii="Arial" w:eastAsia="Arial" w:hAnsi="Arial" w:cs="Arial"/>
          <w:color w:val="000000"/>
          <w:sz w:val="20"/>
        </w:rPr>
        <w:t xml:space="preserve">The Friedels have not stated a claim for the breach of the implied covenant of good faith and fair dealing because they failed to identify the specific contractual obligation breached by the defendants to which the breach of the implied covenant would attach. Rather, the Friedels merely take the position that the breach was of the entire "lease itself." </w:t>
      </w:r>
      <w:bookmarkStart w:id="6716" w:name="Bookmark_I63GP6NN2N1PPR0010000400"/>
      <w:bookmarkEnd w:id="6716"/>
      <w:r>
        <w:rPr>
          <w:rFonts w:ascii="Arial" w:eastAsia="Arial" w:hAnsi="Arial" w:cs="Arial"/>
          <w:color w:val="000000"/>
          <w:sz w:val="20"/>
          <w:u w:val="single"/>
        </w:rPr>
        <w:t>Centurion Air Cargo, Inc. v. United Parcel Serv. Co.</w:t>
      </w:r>
      <w:r>
        <w:rPr>
          <w:rFonts w:ascii="Arial" w:eastAsia="Arial" w:hAnsi="Arial" w:cs="Arial"/>
          <w:color w:val="000000"/>
          <w:sz w:val="20"/>
        </w:rPr>
        <w:t>, 420 F.3d 1146, 1151 (11th Cir. 2005) (</w:t>
      </w:r>
      <w:bookmarkStart w:id="6717" w:name="Bookmark_LNHNREFclscc8_26"/>
      <w:bookmarkEnd w:id="6717"/>
      <w:r>
        <w:rPr>
          <w:rFonts w:ascii="Arial" w:eastAsia="Arial" w:hAnsi="Arial" w:cs="Arial"/>
          <w:color w:val="000000"/>
          <w:sz w:val="20"/>
        </w:rPr>
        <w:t>"A breach of the implied covenant of good faith and fair dealing is not an independent cause of action, but attaches to the performance of a [*14]  specific contractual obligation."). Because Florida law requires plaintiffs to identify the express portion of the lease agreement that was breached, the Friedels' claim necessarily fails.</w:t>
      </w:r>
    </w:p>
    <w:p w:rsidR="00022B47" w:rsidRDefault="00000000">
      <w:pPr>
        <w:pStyle w:val="Normal42"/>
        <w:widowControl w:val="0"/>
        <w:spacing w:before="200" w:line="260" w:lineRule="atLeast"/>
        <w:jc w:val="both"/>
      </w:pPr>
      <w:bookmarkStart w:id="6718" w:name="Bookmark_para_20_32"/>
      <w:bookmarkEnd w:id="6718"/>
      <w:r>
        <w:rPr>
          <w:rFonts w:ascii="Arial" w:eastAsia="Arial" w:hAnsi="Arial" w:cs="Arial"/>
          <w:color w:val="000000"/>
          <w:sz w:val="20"/>
        </w:rPr>
        <w:t>What's more, even if the Friedels were able to assert a breach of the "lease itself," they did not do so. No provision within the lease prohibits Park Place or Sun Communities from requiring removal of an animal from the property after a jury has deemed the animal to be a danger and threat to the community. In fact, the opposite is true. As we've detailed, the lease agreement incorporated Park Place's Rules, which prohibited dangerous or aggressive pets and required their removal from the premises; the lease agreement further provided that violation of the rules "shall be grounds for eviction from the park." Park Place and Sun Communities acted well within the express terms of the Friedels' lease. Accordingly, the Friedels failed to state a claim for breach of the implied covenant of good faith and fair dealing.</w:t>
      </w:r>
    </w:p>
    <w:p w:rsidR="00022B47" w:rsidRDefault="00000000">
      <w:pPr>
        <w:pStyle w:val="Normal42"/>
        <w:widowControl w:val="0"/>
        <w:spacing w:before="200" w:line="260" w:lineRule="atLeast"/>
        <w:jc w:val="both"/>
      </w:pPr>
      <w:bookmarkStart w:id="6719" w:name="Bookmark_para_21_31"/>
      <w:bookmarkStart w:id="6720" w:name="Bookmark_I63GP6NN2N1PPR0040000400"/>
      <w:bookmarkEnd w:id="6719"/>
      <w:bookmarkEnd w:id="6720"/>
      <w:r>
        <w:rPr>
          <w:rFonts w:ascii="Arial" w:eastAsia="Arial" w:hAnsi="Arial" w:cs="Arial"/>
          <w:color w:val="000000"/>
          <w:sz w:val="20"/>
        </w:rPr>
        <w:t xml:space="preserve">Likewise, the Friedels failed to state a claim for tortious interference with a business relationship. </w:t>
      </w:r>
      <w:bookmarkStart w:id="6721" w:name="Bookmark_LNHNREFclscc9_22"/>
      <w:bookmarkEnd w:id="6721"/>
      <w:r>
        <w:rPr>
          <w:rFonts w:ascii="Arial" w:eastAsia="Arial" w:hAnsi="Arial" w:cs="Arial"/>
          <w:color w:val="000000"/>
          <w:sz w:val="20"/>
        </w:rPr>
        <w:t xml:space="preserve">The elements of this claim are: "(1) the existence of a business relationship . . . [;] [*15]  (2) knowledge of the relationship on the part of the defendant; (3) an intentional and unjustified interference with the relationship by the defendant; and (4) damage to the plaintiff as a result of the breach of the relationship." </w:t>
      </w:r>
      <w:bookmarkStart w:id="6722" w:name="Bookmark_I63GP6NN2N1PPR0030000400"/>
      <w:bookmarkEnd w:id="6722"/>
      <w:r>
        <w:rPr>
          <w:rFonts w:ascii="Arial" w:eastAsia="Arial" w:hAnsi="Arial" w:cs="Arial"/>
          <w:color w:val="000000"/>
          <w:sz w:val="20"/>
          <w:u w:val="single"/>
        </w:rPr>
        <w:t>Ethan Allen, Inc. v. Georgetown Manor, Inc.</w:t>
      </w:r>
      <w:r>
        <w:rPr>
          <w:rFonts w:ascii="Arial" w:eastAsia="Arial" w:hAnsi="Arial" w:cs="Arial"/>
          <w:color w:val="000000"/>
          <w:sz w:val="20"/>
        </w:rPr>
        <w:t>, 647 So. 2d 812, 814 (Fla. 1994) (quotation omitted). The Friedels failed to allege sufficient facts to show that the alleged interference -- the eviction -- was unjustified. As we've explained many times, the facts alleged support a finding that the defendants' actions were justified: the jury found that Maggie was a dangerous animal and threat to the community and the Friedels refused to remove Maggie from the property.</w:t>
      </w:r>
    </w:p>
    <w:p w:rsidR="00022B47" w:rsidRDefault="00000000">
      <w:pPr>
        <w:pStyle w:val="Normal42"/>
        <w:widowControl w:val="0"/>
        <w:spacing w:before="200" w:line="260" w:lineRule="atLeast"/>
        <w:jc w:val="both"/>
      </w:pPr>
      <w:bookmarkStart w:id="6723" w:name="Bookmark_para_22_30"/>
      <w:bookmarkEnd w:id="6723"/>
      <w:r>
        <w:rPr>
          <w:rFonts w:ascii="Arial" w:eastAsia="Arial" w:hAnsi="Arial" w:cs="Arial"/>
          <w:b/>
          <w:color w:val="000000"/>
          <w:sz w:val="20"/>
        </w:rPr>
        <w:t>AFFIRMED</w:t>
      </w:r>
      <w:r>
        <w:rPr>
          <w:rFonts w:ascii="Arial" w:eastAsia="Arial" w:hAnsi="Arial" w:cs="Arial"/>
          <w:color w:val="000000"/>
          <w:sz w:val="20"/>
        </w:rPr>
        <w:t>.</w:t>
      </w:r>
      <w:r>
        <w:rPr>
          <w:rFonts w:ascii="Arial" w:eastAsia="Arial" w:hAnsi="Arial" w:cs="Arial"/>
          <w:vertAlign w:val="superscript"/>
        </w:rPr>
        <w:footnoteReference w:customMarkFollows="1" w:id="208"/>
        <w:t>4</w:t>
      </w:r>
    </w:p>
    <w:p w:rsidR="00022B47" w:rsidRDefault="00022B47">
      <w:pPr>
        <w:pStyle w:val="Normal42"/>
      </w:pPr>
    </w:p>
    <w:p w:rsidR="00022B47" w:rsidRDefault="00000000">
      <w:pPr>
        <w:pStyle w:val="Normal42"/>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49376"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162368792"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F66006" id="Line 91"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43"/>
        <w:sectPr w:rsidR="00022B47">
          <w:headerReference w:type="even" r:id="rId265"/>
          <w:headerReference w:type="default" r:id="rId266"/>
          <w:footerReference w:type="even" r:id="rId267"/>
          <w:footerReference w:type="default" r:id="rId268"/>
          <w:headerReference w:type="first" r:id="rId269"/>
          <w:footerReference w:type="first" r:id="rId270"/>
          <w:pgSz w:w="12240" w:h="15840"/>
          <w:pgMar w:top="840" w:right="1000" w:bottom="840" w:left="1000" w:header="400" w:footer="400" w:gutter="0"/>
          <w:cols w:space="720"/>
          <w:titlePg/>
        </w:sectPr>
      </w:pPr>
    </w:p>
    <w:p w:rsidR="00022B47" w:rsidRDefault="00022B47">
      <w:pPr>
        <w:pStyle w:val="Normal43"/>
      </w:pPr>
    </w:p>
    <w:p w:rsidR="00022B47" w:rsidRDefault="00000000">
      <w:pPr>
        <w:pStyle w:val="Heading142"/>
        <w:keepNext w:val="0"/>
        <w:widowControl w:val="0"/>
        <w:spacing w:after="200" w:line="340" w:lineRule="atLeast"/>
        <w:jc w:val="center"/>
      </w:pPr>
      <w:r>
        <w:rPr>
          <w:rFonts w:eastAsia="Arial"/>
          <w:color w:val="000000"/>
          <w:sz w:val="28"/>
        </w:rPr>
        <w:t>Brooklyn Ctr. for Independence of the Disabled v. Metro. Transp. Auth.</w:t>
      </w:r>
    </w:p>
    <w:p w:rsidR="00022B47" w:rsidRDefault="00000000">
      <w:pPr>
        <w:pStyle w:val="Normal43"/>
        <w:widowControl w:val="0"/>
        <w:spacing w:before="120" w:line="260" w:lineRule="atLeast"/>
        <w:jc w:val="center"/>
      </w:pPr>
      <w:r>
        <w:rPr>
          <w:rFonts w:ascii="Arial" w:eastAsia="Arial" w:hAnsi="Arial" w:cs="Arial"/>
          <w:color w:val="000000"/>
          <w:sz w:val="20"/>
        </w:rPr>
        <w:t>United States Court of Appeals for the Second Circuit</w:t>
      </w:r>
    </w:p>
    <w:p w:rsidR="00022B47" w:rsidRDefault="00000000">
      <w:pPr>
        <w:pStyle w:val="Normal43"/>
        <w:widowControl w:val="0"/>
        <w:spacing w:before="120" w:line="260" w:lineRule="atLeast"/>
        <w:jc w:val="center"/>
      </w:pPr>
      <w:r>
        <w:rPr>
          <w:rFonts w:ascii="Arial" w:eastAsia="Arial" w:hAnsi="Arial" w:cs="Arial"/>
          <w:color w:val="000000"/>
          <w:sz w:val="20"/>
        </w:rPr>
        <w:t>May 18, 2021, Argued; August 23, 2021, Decided</w:t>
      </w:r>
    </w:p>
    <w:p w:rsidR="00022B47" w:rsidRDefault="00000000">
      <w:pPr>
        <w:pStyle w:val="Normal43"/>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20-1433</w:t>
      </w:r>
    </w:p>
    <w:p w:rsidR="00022B47" w:rsidRDefault="00022B47">
      <w:pPr>
        <w:pStyle w:val="Normal43"/>
        <w:widowControl w:val="0"/>
        <w:spacing w:line="240" w:lineRule="atLeast"/>
        <w:jc w:val="both"/>
      </w:pPr>
      <w:bookmarkStart w:id="6725" w:name="Bookmark_44"/>
      <w:bookmarkEnd w:id="6725"/>
    </w:p>
    <w:p w:rsidR="00022B47" w:rsidRDefault="00000000">
      <w:pPr>
        <w:pStyle w:val="Normal43"/>
        <w:widowControl w:val="0"/>
        <w:spacing w:before="200" w:line="240" w:lineRule="atLeast"/>
      </w:pPr>
      <w:bookmarkStart w:id="6726" w:name="Reporter_42"/>
      <w:bookmarkEnd w:id="6726"/>
      <w:r>
        <w:rPr>
          <w:rFonts w:ascii="Arial" w:eastAsia="Arial" w:hAnsi="Arial" w:cs="Arial"/>
          <w:b/>
          <w:color w:val="000000"/>
          <w:sz w:val="18"/>
        </w:rPr>
        <w:t>Reporter</w:t>
      </w:r>
    </w:p>
    <w:p w:rsidR="00022B47" w:rsidRDefault="00000000">
      <w:pPr>
        <w:pStyle w:val="Normal43"/>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11 F.4th 55 *; 2021 U.S. App. LEXIS 25104 **; 2021 WL 3713540</w:t>
      </w:r>
    </w:p>
    <w:p w:rsidR="00022B47" w:rsidRDefault="00000000">
      <w:pPr>
        <w:pStyle w:val="Normal43"/>
        <w:widowControl w:val="0"/>
        <w:spacing w:before="120" w:line="260" w:lineRule="atLeast"/>
      </w:pPr>
      <w:r>
        <w:rPr>
          <w:rFonts w:ascii="Arial" w:eastAsia="Arial" w:hAnsi="Arial" w:cs="Arial"/>
          <w:color w:val="000000"/>
          <w:sz w:val="20"/>
        </w:rPr>
        <w:t>BROOKLYN CENTER FOR INDEPENDENCE OF THE DISABLED, A NONPROFIT ORGANIZATION, BRONX INDEPENDENT LIVING SERVICES, A NONPROFIT ORGANIZATION, HARLEM INDEPENDENT LIVING CENTER, A NONPROFIT ORGANIZATION, CENTER FOR INDEPENDENCE OF THE DISABLED, NEW YORK A NONPROFIT ORGANIZATION, DISABLED IN ACTION OF METROPOLITAN, NEW YORK A NONPROFIT ORGANIZATION, NEW YORK STATEWIDE SENIOR ACTION COUNCIL, A NONPROFIT ORGANIZATION, SASHA BLAIR-GOLDENSOHN, AN INDIVIDUAL, CHRIS PANGILINAN, AN INDIVIDUAL, DUSTIN JONES, AN INDIVIDUAL, ON BEHALF OF THEMSELVES AND ALL OTHERS SIMILARLY SITUATED, Plaintiffs-Appellants, v. METROPOLITAN TRANSPORTATION AUTHORITY, A PUBLIC BENEFIT CORPORATION, VERONIQUE HAKIM, IN HER OFFICIAL CAPACITY AS INTERIM EXECUTIVE DIRECTOR OF THE METROPOLITAN TRANSPORTATION AUTHORITY, NEW YORK CITY TRANSIT AUTHORITY, A PUBLIC BENEFIT CORPORATION, DARRYL C. IRICK, IN HIS OFFICIAL CAPACITY AS ACTING PRESIDENT OF THE NEW YORK CITY TRANSIT AUTHORITY, Defendants-Appellees, THE CITY OF NEW YORK, Defendants.</w:t>
      </w:r>
    </w:p>
    <w:p w:rsidR="00022B47" w:rsidRDefault="00000000">
      <w:pPr>
        <w:pStyle w:val="Normal43"/>
        <w:widowControl w:val="0"/>
        <w:spacing w:before="240" w:line="260" w:lineRule="atLeast"/>
        <w:jc w:val="both"/>
      </w:pPr>
      <w:bookmarkStart w:id="6727" w:name="Prior_History_42"/>
      <w:bookmarkEnd w:id="6727"/>
      <w:r>
        <w:rPr>
          <w:rFonts w:ascii="Arial" w:eastAsia="Arial" w:hAnsi="Arial" w:cs="Arial"/>
          <w:b/>
          <w:color w:val="000000"/>
          <w:sz w:val="20"/>
        </w:rPr>
        <w:t>Prior History:</w:t>
      </w:r>
      <w:r>
        <w:rPr>
          <w:rFonts w:ascii="Arial" w:eastAsia="Arial" w:hAnsi="Arial" w:cs="Arial"/>
          <w:color w:val="000000"/>
          <w:sz w:val="20"/>
        </w:rPr>
        <w:t> </w:t>
      </w:r>
      <w:bookmarkStart w:id="6728" w:name="Bookmark_para_1_42"/>
      <w:bookmarkEnd w:id="6728"/>
      <w:r>
        <w:rPr>
          <w:rFonts w:ascii="Arial" w:eastAsia="Arial" w:hAnsi="Arial" w:cs="Arial"/>
          <w:color w:val="000000"/>
          <w:sz w:val="20"/>
        </w:rPr>
        <w:t>A certified class of individuals with disabilities, together with six disability-rights organizations, sue the Metropolitan Transportation Authority ("MTA"), the New York City Transit Authority ("NYCTA"), and their respective executive director and president, alleging that the failure to adequately maintain subway-station elevators violates the Americans with Disabilities Act ("ADA") [**1] , the Rehabilitation Act ("RA"), and the New York City Human Rights Law ("NYCHRL"). The district court for the Southern District of New York (Daniels, J.) granted summary judgment to the defendants. We conclude that there are genuine disputes of material fact as to whether frequent and inconvenient elevator outages deprive at least some passengers with disabilities of adequate access to the subway. However, summary judgment would nonetheless be proper if it can be determined as a matter of law that reasonable accommodations are provided during those outages. The district court did not reach the issue of reasonable accommodations. It also did not sufficiently consider the NYCHRL claim. Accordingly, we VACATE the judgment of the district court and REMAND for further proceedings consistent with this opinion.</w:t>
      </w:r>
    </w:p>
    <w:p w:rsidR="00022B47" w:rsidRDefault="00000000">
      <w:pPr>
        <w:pStyle w:val="Normal43"/>
        <w:widowControl w:val="0"/>
        <w:spacing w:before="120" w:line="260" w:lineRule="atLeast"/>
      </w:pPr>
      <w:r>
        <w:rPr>
          <w:rFonts w:ascii="Arial" w:eastAsia="Arial" w:hAnsi="Arial" w:cs="Arial"/>
          <w:color w:val="000000"/>
          <w:sz w:val="20"/>
        </w:rPr>
        <w:t>Ctr. for Independence of the Disabled v. Metro. Transp. Auth., 2020 U.S. Dist. LEXIS 56626, 2020 WL 1503454 (S.D.N.Y., Mar. 30, 2020)</w:t>
      </w:r>
    </w:p>
    <w:p w:rsidR="00022B47" w:rsidRDefault="00000000">
      <w:pPr>
        <w:pStyle w:val="Normal43"/>
        <w:widowControl w:val="0"/>
        <w:spacing w:before="240" w:line="260" w:lineRule="atLeast"/>
      </w:pPr>
      <w:bookmarkStart w:id="6729" w:name="Counsel_42"/>
      <w:bookmarkEnd w:id="6729"/>
      <w:r>
        <w:rPr>
          <w:rFonts w:ascii="Arial" w:eastAsia="Arial" w:hAnsi="Arial" w:cs="Arial"/>
          <w:b/>
          <w:color w:val="000000"/>
          <w:sz w:val="20"/>
        </w:rPr>
        <w:t>Counsel:</w:t>
      </w:r>
      <w:r>
        <w:rPr>
          <w:rFonts w:ascii="Arial" w:eastAsia="Arial" w:hAnsi="Arial" w:cs="Arial"/>
          <w:color w:val="000000"/>
          <w:sz w:val="20"/>
        </w:rPr>
        <w:t> STUART SEABORN, Disability Rights Advocates, [**2]  Berkeley, CA (Jelena Kolic, Disability Rights Advocates, Chicago, IL; Emily Seelenfreund, Disability Rights Advocates, New York, NY; Daniel L. Brown, Sheppard, Mullin, Richter &amp; Hampton, LLP, New York, NY; on the briefs), for Plaintiffs-Appellants.</w:t>
      </w:r>
    </w:p>
    <w:p w:rsidR="00022B47" w:rsidRDefault="00000000">
      <w:pPr>
        <w:pStyle w:val="Normal43"/>
        <w:widowControl w:val="0"/>
        <w:spacing w:before="120" w:line="260" w:lineRule="atLeast"/>
      </w:pPr>
      <w:r>
        <w:rPr>
          <w:rFonts w:ascii="Arial" w:eastAsia="Arial" w:hAnsi="Arial" w:cs="Arial"/>
          <w:color w:val="000000"/>
          <w:sz w:val="20"/>
        </w:rPr>
        <w:t>IRA J. LIPTON (Helene R. Hechtkopf, Miriam J. Manber, Steven M. Silverberg, on the brief), Hoguet Newman Regal &amp; Kenney, LLP, New York, NY, for Defendants-Appellees.</w:t>
      </w:r>
    </w:p>
    <w:p w:rsidR="00022B47" w:rsidRDefault="00000000">
      <w:pPr>
        <w:pStyle w:val="Normal43"/>
        <w:widowControl w:val="0"/>
        <w:spacing w:before="120" w:line="260" w:lineRule="atLeast"/>
      </w:pPr>
      <w:r>
        <w:rPr>
          <w:rFonts w:ascii="Arial" w:eastAsia="Arial" w:hAnsi="Arial" w:cs="Arial"/>
          <w:color w:val="000000"/>
          <w:sz w:val="20"/>
        </w:rPr>
        <w:t>David J. Abrams, Julie R. Fischer, Deva Roberts, Kristine B. Abrenica, Kasowitz Benson Torres LLP, New York, NY, for Amicus Curiae CSY Ventures LLC, d/b/a Up-Stand, in support of Plaintiffs-Appellants.</w:t>
      </w:r>
    </w:p>
    <w:p w:rsidR="00022B47" w:rsidRDefault="00000000">
      <w:pPr>
        <w:pStyle w:val="Normal43"/>
        <w:widowControl w:val="0"/>
        <w:spacing w:before="120" w:line="260" w:lineRule="atLeast"/>
      </w:pPr>
      <w:r>
        <w:rPr>
          <w:rFonts w:ascii="Arial" w:eastAsia="Arial" w:hAnsi="Arial" w:cs="Arial"/>
          <w:color w:val="000000"/>
          <w:sz w:val="20"/>
        </w:rPr>
        <w:t>William A. Burck, Josef T. Ansorge, Stephen A. Broome, Quinn Emanuel Urquhart &amp; Sullivan LLP, Washington, DC and New York, NY, for Amicus Curiae National Disability Rights Network, in support of Plaintiffs-Appellants.</w:t>
      </w:r>
    </w:p>
    <w:p w:rsidR="00022B47" w:rsidRDefault="00000000">
      <w:pPr>
        <w:pStyle w:val="Normal43"/>
        <w:widowControl w:val="0"/>
        <w:spacing w:before="120" w:line="260" w:lineRule="atLeast"/>
      </w:pPr>
      <w:r>
        <w:rPr>
          <w:rFonts w:ascii="Arial" w:eastAsia="Arial" w:hAnsi="Arial" w:cs="Arial"/>
          <w:color w:val="000000"/>
          <w:sz w:val="20"/>
        </w:rPr>
        <w:t>Darin P. McAtee, Cravath, Swaine &amp; Moore LLP, New York, NY, for Amicus Curiae TransitCenter, in support of Plaintiffs-Appellants.</w:t>
      </w:r>
    </w:p>
    <w:p w:rsidR="00022B47" w:rsidRDefault="00000000">
      <w:pPr>
        <w:pStyle w:val="Normal43"/>
        <w:widowControl w:val="0"/>
        <w:spacing w:before="240" w:line="260" w:lineRule="atLeast"/>
      </w:pPr>
      <w:bookmarkStart w:id="6730" w:name="Judges_42"/>
      <w:bookmarkEnd w:id="6730"/>
      <w:r>
        <w:rPr>
          <w:rFonts w:ascii="Arial" w:eastAsia="Arial" w:hAnsi="Arial" w:cs="Arial"/>
          <w:b/>
          <w:color w:val="000000"/>
          <w:sz w:val="20"/>
        </w:rPr>
        <w:t>Judges:</w:t>
      </w:r>
      <w:r>
        <w:rPr>
          <w:rFonts w:ascii="Arial" w:eastAsia="Arial" w:hAnsi="Arial" w:cs="Arial"/>
          <w:color w:val="000000"/>
          <w:sz w:val="20"/>
        </w:rPr>
        <w:t> Before: JACOBS, CABRANES, MENASHI, Circuit Judges.</w:t>
      </w:r>
    </w:p>
    <w:p w:rsidR="00022B47" w:rsidRDefault="00000000">
      <w:pPr>
        <w:pStyle w:val="Normal43"/>
        <w:widowControl w:val="0"/>
        <w:spacing w:before="240" w:line="260" w:lineRule="atLeast"/>
      </w:pPr>
      <w:bookmarkStart w:id="6731" w:name="Opinion_by_21"/>
      <w:bookmarkEnd w:id="6731"/>
      <w:r>
        <w:rPr>
          <w:rFonts w:ascii="Arial" w:eastAsia="Arial" w:hAnsi="Arial" w:cs="Arial"/>
          <w:b/>
          <w:color w:val="000000"/>
          <w:sz w:val="20"/>
        </w:rPr>
        <w:t>Opinion by:</w:t>
      </w:r>
      <w:r>
        <w:rPr>
          <w:rFonts w:ascii="Arial" w:eastAsia="Arial" w:hAnsi="Arial" w:cs="Arial"/>
          <w:color w:val="000000"/>
          <w:sz w:val="20"/>
        </w:rPr>
        <w:t> DENNIS JACOBS</w:t>
      </w:r>
    </w:p>
    <w:p w:rsidR="00022B47" w:rsidRDefault="00000000">
      <w:pPr>
        <w:pStyle w:val="Normal43"/>
        <w:keepNext/>
        <w:widowControl w:val="0"/>
        <w:spacing w:before="240" w:line="340" w:lineRule="atLeast"/>
      </w:pPr>
      <w:bookmarkStart w:id="6732" w:name="Opinion_42"/>
      <w:bookmarkEnd w:id="6732"/>
      <w:r>
        <w:rPr>
          <w:rFonts w:ascii="Arial" w:eastAsia="Arial" w:hAnsi="Arial" w:cs="Arial"/>
          <w:b/>
          <w:color w:val="000000"/>
          <w:sz w:val="28"/>
        </w:rPr>
        <w:t>Opinion</w:t>
      </w:r>
    </w:p>
    <w:p w:rsidR="00022B47" w:rsidRDefault="0025213E">
      <w:pPr>
        <w:pStyle w:val="Normal43"/>
        <w:spacing w:line="60" w:lineRule="exact"/>
      </w:pPr>
      <w:r>
        <w:rPr>
          <w:noProof/>
        </w:rPr>
        <mc:AlternateContent>
          <mc:Choice Requires="wps">
            <w:drawing>
              <wp:anchor distT="0" distB="0" distL="114300" distR="114300" simplePos="0" relativeHeight="25175040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804529868"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392239" id="Line 92"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43"/>
      </w:pPr>
    </w:p>
    <w:p w:rsidR="00022B47" w:rsidRDefault="00000000">
      <w:pPr>
        <w:pStyle w:val="Normal43"/>
        <w:widowControl w:val="0"/>
        <w:spacing w:before="200" w:line="260" w:lineRule="atLeast"/>
        <w:jc w:val="both"/>
      </w:pPr>
      <w:bookmarkStart w:id="6733" w:name="Bookmark_para_2_42"/>
      <w:bookmarkEnd w:id="6733"/>
      <w:r>
        <w:rPr>
          <w:rFonts w:ascii="Arial" w:eastAsia="Arial" w:hAnsi="Arial" w:cs="Arial"/>
          <w:color w:val="000000"/>
          <w:sz w:val="20"/>
        </w:rPr>
        <w:t xml:space="preserve"> [*59]  </w:t>
      </w:r>
      <w:r>
        <w:rPr>
          <w:rFonts w:ascii="Arial" w:eastAsia="Arial" w:hAnsi="Arial" w:cs="Arial"/>
          <w:smallCaps/>
          <w:color w:val="000000"/>
          <w:sz w:val="20"/>
        </w:rPr>
        <w:t>Dennis Jacobs</w:t>
      </w:r>
      <w:r>
        <w:rPr>
          <w:rFonts w:ascii="Arial" w:eastAsia="Arial" w:hAnsi="Arial" w:cs="Arial"/>
          <w:color w:val="000000"/>
          <w:sz w:val="20"/>
        </w:rPr>
        <w:t xml:space="preserve">, </w:t>
      </w:r>
      <w:r>
        <w:rPr>
          <w:rFonts w:ascii="Arial" w:eastAsia="Arial" w:hAnsi="Arial" w:cs="Arial"/>
          <w:color w:val="000000"/>
          <w:sz w:val="20"/>
          <w:u w:val="single"/>
        </w:rPr>
        <w:t>Circuit Judge</w:t>
      </w:r>
      <w:r>
        <w:rPr>
          <w:rFonts w:ascii="Arial" w:eastAsia="Arial" w:hAnsi="Arial" w:cs="Arial"/>
          <w:color w:val="000000"/>
          <w:sz w:val="20"/>
        </w:rPr>
        <w:t>:</w:t>
      </w:r>
    </w:p>
    <w:p w:rsidR="00022B47" w:rsidRDefault="00000000">
      <w:pPr>
        <w:pStyle w:val="Normal43"/>
        <w:widowControl w:val="0"/>
        <w:spacing w:before="200" w:line="260" w:lineRule="atLeast"/>
        <w:jc w:val="both"/>
      </w:pPr>
      <w:bookmarkStart w:id="6734" w:name="Bookmark_para_3_42"/>
      <w:bookmarkEnd w:id="6734"/>
      <w:r>
        <w:rPr>
          <w:rFonts w:ascii="Arial" w:eastAsia="Arial" w:hAnsi="Arial" w:cs="Arial"/>
          <w:color w:val="000000"/>
          <w:sz w:val="20"/>
        </w:rPr>
        <w:t>A certified class of people with impaired mobility who rely on elevators to access the New York City subway system, along with six disability-rights [**3]  organizations, allege that the disrepair of subway-station elevators violates Title II of the Americans with Disabilities Act ("ADA"), 42 U.S.C. §§ 12131-50; section 504 of the Rehabilitation Act ("RA"), 29 U.S.C. § 794; and the New York City Human Rights Law ("NYCHRL"), N.Y.C. Admin. Code § 8-107(4). Defendants are the Metropolitan Transportation Authority ("MTA"), the New York City Transit Authority ("NYCTA"), and their respective executive director and president. (The defendants are collectively referred to as "MTA," except when distinguishing between the MTA and NYCTA.) The district court (Daniels, J.) granted summary judgment in favor of the MTA.</w:t>
      </w:r>
    </w:p>
    <w:p w:rsidR="00022B47" w:rsidRDefault="00000000">
      <w:pPr>
        <w:pStyle w:val="Normal43"/>
        <w:widowControl w:val="0"/>
        <w:spacing w:before="200" w:line="260" w:lineRule="atLeast"/>
        <w:jc w:val="both"/>
      </w:pPr>
      <w:bookmarkStart w:id="6735" w:name="Bookmark_para_4_42"/>
      <w:bookmarkEnd w:id="6735"/>
      <w:r>
        <w:rPr>
          <w:rFonts w:ascii="Arial" w:eastAsia="Arial" w:hAnsi="Arial" w:cs="Arial"/>
          <w:color w:val="000000"/>
          <w:sz w:val="20"/>
        </w:rPr>
        <w:t>On appeal, the plaintiffs argue that: (1) genuine disputes of material fact precluded summary judgment on the ADA and RA claims; (2) the district court erroneously deemed their expert evidence and class-member testimony to be immaterial; and (3) the district court applied an improper standard under the NYCHRL.</w:t>
      </w:r>
    </w:p>
    <w:p w:rsidR="00022B47" w:rsidRDefault="00000000">
      <w:pPr>
        <w:pStyle w:val="Normal43"/>
        <w:widowControl w:val="0"/>
        <w:spacing w:before="200" w:line="260" w:lineRule="atLeast"/>
        <w:jc w:val="both"/>
      </w:pPr>
      <w:bookmarkStart w:id="6736" w:name="Bookmark_para_5_42"/>
      <w:bookmarkEnd w:id="6736"/>
      <w:r>
        <w:rPr>
          <w:rFonts w:ascii="Arial" w:eastAsia="Arial" w:hAnsi="Arial" w:cs="Arial"/>
          <w:color w:val="000000"/>
          <w:sz w:val="20"/>
        </w:rPr>
        <w:t>At the outset, we reject the MTA's argument that this case is non-justiciable. We also reject the MTA's argument that we must consider the accessibility of the transit system as a single unit that includes subways, buses and paratransit.</w:t>
      </w:r>
    </w:p>
    <w:p w:rsidR="00022B47" w:rsidRDefault="00000000">
      <w:pPr>
        <w:pStyle w:val="Normal43"/>
        <w:widowControl w:val="0"/>
        <w:spacing w:before="200" w:line="260" w:lineRule="atLeast"/>
        <w:jc w:val="both"/>
      </w:pPr>
      <w:bookmarkStart w:id="6737" w:name="Bookmark_para_6_42"/>
      <w:bookmarkEnd w:id="6737"/>
      <w:r>
        <w:rPr>
          <w:rFonts w:ascii="Arial" w:eastAsia="Arial" w:hAnsi="Arial" w:cs="Arial"/>
          <w:color w:val="000000"/>
          <w:sz w:val="20"/>
        </w:rPr>
        <w:t>The district court concluded that the subway system's elevators afford meaningful access for individuals with disabilities, [**4]  and that the subway system therefore complies with the ADA and RA as a matter of law. This was error. The district court did not consider the plaintiffs' evidence that individuals with disabilities who rely on certain subway stations experience appreciable hardship during elevator outages. However, summary judgment would nonetheless be proper if reasonable accommodations are provided during elevator outages. The district court did not reach the issue of reasonable accommodations. Nor did it independently and liberally construe the NYCHRL, as is required.</w:t>
      </w:r>
    </w:p>
    <w:p w:rsidR="00022B47" w:rsidRDefault="00000000">
      <w:pPr>
        <w:pStyle w:val="Normal43"/>
        <w:widowControl w:val="0"/>
        <w:spacing w:before="200" w:line="260" w:lineRule="atLeast"/>
        <w:jc w:val="both"/>
      </w:pPr>
      <w:bookmarkStart w:id="6738" w:name="Bookmark_para_7_42"/>
      <w:bookmarkEnd w:id="6738"/>
      <w:r>
        <w:rPr>
          <w:rFonts w:ascii="Arial" w:eastAsia="Arial" w:hAnsi="Arial" w:cs="Arial"/>
          <w:color w:val="000000"/>
          <w:sz w:val="20"/>
        </w:rPr>
        <w:t>Accordingly, the judgment of the district court is vacated, and we remand for further proceedings consistent with this opinion.</w:t>
      </w:r>
    </w:p>
    <w:p w:rsidR="00022B47" w:rsidRDefault="00000000">
      <w:pPr>
        <w:pStyle w:val="Normal43"/>
        <w:widowControl w:val="0"/>
        <w:spacing w:before="240" w:line="260" w:lineRule="atLeast"/>
      </w:pPr>
      <w:r>
        <w:br/>
      </w:r>
      <w:r>
        <w:rPr>
          <w:rFonts w:ascii="Arial" w:eastAsia="Arial" w:hAnsi="Arial" w:cs="Arial"/>
          <w:b/>
          <w:color w:val="000000"/>
          <w:sz w:val="20"/>
        </w:rPr>
        <w:t>I</w:t>
      </w:r>
    </w:p>
    <w:p w:rsidR="00022B47" w:rsidRDefault="00000000">
      <w:pPr>
        <w:pStyle w:val="Normal43"/>
        <w:widowControl w:val="0"/>
        <w:spacing w:before="200" w:line="260" w:lineRule="atLeast"/>
        <w:jc w:val="both"/>
      </w:pPr>
      <w:bookmarkStart w:id="6739" w:name="Bookmark_para_8_41"/>
      <w:bookmarkEnd w:id="6739"/>
      <w:r>
        <w:rPr>
          <w:rFonts w:ascii="Arial" w:eastAsia="Arial" w:hAnsi="Arial" w:cs="Arial"/>
          <w:color w:val="000000"/>
          <w:sz w:val="20"/>
        </w:rPr>
        <w:t>Of the 472 subway stations in New York City, 98 are designated ADA-accessible. Across those 98 stations, there are 272 elevators, which together provide subway access to individuals with limited mobility.</w:t>
      </w:r>
    </w:p>
    <w:p w:rsidR="00022B47" w:rsidRDefault="00000000">
      <w:pPr>
        <w:pStyle w:val="Normal43"/>
        <w:widowControl w:val="0"/>
        <w:spacing w:before="200" w:line="260" w:lineRule="atLeast"/>
        <w:jc w:val="both"/>
      </w:pPr>
      <w:bookmarkStart w:id="6740" w:name="Bookmark_para_9_40"/>
      <w:bookmarkEnd w:id="6740"/>
      <w:r>
        <w:rPr>
          <w:rFonts w:ascii="Arial" w:eastAsia="Arial" w:hAnsi="Arial" w:cs="Arial"/>
          <w:color w:val="000000"/>
          <w:sz w:val="20"/>
        </w:rPr>
        <w:t>The plaintiffs contend that the MTA's maintenance practices are inadequate to reduce unexpected elevator outages to a legally acceptable frequency. An audit by the New York City Comptroller found that just one-fifth of elevators and escalators had undergone all scheduled preventative maintenance. Consultants [**5]  found that a substantial number of elevators required corrective maintenance within two weeks after a repair, and that the automated system that monitors elevators for service disruptions—"LiftNet"—is outdated, under-tested, and inadequately maintained. The plaintiffs also cite as evidence a handful of elevator inspections, which identified problems including uncleanliness, faulty doors, entrapments, and deficient record-keeping.</w:t>
      </w:r>
    </w:p>
    <w:p w:rsidR="00022B47" w:rsidRDefault="00000000">
      <w:pPr>
        <w:pStyle w:val="Normal43"/>
        <w:widowControl w:val="0"/>
        <w:spacing w:before="200" w:line="260" w:lineRule="atLeast"/>
        <w:jc w:val="both"/>
      </w:pPr>
      <w:bookmarkStart w:id="6741" w:name="Bookmark_para_10_40"/>
      <w:bookmarkEnd w:id="6741"/>
      <w:r>
        <w:rPr>
          <w:rFonts w:ascii="Arial" w:eastAsia="Arial" w:hAnsi="Arial" w:cs="Arial"/>
          <w:color w:val="000000"/>
          <w:sz w:val="20"/>
        </w:rPr>
        <w:t>Still, system-wide, elevators are in working order an average of 96.5 to 98.7 percent of the time. This range is not disputed by the plaintiffs. Instead, the plaintiffs submitted evidence that commuters who take high-traffic routes during peak hours may encounter elevator outages 8 to 15 percent of the time—much more frequently than the general availability range suggests.  [*60]  The inconvenience of encountering an inoperable elevator is compounded because (1) at most stations, each level is accessible by a single elevator; (2) access to a particular platform often requires use of two to four elevators to travel across multiple levels; (3) about three quarters of stations system-wide lack elevators to begin with, and accessible stations are sparse in some areas; [**6]  and (4) most elevator outages are unplanned (</w:t>
      </w:r>
      <w:r>
        <w:rPr>
          <w:rFonts w:ascii="Arial" w:eastAsia="Arial" w:hAnsi="Arial" w:cs="Arial"/>
          <w:i/>
          <w:color w:val="000000"/>
          <w:sz w:val="20"/>
        </w:rPr>
        <w:t>i.e.</w:t>
      </w:r>
      <w:r>
        <w:rPr>
          <w:rFonts w:ascii="Arial" w:eastAsia="Arial" w:hAnsi="Arial" w:cs="Arial"/>
          <w:color w:val="000000"/>
          <w:sz w:val="20"/>
        </w:rPr>
        <w:t>, not due to scheduled maintenance), making it difficult to arrange alternative transportation in advance.</w:t>
      </w:r>
    </w:p>
    <w:p w:rsidR="00022B47" w:rsidRDefault="00000000">
      <w:pPr>
        <w:pStyle w:val="Normal43"/>
        <w:widowControl w:val="0"/>
        <w:spacing w:before="200" w:line="260" w:lineRule="atLeast"/>
        <w:jc w:val="both"/>
      </w:pPr>
      <w:bookmarkStart w:id="6742" w:name="Bookmark_para_11_39"/>
      <w:bookmarkEnd w:id="6742"/>
      <w:r>
        <w:rPr>
          <w:rFonts w:ascii="Arial" w:eastAsia="Arial" w:hAnsi="Arial" w:cs="Arial"/>
          <w:color w:val="000000"/>
          <w:sz w:val="20"/>
        </w:rPr>
        <w:t>When an elevator malfunctions, a control desk is notified, either by LiftNet or by station personnel. A crew is dispatched to make any necessary repairs. The MTA submitted evidence showing that elevators are typically repaired within three hours of an outage being reported, and that 95% of repairs are completed within 24 hours.</w:t>
      </w:r>
    </w:p>
    <w:p w:rsidR="00022B47" w:rsidRDefault="00000000">
      <w:pPr>
        <w:pStyle w:val="Normal43"/>
        <w:widowControl w:val="0"/>
        <w:spacing w:before="200" w:line="260" w:lineRule="atLeast"/>
        <w:jc w:val="both"/>
      </w:pPr>
      <w:bookmarkStart w:id="6743" w:name="Bookmark_para_12_38"/>
      <w:bookmarkEnd w:id="6743"/>
      <w:r>
        <w:rPr>
          <w:rFonts w:ascii="Arial" w:eastAsia="Arial" w:hAnsi="Arial" w:cs="Arial"/>
          <w:color w:val="000000"/>
          <w:sz w:val="20"/>
        </w:rPr>
        <w:t>A critical component of the MTA's program of elevator access is the notice of outages provided to elevator-dependent riders. The MTA reports elevator status on its website and smartphone application ("app"). Customers may subscribe to e-mail and text-message alerts of outages at their preferred subway stations. The website and app include "TripPlanner+," a feature that enables customers to find alternate accessible routes. Permanent physical signs posted at elevators also display alternate routing information.</w:t>
      </w:r>
    </w:p>
    <w:p w:rsidR="00022B47" w:rsidRDefault="00000000">
      <w:pPr>
        <w:pStyle w:val="Normal43"/>
        <w:widowControl w:val="0"/>
        <w:spacing w:before="200" w:line="260" w:lineRule="atLeast"/>
        <w:jc w:val="both"/>
      </w:pPr>
      <w:bookmarkStart w:id="6744" w:name="Bookmark_para_13_38"/>
      <w:bookmarkEnd w:id="6744"/>
      <w:r>
        <w:rPr>
          <w:rFonts w:ascii="Arial" w:eastAsia="Arial" w:hAnsi="Arial" w:cs="Arial"/>
          <w:color w:val="000000"/>
          <w:sz w:val="20"/>
        </w:rPr>
        <w:t xml:space="preserve">However, the usefulness of these tools is disputed. The MTA claims that "elevator outages first identified by the LiftNet remote monitoring system [are] verified and thereafter posted to the MTA website [**7]  within an average of 13.79 minutes after receiving the initial outage report." App. at 683 ¶ 20. (The same presumably goes for the app.) The plaintiffs assert that posting can take up to 45 minutes. While the plaintiffs' higher number does not necessarily contradict the MTA's average figure, questions remain as to how long it takes for an "initial outage report" to be received in the first place, </w:t>
      </w:r>
      <w:r>
        <w:rPr>
          <w:rFonts w:ascii="Arial" w:eastAsia="Arial" w:hAnsi="Arial" w:cs="Arial"/>
          <w:color w:val="000000"/>
          <w:sz w:val="20"/>
          <w:u w:val="single"/>
        </w:rPr>
        <w:t>id.</w:t>
      </w:r>
      <w:r>
        <w:rPr>
          <w:rFonts w:ascii="Arial" w:eastAsia="Arial" w:hAnsi="Arial" w:cs="Arial"/>
          <w:color w:val="000000"/>
          <w:sz w:val="20"/>
        </w:rPr>
        <w:t>, and how long it takes to post outages that are not detected by LiftNet at all. The plaintiffs also cite evidence showing that the MTA's website fails to report 20% of outages. And the plaintiffs dispute the extent and clarity of the physical signs posted at elevators.</w:t>
      </w:r>
    </w:p>
    <w:p w:rsidR="00022B47" w:rsidRDefault="00000000">
      <w:pPr>
        <w:pStyle w:val="Normal43"/>
        <w:widowControl w:val="0"/>
        <w:spacing w:before="200" w:line="260" w:lineRule="atLeast"/>
        <w:jc w:val="both"/>
      </w:pPr>
      <w:bookmarkStart w:id="6745" w:name="Bookmark_para_14_38"/>
      <w:bookmarkEnd w:id="6745"/>
      <w:r>
        <w:rPr>
          <w:rFonts w:ascii="Arial" w:eastAsia="Arial" w:hAnsi="Arial" w:cs="Arial"/>
          <w:color w:val="000000"/>
          <w:sz w:val="20"/>
        </w:rPr>
        <w:t>In addition to the subway, the MTA's public transportation network includes buses and paratransit. All buses are ADA-accessible, and every subway station with an ADA elevator is near a bus stop. There are 326 bus routes and more than 16,000 bus stops. The MTA's paratransit service, Access-A-Ride, is available by reservation, which must be made one to two days in advance.</w:t>
      </w:r>
    </w:p>
    <w:p w:rsidR="00022B47" w:rsidRDefault="00000000">
      <w:pPr>
        <w:pStyle w:val="Normal43"/>
        <w:widowControl w:val="0"/>
        <w:spacing w:before="240" w:line="260" w:lineRule="atLeast"/>
      </w:pPr>
      <w:r>
        <w:br/>
      </w:r>
      <w:r>
        <w:rPr>
          <w:rFonts w:ascii="Arial" w:eastAsia="Arial" w:hAnsi="Arial" w:cs="Arial"/>
          <w:b/>
          <w:color w:val="000000"/>
          <w:sz w:val="20"/>
        </w:rPr>
        <w:t>II</w:t>
      </w:r>
    </w:p>
    <w:p w:rsidR="00022B47" w:rsidRDefault="00000000">
      <w:pPr>
        <w:pStyle w:val="Normal43"/>
        <w:widowControl w:val="0"/>
        <w:spacing w:before="200" w:line="260" w:lineRule="atLeast"/>
        <w:jc w:val="both"/>
      </w:pPr>
      <w:bookmarkStart w:id="6746" w:name="Bookmark_para_15_36"/>
      <w:bookmarkEnd w:id="6746"/>
      <w:r>
        <w:rPr>
          <w:rFonts w:ascii="Arial" w:eastAsia="Arial" w:hAnsi="Arial" w:cs="Arial"/>
          <w:color w:val="000000"/>
          <w:sz w:val="20"/>
        </w:rPr>
        <w:t xml:space="preserve">The complaint, filed in April 2017, alleges that, by failing to maintain elevators and provide reasonable accommodations during outages, the MTA violated [**8]  Title II of the ADA, § 504 of the RA, and the NYCHRL. The district court (Forrest, J.) certified a class of "all persons who use or seek to use the New York City subway system, and have a disability that requires them to use an elevator to access the subway system." App. at 77-78. The parties cross-moved for summary judgment. (The plaintiffs' motion was for partial summary judgment on liability.) Both parties had retained expert witnesses, and the parties cross-moved </w:t>
      </w:r>
      <w:r>
        <w:rPr>
          <w:rFonts w:ascii="Arial" w:eastAsia="Arial" w:hAnsi="Arial" w:cs="Arial"/>
          <w:color w:val="000000"/>
          <w:sz w:val="20"/>
          <w:u w:val="single"/>
        </w:rPr>
        <w:t>in limine</w:t>
      </w:r>
      <w:r>
        <w:rPr>
          <w:rFonts w:ascii="Arial" w:eastAsia="Arial" w:hAnsi="Arial" w:cs="Arial"/>
          <w:color w:val="000000"/>
          <w:sz w:val="20"/>
        </w:rPr>
        <w:t xml:space="preserve"> to exclude each other's expert reports.</w:t>
      </w:r>
    </w:p>
    <w:p w:rsidR="00022B47" w:rsidRDefault="00000000">
      <w:pPr>
        <w:pStyle w:val="Normal43"/>
        <w:widowControl w:val="0"/>
        <w:spacing w:before="200" w:line="260" w:lineRule="atLeast"/>
        <w:jc w:val="both"/>
      </w:pPr>
      <w:bookmarkStart w:id="6747" w:name="Bookmark_para_16_36"/>
      <w:bookmarkStart w:id="6748" w:name="Bookmark_I63G29C02HM6GB0020000400"/>
      <w:bookmarkStart w:id="6749" w:name="Bookmark_I63G29C02HM6GB0040000400"/>
      <w:bookmarkEnd w:id="6747"/>
      <w:bookmarkEnd w:id="6748"/>
      <w:bookmarkEnd w:id="6749"/>
      <w:r>
        <w:rPr>
          <w:rFonts w:ascii="Arial" w:eastAsia="Arial" w:hAnsi="Arial" w:cs="Arial"/>
          <w:color w:val="000000"/>
          <w:sz w:val="20"/>
        </w:rPr>
        <w:t xml:space="preserve">In March 2020, the district court (Daniels, </w:t>
      </w:r>
      <w:r>
        <w:rPr>
          <w:rFonts w:ascii="Arial" w:eastAsia="Arial" w:hAnsi="Arial" w:cs="Arial"/>
          <w:color w:val="000000"/>
          <w:sz w:val="20"/>
          <w:u w:val="single"/>
        </w:rPr>
        <w:t>J</w:t>
      </w:r>
      <w:r>
        <w:rPr>
          <w:rFonts w:ascii="Arial" w:eastAsia="Arial" w:hAnsi="Arial" w:cs="Arial"/>
          <w:color w:val="000000"/>
          <w:sz w:val="20"/>
        </w:rPr>
        <w:t xml:space="preserve">.) denied the plaintiffs' motion for partial summary judgment and granted summary judgment in favor of the MTA. As to the federal claims, the district court reasoned that the plaintiffs focused "on  [*61]  whether [the MTA's] elevators are adequately maintained or replaced to the extent that </w:t>
      </w:r>
      <w:r>
        <w:rPr>
          <w:rFonts w:ascii="Arial" w:eastAsia="Arial" w:hAnsi="Arial" w:cs="Arial"/>
          <w:i/>
          <w:color w:val="000000"/>
          <w:sz w:val="20"/>
        </w:rPr>
        <w:t>they would like</w:t>
      </w:r>
      <w:r>
        <w:rPr>
          <w:rFonts w:ascii="Arial" w:eastAsia="Arial" w:hAnsi="Arial" w:cs="Arial"/>
          <w:color w:val="000000"/>
          <w:sz w:val="20"/>
        </w:rPr>
        <w:t xml:space="preserve">" rather than articulating how the MTA falls short under the ADA and RA standard. </w:t>
      </w:r>
      <w:bookmarkStart w:id="6750" w:name="Bookmark_I63G29C12N1RF50010000400"/>
      <w:bookmarkStart w:id="6751" w:name="Bookmark_I63G29C02HM6GB0010000400"/>
      <w:bookmarkEnd w:id="6750"/>
      <w:bookmarkEnd w:id="6751"/>
      <w:r>
        <w:rPr>
          <w:rFonts w:ascii="Arial" w:eastAsia="Arial" w:hAnsi="Arial" w:cs="Arial"/>
          <w:color w:val="000000"/>
          <w:sz w:val="20"/>
          <w:u w:val="single"/>
        </w:rPr>
        <w:t>Ctr. for Indep. of the Disabled v. Metro. Transp. Auth.</w:t>
      </w:r>
      <w:r>
        <w:rPr>
          <w:rFonts w:ascii="Arial" w:eastAsia="Arial" w:hAnsi="Arial" w:cs="Arial"/>
          <w:color w:val="000000"/>
          <w:sz w:val="20"/>
        </w:rPr>
        <w:t xml:space="preserve">, 17 Civ. 2990, 2020 U.S. Dist. LEXIS 56626, 2020 WL 1503454, at *5 (S.D.N.Y. Mar. 30, 2020). As to the NYCHRL claim, the court ruled that "[p]laintiffs may not bring a claim under the NYCHRL . . . simply on the basis of extended wait times, when they have not been denied full access to the NYC Subway." </w:t>
      </w:r>
      <w:bookmarkStart w:id="6752" w:name="Bookmark_I63G29C02HM6GB0030000400"/>
      <w:bookmarkEnd w:id="6752"/>
      <w:r>
        <w:rPr>
          <w:rFonts w:ascii="Arial" w:eastAsia="Arial" w:hAnsi="Arial" w:cs="Arial"/>
          <w:color w:val="000000"/>
          <w:sz w:val="20"/>
        </w:rPr>
        <w:t xml:space="preserve">2020 U.S. Dist. LEXIS 56626, [WL] at *7. </w:t>
      </w:r>
      <w:bookmarkStart w:id="6753" w:name="Bookmark_I63G29C12N1RF50010000400_2"/>
      <w:bookmarkEnd w:id="6753"/>
      <w:r>
        <w:rPr>
          <w:rFonts w:ascii="Arial" w:eastAsia="Arial" w:hAnsi="Arial" w:cs="Arial"/>
          <w:color w:val="000000"/>
          <w:sz w:val="20"/>
        </w:rPr>
        <w:t xml:space="preserve">The court also denied both parties' motions </w:t>
      </w:r>
      <w:r>
        <w:rPr>
          <w:rFonts w:ascii="Arial" w:eastAsia="Arial" w:hAnsi="Arial" w:cs="Arial"/>
          <w:color w:val="000000"/>
          <w:sz w:val="20"/>
          <w:u w:val="single"/>
        </w:rPr>
        <w:t>in limine</w:t>
      </w:r>
      <w:r>
        <w:rPr>
          <w:rFonts w:ascii="Arial" w:eastAsia="Arial" w:hAnsi="Arial" w:cs="Arial"/>
          <w:color w:val="000000"/>
          <w:sz w:val="20"/>
        </w:rPr>
        <w:t xml:space="preserve">, reasoning [**9]  that "the evidence offered by each of [the] parties' experts would not affect th[e] Court's analysis or determinations as to the parties' cross-motions for summary judgment," so that a decision as to admissibility was unnecessary. </w:t>
      </w:r>
      <w:bookmarkStart w:id="6754" w:name="Bookmark_I63G29C02HM6GB0050000400"/>
      <w:bookmarkEnd w:id="6754"/>
      <w:r>
        <w:rPr>
          <w:rFonts w:ascii="Arial" w:eastAsia="Arial" w:hAnsi="Arial" w:cs="Arial"/>
          <w:color w:val="000000"/>
          <w:sz w:val="20"/>
        </w:rPr>
        <w:t>2020 U.S. Dist. LEXIS 56626, [WL] at *3 n.4. The plaintiffs now appeal the summary judgment entered in favor of the MTA.</w:t>
      </w:r>
    </w:p>
    <w:p w:rsidR="00022B47" w:rsidRDefault="00000000">
      <w:pPr>
        <w:pStyle w:val="Normal43"/>
        <w:widowControl w:val="0"/>
        <w:spacing w:before="240" w:line="260" w:lineRule="atLeast"/>
      </w:pPr>
      <w:r>
        <w:br/>
      </w:r>
      <w:r>
        <w:rPr>
          <w:rFonts w:ascii="Arial" w:eastAsia="Arial" w:hAnsi="Arial" w:cs="Arial"/>
          <w:b/>
          <w:color w:val="000000"/>
          <w:sz w:val="20"/>
        </w:rPr>
        <w:t>III</w:t>
      </w:r>
    </w:p>
    <w:p w:rsidR="00022B47" w:rsidRDefault="00000000">
      <w:pPr>
        <w:pStyle w:val="Normal43"/>
        <w:widowControl w:val="0"/>
        <w:spacing w:before="200" w:line="260" w:lineRule="atLeast"/>
        <w:jc w:val="both"/>
      </w:pPr>
      <w:bookmarkStart w:id="6755" w:name="Bookmark_para_17_35"/>
      <w:bookmarkStart w:id="6756" w:name="Bookmark_I63G29C12N1RF50030000400"/>
      <w:bookmarkStart w:id="6757" w:name="Bookmark_LNHNREFclscc1_37"/>
      <w:bookmarkEnd w:id="6755"/>
      <w:bookmarkEnd w:id="6756"/>
      <w:bookmarkEnd w:id="6757"/>
      <w:r>
        <w:rPr>
          <w:rFonts w:ascii="Arial" w:eastAsia="Arial" w:hAnsi="Arial" w:cs="Arial"/>
          <w:color w:val="000000"/>
          <w:sz w:val="20"/>
        </w:rPr>
        <w:t xml:space="preserve">We review </w:t>
      </w:r>
      <w:r>
        <w:rPr>
          <w:rFonts w:ascii="Arial" w:eastAsia="Arial" w:hAnsi="Arial" w:cs="Arial"/>
          <w:color w:val="000000"/>
          <w:sz w:val="20"/>
          <w:u w:val="single"/>
        </w:rPr>
        <w:t>de novo</w:t>
      </w:r>
      <w:r>
        <w:rPr>
          <w:rFonts w:ascii="Arial" w:eastAsia="Arial" w:hAnsi="Arial" w:cs="Arial"/>
          <w:color w:val="000000"/>
          <w:sz w:val="20"/>
        </w:rPr>
        <w:t xml:space="preserve"> a dismissal on summary judgment. </w:t>
      </w:r>
      <w:bookmarkStart w:id="6758" w:name="Bookmark_I63G29C12N1RF50050000400"/>
      <w:bookmarkEnd w:id="6758"/>
      <w:r>
        <w:rPr>
          <w:rFonts w:ascii="Arial" w:eastAsia="Arial" w:hAnsi="Arial" w:cs="Arial"/>
          <w:color w:val="000000"/>
          <w:sz w:val="20"/>
          <w:u w:val="single"/>
        </w:rPr>
        <w:t xml:space="preserve">See </w:t>
      </w:r>
      <w:bookmarkStart w:id="6759" w:name="Bookmark_I63G29C12N1RF50020000400"/>
      <w:bookmarkEnd w:id="6759"/>
      <w:r>
        <w:rPr>
          <w:rFonts w:ascii="Arial" w:eastAsia="Arial" w:hAnsi="Arial" w:cs="Arial"/>
          <w:color w:val="000000"/>
          <w:sz w:val="20"/>
          <w:u w:val="single"/>
        </w:rPr>
        <w:t>Johnson v. Killian</w:t>
      </w:r>
      <w:r>
        <w:rPr>
          <w:rFonts w:ascii="Arial" w:eastAsia="Arial" w:hAnsi="Arial" w:cs="Arial"/>
          <w:color w:val="000000"/>
          <w:sz w:val="20"/>
        </w:rPr>
        <w:t xml:space="preserve">, 680 F.3d 234, 236 (2d Cir. 2012) (per curiam). </w:t>
      </w:r>
      <w:bookmarkStart w:id="6760" w:name="Bookmark_I63G29C22N1RF60020000400"/>
      <w:bookmarkEnd w:id="6760"/>
      <w:r>
        <w:rPr>
          <w:rFonts w:ascii="Arial" w:eastAsia="Arial" w:hAnsi="Arial" w:cs="Arial"/>
          <w:color w:val="000000"/>
          <w:sz w:val="20"/>
        </w:rPr>
        <w:t xml:space="preserve">"Summary judgment is warranted only upon a showing 'that there is no genuine dispute as to any material fact and the movant is entitled to judgment as a matter of law.'" </w:t>
      </w:r>
      <w:r>
        <w:rPr>
          <w:rFonts w:ascii="Arial" w:eastAsia="Arial" w:hAnsi="Arial" w:cs="Arial"/>
          <w:color w:val="000000"/>
          <w:sz w:val="20"/>
          <w:u w:val="single"/>
        </w:rPr>
        <w:t>Id.</w:t>
      </w:r>
      <w:r>
        <w:rPr>
          <w:rFonts w:ascii="Arial" w:eastAsia="Arial" w:hAnsi="Arial" w:cs="Arial"/>
          <w:color w:val="000000"/>
          <w:sz w:val="20"/>
        </w:rPr>
        <w:t xml:space="preserve"> (quoting Fed. R. Civ. P. 56(a)). </w:t>
      </w:r>
      <w:bookmarkStart w:id="6761" w:name="Bookmark_I63G29C22N1RF60020000400_2"/>
      <w:bookmarkStart w:id="6762" w:name="Bookmark_I63G29C12N1RF50050000400_2"/>
      <w:bookmarkEnd w:id="6761"/>
      <w:bookmarkEnd w:id="6762"/>
      <w:r>
        <w:rPr>
          <w:rFonts w:ascii="Arial" w:eastAsia="Arial" w:hAnsi="Arial" w:cs="Arial"/>
          <w:color w:val="000000"/>
          <w:sz w:val="20"/>
        </w:rPr>
        <w:t xml:space="preserve">We must "resolve all ambiguities and draw all permissible factual inferences in favor of the party against whom summary judgment is sought." </w:t>
      </w:r>
      <w:r>
        <w:rPr>
          <w:rFonts w:ascii="Arial" w:eastAsia="Arial" w:hAnsi="Arial" w:cs="Arial"/>
          <w:color w:val="000000"/>
          <w:sz w:val="20"/>
          <w:u w:val="single"/>
        </w:rPr>
        <w:t>Id.</w:t>
      </w:r>
      <w:r>
        <w:rPr>
          <w:rFonts w:ascii="Arial" w:eastAsia="Arial" w:hAnsi="Arial" w:cs="Arial"/>
          <w:color w:val="000000"/>
          <w:sz w:val="20"/>
        </w:rPr>
        <w:t xml:space="preserve"> (quoting </w:t>
      </w:r>
      <w:bookmarkStart w:id="6763" w:name="Bookmark_I63G29C12N1RF50040000400"/>
      <w:bookmarkEnd w:id="6763"/>
      <w:r>
        <w:rPr>
          <w:rFonts w:ascii="Arial" w:eastAsia="Arial" w:hAnsi="Arial" w:cs="Arial"/>
          <w:color w:val="000000"/>
          <w:sz w:val="20"/>
          <w:u w:val="single"/>
        </w:rPr>
        <w:t>Terry v. Ashcroft</w:t>
      </w:r>
      <w:r>
        <w:rPr>
          <w:rFonts w:ascii="Arial" w:eastAsia="Arial" w:hAnsi="Arial" w:cs="Arial"/>
          <w:color w:val="000000"/>
          <w:sz w:val="20"/>
        </w:rPr>
        <w:t xml:space="preserve">, 336 F.3d 128, 137 (2d Cir. 2003)). "Summary judgment is appropriate '[w]here the record taken as a whole could not lead a rational trier of fact to find for the non-moving party.'" </w:t>
      </w:r>
      <w:r>
        <w:rPr>
          <w:rFonts w:ascii="Arial" w:eastAsia="Arial" w:hAnsi="Arial" w:cs="Arial"/>
          <w:color w:val="000000"/>
          <w:sz w:val="20"/>
          <w:u w:val="single"/>
        </w:rPr>
        <w:t>Id.</w:t>
      </w:r>
      <w:r>
        <w:rPr>
          <w:rFonts w:ascii="Arial" w:eastAsia="Arial" w:hAnsi="Arial" w:cs="Arial"/>
          <w:color w:val="000000"/>
          <w:sz w:val="20"/>
        </w:rPr>
        <w:t xml:space="preserve"> (alteration in original) (quoting </w:t>
      </w:r>
      <w:bookmarkStart w:id="6764" w:name="Bookmark_I63G29C22N1RF60010000400"/>
      <w:bookmarkEnd w:id="6764"/>
      <w:r>
        <w:rPr>
          <w:rFonts w:ascii="Arial" w:eastAsia="Arial" w:hAnsi="Arial" w:cs="Arial"/>
          <w:color w:val="000000"/>
          <w:sz w:val="20"/>
          <w:u w:val="single"/>
        </w:rPr>
        <w:t>Matsushita Elec. Indus. Co. v. Zenith Radio Corp.</w:t>
      </w:r>
      <w:r>
        <w:rPr>
          <w:rFonts w:ascii="Arial" w:eastAsia="Arial" w:hAnsi="Arial" w:cs="Arial"/>
          <w:color w:val="000000"/>
          <w:sz w:val="20"/>
        </w:rPr>
        <w:t>, 475 U.S. 574, 587, 106 S. Ct. 1348, 89 L. Ed. 2d 538 (1986)).</w:t>
      </w:r>
    </w:p>
    <w:p w:rsidR="00022B47" w:rsidRDefault="00000000">
      <w:pPr>
        <w:pStyle w:val="Normal43"/>
        <w:widowControl w:val="0"/>
        <w:spacing w:before="200" w:line="260" w:lineRule="atLeast"/>
        <w:jc w:val="both"/>
      </w:pPr>
      <w:bookmarkStart w:id="6765" w:name="Bookmark_para_18_34"/>
      <w:bookmarkStart w:id="6766" w:name="Bookmark_I63G29C22N1RF60040000400"/>
      <w:bookmarkStart w:id="6767" w:name="Bookmark_LNHNREFclscc2_37"/>
      <w:bookmarkEnd w:id="6765"/>
      <w:bookmarkEnd w:id="6766"/>
      <w:bookmarkEnd w:id="6767"/>
      <w:r>
        <w:rPr>
          <w:rFonts w:ascii="Arial" w:eastAsia="Arial" w:hAnsi="Arial" w:cs="Arial"/>
          <w:color w:val="000000"/>
          <w:sz w:val="20"/>
        </w:rPr>
        <w:t xml:space="preserve">Title II of the ADA provides that "no qualified individual with a disability shall, by reason of such disability, be excluded from participation in or be denied the benefits of the services, programs, or activities of a public entity, or be subjected to discrimination by any such entity." [**10]  42 U.S.C. § 12132. </w:t>
      </w:r>
      <w:bookmarkStart w:id="6768" w:name="Bookmark_I63G29C22D6N000030000400"/>
      <w:bookmarkEnd w:id="6768"/>
      <w:r>
        <w:rPr>
          <w:rFonts w:ascii="Arial" w:eastAsia="Arial" w:hAnsi="Arial" w:cs="Arial"/>
          <w:color w:val="000000"/>
          <w:sz w:val="20"/>
        </w:rPr>
        <w:t xml:space="preserve">Similarly, § 504 of the RA "'prohibits programs and activities receiving federal financial assistance from excluding, denying benefits to, or discriminating against otherwise qualified' individuals with a disability." </w:t>
      </w:r>
      <w:bookmarkStart w:id="6769" w:name="Bookmark_I63G29C22N1RF60030000400"/>
      <w:bookmarkEnd w:id="6769"/>
      <w:r>
        <w:rPr>
          <w:rFonts w:ascii="Arial" w:eastAsia="Arial" w:hAnsi="Arial" w:cs="Arial"/>
          <w:color w:val="000000"/>
          <w:sz w:val="20"/>
          <w:u w:val="single"/>
        </w:rPr>
        <w:t>Disabled in Action v. Bd. of Elections</w:t>
      </w:r>
      <w:r>
        <w:rPr>
          <w:rFonts w:ascii="Arial" w:eastAsia="Arial" w:hAnsi="Arial" w:cs="Arial"/>
          <w:color w:val="000000"/>
          <w:sz w:val="20"/>
        </w:rPr>
        <w:t xml:space="preserve">, 752 F.3d 189, 196 (2d Cir. 2014) (quoting </w:t>
      </w:r>
      <w:bookmarkStart w:id="6770" w:name="Bookmark_I63G29C22N1RF60050000400"/>
      <w:bookmarkEnd w:id="6770"/>
      <w:r>
        <w:rPr>
          <w:rFonts w:ascii="Arial" w:eastAsia="Arial" w:hAnsi="Arial" w:cs="Arial"/>
          <w:color w:val="000000"/>
          <w:sz w:val="20"/>
          <w:u w:val="single"/>
        </w:rPr>
        <w:t>McElwee v. County of Orange</w:t>
      </w:r>
      <w:r>
        <w:rPr>
          <w:rFonts w:ascii="Arial" w:eastAsia="Arial" w:hAnsi="Arial" w:cs="Arial"/>
          <w:color w:val="000000"/>
          <w:sz w:val="20"/>
        </w:rPr>
        <w:t xml:space="preserve">, 700 F.3d 635, 640 (2d Cir. 2012)); 29 U.S.C. § 794(a). </w:t>
      </w:r>
      <w:bookmarkStart w:id="6771" w:name="Bookmark_I63G29C22D6N000050000400"/>
      <w:bookmarkEnd w:id="6771"/>
      <w:r>
        <w:rPr>
          <w:rFonts w:ascii="Arial" w:eastAsia="Arial" w:hAnsi="Arial" w:cs="Arial"/>
          <w:color w:val="000000"/>
          <w:sz w:val="20"/>
        </w:rPr>
        <w:t xml:space="preserve">Mass transportation programs receive federal financial assistance. </w:t>
      </w:r>
      <w:bookmarkStart w:id="6772" w:name="Bookmark_I63G29C22D6N000050000400_2"/>
      <w:bookmarkStart w:id="6773" w:name="Bookmark_I63G29C22D6N000030000400_2"/>
      <w:bookmarkEnd w:id="6772"/>
      <w:bookmarkEnd w:id="6773"/>
      <w:r>
        <w:rPr>
          <w:rFonts w:ascii="Arial" w:eastAsia="Arial" w:hAnsi="Arial" w:cs="Arial"/>
          <w:color w:val="000000"/>
          <w:sz w:val="20"/>
          <w:u w:val="single"/>
        </w:rPr>
        <w:t xml:space="preserve">See </w:t>
      </w:r>
      <w:bookmarkStart w:id="6774" w:name="Bookmark_I63G29C22D6N000020000400"/>
      <w:bookmarkEnd w:id="6774"/>
      <w:r>
        <w:rPr>
          <w:rFonts w:ascii="Arial" w:eastAsia="Arial" w:hAnsi="Arial" w:cs="Arial"/>
          <w:color w:val="000000"/>
          <w:sz w:val="20"/>
          <w:u w:val="single"/>
        </w:rPr>
        <w:t>Dopico v. Goldschmidt</w:t>
      </w:r>
      <w:r>
        <w:rPr>
          <w:rFonts w:ascii="Arial" w:eastAsia="Arial" w:hAnsi="Arial" w:cs="Arial"/>
          <w:color w:val="000000"/>
          <w:sz w:val="20"/>
        </w:rPr>
        <w:t xml:space="preserve">, 687 F.2d 644, 647 n.1 (2d Cir. 1982). Because "the 'standards adopted by [Title II and § 504] are nearly identical, we consider the merits of these claims together.'" </w:t>
      </w:r>
      <w:bookmarkStart w:id="6775" w:name="Bookmark_I63G29C22D6N000040000400"/>
      <w:bookmarkEnd w:id="6775"/>
      <w:r>
        <w:rPr>
          <w:rFonts w:ascii="Arial" w:eastAsia="Arial" w:hAnsi="Arial" w:cs="Arial"/>
          <w:color w:val="000000"/>
          <w:sz w:val="20"/>
          <w:u w:val="single"/>
        </w:rPr>
        <w:t>Disabled in Action</w:t>
      </w:r>
      <w:r>
        <w:rPr>
          <w:rFonts w:ascii="Arial" w:eastAsia="Arial" w:hAnsi="Arial" w:cs="Arial"/>
          <w:color w:val="000000"/>
          <w:sz w:val="20"/>
        </w:rPr>
        <w:t xml:space="preserve">, 752 F.3d at 196 (quoting </w:t>
      </w:r>
      <w:bookmarkStart w:id="6776" w:name="Bookmark_I63G29C22N1RF80010000400"/>
      <w:bookmarkEnd w:id="6776"/>
      <w:r>
        <w:rPr>
          <w:rFonts w:ascii="Arial" w:eastAsia="Arial" w:hAnsi="Arial" w:cs="Arial"/>
          <w:color w:val="000000"/>
          <w:sz w:val="20"/>
          <w:u w:val="single"/>
        </w:rPr>
        <w:t>McElwee</w:t>
      </w:r>
      <w:r>
        <w:rPr>
          <w:rFonts w:ascii="Arial" w:eastAsia="Arial" w:hAnsi="Arial" w:cs="Arial"/>
          <w:color w:val="000000"/>
          <w:sz w:val="20"/>
        </w:rPr>
        <w:t>, 700 F.3d at 641).</w:t>
      </w:r>
    </w:p>
    <w:p w:rsidR="00022B47" w:rsidRDefault="00000000">
      <w:pPr>
        <w:pStyle w:val="Normal43"/>
        <w:widowControl w:val="0"/>
        <w:spacing w:before="200" w:line="260" w:lineRule="atLeast"/>
        <w:jc w:val="both"/>
      </w:pPr>
      <w:bookmarkStart w:id="6777" w:name="Bookmark_para_19_33"/>
      <w:bookmarkStart w:id="6778" w:name="Bookmark_I63G29C22N1RF80040000400"/>
      <w:bookmarkStart w:id="6779" w:name="Bookmark_I63G29C22SF7T70030000400"/>
      <w:bookmarkStart w:id="6780" w:name="Bookmark_LNHNREFclscc3_37"/>
      <w:bookmarkEnd w:id="6777"/>
      <w:bookmarkEnd w:id="6778"/>
      <w:bookmarkEnd w:id="6779"/>
      <w:bookmarkEnd w:id="6780"/>
      <w:r>
        <w:rPr>
          <w:rFonts w:ascii="Arial" w:eastAsia="Arial" w:hAnsi="Arial" w:cs="Arial"/>
          <w:color w:val="000000"/>
          <w:sz w:val="20"/>
        </w:rPr>
        <w:t xml:space="preserve">A plaintiff claiming violation of Title II or § 504 must show, in relevant part, that the plaintiff "was denied the opportunity to participate in or benefit from the defendant's services, programs, or activities, or was otherwise discriminated against by the defendant because of [the plaintiff's] disability." </w:t>
      </w:r>
      <w:bookmarkStart w:id="6781" w:name="Bookmark_I63G29C22N1RF80030000400"/>
      <w:bookmarkEnd w:id="6781"/>
      <w:r>
        <w:rPr>
          <w:rFonts w:ascii="Arial" w:eastAsia="Arial" w:hAnsi="Arial" w:cs="Arial"/>
          <w:color w:val="000000"/>
          <w:sz w:val="20"/>
          <w:u w:val="single"/>
        </w:rPr>
        <w:t>Id.</w:t>
      </w:r>
      <w:r>
        <w:rPr>
          <w:rFonts w:ascii="Arial" w:eastAsia="Arial" w:hAnsi="Arial" w:cs="Arial"/>
          <w:color w:val="000000"/>
          <w:sz w:val="20"/>
        </w:rPr>
        <w:t xml:space="preserve"> at 196-97 (quoting </w:t>
      </w:r>
      <w:bookmarkStart w:id="6782" w:name="Bookmark_I63G29C22N1RF80050000400"/>
      <w:bookmarkEnd w:id="6782"/>
      <w:r>
        <w:rPr>
          <w:rFonts w:ascii="Arial" w:eastAsia="Arial" w:hAnsi="Arial" w:cs="Arial"/>
          <w:color w:val="000000"/>
          <w:sz w:val="20"/>
          <w:u w:val="single"/>
        </w:rPr>
        <w:t>McElwee</w:t>
      </w:r>
      <w:r>
        <w:rPr>
          <w:rFonts w:ascii="Arial" w:eastAsia="Arial" w:hAnsi="Arial" w:cs="Arial"/>
          <w:color w:val="000000"/>
          <w:sz w:val="20"/>
        </w:rPr>
        <w:t xml:space="preserve">, 700 F.3d at 640). "A public entity discriminates against a[n] . . . individual with a disability when it fails to provide 'meaningful access' to its benefits, programs, or services." </w:t>
      </w:r>
      <w:bookmarkStart w:id="6783" w:name="Bookmark_I63G29C22SF7T70020000400"/>
      <w:bookmarkEnd w:id="6783"/>
      <w:r>
        <w:rPr>
          <w:rFonts w:ascii="Arial" w:eastAsia="Arial" w:hAnsi="Arial" w:cs="Arial"/>
          <w:color w:val="000000"/>
          <w:sz w:val="20"/>
          <w:u w:val="single"/>
        </w:rPr>
        <w:t>Id.</w:t>
      </w:r>
      <w:r>
        <w:rPr>
          <w:rFonts w:ascii="Arial" w:eastAsia="Arial" w:hAnsi="Arial" w:cs="Arial"/>
          <w:color w:val="000000"/>
          <w:sz w:val="20"/>
        </w:rPr>
        <w:t xml:space="preserve"> at 197 (quoting </w:t>
      </w:r>
      <w:bookmarkStart w:id="6784" w:name="Bookmark_I63G29C22SF7T70040000400"/>
      <w:bookmarkEnd w:id="6784"/>
      <w:r>
        <w:rPr>
          <w:rFonts w:ascii="Arial" w:eastAsia="Arial" w:hAnsi="Arial" w:cs="Arial"/>
          <w:color w:val="000000"/>
          <w:sz w:val="20"/>
          <w:u w:val="single"/>
        </w:rPr>
        <w:t>McElwee</w:t>
      </w:r>
      <w:r>
        <w:rPr>
          <w:rFonts w:ascii="Arial" w:eastAsia="Arial" w:hAnsi="Arial" w:cs="Arial"/>
          <w:color w:val="000000"/>
          <w:sz w:val="20"/>
        </w:rPr>
        <w:t xml:space="preserve">, 700 F.3d at 641); </w:t>
      </w:r>
      <w:r>
        <w:rPr>
          <w:rFonts w:ascii="Arial" w:eastAsia="Arial" w:hAnsi="Arial" w:cs="Arial"/>
          <w:color w:val="000000"/>
          <w:sz w:val="20"/>
          <w:u w:val="single"/>
        </w:rPr>
        <w:t xml:space="preserve">accord </w:t>
      </w:r>
      <w:bookmarkStart w:id="6785" w:name="Bookmark_I63G29C22SF7T80010000400"/>
      <w:bookmarkEnd w:id="6785"/>
      <w:r>
        <w:rPr>
          <w:rFonts w:ascii="Arial" w:eastAsia="Arial" w:hAnsi="Arial" w:cs="Arial"/>
          <w:color w:val="000000"/>
          <w:sz w:val="20"/>
          <w:u w:val="single"/>
        </w:rPr>
        <w:t>Henrietta D. v. Bloomberg</w:t>
      </w:r>
      <w:r>
        <w:rPr>
          <w:rFonts w:ascii="Arial" w:eastAsia="Arial" w:hAnsi="Arial" w:cs="Arial"/>
          <w:color w:val="000000"/>
          <w:sz w:val="20"/>
        </w:rPr>
        <w:t>, 331 F.3d 261, 282 (2d Cir. 2003).</w:t>
      </w:r>
    </w:p>
    <w:p w:rsidR="00022B47" w:rsidRDefault="00000000">
      <w:pPr>
        <w:pStyle w:val="Normal43"/>
        <w:widowControl w:val="0"/>
        <w:spacing w:before="200" w:line="260" w:lineRule="atLeast"/>
        <w:jc w:val="both"/>
      </w:pPr>
      <w:bookmarkStart w:id="6786" w:name="Bookmark_para_20_33"/>
      <w:bookmarkStart w:id="6787" w:name="Bookmark_I63G29C22SF7T80040000400"/>
      <w:bookmarkStart w:id="6788" w:name="Bookmark_I63G29C32SF7T90050000400"/>
      <w:bookmarkStart w:id="6789" w:name="Bookmark_I63G29C328T4200040000400"/>
      <w:bookmarkEnd w:id="6786"/>
      <w:bookmarkEnd w:id="6787"/>
      <w:bookmarkEnd w:id="6788"/>
      <w:bookmarkEnd w:id="6789"/>
      <w:r>
        <w:rPr>
          <w:rFonts w:ascii="Arial" w:eastAsia="Arial" w:hAnsi="Arial" w:cs="Arial"/>
          <w:color w:val="000000"/>
          <w:sz w:val="20"/>
        </w:rPr>
        <w:t xml:space="preserve">To ensure "meaningful access" a public entity must make "reasonable accommodations in [its] program or benefit." </w:t>
      </w:r>
      <w:bookmarkStart w:id="6790" w:name="Bookmark_I63G29C22SF7T80030000400"/>
      <w:bookmarkEnd w:id="6790"/>
      <w:r>
        <w:rPr>
          <w:rFonts w:ascii="Arial" w:eastAsia="Arial" w:hAnsi="Arial" w:cs="Arial"/>
          <w:color w:val="000000"/>
          <w:sz w:val="20"/>
          <w:u w:val="single"/>
        </w:rPr>
        <w:t>Alexander v. Choate</w:t>
      </w:r>
      <w:r>
        <w:rPr>
          <w:rFonts w:ascii="Arial" w:eastAsia="Arial" w:hAnsi="Arial" w:cs="Arial"/>
          <w:color w:val="000000"/>
          <w:sz w:val="20"/>
        </w:rPr>
        <w:t xml:space="preserve">, 469 U.S. 287, 301,  [*62]  105 S. Ct. 712, 83 L. Ed. 2d 661 (1985); </w:t>
      </w:r>
      <w:r>
        <w:rPr>
          <w:rFonts w:ascii="Arial" w:eastAsia="Arial" w:hAnsi="Arial" w:cs="Arial"/>
          <w:color w:val="000000"/>
          <w:sz w:val="20"/>
          <w:u w:val="single"/>
        </w:rPr>
        <w:t xml:space="preserve">see also </w:t>
      </w:r>
      <w:bookmarkStart w:id="6791" w:name="Bookmark_I63G29C22SF7T80050000400"/>
      <w:bookmarkEnd w:id="6791"/>
      <w:r>
        <w:rPr>
          <w:rFonts w:ascii="Arial" w:eastAsia="Arial" w:hAnsi="Arial" w:cs="Arial"/>
          <w:color w:val="000000"/>
          <w:sz w:val="20"/>
          <w:u w:val="single"/>
        </w:rPr>
        <w:t>Disabled in Action</w:t>
      </w:r>
      <w:r>
        <w:rPr>
          <w:rFonts w:ascii="Arial" w:eastAsia="Arial" w:hAnsi="Arial" w:cs="Arial"/>
          <w:color w:val="000000"/>
          <w:sz w:val="20"/>
        </w:rPr>
        <w:t xml:space="preserve">, 752 F.3d at 197 (quoting </w:t>
      </w:r>
      <w:bookmarkStart w:id="6792" w:name="Bookmark_I63G29C32SF7T90020000400"/>
      <w:bookmarkEnd w:id="6792"/>
      <w:r>
        <w:rPr>
          <w:rFonts w:ascii="Arial" w:eastAsia="Arial" w:hAnsi="Arial" w:cs="Arial"/>
          <w:color w:val="000000"/>
          <w:sz w:val="20"/>
          <w:u w:val="single"/>
        </w:rPr>
        <w:t>Henrietta D.</w:t>
      </w:r>
      <w:r>
        <w:rPr>
          <w:rFonts w:ascii="Arial" w:eastAsia="Arial" w:hAnsi="Arial" w:cs="Arial"/>
          <w:color w:val="000000"/>
          <w:sz w:val="20"/>
        </w:rPr>
        <w:t xml:space="preserve">, 331 F.3d at 273). To determine whether a public entity has failed to make reasonable accommodation, we assess "whether a plaintiff with disabilities [**11]  'as a practical matter' was denied 'meaningful access' to services, programs or activities to which he or she was 'legally entitled.'" </w:t>
      </w:r>
      <w:bookmarkStart w:id="6793" w:name="Bookmark_I63G29C32SF7T90040000400"/>
      <w:bookmarkEnd w:id="6793"/>
      <w:r>
        <w:rPr>
          <w:rFonts w:ascii="Arial" w:eastAsia="Arial" w:hAnsi="Arial" w:cs="Arial"/>
          <w:color w:val="000000"/>
          <w:sz w:val="20"/>
          <w:u w:val="single"/>
        </w:rPr>
        <w:t>Wright v. N.Y. Dep't of Corr.</w:t>
      </w:r>
      <w:r>
        <w:rPr>
          <w:rFonts w:ascii="Arial" w:eastAsia="Arial" w:hAnsi="Arial" w:cs="Arial"/>
          <w:color w:val="000000"/>
          <w:sz w:val="20"/>
        </w:rPr>
        <w:t xml:space="preserve">, 831 F.3d 64, 72 (2d Cir. 2016) (quoting </w:t>
      </w:r>
      <w:bookmarkStart w:id="6794" w:name="Bookmark_I63G29C328T4200010000400"/>
      <w:bookmarkEnd w:id="6794"/>
      <w:r>
        <w:rPr>
          <w:rFonts w:ascii="Arial" w:eastAsia="Arial" w:hAnsi="Arial" w:cs="Arial"/>
          <w:color w:val="000000"/>
          <w:sz w:val="20"/>
          <w:u w:val="single"/>
        </w:rPr>
        <w:t>Henrietta D.</w:t>
      </w:r>
      <w:r>
        <w:rPr>
          <w:rFonts w:ascii="Arial" w:eastAsia="Arial" w:hAnsi="Arial" w:cs="Arial"/>
          <w:color w:val="000000"/>
          <w:sz w:val="20"/>
        </w:rPr>
        <w:t xml:space="preserve">, 331 F.3d at 273). An "accommodation must overcome structural impediments and non-trivial temporal delays that limit access to programs, services, and activities." </w:t>
      </w:r>
      <w:bookmarkStart w:id="6795" w:name="Bookmark_I63G29C328T4200030000400"/>
      <w:bookmarkEnd w:id="6795"/>
      <w:r>
        <w:rPr>
          <w:rFonts w:ascii="Arial" w:eastAsia="Arial" w:hAnsi="Arial" w:cs="Arial"/>
          <w:color w:val="000000"/>
          <w:sz w:val="20"/>
          <w:u w:val="single"/>
        </w:rPr>
        <w:t>Id.</w:t>
      </w:r>
      <w:r>
        <w:rPr>
          <w:rFonts w:ascii="Arial" w:eastAsia="Arial" w:hAnsi="Arial" w:cs="Arial"/>
          <w:color w:val="000000"/>
          <w:sz w:val="20"/>
        </w:rPr>
        <w:t xml:space="preserve"> at 73.</w:t>
      </w:r>
    </w:p>
    <w:p w:rsidR="00022B47" w:rsidRDefault="00000000">
      <w:pPr>
        <w:pStyle w:val="Normal43"/>
        <w:widowControl w:val="0"/>
        <w:spacing w:before="200" w:line="260" w:lineRule="atLeast"/>
        <w:jc w:val="both"/>
      </w:pPr>
      <w:bookmarkStart w:id="6796" w:name="Bookmark_para_21_32"/>
      <w:bookmarkStart w:id="6797" w:name="Bookmark_I63G29C328T4210010000400"/>
      <w:bookmarkStart w:id="6798" w:name="Bookmark_I63G29C328T4210050000400"/>
      <w:bookmarkStart w:id="6799" w:name="Bookmark_LNHNREFclscc4_37"/>
      <w:bookmarkEnd w:id="6796"/>
      <w:bookmarkEnd w:id="6797"/>
      <w:bookmarkEnd w:id="6798"/>
      <w:bookmarkEnd w:id="6799"/>
      <w:r>
        <w:rPr>
          <w:rFonts w:ascii="Arial" w:eastAsia="Arial" w:hAnsi="Arial" w:cs="Arial"/>
          <w:color w:val="000000"/>
          <w:sz w:val="20"/>
        </w:rPr>
        <w:t xml:space="preserve">"[T]he 'reasonableness of an accommodation is a fact-specific question that often must be resolved by a factfinder.'" </w:t>
      </w:r>
      <w:bookmarkStart w:id="6800" w:name="Bookmark_I63G29C328T4200050000400"/>
      <w:bookmarkEnd w:id="6800"/>
      <w:r>
        <w:rPr>
          <w:rFonts w:ascii="Arial" w:eastAsia="Arial" w:hAnsi="Arial" w:cs="Arial"/>
          <w:color w:val="000000"/>
          <w:sz w:val="20"/>
          <w:u w:val="single"/>
        </w:rPr>
        <w:t>Id.</w:t>
      </w:r>
      <w:r>
        <w:rPr>
          <w:rFonts w:ascii="Arial" w:eastAsia="Arial" w:hAnsi="Arial" w:cs="Arial"/>
          <w:color w:val="000000"/>
          <w:sz w:val="20"/>
        </w:rPr>
        <w:t xml:space="preserve"> at 72-73 (alteration omitted) (quoting </w:t>
      </w:r>
      <w:bookmarkStart w:id="6801" w:name="Bookmark_I63G29C328T4210020000400"/>
      <w:bookmarkEnd w:id="6801"/>
      <w:r>
        <w:rPr>
          <w:rFonts w:ascii="Arial" w:eastAsia="Arial" w:hAnsi="Arial" w:cs="Arial"/>
          <w:color w:val="000000"/>
          <w:sz w:val="20"/>
          <w:u w:val="single"/>
        </w:rPr>
        <w:t>Noll v. Int'l Bus. Machs. Corp.</w:t>
      </w:r>
      <w:r>
        <w:rPr>
          <w:rFonts w:ascii="Arial" w:eastAsia="Arial" w:hAnsi="Arial" w:cs="Arial"/>
          <w:color w:val="000000"/>
          <w:sz w:val="20"/>
        </w:rPr>
        <w:t xml:space="preserve">, 787 F.3d 89, 94 (2d Cir. 2015)). "A defendant is 'entitled to summary judgment only if the undisputed record reveals that the plaintiff was accorded a plainly reasonable accommodation.'" </w:t>
      </w:r>
      <w:bookmarkStart w:id="6802" w:name="Bookmark_I63G29C328T4210040000400"/>
      <w:bookmarkEnd w:id="6802"/>
      <w:r>
        <w:rPr>
          <w:rFonts w:ascii="Arial" w:eastAsia="Arial" w:hAnsi="Arial" w:cs="Arial"/>
          <w:color w:val="000000"/>
          <w:sz w:val="20"/>
          <w:u w:val="single"/>
        </w:rPr>
        <w:t>Id.</w:t>
      </w:r>
      <w:r>
        <w:rPr>
          <w:rFonts w:ascii="Arial" w:eastAsia="Arial" w:hAnsi="Arial" w:cs="Arial"/>
          <w:color w:val="000000"/>
          <w:sz w:val="20"/>
        </w:rPr>
        <w:t xml:space="preserve"> at 73 (quoting </w:t>
      </w:r>
      <w:bookmarkStart w:id="6803" w:name="Bookmark_I63G29C32N1RFB0010000400"/>
      <w:bookmarkEnd w:id="6803"/>
      <w:r>
        <w:rPr>
          <w:rFonts w:ascii="Arial" w:eastAsia="Arial" w:hAnsi="Arial" w:cs="Arial"/>
          <w:color w:val="000000"/>
          <w:sz w:val="20"/>
          <w:u w:val="single"/>
        </w:rPr>
        <w:t>Dean v. Univ. at Buffalo School of Med. &amp; Biomed. Scis.</w:t>
      </w:r>
      <w:r>
        <w:rPr>
          <w:rFonts w:ascii="Arial" w:eastAsia="Arial" w:hAnsi="Arial" w:cs="Arial"/>
          <w:color w:val="000000"/>
          <w:sz w:val="20"/>
        </w:rPr>
        <w:t>, 804 F.3d 178, 189 (2d Cir. 2015)).</w:t>
      </w:r>
    </w:p>
    <w:p w:rsidR="00022B47" w:rsidRDefault="00000000">
      <w:pPr>
        <w:pStyle w:val="Normal43"/>
        <w:widowControl w:val="0"/>
        <w:spacing w:before="200" w:line="260" w:lineRule="atLeast"/>
        <w:jc w:val="both"/>
      </w:pPr>
      <w:bookmarkStart w:id="6804" w:name="Bookmark_para_22_31"/>
      <w:bookmarkStart w:id="6805" w:name="Bookmark_LNHNREFclscc5_36"/>
      <w:bookmarkEnd w:id="6804"/>
      <w:bookmarkEnd w:id="6805"/>
      <w:r>
        <w:rPr>
          <w:rFonts w:ascii="Arial" w:eastAsia="Arial" w:hAnsi="Arial" w:cs="Arial"/>
          <w:color w:val="000000"/>
          <w:sz w:val="20"/>
        </w:rPr>
        <w:t xml:space="preserve">Under Title II, a public transportation "program or activity" must be "readily accessible to and usable by individuals with disabilities." 42 U.S.C. § 12148(a)(1); 49 C.F.R. § 37.61(a). Department of Transportation ("DOT") regulations, promulgated to implement Title II, </w:t>
      </w:r>
      <w:r>
        <w:rPr>
          <w:rFonts w:ascii="Arial" w:eastAsia="Arial" w:hAnsi="Arial" w:cs="Arial"/>
          <w:color w:val="000000"/>
          <w:sz w:val="20"/>
          <w:u w:val="single"/>
        </w:rPr>
        <w:t>see</w:t>
      </w:r>
      <w:r>
        <w:rPr>
          <w:rFonts w:ascii="Arial" w:eastAsia="Arial" w:hAnsi="Arial" w:cs="Arial"/>
          <w:color w:val="000000"/>
          <w:sz w:val="20"/>
        </w:rPr>
        <w:t xml:space="preserve"> 49 C.F.R. § 37.1, </w:t>
      </w:r>
      <w:r>
        <w:rPr>
          <w:rFonts w:ascii="Arial" w:eastAsia="Arial" w:hAnsi="Arial" w:cs="Arial"/>
          <w:color w:val="000000"/>
          <w:sz w:val="20"/>
          <w:u w:val="single"/>
        </w:rPr>
        <w:t>et seq.</w:t>
      </w:r>
      <w:r>
        <w:rPr>
          <w:rFonts w:ascii="Arial" w:eastAsia="Arial" w:hAnsi="Arial" w:cs="Arial"/>
          <w:color w:val="000000"/>
          <w:sz w:val="20"/>
        </w:rPr>
        <w:t xml:space="preserve">, require that the provider of a transportation service must "maintain in operative condition those features of facilities . . . that are required to make the . . . facilities readily accessible to and usable by individuals with disabilities. These features include, but are not limited to, lifts and other means of access to vehicles, . . . elevators, [and] [**12]  signage," </w:t>
      </w:r>
      <w:r>
        <w:rPr>
          <w:rFonts w:ascii="Arial" w:eastAsia="Arial" w:hAnsi="Arial" w:cs="Arial"/>
          <w:color w:val="000000"/>
          <w:sz w:val="20"/>
          <w:u w:val="single"/>
        </w:rPr>
        <w:t>id.</w:t>
      </w:r>
      <w:r>
        <w:rPr>
          <w:rFonts w:ascii="Arial" w:eastAsia="Arial" w:hAnsi="Arial" w:cs="Arial"/>
          <w:color w:val="000000"/>
          <w:sz w:val="20"/>
        </w:rPr>
        <w:t xml:space="preserve"> § 37.161(a).</w:t>
      </w:r>
    </w:p>
    <w:p w:rsidR="00022B47" w:rsidRDefault="00000000">
      <w:pPr>
        <w:pStyle w:val="Normal43"/>
        <w:widowControl w:val="0"/>
        <w:spacing w:before="200" w:line="260" w:lineRule="atLeast"/>
        <w:jc w:val="both"/>
      </w:pPr>
      <w:bookmarkStart w:id="6806" w:name="Bookmark_para_23_29"/>
      <w:bookmarkStart w:id="6807" w:name="Bookmark_LNHNREFclscc6_31"/>
      <w:bookmarkEnd w:id="6806"/>
      <w:bookmarkEnd w:id="6807"/>
      <w:r>
        <w:rPr>
          <w:rFonts w:ascii="Arial" w:eastAsia="Arial" w:hAnsi="Arial" w:cs="Arial"/>
          <w:color w:val="000000"/>
          <w:sz w:val="20"/>
        </w:rPr>
        <w:t xml:space="preserve">When an "accessibility feature" is out of order, it must "be repaired promptly," and "reasonable steps" must be taken "to accommodate individuals with disabilities who would otherwise use the feature." </w:t>
      </w:r>
      <w:r>
        <w:rPr>
          <w:rFonts w:ascii="Arial" w:eastAsia="Arial" w:hAnsi="Arial" w:cs="Arial"/>
          <w:color w:val="000000"/>
          <w:sz w:val="20"/>
          <w:u w:val="single"/>
        </w:rPr>
        <w:t>Id.</w:t>
      </w:r>
      <w:r>
        <w:rPr>
          <w:rFonts w:ascii="Arial" w:eastAsia="Arial" w:hAnsi="Arial" w:cs="Arial"/>
          <w:color w:val="000000"/>
          <w:sz w:val="20"/>
        </w:rPr>
        <w:t xml:space="preserve"> § 37.161(b). At the same time, it is permissible to have "isolated or temporary interruptions in service or access due to maintenance or repairs." </w:t>
      </w:r>
      <w:r>
        <w:rPr>
          <w:rFonts w:ascii="Arial" w:eastAsia="Arial" w:hAnsi="Arial" w:cs="Arial"/>
          <w:color w:val="000000"/>
          <w:sz w:val="20"/>
          <w:u w:val="single"/>
        </w:rPr>
        <w:t>Id.</w:t>
      </w:r>
      <w:r>
        <w:rPr>
          <w:rFonts w:ascii="Arial" w:eastAsia="Arial" w:hAnsi="Arial" w:cs="Arial"/>
          <w:color w:val="000000"/>
          <w:sz w:val="20"/>
        </w:rPr>
        <w:t xml:space="preserve"> § 37.161(c). DOT regulations implementing § 504, </w:t>
      </w:r>
      <w:r>
        <w:rPr>
          <w:rFonts w:ascii="Arial" w:eastAsia="Arial" w:hAnsi="Arial" w:cs="Arial"/>
          <w:color w:val="000000"/>
          <w:sz w:val="20"/>
          <w:u w:val="single"/>
        </w:rPr>
        <w:t>see</w:t>
      </w:r>
      <w:r>
        <w:rPr>
          <w:rFonts w:ascii="Arial" w:eastAsia="Arial" w:hAnsi="Arial" w:cs="Arial"/>
          <w:color w:val="000000"/>
          <w:sz w:val="20"/>
        </w:rPr>
        <w:t xml:space="preserve"> 49 C.F.R. § 27.1, </w:t>
      </w:r>
      <w:r>
        <w:rPr>
          <w:rFonts w:ascii="Arial" w:eastAsia="Arial" w:hAnsi="Arial" w:cs="Arial"/>
          <w:color w:val="000000"/>
          <w:sz w:val="20"/>
          <w:u w:val="single"/>
        </w:rPr>
        <w:t>et seq.</w:t>
      </w:r>
      <w:r>
        <w:rPr>
          <w:rFonts w:ascii="Arial" w:eastAsia="Arial" w:hAnsi="Arial" w:cs="Arial"/>
          <w:color w:val="000000"/>
          <w:sz w:val="20"/>
        </w:rPr>
        <w:t xml:space="preserve">, similarly prohibit discrimination based on disability "under any program or activity that receives [f]ederal financial assistance administered by the [DOT]," </w:t>
      </w:r>
      <w:r>
        <w:rPr>
          <w:rFonts w:ascii="Arial" w:eastAsia="Arial" w:hAnsi="Arial" w:cs="Arial"/>
          <w:color w:val="000000"/>
          <w:sz w:val="20"/>
          <w:u w:val="single"/>
        </w:rPr>
        <w:t>id.</w:t>
      </w:r>
      <w:r>
        <w:rPr>
          <w:rFonts w:ascii="Arial" w:eastAsia="Arial" w:hAnsi="Arial" w:cs="Arial"/>
          <w:color w:val="000000"/>
          <w:sz w:val="20"/>
        </w:rPr>
        <w:t xml:space="preserve"> § 27.7(a).</w:t>
      </w:r>
    </w:p>
    <w:p w:rsidR="00022B47" w:rsidRDefault="00000000">
      <w:pPr>
        <w:pStyle w:val="Normal43"/>
        <w:widowControl w:val="0"/>
        <w:spacing w:before="240" w:line="260" w:lineRule="atLeast"/>
      </w:pPr>
      <w:r>
        <w:br/>
      </w:r>
      <w:r>
        <w:rPr>
          <w:rFonts w:ascii="Arial" w:eastAsia="Arial" w:hAnsi="Arial" w:cs="Arial"/>
          <w:b/>
          <w:color w:val="000000"/>
          <w:sz w:val="20"/>
        </w:rPr>
        <w:t>IV</w:t>
      </w:r>
    </w:p>
    <w:p w:rsidR="00022B47" w:rsidRDefault="00000000">
      <w:pPr>
        <w:pStyle w:val="Normal43"/>
        <w:widowControl w:val="0"/>
        <w:spacing w:before="200" w:line="260" w:lineRule="atLeast"/>
        <w:jc w:val="both"/>
      </w:pPr>
      <w:bookmarkStart w:id="6808" w:name="Bookmark_para_24_27"/>
      <w:bookmarkEnd w:id="6808"/>
      <w:r>
        <w:rPr>
          <w:rFonts w:ascii="Arial" w:eastAsia="Arial" w:hAnsi="Arial" w:cs="Arial"/>
          <w:color w:val="000000"/>
          <w:sz w:val="20"/>
        </w:rPr>
        <w:t xml:space="preserve">The MTA raises two threshold arguments. </w:t>
      </w:r>
      <w:bookmarkStart w:id="6809" w:name="Bookmark_I63G29C32N1RFB0040000400"/>
      <w:bookmarkEnd w:id="6809"/>
      <w:r>
        <w:rPr>
          <w:rFonts w:ascii="Arial" w:eastAsia="Arial" w:hAnsi="Arial" w:cs="Arial"/>
          <w:color w:val="000000"/>
          <w:sz w:val="20"/>
        </w:rPr>
        <w:t xml:space="preserve">First, the MTA contends that this case is non-justiciable because it would be "inappropriate" for the court to "become an elevator-repair watchdog." Appellees' Br. at 47. </w:t>
      </w:r>
      <w:bookmarkStart w:id="6810" w:name="Bookmark_I63G29C428T4220010000400"/>
      <w:bookmarkEnd w:id="6810"/>
      <w:r>
        <w:rPr>
          <w:rFonts w:ascii="Arial" w:eastAsia="Arial" w:hAnsi="Arial" w:cs="Arial"/>
          <w:color w:val="000000"/>
          <w:sz w:val="20"/>
        </w:rPr>
        <w:t xml:space="preserve">The observation is inarguable as far as it goes but falls beside the point. </w:t>
      </w:r>
      <w:bookmarkStart w:id="6811" w:name="Bookmark_LNHNREFclscc7_30"/>
      <w:bookmarkEnd w:id="6811"/>
      <w:r>
        <w:rPr>
          <w:rFonts w:ascii="Arial" w:eastAsia="Arial" w:hAnsi="Arial" w:cs="Arial"/>
          <w:color w:val="000000"/>
          <w:sz w:val="20"/>
        </w:rPr>
        <w:t xml:space="preserve">Federal courts can properly identify conditions that violate federal law. </w:t>
      </w:r>
      <w:r>
        <w:rPr>
          <w:rFonts w:ascii="Arial" w:eastAsia="Arial" w:hAnsi="Arial" w:cs="Arial"/>
          <w:color w:val="000000"/>
          <w:sz w:val="20"/>
          <w:u w:val="single"/>
        </w:rPr>
        <w:t xml:space="preserve">See </w:t>
      </w:r>
      <w:bookmarkStart w:id="6812" w:name="Bookmark_I63G29C32N1RFB0030000400"/>
      <w:bookmarkEnd w:id="6812"/>
      <w:r>
        <w:rPr>
          <w:rFonts w:ascii="Arial" w:eastAsia="Arial" w:hAnsi="Arial" w:cs="Arial"/>
          <w:color w:val="000000"/>
          <w:sz w:val="20"/>
          <w:u w:val="single"/>
        </w:rPr>
        <w:t>Disabled in Action</w:t>
      </w:r>
      <w:r>
        <w:rPr>
          <w:rFonts w:ascii="Arial" w:eastAsia="Arial" w:hAnsi="Arial" w:cs="Arial"/>
          <w:color w:val="000000"/>
          <w:sz w:val="20"/>
        </w:rPr>
        <w:t xml:space="preserve">, 752 F.3d at 202 ("[T]he undisputed facts demonstrate that [the Board of Elections] fails to provide individuals with meaningful access to its voting program."). </w:t>
      </w:r>
      <w:bookmarkStart w:id="6813" w:name="Bookmark_I63G29C428T4220010000400_2"/>
      <w:bookmarkEnd w:id="6813"/>
      <w:r>
        <w:rPr>
          <w:rFonts w:ascii="Arial" w:eastAsia="Arial" w:hAnsi="Arial" w:cs="Arial"/>
          <w:color w:val="000000"/>
          <w:sz w:val="20"/>
        </w:rPr>
        <w:t xml:space="preserve">It is "in </w:t>
      </w:r>
      <w:r>
        <w:rPr>
          <w:rFonts w:ascii="Arial" w:eastAsia="Arial" w:hAnsi="Arial" w:cs="Arial"/>
          <w:i/>
          <w:color w:val="000000"/>
          <w:sz w:val="20"/>
        </w:rPr>
        <w:t>curing</w:t>
      </w:r>
      <w:r>
        <w:rPr>
          <w:rFonts w:ascii="Arial" w:eastAsia="Arial" w:hAnsi="Arial" w:cs="Arial"/>
          <w:color w:val="000000"/>
          <w:sz w:val="20"/>
        </w:rPr>
        <w:t xml:space="preserve"> unlawful conditions" where federal courts owe "restraint and initial deference to state institutional authorities," [**13]  as "federal courts lack the facilities or expertise to administer plans designed to assure that a state will provide acceptable services." </w:t>
      </w:r>
      <w:bookmarkStart w:id="6814" w:name="Bookmark_I63G29C32N1RFB0050000400"/>
      <w:bookmarkEnd w:id="6814"/>
      <w:r>
        <w:rPr>
          <w:rFonts w:ascii="Arial" w:eastAsia="Arial" w:hAnsi="Arial" w:cs="Arial"/>
          <w:color w:val="000000"/>
          <w:sz w:val="20"/>
          <w:u w:val="single"/>
        </w:rPr>
        <w:t>Id.</w:t>
      </w:r>
      <w:r>
        <w:rPr>
          <w:rFonts w:ascii="Arial" w:eastAsia="Arial" w:hAnsi="Arial" w:cs="Arial"/>
          <w:color w:val="000000"/>
          <w:sz w:val="20"/>
        </w:rPr>
        <w:t xml:space="preserve"> at 204 (emphasis added and alterations and omissions omitted) (quoting </w:t>
      </w:r>
      <w:bookmarkStart w:id="6815" w:name="Bookmark_I63G29C428T4220020000400"/>
      <w:bookmarkEnd w:id="6815"/>
      <w:r>
        <w:rPr>
          <w:rFonts w:ascii="Arial" w:eastAsia="Arial" w:hAnsi="Arial" w:cs="Arial"/>
          <w:color w:val="000000"/>
          <w:sz w:val="20"/>
          <w:u w:val="single"/>
        </w:rPr>
        <w:t>Dean v. Coughlin</w:t>
      </w:r>
      <w:r>
        <w:rPr>
          <w:rFonts w:ascii="Arial" w:eastAsia="Arial" w:hAnsi="Arial" w:cs="Arial"/>
          <w:color w:val="000000"/>
          <w:sz w:val="20"/>
        </w:rPr>
        <w:t>, 804 F.2d 207, 213-14 (2d Cir. 1986)). Still, the district court may conceive of remedies that do not embroil the court in the running of elevators or the subway.</w:t>
      </w:r>
    </w:p>
    <w:p w:rsidR="00022B47" w:rsidRDefault="00000000">
      <w:pPr>
        <w:pStyle w:val="Normal43"/>
        <w:widowControl w:val="0"/>
        <w:spacing w:before="200" w:line="260" w:lineRule="atLeast"/>
        <w:jc w:val="both"/>
      </w:pPr>
      <w:bookmarkStart w:id="6816" w:name="Bookmark_para_25_26"/>
      <w:bookmarkEnd w:id="6816"/>
      <w:r>
        <w:rPr>
          <w:rFonts w:ascii="Arial" w:eastAsia="Arial" w:hAnsi="Arial" w:cs="Arial"/>
          <w:color w:val="000000"/>
          <w:sz w:val="20"/>
        </w:rPr>
        <w:t xml:space="preserve">Second, the MTA argues that we must consider whether the transportation system as a whole—including subways, buses  [*63]  and paratransit—is accessible, rather than considering the subway in itself as the system in question. But we need not resolve this question in the abstract because the MTA has committed to making key subway stations accessible. </w:t>
      </w:r>
      <w:r>
        <w:rPr>
          <w:rFonts w:ascii="Arial" w:eastAsia="Arial" w:hAnsi="Arial" w:cs="Arial"/>
          <w:color w:val="000000"/>
          <w:sz w:val="20"/>
          <w:u w:val="single"/>
        </w:rPr>
        <w:t>See</w:t>
      </w:r>
      <w:r>
        <w:rPr>
          <w:rFonts w:ascii="Arial" w:eastAsia="Arial" w:hAnsi="Arial" w:cs="Arial"/>
          <w:color w:val="000000"/>
          <w:sz w:val="20"/>
        </w:rPr>
        <w:t xml:space="preserve"> 49 C.F.R. § 37.53(a)(1) (codifying a settlement agreement to make key subway stations in New York City accessible). The MTA therefore must maintain subway accessibility to the extent that this agreement requires, and it cannot be excused from that obligation because the transportation system as a whole is accessible.</w:t>
      </w:r>
    </w:p>
    <w:p w:rsidR="00022B47" w:rsidRDefault="00000000">
      <w:pPr>
        <w:pStyle w:val="Normal43"/>
        <w:widowControl w:val="0"/>
        <w:spacing w:before="240" w:line="260" w:lineRule="atLeast"/>
      </w:pPr>
      <w:r>
        <w:br/>
      </w:r>
      <w:r>
        <w:rPr>
          <w:rFonts w:ascii="Arial" w:eastAsia="Arial" w:hAnsi="Arial" w:cs="Arial"/>
          <w:b/>
          <w:color w:val="000000"/>
          <w:sz w:val="20"/>
        </w:rPr>
        <w:t>V</w:t>
      </w:r>
    </w:p>
    <w:p w:rsidR="00022B47" w:rsidRDefault="00000000">
      <w:pPr>
        <w:pStyle w:val="Normal43"/>
        <w:widowControl w:val="0"/>
        <w:spacing w:before="200" w:line="260" w:lineRule="atLeast"/>
        <w:jc w:val="both"/>
      </w:pPr>
      <w:bookmarkStart w:id="6817" w:name="Bookmark_para_26_24"/>
      <w:bookmarkStart w:id="6818" w:name="Bookmark_I63G29C428T4220050000400"/>
      <w:bookmarkStart w:id="6819" w:name="Bookmark_LNHNREFclscc8_27"/>
      <w:bookmarkEnd w:id="6817"/>
      <w:bookmarkEnd w:id="6818"/>
      <w:bookmarkEnd w:id="6819"/>
      <w:r>
        <w:rPr>
          <w:rFonts w:ascii="Arial" w:eastAsia="Arial" w:hAnsi="Arial" w:cs="Arial"/>
          <w:color w:val="000000"/>
          <w:sz w:val="20"/>
        </w:rPr>
        <w:t xml:space="preserve">Still, the access afforded need not be total so long as it is "meaningful." </w:t>
      </w:r>
      <w:bookmarkStart w:id="6820" w:name="Bookmark_I63G29C428T4220040000400"/>
      <w:bookmarkEnd w:id="6820"/>
      <w:r>
        <w:rPr>
          <w:rFonts w:ascii="Arial" w:eastAsia="Arial" w:hAnsi="Arial" w:cs="Arial"/>
          <w:color w:val="000000"/>
          <w:sz w:val="20"/>
          <w:u w:val="single"/>
        </w:rPr>
        <w:t>Id.</w:t>
      </w:r>
      <w:r>
        <w:rPr>
          <w:rFonts w:ascii="Arial" w:eastAsia="Arial" w:hAnsi="Arial" w:cs="Arial"/>
          <w:color w:val="000000"/>
          <w:sz w:val="20"/>
        </w:rPr>
        <w:t xml:space="preserve"> at 197 (quoting </w:t>
      </w:r>
      <w:bookmarkStart w:id="6821" w:name="Bookmark_I63G29C42N1RFD0010000400"/>
      <w:bookmarkEnd w:id="6821"/>
      <w:r>
        <w:rPr>
          <w:rFonts w:ascii="Arial" w:eastAsia="Arial" w:hAnsi="Arial" w:cs="Arial"/>
          <w:color w:val="000000"/>
          <w:sz w:val="20"/>
          <w:u w:val="single"/>
        </w:rPr>
        <w:t>McElwee</w:t>
      </w:r>
      <w:r>
        <w:rPr>
          <w:rFonts w:ascii="Arial" w:eastAsia="Arial" w:hAnsi="Arial" w:cs="Arial"/>
          <w:color w:val="000000"/>
          <w:sz w:val="20"/>
        </w:rPr>
        <w:t>, 700 F.3d at 641). As explained below, the subway system considered as a whole provides meaningful access as a matter of law. However, the plaintiffs' argument [**14]  is that to consider the subway system as a whole is to miss the point: they claim that elevator outages are disproportionately frequent at especially inconvenient stations (usually, the busiest), at especially inconvenient times (usually, rush hour). With this framing in mind, there are genuine disputes of material fact as to whether the subway system presents barriers to meaningful access.</w:t>
      </w:r>
    </w:p>
    <w:p w:rsidR="00022B47" w:rsidRDefault="00000000">
      <w:pPr>
        <w:pStyle w:val="Normal43"/>
        <w:widowControl w:val="0"/>
        <w:spacing w:before="240" w:line="260" w:lineRule="atLeast"/>
      </w:pPr>
      <w:r>
        <w:br/>
      </w:r>
      <w:r>
        <w:rPr>
          <w:rFonts w:ascii="Arial" w:eastAsia="Arial" w:hAnsi="Arial" w:cs="Arial"/>
          <w:b/>
          <w:color w:val="000000"/>
          <w:sz w:val="20"/>
        </w:rPr>
        <w:t>A</w:t>
      </w:r>
      <w:r>
        <w:rPr>
          <w:rFonts w:ascii="Arial" w:eastAsia="Arial" w:hAnsi="Arial" w:cs="Arial"/>
          <w:color w:val="000000"/>
          <w:sz w:val="20"/>
        </w:rPr>
        <w:t>.</w:t>
      </w:r>
    </w:p>
    <w:p w:rsidR="00022B47" w:rsidRDefault="00000000">
      <w:pPr>
        <w:pStyle w:val="Normal43"/>
        <w:widowControl w:val="0"/>
        <w:spacing w:before="200" w:line="260" w:lineRule="atLeast"/>
        <w:jc w:val="both"/>
      </w:pPr>
      <w:bookmarkStart w:id="6822" w:name="Bookmark_para_27_23"/>
      <w:bookmarkEnd w:id="6822"/>
      <w:r>
        <w:rPr>
          <w:rFonts w:ascii="Arial" w:eastAsia="Arial" w:hAnsi="Arial" w:cs="Arial"/>
          <w:color w:val="000000"/>
          <w:sz w:val="20"/>
        </w:rPr>
        <w:t>The MTA's expert, Dr. Alan Salzberg, found that ADA elevators were available—that is, experiencing no outage—an average of 96.5 to 98.7 percent of the time.</w:t>
      </w:r>
      <w:r>
        <w:rPr>
          <w:rFonts w:ascii="Arial" w:eastAsia="Arial" w:hAnsi="Arial" w:cs="Arial"/>
          <w:vertAlign w:val="superscript"/>
        </w:rPr>
        <w:footnoteReference w:customMarkFollows="1" w:id="209"/>
        <w:t>1</w:t>
      </w:r>
      <w:r>
        <w:rPr>
          <w:rFonts w:ascii="Arial" w:eastAsia="Arial" w:hAnsi="Arial" w:cs="Arial"/>
          <w:color w:val="000000"/>
          <w:sz w:val="20"/>
        </w:rPr>
        <w:t xml:space="preserve"> The plaintiffs' main critique of Dr. Salzberg's analysis is the omission of elevators that were out of service for "long-term overhaul[s]." App. at 307 ¶ 5. But this critique is a poor fit with their claims. Since plaintiffs complain that failure to conduct adequate maintenance is the chief cause of outage, the inevitable outages for maintenance are not a ground for attacking the sufficiency of service. The plaintiffs otherwise accept Dr. Salzberg's figures as sound, and they do not argue that an overall uptime of 96.5 to 98.7 percent is less than meaningful service. Accordingly, there is no genuine dispute of material fact with respect to [**15]  the subway system considered as a whole, which (as the district court concluded) affords access that is meaningful as a matter of law. But averages can obscure variability, so the analysis does not end here.</w:t>
      </w:r>
    </w:p>
    <w:p w:rsidR="00022B47" w:rsidRDefault="00000000">
      <w:pPr>
        <w:pStyle w:val="Normal43"/>
        <w:widowControl w:val="0"/>
        <w:spacing w:before="240" w:line="260" w:lineRule="atLeast"/>
      </w:pPr>
      <w:r>
        <w:br/>
      </w:r>
      <w:r>
        <w:rPr>
          <w:rFonts w:ascii="Arial" w:eastAsia="Arial" w:hAnsi="Arial" w:cs="Arial"/>
          <w:b/>
          <w:color w:val="000000"/>
          <w:sz w:val="20"/>
        </w:rPr>
        <w:t>B</w:t>
      </w:r>
      <w:r>
        <w:rPr>
          <w:rFonts w:ascii="Arial" w:eastAsia="Arial" w:hAnsi="Arial" w:cs="Arial"/>
          <w:color w:val="000000"/>
          <w:sz w:val="20"/>
        </w:rPr>
        <w:t>.</w:t>
      </w:r>
    </w:p>
    <w:p w:rsidR="00022B47" w:rsidRDefault="00000000">
      <w:pPr>
        <w:pStyle w:val="Normal43"/>
        <w:widowControl w:val="0"/>
        <w:spacing w:before="200" w:line="260" w:lineRule="atLeast"/>
        <w:jc w:val="both"/>
      </w:pPr>
      <w:bookmarkStart w:id="6824" w:name="Bookmark_para_28_23"/>
      <w:bookmarkEnd w:id="6824"/>
      <w:r>
        <w:rPr>
          <w:rFonts w:ascii="Arial" w:eastAsia="Arial" w:hAnsi="Arial" w:cs="Arial"/>
          <w:color w:val="000000"/>
          <w:sz w:val="20"/>
        </w:rPr>
        <w:t xml:space="preserve">Plaintiffs' expert Andrew Schwarz assumed </w:t>
      </w:r>
      <w:r>
        <w:rPr>
          <w:rFonts w:ascii="Arial" w:eastAsia="Arial" w:hAnsi="Arial" w:cs="Arial"/>
          <w:color w:val="000000"/>
          <w:sz w:val="20"/>
          <w:u w:val="single"/>
        </w:rPr>
        <w:t>arguendo</w:t>
      </w:r>
      <w:r>
        <w:rPr>
          <w:rFonts w:ascii="Arial" w:eastAsia="Arial" w:hAnsi="Arial" w:cs="Arial"/>
          <w:color w:val="000000"/>
          <w:sz w:val="20"/>
        </w:rPr>
        <w:t xml:space="preserve"> that Dr. Salzberg's calculations were correct, without offering competing figures. Instead, he focused exclusively on high-usage subway routes during rush hours and found that elevator outages resulted in "failed" trips approximately 8 to 15 percent of the time. App. at 848 ¶ 23. The failed-trip rate is expressed as a range because Schwarz used multiple definitions of "failure." The 15% rate includes </w:t>
      </w:r>
      <w:r>
        <w:rPr>
          <w:rFonts w:ascii="Arial" w:eastAsia="Arial" w:hAnsi="Arial" w:cs="Arial"/>
          <w:i/>
          <w:color w:val="000000"/>
          <w:sz w:val="20"/>
        </w:rPr>
        <w:t>any</w:t>
      </w:r>
      <w:r>
        <w:rPr>
          <w:rFonts w:ascii="Arial" w:eastAsia="Arial" w:hAnsi="Arial" w:cs="Arial"/>
          <w:color w:val="000000"/>
          <w:sz w:val="20"/>
        </w:rPr>
        <w:t xml:space="preserve"> period of elevator outage during a given hour. The 8% rate assumes that, for a trip to "fail," an elevator outage would have to last for one hour.</w:t>
      </w:r>
    </w:p>
    <w:p w:rsidR="00022B47" w:rsidRDefault="00000000">
      <w:pPr>
        <w:pStyle w:val="Normal43"/>
        <w:widowControl w:val="0"/>
        <w:spacing w:before="200" w:line="260" w:lineRule="atLeast"/>
        <w:jc w:val="both"/>
      </w:pPr>
      <w:bookmarkStart w:id="6825" w:name="Bookmark_para_29_21"/>
      <w:bookmarkEnd w:id="6825"/>
      <w:r>
        <w:rPr>
          <w:rFonts w:ascii="Arial" w:eastAsia="Arial" w:hAnsi="Arial" w:cs="Arial"/>
          <w:color w:val="000000"/>
          <w:sz w:val="20"/>
        </w:rPr>
        <w:t xml:space="preserve">Schwarz concluded that "Dr. Salzberg can be 100% correct in his calculations, as I have assumed, and yet it can still be the case that morning commuters from Jamaica Center to Canal Street may have experienced an out-of-service elevator on more  [*64]  than half of their commutes into Manhattan over a year of usage." </w:t>
      </w:r>
      <w:r>
        <w:rPr>
          <w:rFonts w:ascii="Arial" w:eastAsia="Arial" w:hAnsi="Arial" w:cs="Arial"/>
          <w:color w:val="000000"/>
          <w:sz w:val="20"/>
          <w:u w:val="single"/>
        </w:rPr>
        <w:t>Id.</w:t>
      </w:r>
      <w:r>
        <w:rPr>
          <w:rFonts w:ascii="Arial" w:eastAsia="Arial" w:hAnsi="Arial" w:cs="Arial"/>
          <w:color w:val="000000"/>
          <w:sz w:val="20"/>
        </w:rPr>
        <w:t xml:space="preserve"> at 850 ¶ 26. Class member Chris Pangilinan's experience aligns with Schwarz's [**16]  findings. Over approximately four years, he logged every elevator outage that he encountered, and he calculated an outage rate of 14.9% of his subway trips—on average, 8.9 outages per month.</w:t>
      </w:r>
    </w:p>
    <w:p w:rsidR="00022B47" w:rsidRDefault="00000000">
      <w:pPr>
        <w:pStyle w:val="Normal43"/>
        <w:widowControl w:val="0"/>
        <w:spacing w:before="200" w:line="260" w:lineRule="atLeast"/>
        <w:jc w:val="both"/>
      </w:pPr>
      <w:bookmarkStart w:id="6826" w:name="Bookmark_para_30_20"/>
      <w:bookmarkEnd w:id="6826"/>
      <w:r>
        <w:rPr>
          <w:rFonts w:ascii="Arial" w:eastAsia="Arial" w:hAnsi="Arial" w:cs="Arial"/>
          <w:color w:val="000000"/>
          <w:sz w:val="20"/>
        </w:rPr>
        <w:t xml:space="preserve">Relatedly, plaintiffs' expert David Rishel explained that because access to any particular platform often requires two to four elevators, a passenger with a disability may need 40 to 80 elevators over a five-day workweek, and "would be unlikely to experience a week of commuting without encountering one or more inoperable elevators." </w:t>
      </w:r>
      <w:r>
        <w:rPr>
          <w:rFonts w:ascii="Arial" w:eastAsia="Arial" w:hAnsi="Arial" w:cs="Arial"/>
          <w:color w:val="000000"/>
          <w:sz w:val="20"/>
          <w:u w:val="single"/>
        </w:rPr>
        <w:t>Id.</w:t>
      </w:r>
      <w:r>
        <w:rPr>
          <w:rFonts w:ascii="Arial" w:eastAsia="Arial" w:hAnsi="Arial" w:cs="Arial"/>
          <w:color w:val="000000"/>
          <w:sz w:val="20"/>
        </w:rPr>
        <w:t xml:space="preserve"> at 732. Moreover, the NYCTA's Director of Operations Analysis conceded that, at about 88 of the 98 stations designated ADA-accessible, each level or platform is served by a single elevator. Taking these facts together, certain travelers are more likely to encounter elevator outages because of the number of elevators they use per week; and the inconvenience of any single elevator outage can be heightened if there is no other way to access a particular platform.</w:t>
      </w:r>
    </w:p>
    <w:p w:rsidR="00022B47" w:rsidRDefault="00000000">
      <w:pPr>
        <w:pStyle w:val="Normal43"/>
        <w:widowControl w:val="0"/>
        <w:spacing w:before="200" w:line="260" w:lineRule="atLeast"/>
        <w:jc w:val="both"/>
      </w:pPr>
      <w:bookmarkStart w:id="6827" w:name="Bookmark_para_31_20"/>
      <w:bookmarkEnd w:id="6827"/>
      <w:r>
        <w:rPr>
          <w:rFonts w:ascii="Arial" w:eastAsia="Arial" w:hAnsi="Arial" w:cs="Arial"/>
          <w:color w:val="000000"/>
          <w:sz w:val="20"/>
        </w:rPr>
        <w:t>To illustrate, class member Monica Bartley described taking one elevator to a station's mezzanine only to find that the next elevator she needed was inoperable; she then had to exit the subway station and take [**17]  a bus. Bartley estimated that she encounters two to three broken elevators per five trips. Similarly, class member April Coughlin described encountering at least five broken elevators per week.</w:t>
      </w:r>
    </w:p>
    <w:p w:rsidR="00022B47" w:rsidRDefault="00000000">
      <w:pPr>
        <w:pStyle w:val="Normal43"/>
        <w:widowControl w:val="0"/>
        <w:spacing w:before="200" w:line="260" w:lineRule="atLeast"/>
        <w:jc w:val="both"/>
      </w:pPr>
      <w:bookmarkStart w:id="6828" w:name="Bookmark_para_32_20"/>
      <w:bookmarkEnd w:id="6828"/>
      <w:r>
        <w:rPr>
          <w:rFonts w:ascii="Arial" w:eastAsia="Arial" w:hAnsi="Arial" w:cs="Arial"/>
          <w:color w:val="000000"/>
          <w:sz w:val="20"/>
        </w:rPr>
        <w:t>Since fewer than a quarter of subway stations have elevators to begin with, there are limited alternative subway options when an elevator at any particular station is inoperable. Options are of course nonexistent in neighborhoods with no accessible stations—which is the case in 51% of neighborhoods across the Bronx, Brooklyn, Manhattan, and Queens.</w:t>
      </w:r>
    </w:p>
    <w:p w:rsidR="00022B47" w:rsidRDefault="00000000">
      <w:pPr>
        <w:pStyle w:val="Normal43"/>
        <w:widowControl w:val="0"/>
        <w:spacing w:before="200" w:line="260" w:lineRule="atLeast"/>
        <w:jc w:val="both"/>
      </w:pPr>
      <w:bookmarkStart w:id="6829" w:name="Bookmark_para_33_19"/>
      <w:bookmarkStart w:id="6830" w:name="Bookmark_I63G29C42N1RFD0040000400"/>
      <w:bookmarkEnd w:id="6829"/>
      <w:bookmarkEnd w:id="6830"/>
      <w:r>
        <w:rPr>
          <w:rFonts w:ascii="Arial" w:eastAsia="Arial" w:hAnsi="Arial" w:cs="Arial"/>
          <w:color w:val="000000"/>
          <w:sz w:val="20"/>
        </w:rPr>
        <w:t xml:space="preserve">In sum, the plaintiffs focus on (i) commuters on high-trafficked routes during peak hours, and (ii) riders who need multiple elevators per trip. The district court erred by declining to separately consider such riders. </w:t>
      </w:r>
      <w:bookmarkStart w:id="6831" w:name="Bookmark_LNHNREFclscc9_23"/>
      <w:bookmarkEnd w:id="6831"/>
      <w:r>
        <w:rPr>
          <w:rFonts w:ascii="Arial" w:eastAsia="Arial" w:hAnsi="Arial" w:cs="Arial"/>
          <w:color w:val="000000"/>
          <w:sz w:val="20"/>
        </w:rPr>
        <w:t xml:space="preserve">If "there is any evidence in the record from which a reasonable inference could be drawn in favor of the [plaintiffs], summary judgment is improper." </w:t>
      </w:r>
      <w:bookmarkStart w:id="6832" w:name="Bookmark_I63G29C42N1RFD0030000400"/>
      <w:bookmarkEnd w:id="6832"/>
      <w:r>
        <w:rPr>
          <w:rFonts w:ascii="Arial" w:eastAsia="Arial" w:hAnsi="Arial" w:cs="Arial"/>
          <w:color w:val="000000"/>
          <w:sz w:val="20"/>
          <w:u w:val="single"/>
        </w:rPr>
        <w:t>Gummo v. Village of Depew</w:t>
      </w:r>
      <w:r>
        <w:rPr>
          <w:rFonts w:ascii="Arial" w:eastAsia="Arial" w:hAnsi="Arial" w:cs="Arial"/>
          <w:color w:val="000000"/>
          <w:sz w:val="20"/>
        </w:rPr>
        <w:t>, 75 F.3d 98, 107 (2d Cir. 1996). Here, the plaintiffs raise a reasonable inference that, for some, access is not meaningful (assuming no accommodations). Likewise, it is reasonable to infer that the MTA is in violation of DOT regulations because, for some, elevator outages go beyond the "isolated or temporary." 49 C.F.R. § 37.161(c).</w:t>
      </w:r>
    </w:p>
    <w:p w:rsidR="00022B47" w:rsidRDefault="00000000">
      <w:pPr>
        <w:pStyle w:val="Normal43"/>
        <w:widowControl w:val="0"/>
        <w:spacing w:before="200" w:line="260" w:lineRule="atLeast"/>
        <w:jc w:val="both"/>
      </w:pPr>
      <w:bookmarkStart w:id="6833" w:name="Bookmark_para_34_19"/>
      <w:bookmarkStart w:id="6834" w:name="Bookmark_I63G29C42HM6GR0010000400"/>
      <w:bookmarkEnd w:id="6833"/>
      <w:bookmarkEnd w:id="6834"/>
      <w:r>
        <w:rPr>
          <w:rFonts w:ascii="Arial" w:eastAsia="Arial" w:hAnsi="Arial" w:cs="Arial"/>
          <w:color w:val="000000"/>
          <w:sz w:val="20"/>
        </w:rPr>
        <w:t xml:space="preserve">The plaintiffs' [**18]  expert evidence therefore contains facts "which might affect the outcome of the suit under the governing law." </w:t>
      </w:r>
      <w:bookmarkStart w:id="6835" w:name="Bookmark_I63G29C42N1RFD0050000400"/>
      <w:bookmarkEnd w:id="6835"/>
      <w:r>
        <w:rPr>
          <w:rFonts w:ascii="Arial" w:eastAsia="Arial" w:hAnsi="Arial" w:cs="Arial"/>
          <w:color w:val="000000"/>
          <w:sz w:val="20"/>
          <w:u w:val="single"/>
        </w:rPr>
        <w:t>Wagner v. Chiari &amp; Ilecki, LLP</w:t>
      </w:r>
      <w:r>
        <w:rPr>
          <w:rFonts w:ascii="Arial" w:eastAsia="Arial" w:hAnsi="Arial" w:cs="Arial"/>
          <w:color w:val="000000"/>
          <w:sz w:val="20"/>
        </w:rPr>
        <w:t xml:space="preserve">, 973 F.3d 154, 164 (2d Cir. 2020) (quoting </w:t>
      </w:r>
      <w:bookmarkStart w:id="6836" w:name="Bookmark_I63G29C42HM6GR0020000400"/>
      <w:bookmarkEnd w:id="6836"/>
      <w:r>
        <w:rPr>
          <w:rFonts w:ascii="Arial" w:eastAsia="Arial" w:hAnsi="Arial" w:cs="Arial"/>
          <w:color w:val="000000"/>
          <w:sz w:val="20"/>
          <w:u w:val="single"/>
        </w:rPr>
        <w:t>Coppola v. Bear Stearns &amp; Co.</w:t>
      </w:r>
      <w:r>
        <w:rPr>
          <w:rFonts w:ascii="Arial" w:eastAsia="Arial" w:hAnsi="Arial" w:cs="Arial"/>
          <w:color w:val="000000"/>
          <w:sz w:val="20"/>
        </w:rPr>
        <w:t>, 499 F.3d 144, 148 (2d Cir. 2007)). The district court's dismissal of the expert evidence as immaterial led to the erroneous conclusion that meaningful access was afforded as a matter of law.</w:t>
      </w:r>
    </w:p>
    <w:p w:rsidR="00022B47" w:rsidRDefault="00000000">
      <w:pPr>
        <w:pStyle w:val="Normal43"/>
        <w:widowControl w:val="0"/>
        <w:spacing w:before="200" w:line="260" w:lineRule="atLeast"/>
        <w:jc w:val="both"/>
      </w:pPr>
      <w:bookmarkStart w:id="6837" w:name="Bookmark_para_35_19"/>
      <w:bookmarkStart w:id="6838" w:name="Bookmark_I63G29C42HM6GR0050000400"/>
      <w:bookmarkEnd w:id="6837"/>
      <w:bookmarkEnd w:id="6838"/>
      <w:r>
        <w:rPr>
          <w:rFonts w:ascii="Arial" w:eastAsia="Arial" w:hAnsi="Arial" w:cs="Arial"/>
          <w:color w:val="000000"/>
          <w:sz w:val="20"/>
        </w:rPr>
        <w:t xml:space="preserve">However, at this stage, we cannot conclude that summary judgment is unavailable to the MTA in this case. Although there is a genuine dispute of material fact as to whether at least some passengers with disabilities experience barriers to meaningful access, reasonable accommodations can render access meaningful. </w:t>
      </w:r>
      <w:r>
        <w:rPr>
          <w:rFonts w:ascii="Arial" w:eastAsia="Arial" w:hAnsi="Arial" w:cs="Arial"/>
          <w:color w:val="000000"/>
          <w:sz w:val="20"/>
          <w:u w:val="single"/>
        </w:rPr>
        <w:t xml:space="preserve">See </w:t>
      </w:r>
      <w:bookmarkStart w:id="6839" w:name="Bookmark_I63G29C42HM6GR0040000400"/>
      <w:bookmarkEnd w:id="6839"/>
      <w:r>
        <w:rPr>
          <w:rFonts w:ascii="Arial" w:eastAsia="Arial" w:hAnsi="Arial" w:cs="Arial"/>
          <w:color w:val="000000"/>
          <w:sz w:val="20"/>
          <w:u w:val="single"/>
        </w:rPr>
        <w:t>id.</w:t>
      </w:r>
      <w:r>
        <w:rPr>
          <w:rFonts w:ascii="Arial" w:eastAsia="Arial" w:hAnsi="Arial" w:cs="Arial"/>
          <w:color w:val="000000"/>
          <w:sz w:val="20"/>
        </w:rPr>
        <w:t xml:space="preserve"> at 197 (quoting </w:t>
      </w:r>
      <w:bookmarkStart w:id="6840" w:name="Bookmark_I63G29C42D6N090010000400"/>
      <w:bookmarkEnd w:id="6840"/>
      <w:r>
        <w:rPr>
          <w:rFonts w:ascii="Arial" w:eastAsia="Arial" w:hAnsi="Arial" w:cs="Arial"/>
          <w:color w:val="000000"/>
          <w:sz w:val="20"/>
          <w:u w:val="single"/>
        </w:rPr>
        <w:t>Henrietta D.</w:t>
      </w:r>
      <w:r>
        <w:rPr>
          <w:rFonts w:ascii="Arial" w:eastAsia="Arial" w:hAnsi="Arial" w:cs="Arial"/>
          <w:color w:val="000000"/>
          <w:sz w:val="20"/>
        </w:rPr>
        <w:t xml:space="preserve">, 331 F.3d at 273). The district court did not decide whether the MTA provides reasonable accommodation during elevator outages. </w:t>
      </w:r>
      <w:bookmarkStart w:id="6841" w:name="Bookmark_LNHNREFclscc10_20"/>
      <w:bookmarkEnd w:id="6841"/>
      <w:r>
        <w:rPr>
          <w:rFonts w:ascii="Arial" w:eastAsia="Arial" w:hAnsi="Arial" w:cs="Arial"/>
          <w:color w:val="000000"/>
          <w:sz w:val="20"/>
        </w:rPr>
        <w:t>If it can be determined that reasonable accommodation is provided, then access is meaningful as a matter of law. Accordingly, we  [*65]  go on to consider the accommodations provided during elevator outages.</w:t>
      </w:r>
    </w:p>
    <w:p w:rsidR="00022B47" w:rsidRDefault="00000000">
      <w:pPr>
        <w:pStyle w:val="Normal43"/>
        <w:widowControl w:val="0"/>
        <w:spacing w:before="240" w:line="260" w:lineRule="atLeast"/>
      </w:pPr>
      <w:r>
        <w:br/>
      </w:r>
      <w:r>
        <w:rPr>
          <w:rFonts w:ascii="Arial" w:eastAsia="Arial" w:hAnsi="Arial" w:cs="Arial"/>
          <w:b/>
          <w:color w:val="000000"/>
          <w:sz w:val="20"/>
        </w:rPr>
        <w:t>VI</w:t>
      </w:r>
    </w:p>
    <w:p w:rsidR="00022B47" w:rsidRDefault="00000000">
      <w:pPr>
        <w:pStyle w:val="Normal43"/>
        <w:widowControl w:val="0"/>
        <w:spacing w:before="200" w:line="260" w:lineRule="atLeast"/>
        <w:jc w:val="both"/>
      </w:pPr>
      <w:bookmarkStart w:id="6842" w:name="Bookmark_para_36_19"/>
      <w:bookmarkStart w:id="6843" w:name="Bookmark_I63G29C42D6N090040000400"/>
      <w:bookmarkStart w:id="6844" w:name="Bookmark_I63G29C42D6N0B0030000400"/>
      <w:bookmarkStart w:id="6845" w:name="Bookmark_LNHNREFclscc11_15"/>
      <w:bookmarkEnd w:id="6842"/>
      <w:bookmarkEnd w:id="6843"/>
      <w:bookmarkEnd w:id="6844"/>
      <w:bookmarkEnd w:id="6845"/>
      <w:r>
        <w:rPr>
          <w:rFonts w:ascii="Arial" w:eastAsia="Arial" w:hAnsi="Arial" w:cs="Arial"/>
          <w:color w:val="000000"/>
          <w:sz w:val="20"/>
        </w:rPr>
        <w:t xml:space="preserve">"A defendant is 'entitled to summary judgment only if the undisputed record reveals that the plaintiff was accorded a plainly reasonable accommodation.'" </w:t>
      </w:r>
      <w:bookmarkStart w:id="6846" w:name="Bookmark_I63G29C42D6N090030000400"/>
      <w:bookmarkEnd w:id="6846"/>
      <w:r>
        <w:rPr>
          <w:rFonts w:ascii="Arial" w:eastAsia="Arial" w:hAnsi="Arial" w:cs="Arial"/>
          <w:color w:val="000000"/>
          <w:sz w:val="20"/>
          <w:u w:val="single"/>
        </w:rPr>
        <w:t>Wright</w:t>
      </w:r>
      <w:r>
        <w:rPr>
          <w:rFonts w:ascii="Arial" w:eastAsia="Arial" w:hAnsi="Arial" w:cs="Arial"/>
          <w:color w:val="000000"/>
          <w:sz w:val="20"/>
        </w:rPr>
        <w:t xml:space="preserve">, 831 F.3d at 73 (quoting </w:t>
      </w:r>
      <w:bookmarkStart w:id="6847" w:name="Bookmark_I63G29C42D6N090050000400"/>
      <w:bookmarkEnd w:id="6847"/>
      <w:r>
        <w:rPr>
          <w:rFonts w:ascii="Arial" w:eastAsia="Arial" w:hAnsi="Arial" w:cs="Arial"/>
          <w:color w:val="000000"/>
          <w:sz w:val="20"/>
          <w:u w:val="single"/>
        </w:rPr>
        <w:t>Dean</w:t>
      </w:r>
      <w:r>
        <w:rPr>
          <w:rFonts w:ascii="Arial" w:eastAsia="Arial" w:hAnsi="Arial" w:cs="Arial"/>
          <w:color w:val="000000"/>
          <w:sz w:val="20"/>
        </w:rPr>
        <w:t xml:space="preserve">, 804 F.3d at 188-89). The district court reasoned that it did not need to reach the issue of reasonable accommodation because the plaintiffs [**19]  failed to identify "an issue with the NYC Subway that reaches the level of a violation of the ADA or RA." </w:t>
      </w:r>
      <w:bookmarkStart w:id="6848" w:name="Bookmark_I63G29C42D6N0B0020000400"/>
      <w:bookmarkEnd w:id="6848"/>
      <w:r>
        <w:rPr>
          <w:rFonts w:ascii="Arial" w:eastAsia="Arial" w:hAnsi="Arial" w:cs="Arial"/>
          <w:color w:val="000000"/>
          <w:sz w:val="20"/>
          <w:u w:val="single"/>
        </w:rPr>
        <w:t>Ctr. for Indep. of the Disabled</w:t>
      </w:r>
      <w:r>
        <w:rPr>
          <w:rFonts w:ascii="Arial" w:eastAsia="Arial" w:hAnsi="Arial" w:cs="Arial"/>
          <w:color w:val="000000"/>
          <w:sz w:val="20"/>
        </w:rPr>
        <w:t xml:space="preserve">, 2020 U.S. Dist. LEXIS 56626, 2020 WL 1503454, at *6. Although the court did not rule on the issue, it stated that the bus system "does not seem to be an 'accommodation' in the classic sense" because the bus is "an entirely different mode of transportation." </w:t>
      </w:r>
      <w:r>
        <w:rPr>
          <w:rFonts w:ascii="Arial" w:eastAsia="Arial" w:hAnsi="Arial" w:cs="Arial"/>
          <w:color w:val="000000"/>
          <w:sz w:val="20"/>
          <w:u w:val="single"/>
        </w:rPr>
        <w:t>Id.</w:t>
      </w:r>
      <w:r>
        <w:rPr>
          <w:rFonts w:ascii="Arial" w:eastAsia="Arial" w:hAnsi="Arial" w:cs="Arial"/>
          <w:color w:val="000000"/>
          <w:sz w:val="20"/>
        </w:rPr>
        <w:t xml:space="preserve"> We have a different view.</w:t>
      </w:r>
    </w:p>
    <w:p w:rsidR="00022B47" w:rsidRDefault="00000000">
      <w:pPr>
        <w:pStyle w:val="Normal43"/>
        <w:widowControl w:val="0"/>
        <w:spacing w:before="200" w:line="260" w:lineRule="atLeast"/>
        <w:jc w:val="both"/>
      </w:pPr>
      <w:bookmarkStart w:id="6849" w:name="Bookmark_para_37_16"/>
      <w:bookmarkStart w:id="6850" w:name="Bookmark_I63G29C42D6N0B0050000400"/>
      <w:bookmarkEnd w:id="6849"/>
      <w:bookmarkEnd w:id="6850"/>
      <w:r>
        <w:rPr>
          <w:rFonts w:ascii="Arial" w:eastAsia="Arial" w:hAnsi="Arial" w:cs="Arial"/>
          <w:color w:val="000000"/>
          <w:sz w:val="20"/>
        </w:rPr>
        <w:t xml:space="preserve">It is undisputed that, as of 2019, the MTA Bus Company and NYCTA's Department of Buses operated 326 bus routes with more than 16,000 stops, that all buses were ADA accessible, and that every subway station with an ADA elevator was proximate to a bus stop. The plaintiffs contend that buses offer "limited and continuously diminishing service coverage," Appellants' Reply Br. at 23, and cite a document explaining that the MTA Bus Company reduced its service in 2010. But publicly available maps of New York City bus routes—of which we take judicial notice, </w:t>
      </w:r>
      <w:r>
        <w:rPr>
          <w:rFonts w:ascii="Arial" w:eastAsia="Arial" w:hAnsi="Arial" w:cs="Arial"/>
          <w:color w:val="000000"/>
          <w:sz w:val="20"/>
          <w:u w:val="single"/>
        </w:rPr>
        <w:t>see</w:t>
      </w:r>
      <w:r>
        <w:rPr>
          <w:rFonts w:ascii="Arial" w:eastAsia="Arial" w:hAnsi="Arial" w:cs="Arial"/>
          <w:color w:val="000000"/>
          <w:sz w:val="20"/>
        </w:rPr>
        <w:t xml:space="preserve"> Fed. R. Evid. 201(b); </w:t>
      </w:r>
      <w:bookmarkStart w:id="6851" w:name="Bookmark_I63G29C42D6N0B0040000400"/>
      <w:bookmarkEnd w:id="6851"/>
      <w:r>
        <w:rPr>
          <w:rFonts w:ascii="Arial" w:eastAsia="Arial" w:hAnsi="Arial" w:cs="Arial"/>
          <w:color w:val="000000"/>
          <w:sz w:val="20"/>
          <w:u w:val="single"/>
        </w:rPr>
        <w:t>Mirlis v. Greer</w:t>
      </w:r>
      <w:r>
        <w:rPr>
          <w:rFonts w:ascii="Arial" w:eastAsia="Arial" w:hAnsi="Arial" w:cs="Arial"/>
          <w:color w:val="000000"/>
          <w:sz w:val="20"/>
        </w:rPr>
        <w:t>, 952 F.3d 51, 63 n.11 (2d Cir. 2020)—illustrate the extensive and ramified bus system</w:t>
      </w:r>
      <w:r>
        <w:rPr>
          <w:rFonts w:ascii="Arial" w:eastAsia="Arial" w:hAnsi="Arial" w:cs="Arial"/>
          <w:vertAlign w:val="superscript"/>
        </w:rPr>
        <w:footnoteReference w:customMarkFollows="1" w:id="210"/>
        <w:t>2</w:t>
      </w:r>
      <w:r>
        <w:rPr>
          <w:rFonts w:ascii="Arial" w:eastAsia="Arial" w:hAnsi="Arial" w:cs="Arial"/>
          <w:color w:val="000000"/>
          <w:sz w:val="20"/>
        </w:rPr>
        <w:t xml:space="preserve"> , and the plaintiffs fail to raise a genuine dispute as to the (post-2019) service coverage. Moreover, the plaintiffs' data covers only the MTA Bus Company; but accessible bus routes are also operated by the NYCTA's Department of Buses. The plaintiffs [**20]  further argue that the bus is intended "primarily" for intra-borough transit, while the subway is better suited for inter-borough transit. Appellants' Reply Br. at 23 (citing App. at 492). This argument might resonate if the bus were proffered as a substitute for the subway rather than an accommodation and backstop. In any event, buses cross the bridges.</w:t>
      </w:r>
    </w:p>
    <w:p w:rsidR="00022B47" w:rsidRDefault="00000000">
      <w:pPr>
        <w:pStyle w:val="Normal43"/>
        <w:widowControl w:val="0"/>
        <w:spacing w:before="200" w:line="260" w:lineRule="atLeast"/>
        <w:jc w:val="both"/>
      </w:pPr>
      <w:bookmarkStart w:id="6853" w:name="Bookmark_para_38_16"/>
      <w:bookmarkEnd w:id="6853"/>
      <w:r>
        <w:rPr>
          <w:rFonts w:ascii="Arial" w:eastAsia="Arial" w:hAnsi="Arial" w:cs="Arial"/>
          <w:color w:val="000000"/>
          <w:sz w:val="20"/>
        </w:rPr>
        <w:t>Accordingly, buses should be considered as an accommodation. Although the MTA must provide meaningful access to the subway system itself, it may perform that duty by timely directing passengers to nearby bus stops when an elevator needed for access is out of service. Unlike a theater, a hospital, or a workplace, the New York City subway is not a destination; it is a means of getting from here to there. When a broken elevator prevents subway access, the bus allows passengers to get to the destination.</w:t>
      </w:r>
    </w:p>
    <w:p w:rsidR="00022B47" w:rsidRDefault="00000000">
      <w:pPr>
        <w:pStyle w:val="Normal43"/>
        <w:widowControl w:val="0"/>
        <w:spacing w:before="200" w:line="260" w:lineRule="atLeast"/>
        <w:jc w:val="both"/>
      </w:pPr>
      <w:bookmarkStart w:id="6854" w:name="Bookmark_para_39_13"/>
      <w:bookmarkStart w:id="6855" w:name="Bookmark_I63G29C52SF7TH0020000400"/>
      <w:bookmarkEnd w:id="6854"/>
      <w:bookmarkEnd w:id="6855"/>
      <w:r>
        <w:rPr>
          <w:rFonts w:ascii="Arial" w:eastAsia="Arial" w:hAnsi="Arial" w:cs="Arial"/>
          <w:color w:val="000000"/>
          <w:sz w:val="20"/>
        </w:rPr>
        <w:t xml:space="preserve">Still, we cannot determine as a matter of law that the bus system is a </w:t>
      </w:r>
      <w:r>
        <w:rPr>
          <w:rFonts w:ascii="Arial" w:eastAsia="Arial" w:hAnsi="Arial" w:cs="Arial"/>
          <w:i/>
          <w:color w:val="000000"/>
          <w:sz w:val="20"/>
        </w:rPr>
        <w:t>reasonable</w:t>
      </w:r>
      <w:r>
        <w:rPr>
          <w:rFonts w:ascii="Arial" w:eastAsia="Arial" w:hAnsi="Arial" w:cs="Arial"/>
          <w:color w:val="000000"/>
          <w:sz w:val="20"/>
        </w:rPr>
        <w:t xml:space="preserve"> accommodation. </w:t>
      </w:r>
      <w:bookmarkStart w:id="6856" w:name="Bookmark_LNHNREFclscc12_13"/>
      <w:bookmarkEnd w:id="6856"/>
      <w:r>
        <w:rPr>
          <w:rFonts w:ascii="Arial" w:eastAsia="Arial" w:hAnsi="Arial" w:cs="Arial"/>
          <w:color w:val="000000"/>
          <w:sz w:val="20"/>
        </w:rPr>
        <w:t xml:space="preserve">An "accommodation must overcome . . . non-trivial temporal delays that limit access to programs, services, and activities." </w:t>
      </w:r>
      <w:bookmarkStart w:id="6857" w:name="Bookmark_I63G29C52SF7TH0010000400"/>
      <w:bookmarkEnd w:id="6857"/>
      <w:r>
        <w:rPr>
          <w:rFonts w:ascii="Arial" w:eastAsia="Arial" w:hAnsi="Arial" w:cs="Arial"/>
          <w:color w:val="000000"/>
          <w:sz w:val="20"/>
          <w:u w:val="single"/>
        </w:rPr>
        <w:t>Wright</w:t>
      </w:r>
      <w:r>
        <w:rPr>
          <w:rFonts w:ascii="Arial" w:eastAsia="Arial" w:hAnsi="Arial" w:cs="Arial"/>
          <w:color w:val="000000"/>
          <w:sz w:val="20"/>
        </w:rPr>
        <w:t>, 831 F.3d at 73. There is evidence that delays encountered by class members are non-trivial. As one example out of several in the [**21]  record, class member Bartley described riding the subway to Grand Central station, where she unexpectedly encountered an elevator outage that prevented her from exiting the station; she had to ride the subway in the opposite direction back to her starting point, where she boarded a bus to her destination. Further, absent  [*66]  adequate notice of an elevator outage, a traveler who requires two or more elevators per trip may use one elevator only to find that a second is broken. It can be seriously burdensome to then ride the first elevator back to street level and proceed to a bus stop. Accordingly, the adequacy of buses as a reasonable accommodation depends, at least in part, on whether a passenger gets prompt notice to go to a bus stop instead of a subway station, or to find a bus if an outage arises in the course of travel.</w:t>
      </w:r>
    </w:p>
    <w:p w:rsidR="00022B47" w:rsidRDefault="00000000">
      <w:pPr>
        <w:pStyle w:val="Normal43"/>
        <w:widowControl w:val="0"/>
        <w:spacing w:before="200" w:line="260" w:lineRule="atLeast"/>
        <w:jc w:val="both"/>
      </w:pPr>
      <w:bookmarkStart w:id="6858" w:name="Bookmark_para_40_13"/>
      <w:bookmarkStart w:id="6859" w:name="Bookmark_I63G29C52SF7TH0040000400"/>
      <w:bookmarkEnd w:id="6858"/>
      <w:bookmarkEnd w:id="6859"/>
      <w:r>
        <w:rPr>
          <w:rFonts w:ascii="Arial" w:eastAsia="Arial" w:hAnsi="Arial" w:cs="Arial"/>
          <w:color w:val="000000"/>
          <w:sz w:val="20"/>
        </w:rPr>
        <w:t xml:space="preserve">The MTA does provide notice, but whether that notice is "plainly reasonable" is debated, and in any event was not decided by the district court. </w:t>
      </w:r>
      <w:r>
        <w:rPr>
          <w:rFonts w:ascii="Arial" w:eastAsia="Arial" w:hAnsi="Arial" w:cs="Arial"/>
          <w:color w:val="000000"/>
          <w:sz w:val="20"/>
          <w:u w:val="single"/>
        </w:rPr>
        <w:t>Id.</w:t>
      </w:r>
      <w:r>
        <w:rPr>
          <w:rFonts w:ascii="Arial" w:eastAsia="Arial" w:hAnsi="Arial" w:cs="Arial"/>
          <w:color w:val="000000"/>
          <w:sz w:val="20"/>
        </w:rPr>
        <w:t xml:space="preserve"> (quoting </w:t>
      </w:r>
      <w:bookmarkStart w:id="6860" w:name="Bookmark_I63G29C52SF7TH0030000400"/>
      <w:bookmarkEnd w:id="6860"/>
      <w:r>
        <w:rPr>
          <w:rFonts w:ascii="Arial" w:eastAsia="Arial" w:hAnsi="Arial" w:cs="Arial"/>
          <w:color w:val="000000"/>
          <w:sz w:val="20"/>
          <w:u w:val="single"/>
        </w:rPr>
        <w:t>Dean</w:t>
      </w:r>
      <w:r>
        <w:rPr>
          <w:rFonts w:ascii="Arial" w:eastAsia="Arial" w:hAnsi="Arial" w:cs="Arial"/>
          <w:color w:val="000000"/>
          <w:sz w:val="20"/>
        </w:rPr>
        <w:t>, 804 F.3d at 189). The MTA reports elevator outages on its website and app, and riders may subscribe to e-mail and text-message alerts. Riders may also consult the website or the app for alternative accessible routes. The MTA cites [**22]  evidence that, on average, elevator outages that are "first identified" by LiftNet are posted to the MTA's website within 13.79 minutes after the "initial outage report" is received. App. at 683 ¶ 20. However, the number of minutes it takes to receive the initial report is not provided, and the plaintiffs cite evidence of LiftNet deficiencies that could add delay.</w:t>
      </w:r>
    </w:p>
    <w:p w:rsidR="00022B47" w:rsidRDefault="00000000">
      <w:pPr>
        <w:pStyle w:val="Normal43"/>
        <w:widowControl w:val="0"/>
        <w:spacing w:before="200" w:line="260" w:lineRule="atLeast"/>
        <w:jc w:val="both"/>
      </w:pPr>
      <w:bookmarkStart w:id="6861" w:name="Bookmark_para_41_13"/>
      <w:bookmarkStart w:id="6862" w:name="Bookmark_I63G29C52N1RFJ0010000400"/>
      <w:bookmarkEnd w:id="6861"/>
      <w:bookmarkEnd w:id="6862"/>
      <w:r>
        <w:rPr>
          <w:rFonts w:ascii="Arial" w:eastAsia="Arial" w:hAnsi="Arial" w:cs="Arial"/>
          <w:color w:val="000000"/>
          <w:sz w:val="20"/>
        </w:rPr>
        <w:t xml:space="preserve">Therefore, there are factual issues, and the record might need further development or explication. True, the plaintiffs do not dispute the 14-minute average delay; instead, they cite evidence that "most outages are verified and posted to the MTA website within 45 minutes of receipt of notification of an outage." </w:t>
      </w:r>
      <w:bookmarkStart w:id="6863" w:name="Bookmark_I63G29C52SF7TH0050000400"/>
      <w:bookmarkEnd w:id="6863"/>
      <w:r>
        <w:rPr>
          <w:rFonts w:ascii="Arial" w:eastAsia="Arial" w:hAnsi="Arial" w:cs="Arial"/>
          <w:color w:val="000000"/>
          <w:sz w:val="20"/>
          <w:u w:val="single"/>
        </w:rPr>
        <w:t>Id.</w:t>
      </w:r>
      <w:r>
        <w:rPr>
          <w:rFonts w:ascii="Arial" w:eastAsia="Arial" w:hAnsi="Arial" w:cs="Arial"/>
          <w:color w:val="000000"/>
          <w:sz w:val="20"/>
        </w:rPr>
        <w:t xml:space="preserve"> at 576. But there is no arithmetical contradiction between an average delay of 14 minutes and a maximum delay of 45 minutes. And posting a notice of delay before the outage is confirmed (and confirmed to require repair) can disrupt a trip unnecessarily, or needlessly send a passenger to pursue alternatives. Still, we cannot decide in the first instance whether advance notice that lags by 45 minutes—and perhaps even by 14 minutes (plus however long it takes the MTA to become aware of the outage)—is adequate to enable meaningful [**23]  access, especially in the absence of evidence as to how long the whole process takes from outage to notification. Moreover, the comprehensiveness of the MTA website is disputed. The record contains evidence that the website under-reports outages by 20 percent. Of course, it could be that the outages are not reported if they are brief or quickly fixed; this is also unclear from the record.</w:t>
      </w:r>
    </w:p>
    <w:p w:rsidR="00022B47" w:rsidRDefault="00000000">
      <w:pPr>
        <w:pStyle w:val="Normal43"/>
        <w:widowControl w:val="0"/>
        <w:spacing w:before="200" w:line="260" w:lineRule="atLeast"/>
        <w:jc w:val="both"/>
      </w:pPr>
      <w:bookmarkStart w:id="6864" w:name="Bookmark_para_42_12"/>
      <w:bookmarkEnd w:id="6864"/>
      <w:r>
        <w:rPr>
          <w:rFonts w:ascii="Arial" w:eastAsia="Arial" w:hAnsi="Arial" w:cs="Arial"/>
          <w:color w:val="000000"/>
          <w:sz w:val="20"/>
        </w:rPr>
        <w:t>Permanent physical signs, posted near elevators and displaying reasonable alternative routes (including via bus), may be part of an accommodation scheme. Although permanent signs do not provide advance or current notice of any particular elevator outage, a permanent sign posted near an elevator can give notice of alternative routing information for passengers who encounter an inoperative elevator en route.</w:t>
      </w:r>
    </w:p>
    <w:p w:rsidR="00022B47" w:rsidRDefault="00000000">
      <w:pPr>
        <w:pStyle w:val="Normal43"/>
        <w:widowControl w:val="0"/>
        <w:spacing w:before="200" w:line="260" w:lineRule="atLeast"/>
        <w:jc w:val="both"/>
      </w:pPr>
      <w:bookmarkStart w:id="6865" w:name="Bookmark_para_43_12"/>
      <w:bookmarkEnd w:id="6865"/>
      <w:r>
        <w:rPr>
          <w:rFonts w:ascii="Arial" w:eastAsia="Arial" w:hAnsi="Arial" w:cs="Arial"/>
          <w:color w:val="000000"/>
          <w:sz w:val="20"/>
        </w:rPr>
        <w:t>However, the adequacy of the permanent signage in place is disputed. As of 2018, the defendants planned to post permanent signs at each of the 235 NYCTA-owned ADA elevators. The MTA submitted evidence that, by September 2019, permanent signs were installed at 159 elevators. At oral argument, the MTA represented to us that every elevator has a permanent sign. The plaintiffs dispute the adequacy and [**24]  clarity of these signs, citing evidence that some signs are missing and that some lack alternative routing information. Further, the subway system contains 37 elevators "on the ADA path of travel" that are not owned or maintained by the NYCTA and may not be included in the plan to post permanent signs. App.  [*67]  at 291 ¶ 25. The extent of the permanent signage is thus unclear.</w:t>
      </w:r>
    </w:p>
    <w:p w:rsidR="00022B47" w:rsidRDefault="00000000">
      <w:pPr>
        <w:pStyle w:val="Normal43"/>
        <w:widowControl w:val="0"/>
        <w:spacing w:before="200" w:line="260" w:lineRule="atLeast"/>
        <w:jc w:val="both"/>
      </w:pPr>
      <w:bookmarkStart w:id="6866" w:name="Bookmark_para_44_12"/>
      <w:bookmarkStart w:id="6867" w:name="Bookmark_I63G29C52N1RFJ0030000400"/>
      <w:bookmarkEnd w:id="6866"/>
      <w:bookmarkEnd w:id="6867"/>
      <w:r>
        <w:rPr>
          <w:rFonts w:ascii="Arial" w:eastAsia="Arial" w:hAnsi="Arial" w:cs="Arial"/>
          <w:color w:val="000000"/>
          <w:sz w:val="20"/>
        </w:rPr>
        <w:t xml:space="preserve">Adequate notice may enable the use of paratransit as a reasonable accommodation in some circumstances. The MTA's paratransit service, Access-A-Ride, must be reserved one to two days in advance; so it is sometimes impractical. </w:t>
      </w:r>
      <w:r>
        <w:rPr>
          <w:rFonts w:ascii="Arial" w:eastAsia="Arial" w:hAnsi="Arial" w:cs="Arial"/>
          <w:color w:val="000000"/>
          <w:sz w:val="20"/>
          <w:u w:val="single"/>
        </w:rPr>
        <w:t xml:space="preserve">Cf. </w:t>
      </w:r>
      <w:bookmarkStart w:id="6868" w:name="Bookmark_I63G29C52N1RFJ0020000400"/>
      <w:bookmarkEnd w:id="6868"/>
      <w:r>
        <w:rPr>
          <w:rFonts w:ascii="Arial" w:eastAsia="Arial" w:hAnsi="Arial" w:cs="Arial"/>
          <w:color w:val="000000"/>
          <w:sz w:val="20"/>
          <w:u w:val="single"/>
        </w:rPr>
        <w:t>Wright</w:t>
      </w:r>
      <w:r>
        <w:rPr>
          <w:rFonts w:ascii="Arial" w:eastAsia="Arial" w:hAnsi="Arial" w:cs="Arial"/>
          <w:color w:val="000000"/>
          <w:sz w:val="20"/>
        </w:rPr>
        <w:t>, 831 F.3d at 74 (considering the requirement that a prisoner with disabilities must request a mobility aide in advance and concluding that it "prevents [the prisoner] from effectively moving about the facility and discourages him from participating in prison activities"). Then again, the plaintiffs complain primarily of difficulty commuting, and it may be practical for commuters—who generally report to work at the same time and place every weekday—to make advance reservations to cope with a prolonged outage.</w:t>
      </w:r>
    </w:p>
    <w:p w:rsidR="00022B47" w:rsidRDefault="00000000">
      <w:pPr>
        <w:pStyle w:val="Normal43"/>
        <w:widowControl w:val="0"/>
        <w:spacing w:before="200" w:line="260" w:lineRule="atLeast"/>
        <w:jc w:val="both"/>
      </w:pPr>
      <w:bookmarkStart w:id="6869" w:name="Bookmark_para_45_12"/>
      <w:bookmarkStart w:id="6870" w:name="Bookmark_I63G29C52N1RFJ0050000400"/>
      <w:bookmarkStart w:id="6871" w:name="Bookmark_I63G29C528T4270040000400"/>
      <w:bookmarkEnd w:id="6869"/>
      <w:bookmarkEnd w:id="6870"/>
      <w:bookmarkEnd w:id="6871"/>
      <w:r>
        <w:rPr>
          <w:rFonts w:ascii="Arial" w:eastAsia="Arial" w:hAnsi="Arial" w:cs="Arial"/>
          <w:color w:val="000000"/>
          <w:sz w:val="20"/>
        </w:rPr>
        <w:t xml:space="preserve">In short, it is not clear on the record whether any accommodations provided are "plainly reasonable." [**25]  </w:t>
      </w:r>
      <w:bookmarkStart w:id="6872" w:name="Bookmark_I63G29C52N1RFJ0040000400"/>
      <w:bookmarkEnd w:id="6872"/>
      <w:r>
        <w:rPr>
          <w:rFonts w:ascii="Arial" w:eastAsia="Arial" w:hAnsi="Arial" w:cs="Arial"/>
          <w:color w:val="000000"/>
          <w:sz w:val="20"/>
          <w:u w:val="single"/>
        </w:rPr>
        <w:t>Id.</w:t>
      </w:r>
      <w:r>
        <w:rPr>
          <w:rFonts w:ascii="Arial" w:eastAsia="Arial" w:hAnsi="Arial" w:cs="Arial"/>
          <w:color w:val="000000"/>
          <w:sz w:val="20"/>
        </w:rPr>
        <w:t xml:space="preserve"> at 73 (quoting </w:t>
      </w:r>
      <w:bookmarkStart w:id="6873" w:name="Bookmark_I63G29C528T4270010000400"/>
      <w:bookmarkEnd w:id="6873"/>
      <w:r>
        <w:rPr>
          <w:rFonts w:ascii="Arial" w:eastAsia="Arial" w:hAnsi="Arial" w:cs="Arial"/>
          <w:color w:val="000000"/>
          <w:sz w:val="20"/>
          <w:u w:val="single"/>
        </w:rPr>
        <w:t>Dean</w:t>
      </w:r>
      <w:r>
        <w:rPr>
          <w:rFonts w:ascii="Arial" w:eastAsia="Arial" w:hAnsi="Arial" w:cs="Arial"/>
          <w:color w:val="000000"/>
          <w:sz w:val="20"/>
        </w:rPr>
        <w:t xml:space="preserve">, 804 F.3d at 189). </w:t>
      </w:r>
      <w:bookmarkStart w:id="6874" w:name="Bookmark_LNHNREFclscc13_11"/>
      <w:bookmarkEnd w:id="6874"/>
      <w:r>
        <w:rPr>
          <w:rFonts w:ascii="Arial" w:eastAsia="Arial" w:hAnsi="Arial" w:cs="Arial"/>
          <w:color w:val="000000"/>
          <w:sz w:val="20"/>
        </w:rPr>
        <w:t xml:space="preserve">"[T]he 'reasonableness of an accommodation is a fact-specific question that often must be resolved by a factfinder.'" </w:t>
      </w:r>
      <w:bookmarkStart w:id="6875" w:name="Bookmark_I63G29C528T4270030000400"/>
      <w:bookmarkEnd w:id="6875"/>
      <w:r>
        <w:rPr>
          <w:rFonts w:ascii="Arial" w:eastAsia="Arial" w:hAnsi="Arial" w:cs="Arial"/>
          <w:color w:val="000000"/>
          <w:sz w:val="20"/>
          <w:u w:val="single"/>
        </w:rPr>
        <w:t>Id.</w:t>
      </w:r>
      <w:r>
        <w:rPr>
          <w:rFonts w:ascii="Arial" w:eastAsia="Arial" w:hAnsi="Arial" w:cs="Arial"/>
          <w:color w:val="000000"/>
          <w:sz w:val="20"/>
        </w:rPr>
        <w:t xml:space="preserve"> at 72-73 (alteration omitted) (quoting </w:t>
      </w:r>
      <w:bookmarkStart w:id="6876" w:name="Bookmark_I63G29C528T4270050000400"/>
      <w:bookmarkEnd w:id="6876"/>
      <w:r>
        <w:rPr>
          <w:rFonts w:ascii="Arial" w:eastAsia="Arial" w:hAnsi="Arial" w:cs="Arial"/>
          <w:color w:val="000000"/>
          <w:sz w:val="20"/>
          <w:u w:val="single"/>
        </w:rPr>
        <w:t>Noll</w:t>
      </w:r>
      <w:r>
        <w:rPr>
          <w:rFonts w:ascii="Arial" w:eastAsia="Arial" w:hAnsi="Arial" w:cs="Arial"/>
          <w:color w:val="000000"/>
          <w:sz w:val="20"/>
        </w:rPr>
        <w:t>, 787 F.3d at 94).</w:t>
      </w:r>
    </w:p>
    <w:p w:rsidR="00022B47" w:rsidRDefault="00000000">
      <w:pPr>
        <w:pStyle w:val="Normal43"/>
        <w:widowControl w:val="0"/>
        <w:spacing w:before="200" w:line="260" w:lineRule="atLeast"/>
        <w:jc w:val="both"/>
      </w:pPr>
      <w:bookmarkStart w:id="6877" w:name="Bookmark_para_46_12"/>
      <w:bookmarkEnd w:id="6877"/>
      <w:r>
        <w:rPr>
          <w:rFonts w:ascii="Arial" w:eastAsia="Arial" w:hAnsi="Arial" w:cs="Arial"/>
          <w:color w:val="000000"/>
          <w:sz w:val="20"/>
        </w:rPr>
        <w:t>Because the district court did not reach the issue of reasonable accommodation, remand for further consideration (and perhaps further development of the record) is appropriate. If the district court concludes that, on the undisputed record, reasonable accommodations are afforded to the class—including those members who experience more frequent and inconvenient elevator outages—then summary judgment is proper.</w:t>
      </w:r>
    </w:p>
    <w:p w:rsidR="00022B47" w:rsidRDefault="00000000">
      <w:pPr>
        <w:pStyle w:val="Normal43"/>
        <w:widowControl w:val="0"/>
        <w:spacing w:before="200" w:line="260" w:lineRule="atLeast"/>
        <w:jc w:val="both"/>
      </w:pPr>
      <w:bookmarkStart w:id="6878" w:name="Bookmark_para_47_11"/>
      <w:bookmarkStart w:id="6879" w:name="Bookmark_I63G29C52SF7TJ0030000400"/>
      <w:bookmarkStart w:id="6880" w:name="Bookmark_LNHNREFclscc14_9"/>
      <w:bookmarkEnd w:id="6878"/>
      <w:bookmarkEnd w:id="6879"/>
      <w:bookmarkEnd w:id="6880"/>
      <w:r>
        <w:rPr>
          <w:rFonts w:ascii="Arial" w:eastAsia="Arial" w:hAnsi="Arial" w:cs="Arial"/>
          <w:color w:val="000000"/>
          <w:sz w:val="20"/>
        </w:rPr>
        <w:t xml:space="preserve">The expert evidence proffered by the parties has likely bearing on the analysis, assuming of course that evidence is admissible—that is, reliable and relevant. </w:t>
      </w:r>
      <w:r>
        <w:rPr>
          <w:rFonts w:ascii="Arial" w:eastAsia="Arial" w:hAnsi="Arial" w:cs="Arial"/>
          <w:color w:val="000000"/>
          <w:sz w:val="20"/>
          <w:u w:val="single"/>
        </w:rPr>
        <w:t xml:space="preserve">See </w:t>
      </w:r>
      <w:bookmarkStart w:id="6881" w:name="Bookmark_I63G29C52SF7TJ0020000400"/>
      <w:bookmarkEnd w:id="6881"/>
      <w:r>
        <w:rPr>
          <w:rFonts w:ascii="Arial" w:eastAsia="Arial" w:hAnsi="Arial" w:cs="Arial"/>
          <w:color w:val="000000"/>
          <w:sz w:val="20"/>
          <w:u w:val="single"/>
        </w:rPr>
        <w:t>Gen. Elec. Co. v. Joiner</w:t>
      </w:r>
      <w:r>
        <w:rPr>
          <w:rFonts w:ascii="Arial" w:eastAsia="Arial" w:hAnsi="Arial" w:cs="Arial"/>
          <w:color w:val="000000"/>
          <w:sz w:val="20"/>
        </w:rPr>
        <w:t xml:space="preserve">, 522 U.S. 136, 142, 118 S. Ct. 512, 139 L. Ed. 2d 508 (1997) ("[T]he trial judge must ensure that any and all scientific testimony or evidence admitted is not only relevant, but reliable." (quoting </w:t>
      </w:r>
      <w:bookmarkStart w:id="6882" w:name="Bookmark_I63G29C52SF7TJ0040000400"/>
      <w:bookmarkEnd w:id="6882"/>
      <w:r>
        <w:rPr>
          <w:rFonts w:ascii="Arial" w:eastAsia="Arial" w:hAnsi="Arial" w:cs="Arial"/>
          <w:color w:val="000000"/>
          <w:sz w:val="20"/>
          <w:u w:val="single"/>
        </w:rPr>
        <w:t>Daubert v. Merrell Dow Pharms., Inc.</w:t>
      </w:r>
      <w:r>
        <w:rPr>
          <w:rFonts w:ascii="Arial" w:eastAsia="Arial" w:hAnsi="Arial" w:cs="Arial"/>
          <w:color w:val="000000"/>
          <w:sz w:val="20"/>
        </w:rPr>
        <w:t xml:space="preserve">, 509 U.S. 579, 589, 113 S. Ct. 2786, 125 L. Ed. 2d 469 (1993))). </w:t>
      </w:r>
      <w:bookmarkStart w:id="6883" w:name="Bookmark_I63G29C52D6N0D0020000400"/>
      <w:bookmarkEnd w:id="6883"/>
      <w:r>
        <w:rPr>
          <w:rFonts w:ascii="Arial" w:eastAsia="Arial" w:hAnsi="Arial" w:cs="Arial"/>
          <w:color w:val="000000"/>
          <w:sz w:val="20"/>
        </w:rPr>
        <w:t xml:space="preserve">We presume that such arguments were advanced in the cross-motions </w:t>
      </w:r>
      <w:r>
        <w:rPr>
          <w:rFonts w:ascii="Arial" w:eastAsia="Arial" w:hAnsi="Arial" w:cs="Arial"/>
          <w:color w:val="000000"/>
          <w:sz w:val="20"/>
          <w:u w:val="single"/>
        </w:rPr>
        <w:t>in limine</w:t>
      </w:r>
      <w:r>
        <w:rPr>
          <w:rFonts w:ascii="Arial" w:eastAsia="Arial" w:hAnsi="Arial" w:cs="Arial"/>
          <w:color w:val="000000"/>
          <w:sz w:val="20"/>
        </w:rPr>
        <w:t xml:space="preserve">, which the district court summarily denied. </w:t>
      </w:r>
      <w:bookmarkStart w:id="6884" w:name="Bookmark_I63G29C52D6N0D0020000400_2"/>
      <w:bookmarkStart w:id="6885" w:name="Bookmark_I63G29C52D6N0D0040000400"/>
      <w:bookmarkStart w:id="6886" w:name="Bookmark_LNHNREFclscc15_9"/>
      <w:bookmarkEnd w:id="6884"/>
      <w:bookmarkEnd w:id="6885"/>
      <w:bookmarkEnd w:id="6886"/>
      <w:r>
        <w:rPr>
          <w:rFonts w:ascii="Arial" w:eastAsia="Arial" w:hAnsi="Arial" w:cs="Arial"/>
          <w:color w:val="000000"/>
          <w:sz w:val="20"/>
        </w:rPr>
        <w:t xml:space="preserve">Reconsideration of those motions may therefore be a preliminary step on remand. </w:t>
      </w:r>
      <w:r>
        <w:rPr>
          <w:rFonts w:ascii="Arial" w:eastAsia="Arial" w:hAnsi="Arial" w:cs="Arial"/>
          <w:color w:val="000000"/>
          <w:sz w:val="20"/>
          <w:u w:val="single"/>
        </w:rPr>
        <w:t xml:space="preserve">See </w:t>
      </w:r>
      <w:bookmarkStart w:id="6887" w:name="Bookmark_I63G29C52D6N0D0010000400"/>
      <w:bookmarkEnd w:id="6887"/>
      <w:r>
        <w:rPr>
          <w:rFonts w:ascii="Arial" w:eastAsia="Arial" w:hAnsi="Arial" w:cs="Arial"/>
          <w:color w:val="000000"/>
          <w:sz w:val="20"/>
          <w:u w:val="single"/>
        </w:rPr>
        <w:t>Raskin v. Wyatt Co.</w:t>
      </w:r>
      <w:r>
        <w:rPr>
          <w:rFonts w:ascii="Arial" w:eastAsia="Arial" w:hAnsi="Arial" w:cs="Arial"/>
          <w:color w:val="000000"/>
          <w:sz w:val="20"/>
        </w:rPr>
        <w:t xml:space="preserve">, 125 F.3d 55, 66 (2d Cir. 1997) ("[O]nly admissible evidence need be considered by the trial court in ruling on a motion for summary judgment. . [**26]  . . </w:t>
      </w:r>
      <w:bookmarkStart w:id="6888" w:name="Bookmark_I63G29C52D6N0D0040000400_2"/>
      <w:bookmarkEnd w:id="6888"/>
      <w:r>
        <w:rPr>
          <w:rFonts w:ascii="Arial" w:eastAsia="Arial" w:hAnsi="Arial" w:cs="Arial"/>
          <w:color w:val="000000"/>
          <w:sz w:val="20"/>
        </w:rPr>
        <w:t xml:space="preserve">[A]n expert's report is not a talisman against summary judgment." (citing </w:t>
      </w:r>
      <w:bookmarkStart w:id="6889" w:name="Bookmark_I63G29C52D6N0D0030000400"/>
      <w:bookmarkEnd w:id="6889"/>
      <w:r>
        <w:rPr>
          <w:rFonts w:ascii="Arial" w:eastAsia="Arial" w:hAnsi="Arial" w:cs="Arial"/>
          <w:color w:val="000000"/>
          <w:sz w:val="20"/>
          <w:u w:val="single"/>
        </w:rPr>
        <w:t>Beyene v. Coleman Sec. Servs., Inc.</w:t>
      </w:r>
      <w:r>
        <w:rPr>
          <w:rFonts w:ascii="Arial" w:eastAsia="Arial" w:hAnsi="Arial" w:cs="Arial"/>
          <w:color w:val="000000"/>
          <w:sz w:val="20"/>
        </w:rPr>
        <w:t>, 854 F.2d 1179, 1181 (9th Cir. 1988))). In any event, the proceedings in the district court will be conducted in accordance with the broad discretion of the district judge.</w:t>
      </w:r>
    </w:p>
    <w:p w:rsidR="00022B47" w:rsidRDefault="00000000">
      <w:pPr>
        <w:pStyle w:val="Normal43"/>
        <w:widowControl w:val="0"/>
        <w:spacing w:before="240" w:line="260" w:lineRule="atLeast"/>
      </w:pPr>
      <w:r>
        <w:br/>
      </w:r>
      <w:r>
        <w:rPr>
          <w:rFonts w:ascii="Arial" w:eastAsia="Arial" w:hAnsi="Arial" w:cs="Arial"/>
          <w:b/>
          <w:color w:val="000000"/>
          <w:sz w:val="20"/>
        </w:rPr>
        <w:t>VII</w:t>
      </w:r>
    </w:p>
    <w:p w:rsidR="00022B47" w:rsidRDefault="00000000">
      <w:pPr>
        <w:pStyle w:val="Normal43"/>
        <w:widowControl w:val="0"/>
        <w:spacing w:before="200" w:line="260" w:lineRule="atLeast"/>
        <w:jc w:val="both"/>
      </w:pPr>
      <w:bookmarkStart w:id="6890" w:name="Bookmark_para_48_11"/>
      <w:bookmarkStart w:id="6891" w:name="Bookmark_I63G29C52N1RFN0010000400"/>
      <w:bookmarkStart w:id="6892" w:name="Bookmark_I63G29C52N1RFN0030000400"/>
      <w:bookmarkEnd w:id="6890"/>
      <w:bookmarkEnd w:id="6891"/>
      <w:bookmarkEnd w:id="6892"/>
      <w:r>
        <w:rPr>
          <w:rFonts w:ascii="Arial" w:eastAsia="Arial" w:hAnsi="Arial" w:cs="Arial"/>
          <w:color w:val="000000"/>
          <w:sz w:val="20"/>
        </w:rPr>
        <w:t xml:space="preserve">The district court granted summary judgment in favor of the MTA on the NYCHRL claim, reasoning that the plaintiffs were not "denied full access" to the subway. </w:t>
      </w:r>
      <w:bookmarkStart w:id="6893" w:name="Bookmark_I63G29C52D6N0D0050000400"/>
      <w:bookmarkEnd w:id="6893"/>
      <w:r>
        <w:rPr>
          <w:rFonts w:ascii="Arial" w:eastAsia="Arial" w:hAnsi="Arial" w:cs="Arial"/>
          <w:color w:val="000000"/>
          <w:sz w:val="20"/>
          <w:u w:val="single"/>
        </w:rPr>
        <w:t>Ctr. for Indep. of the Disabled</w:t>
      </w:r>
      <w:r>
        <w:rPr>
          <w:rFonts w:ascii="Arial" w:eastAsia="Arial" w:hAnsi="Arial" w:cs="Arial"/>
          <w:color w:val="000000"/>
          <w:sz w:val="20"/>
        </w:rPr>
        <w:t xml:space="preserve">, 2020 U.S. Dist. LEXIS 56626, 2020 WL 1503454, at *7. The court relied on </w:t>
      </w:r>
      <w:bookmarkStart w:id="6894" w:name="Bookmark_I63G29C52N1RFN0020000400"/>
      <w:bookmarkEnd w:id="6894"/>
      <w:r>
        <w:rPr>
          <w:rFonts w:ascii="Arial" w:eastAsia="Arial" w:hAnsi="Arial" w:cs="Arial"/>
          <w:color w:val="000000"/>
          <w:sz w:val="20"/>
          <w:u w:val="single"/>
        </w:rPr>
        <w:t>Lowell v. Lyft, Inc.</w:t>
      </w:r>
      <w:r>
        <w:rPr>
          <w:rFonts w:ascii="Arial" w:eastAsia="Arial" w:hAnsi="Arial" w:cs="Arial"/>
          <w:color w:val="000000"/>
          <w:sz w:val="20"/>
        </w:rPr>
        <w:t xml:space="preserve">, 352 F. Supp. 3d 248 (S.D.N.Y. 2018), in which plaintiffs claimed that they experienced "extended wait times" for wheelchair-accessible rideshare vehicles, </w:t>
      </w:r>
      <w:bookmarkStart w:id="6895" w:name="Bookmark_I63G29C52N1RFN0040000400"/>
      <w:bookmarkEnd w:id="6895"/>
      <w:r>
        <w:rPr>
          <w:rFonts w:ascii="Arial" w:eastAsia="Arial" w:hAnsi="Arial" w:cs="Arial"/>
          <w:color w:val="000000"/>
          <w:sz w:val="20"/>
          <w:u w:val="single"/>
        </w:rPr>
        <w:t>id.</w:t>
      </w:r>
      <w:r>
        <w:rPr>
          <w:rFonts w:ascii="Arial" w:eastAsia="Arial" w:hAnsi="Arial" w:cs="Arial"/>
          <w:color w:val="000000"/>
          <w:sz w:val="20"/>
        </w:rPr>
        <w:t xml:space="preserve"> at 263. </w:t>
      </w:r>
      <w:r>
        <w:rPr>
          <w:rFonts w:ascii="Arial" w:eastAsia="Arial" w:hAnsi="Arial" w:cs="Arial"/>
          <w:color w:val="000000"/>
          <w:sz w:val="20"/>
          <w:u w:val="single"/>
        </w:rPr>
        <w:t>Lowell</w:t>
      </w:r>
      <w:r>
        <w:rPr>
          <w:rFonts w:ascii="Arial" w:eastAsia="Arial" w:hAnsi="Arial" w:cs="Arial"/>
          <w:color w:val="000000"/>
          <w:sz w:val="20"/>
        </w:rPr>
        <w:t xml:space="preserve"> was dismissed for failure to state a claim because "[w]hile it is a NYCHRL violation to </w:t>
      </w:r>
      <w:r>
        <w:rPr>
          <w:rFonts w:ascii="Arial" w:eastAsia="Arial" w:hAnsi="Arial" w:cs="Arial"/>
          <w:i/>
          <w:color w:val="000000"/>
          <w:sz w:val="20"/>
        </w:rPr>
        <w:t>entirely exclude</w:t>
      </w:r>
      <w:r>
        <w:rPr>
          <w:rFonts w:ascii="Arial" w:eastAsia="Arial" w:hAnsi="Arial" w:cs="Arial"/>
          <w:color w:val="000000"/>
          <w:sz w:val="20"/>
        </w:rPr>
        <w:t xml:space="preserve"> a person with a disability from accessing a public accommodation, that [was] not the situation before the [c]ourt." </w:t>
      </w:r>
      <w:r>
        <w:rPr>
          <w:rFonts w:ascii="Arial" w:eastAsia="Arial" w:hAnsi="Arial" w:cs="Arial"/>
          <w:color w:val="000000"/>
          <w:sz w:val="20"/>
          <w:u w:val="single"/>
        </w:rPr>
        <w:t>Id.</w:t>
      </w:r>
      <w:r>
        <w:rPr>
          <w:rFonts w:ascii="Arial" w:eastAsia="Arial" w:hAnsi="Arial" w:cs="Arial"/>
          <w:color w:val="000000"/>
          <w:sz w:val="20"/>
        </w:rPr>
        <w:t xml:space="preserve"> (emphasis added) (internal citation omitted). Here, the district court similarly reasoned that, to support an NYCHRL claim, the plaintiffs must have been entirely excluded from the subway—that [*68]  is, they must have had no access at all.</w:t>
      </w:r>
    </w:p>
    <w:p w:rsidR="00022B47" w:rsidRDefault="00000000">
      <w:pPr>
        <w:pStyle w:val="Normal43"/>
        <w:widowControl w:val="0"/>
        <w:spacing w:before="200" w:line="260" w:lineRule="atLeast"/>
        <w:jc w:val="both"/>
      </w:pPr>
      <w:bookmarkStart w:id="6896" w:name="Bookmark_para_49_11"/>
      <w:bookmarkStart w:id="6897" w:name="Bookmark_I63G29C62SF7TP0020000400"/>
      <w:bookmarkStart w:id="6898" w:name="Bookmark_I63G29C62D6N0G0010000400"/>
      <w:bookmarkStart w:id="6899" w:name="Bookmark_LNHNREFclscc16_7"/>
      <w:bookmarkEnd w:id="6896"/>
      <w:bookmarkEnd w:id="6897"/>
      <w:bookmarkEnd w:id="6898"/>
      <w:bookmarkEnd w:id="6899"/>
      <w:r>
        <w:rPr>
          <w:rFonts w:ascii="Arial" w:eastAsia="Arial" w:hAnsi="Arial" w:cs="Arial"/>
          <w:color w:val="000000"/>
          <w:sz w:val="20"/>
        </w:rPr>
        <w:t xml:space="preserve">Under the NYCHRL, providers of public accommodations may not, "[b]ecause of any person's . . . disability, . . . refuse, withhold from or deny to such person the full and equal enjoyment, on equal terms and conditions, [**27]  of any of the accommodations, advantages, services, facilities or privileges of the place or provider of public accommodation." NYCHRL § 8-107(4)(1)(a). </w:t>
      </w:r>
      <w:bookmarkStart w:id="6900" w:name="Bookmark_I63G29C62D6N0G0030000400"/>
      <w:bookmarkEnd w:id="6900"/>
      <w:r>
        <w:rPr>
          <w:rFonts w:ascii="Arial" w:eastAsia="Arial" w:hAnsi="Arial" w:cs="Arial"/>
          <w:color w:val="000000"/>
          <w:sz w:val="20"/>
        </w:rPr>
        <w:t xml:space="preserve">The NYCHRL is "construed liberally for the accomplishment of [its] uniquely broad and remedial purposes thereof." </w:t>
      </w:r>
      <w:bookmarkStart w:id="6901" w:name="Bookmark_I63G29C62SF7TP0010000400"/>
      <w:bookmarkEnd w:id="6901"/>
      <w:r>
        <w:rPr>
          <w:rFonts w:ascii="Arial" w:eastAsia="Arial" w:hAnsi="Arial" w:cs="Arial"/>
          <w:color w:val="000000"/>
          <w:sz w:val="20"/>
          <w:u w:val="single"/>
        </w:rPr>
        <w:t>Ya-Chen Chen v. City Univ. of N.Y.</w:t>
      </w:r>
      <w:r>
        <w:rPr>
          <w:rFonts w:ascii="Arial" w:eastAsia="Arial" w:hAnsi="Arial" w:cs="Arial"/>
          <w:color w:val="000000"/>
          <w:sz w:val="20"/>
        </w:rPr>
        <w:t xml:space="preserve">, 805 F.3d 59, 75 (2d Cir. 2015) (quoting </w:t>
      </w:r>
      <w:bookmarkStart w:id="6902" w:name="Bookmark_I63G29C62SF7TP0030000400"/>
      <w:bookmarkEnd w:id="6902"/>
      <w:r>
        <w:rPr>
          <w:rFonts w:ascii="Arial" w:eastAsia="Arial" w:hAnsi="Arial" w:cs="Arial"/>
          <w:color w:val="000000"/>
          <w:sz w:val="20"/>
          <w:u w:val="single"/>
        </w:rPr>
        <w:t>Mihalik v. Credit Agricole Cheuvreux N. Am., Inc.</w:t>
      </w:r>
      <w:r>
        <w:rPr>
          <w:rFonts w:ascii="Arial" w:eastAsia="Arial" w:hAnsi="Arial" w:cs="Arial"/>
          <w:color w:val="000000"/>
          <w:sz w:val="20"/>
        </w:rPr>
        <w:t xml:space="preserve">, 715 F.3d 102, 109 (2d Cir. 2013)). "[F]ederal civil rights statutes can serve only as a floor below which the [NYCHRL] cannot fall." </w:t>
      </w:r>
      <w:r>
        <w:rPr>
          <w:rFonts w:ascii="Arial" w:eastAsia="Arial" w:hAnsi="Arial" w:cs="Arial"/>
          <w:color w:val="000000"/>
          <w:sz w:val="20"/>
          <w:u w:val="single"/>
        </w:rPr>
        <w:t>Id.</w:t>
      </w:r>
      <w:r>
        <w:rPr>
          <w:rFonts w:ascii="Arial" w:eastAsia="Arial" w:hAnsi="Arial" w:cs="Arial"/>
          <w:color w:val="000000"/>
          <w:sz w:val="20"/>
        </w:rPr>
        <w:t xml:space="preserve"> (alteration in original) (quoting </w:t>
      </w:r>
      <w:bookmarkStart w:id="6903" w:name="Bookmark_I63G29C62SF7TP0050000400"/>
      <w:bookmarkEnd w:id="6903"/>
      <w:r>
        <w:rPr>
          <w:rFonts w:ascii="Arial" w:eastAsia="Arial" w:hAnsi="Arial" w:cs="Arial"/>
          <w:color w:val="000000"/>
          <w:sz w:val="20"/>
          <w:u w:val="single"/>
        </w:rPr>
        <w:t>Mihalik</w:t>
      </w:r>
      <w:r>
        <w:rPr>
          <w:rFonts w:ascii="Arial" w:eastAsia="Arial" w:hAnsi="Arial" w:cs="Arial"/>
          <w:color w:val="000000"/>
          <w:sz w:val="20"/>
        </w:rPr>
        <w:t xml:space="preserve">, 715 F.3d at 109). </w:t>
      </w:r>
      <w:bookmarkStart w:id="6904" w:name="Bookmark_I63G29C62D6N0G0030000400_2"/>
      <w:bookmarkStart w:id="6905" w:name="Bookmark_I63G29C62D6N0G0050000400"/>
      <w:bookmarkEnd w:id="6904"/>
      <w:bookmarkEnd w:id="6905"/>
      <w:r>
        <w:rPr>
          <w:rFonts w:ascii="Arial" w:eastAsia="Arial" w:hAnsi="Arial" w:cs="Arial"/>
          <w:color w:val="000000"/>
          <w:sz w:val="20"/>
        </w:rPr>
        <w:t xml:space="preserve">Accordingly, "courts must analyze NYCHRL claims separately and independently from any federal and state law claims, construing [the NYCHRL's] provisions broadly in favor of discrimination plaintiffs to the extent that such a construction is reasonably possible." </w:t>
      </w:r>
      <w:r>
        <w:rPr>
          <w:rFonts w:ascii="Arial" w:eastAsia="Arial" w:hAnsi="Arial" w:cs="Arial"/>
          <w:color w:val="000000"/>
          <w:sz w:val="20"/>
          <w:u w:val="single"/>
        </w:rPr>
        <w:t>Id.</w:t>
      </w:r>
      <w:r>
        <w:rPr>
          <w:rFonts w:ascii="Arial" w:eastAsia="Arial" w:hAnsi="Arial" w:cs="Arial"/>
          <w:color w:val="000000"/>
          <w:sz w:val="20"/>
        </w:rPr>
        <w:t xml:space="preserve"> (quoting </w:t>
      </w:r>
      <w:bookmarkStart w:id="6906" w:name="Bookmark_I63G29C62D6N0G0020000400"/>
      <w:bookmarkEnd w:id="6906"/>
      <w:r>
        <w:rPr>
          <w:rFonts w:ascii="Arial" w:eastAsia="Arial" w:hAnsi="Arial" w:cs="Arial"/>
          <w:color w:val="000000"/>
          <w:sz w:val="20"/>
          <w:u w:val="single"/>
        </w:rPr>
        <w:t>Mihalik</w:t>
      </w:r>
      <w:r>
        <w:rPr>
          <w:rFonts w:ascii="Arial" w:eastAsia="Arial" w:hAnsi="Arial" w:cs="Arial"/>
          <w:color w:val="000000"/>
          <w:sz w:val="20"/>
        </w:rPr>
        <w:t xml:space="preserve">, 715 F.3d at 109). </w:t>
      </w:r>
      <w:bookmarkStart w:id="6907" w:name="Bookmark_I63G29C62D6N0G0050000400_2"/>
      <w:bookmarkEnd w:id="6907"/>
      <w:r>
        <w:rPr>
          <w:rFonts w:ascii="Arial" w:eastAsia="Arial" w:hAnsi="Arial" w:cs="Arial"/>
          <w:color w:val="000000"/>
          <w:sz w:val="20"/>
        </w:rPr>
        <w:t xml:space="preserve">In short, conduct that does not violate federal law may violate the NYCHRL. </w:t>
      </w:r>
      <w:r>
        <w:rPr>
          <w:rFonts w:ascii="Arial" w:eastAsia="Arial" w:hAnsi="Arial" w:cs="Arial"/>
          <w:color w:val="000000"/>
          <w:sz w:val="20"/>
          <w:u w:val="single"/>
        </w:rPr>
        <w:t xml:space="preserve">See </w:t>
      </w:r>
      <w:bookmarkStart w:id="6908" w:name="Bookmark_I63G29C62D6N0G0040000400"/>
      <w:bookmarkEnd w:id="6908"/>
      <w:r>
        <w:rPr>
          <w:rFonts w:ascii="Arial" w:eastAsia="Arial" w:hAnsi="Arial" w:cs="Arial"/>
          <w:color w:val="000000"/>
          <w:sz w:val="20"/>
          <w:u w:val="single"/>
        </w:rPr>
        <w:t>Mihalik</w:t>
      </w:r>
      <w:r>
        <w:rPr>
          <w:rFonts w:ascii="Arial" w:eastAsia="Arial" w:hAnsi="Arial" w:cs="Arial"/>
          <w:color w:val="000000"/>
          <w:sz w:val="20"/>
        </w:rPr>
        <w:t>, 715 F.3d at 109.</w:t>
      </w:r>
    </w:p>
    <w:p w:rsidR="00022B47" w:rsidRDefault="00000000">
      <w:pPr>
        <w:pStyle w:val="Normal43"/>
        <w:widowControl w:val="0"/>
        <w:spacing w:before="200" w:line="260" w:lineRule="atLeast"/>
        <w:jc w:val="both"/>
      </w:pPr>
      <w:bookmarkStart w:id="6909" w:name="Bookmark_para_50_10"/>
      <w:bookmarkStart w:id="6910" w:name="Bookmark_I63G29C628T42C0020000400"/>
      <w:bookmarkEnd w:id="6909"/>
      <w:bookmarkEnd w:id="6910"/>
      <w:r>
        <w:rPr>
          <w:rFonts w:ascii="Arial" w:eastAsia="Arial" w:hAnsi="Arial" w:cs="Arial"/>
          <w:color w:val="000000"/>
          <w:sz w:val="20"/>
        </w:rPr>
        <w:t xml:space="preserve">It follows that we must vacate summary judgment on the NYCHRL claim at least to the same extent as on the federal claims. On remand, some independent analysis under the NYCHRL is required, and we "leave it to the district court to interpret any specific, applicable provisions in the first instance." </w:t>
      </w:r>
      <w:bookmarkStart w:id="6911" w:name="Bookmark_I63G29C628T42C0010000400"/>
      <w:bookmarkEnd w:id="6911"/>
      <w:r>
        <w:rPr>
          <w:rFonts w:ascii="Arial" w:eastAsia="Arial" w:hAnsi="Arial" w:cs="Arial"/>
          <w:color w:val="000000"/>
          <w:sz w:val="20"/>
          <w:u w:val="single"/>
        </w:rPr>
        <w:t>Loeffler v. Staten Island Univ. Hosp.</w:t>
      </w:r>
      <w:r>
        <w:rPr>
          <w:rFonts w:ascii="Arial" w:eastAsia="Arial" w:hAnsi="Arial" w:cs="Arial"/>
          <w:color w:val="000000"/>
          <w:sz w:val="20"/>
        </w:rPr>
        <w:t>, 582 F.3d 268, 279 (2d Cir. 2009).</w:t>
      </w:r>
    </w:p>
    <w:p w:rsidR="00022B47" w:rsidRDefault="00000000">
      <w:pPr>
        <w:pStyle w:val="Normal43"/>
        <w:widowControl w:val="0"/>
        <w:spacing w:before="240" w:line="260" w:lineRule="atLeast"/>
      </w:pPr>
      <w:r>
        <w:br/>
      </w:r>
      <w:r>
        <w:rPr>
          <w:rFonts w:ascii="Arial" w:eastAsia="Arial" w:hAnsi="Arial" w:cs="Arial"/>
          <w:b/>
          <w:color w:val="000000"/>
          <w:sz w:val="20"/>
        </w:rPr>
        <w:t>CONCLUSION</w:t>
      </w:r>
    </w:p>
    <w:p w:rsidR="00022B47" w:rsidRDefault="00000000">
      <w:pPr>
        <w:pStyle w:val="Normal43"/>
        <w:widowControl w:val="0"/>
        <w:spacing w:before="200" w:line="260" w:lineRule="atLeast"/>
        <w:jc w:val="both"/>
      </w:pPr>
      <w:bookmarkStart w:id="6912" w:name="Bookmark_para_51_10"/>
      <w:bookmarkEnd w:id="6912"/>
      <w:r>
        <w:rPr>
          <w:rFonts w:ascii="Arial" w:eastAsia="Arial" w:hAnsi="Arial" w:cs="Arial"/>
          <w:color w:val="000000"/>
          <w:sz w:val="20"/>
        </w:rPr>
        <w:t>We have considered all other arguments advanced by the parties and determined that they are without merit. Accordingly, the judgment [**28]  of the district court is vacated, and the case is remanded for further proceedings consistent with this opinion.</w:t>
      </w:r>
    </w:p>
    <w:p w:rsidR="00022B47" w:rsidRDefault="00022B47">
      <w:pPr>
        <w:pStyle w:val="Normal43"/>
      </w:pPr>
    </w:p>
    <w:p w:rsidR="00022B47" w:rsidRDefault="00000000">
      <w:pPr>
        <w:pStyle w:val="Normal43"/>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5142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843318297"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E4EF68" id="Line 93"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44"/>
        <w:sectPr w:rsidR="00022B47">
          <w:headerReference w:type="even" r:id="rId271"/>
          <w:headerReference w:type="default" r:id="rId272"/>
          <w:footerReference w:type="even" r:id="rId273"/>
          <w:footerReference w:type="default" r:id="rId274"/>
          <w:headerReference w:type="first" r:id="rId275"/>
          <w:footerReference w:type="first" r:id="rId276"/>
          <w:pgSz w:w="12240" w:h="15840"/>
          <w:pgMar w:top="840" w:right="1000" w:bottom="840" w:left="1000" w:header="400" w:footer="400" w:gutter="0"/>
          <w:cols w:space="720"/>
          <w:titlePg/>
        </w:sectPr>
      </w:pPr>
    </w:p>
    <w:p w:rsidR="00022B47" w:rsidRDefault="00022B47">
      <w:pPr>
        <w:pStyle w:val="Normal44"/>
      </w:pPr>
    </w:p>
    <w:p w:rsidR="00022B47" w:rsidRDefault="00000000">
      <w:pPr>
        <w:pStyle w:val="Heading143"/>
        <w:keepNext w:val="0"/>
        <w:widowControl w:val="0"/>
        <w:spacing w:after="200" w:line="340" w:lineRule="atLeast"/>
        <w:jc w:val="center"/>
      </w:pPr>
      <w:r>
        <w:rPr>
          <w:rFonts w:eastAsia="Arial"/>
          <w:color w:val="000000"/>
          <w:sz w:val="28"/>
        </w:rPr>
        <w:t>Revol v. Wellington Reg'l Med. Ctr.</w:t>
      </w:r>
    </w:p>
    <w:p w:rsidR="00022B47" w:rsidRDefault="00000000">
      <w:pPr>
        <w:pStyle w:val="Normal44"/>
        <w:widowControl w:val="0"/>
        <w:spacing w:before="120" w:line="260" w:lineRule="atLeast"/>
        <w:jc w:val="center"/>
      </w:pPr>
      <w:r>
        <w:rPr>
          <w:rFonts w:ascii="Arial" w:eastAsia="Arial" w:hAnsi="Arial" w:cs="Arial"/>
          <w:color w:val="000000"/>
          <w:sz w:val="20"/>
        </w:rPr>
        <w:t>United States Court of Appeals for the Eleventh Circuit</w:t>
      </w:r>
    </w:p>
    <w:p w:rsidR="00022B47" w:rsidRDefault="00000000">
      <w:pPr>
        <w:pStyle w:val="Normal44"/>
        <w:widowControl w:val="0"/>
        <w:spacing w:before="120" w:line="260" w:lineRule="atLeast"/>
        <w:jc w:val="center"/>
      </w:pPr>
      <w:r>
        <w:rPr>
          <w:rFonts w:ascii="Arial" w:eastAsia="Arial" w:hAnsi="Arial" w:cs="Arial"/>
          <w:color w:val="000000"/>
          <w:sz w:val="20"/>
        </w:rPr>
        <w:t>August 11, 2021, Decided</w:t>
      </w:r>
    </w:p>
    <w:p w:rsidR="00022B47" w:rsidRDefault="00000000">
      <w:pPr>
        <w:pStyle w:val="Normal44"/>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20-14745 Non-Argument Calendar</w:t>
      </w:r>
    </w:p>
    <w:p w:rsidR="00022B47" w:rsidRDefault="00022B47">
      <w:pPr>
        <w:pStyle w:val="Normal44"/>
        <w:widowControl w:val="0"/>
        <w:spacing w:line="240" w:lineRule="atLeast"/>
        <w:jc w:val="both"/>
      </w:pPr>
      <w:bookmarkStart w:id="6913" w:name="Bookmark_45"/>
      <w:bookmarkEnd w:id="6913"/>
    </w:p>
    <w:p w:rsidR="00022B47" w:rsidRDefault="00000000">
      <w:pPr>
        <w:pStyle w:val="Normal44"/>
        <w:widowControl w:val="0"/>
        <w:spacing w:before="200" w:line="240" w:lineRule="atLeast"/>
      </w:pPr>
      <w:bookmarkStart w:id="6914" w:name="Reporter_43"/>
      <w:bookmarkEnd w:id="6914"/>
      <w:r>
        <w:rPr>
          <w:rFonts w:ascii="Arial" w:eastAsia="Arial" w:hAnsi="Arial" w:cs="Arial"/>
          <w:b/>
          <w:color w:val="000000"/>
          <w:sz w:val="18"/>
        </w:rPr>
        <w:t>Reporter</w:t>
      </w:r>
    </w:p>
    <w:p w:rsidR="00022B47" w:rsidRDefault="00000000">
      <w:pPr>
        <w:pStyle w:val="Normal44"/>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855 Fed. Appx. 658 *; 2021 U.S. App. LEXIS 23819 **; 2021 WL 3522427</w:t>
      </w:r>
    </w:p>
    <w:p w:rsidR="00022B47" w:rsidRDefault="00000000">
      <w:pPr>
        <w:pStyle w:val="Normal44"/>
        <w:widowControl w:val="0"/>
        <w:spacing w:before="120" w:line="260" w:lineRule="atLeast"/>
      </w:pPr>
      <w:r>
        <w:rPr>
          <w:rFonts w:ascii="Arial" w:eastAsia="Arial" w:hAnsi="Arial" w:cs="Arial"/>
          <w:color w:val="000000"/>
          <w:sz w:val="20"/>
        </w:rPr>
        <w:t>MAGARETTE REVOL, Plaintiff-Appellant, versus WELLINGTON REGIONAL MEDICAL CENTER, WELLINGTON REGIONAL MEDICAL CENTER, INCORPORATED, MARIE JO CARRICILO, SAM CASTLE, Defendants-Appellees.</w:t>
      </w:r>
    </w:p>
    <w:p w:rsidR="00022B47" w:rsidRDefault="00000000">
      <w:pPr>
        <w:pStyle w:val="Normal44"/>
        <w:widowControl w:val="0"/>
        <w:spacing w:before="240" w:line="260" w:lineRule="atLeast"/>
        <w:jc w:val="both"/>
      </w:pPr>
      <w:bookmarkStart w:id="6915" w:name="Notice_23"/>
      <w:bookmarkEnd w:id="6915"/>
      <w:r>
        <w:rPr>
          <w:rFonts w:ascii="Arial" w:eastAsia="Arial" w:hAnsi="Arial" w:cs="Arial"/>
          <w:b/>
          <w:color w:val="000000"/>
          <w:sz w:val="20"/>
        </w:rPr>
        <w:t>Notice:</w:t>
      </w:r>
      <w:r>
        <w:rPr>
          <w:rFonts w:ascii="Arial" w:eastAsia="Arial" w:hAnsi="Arial" w:cs="Arial"/>
          <w:color w:val="000000"/>
          <w:sz w:val="20"/>
        </w:rPr>
        <w:t> </w:t>
      </w:r>
      <w:bookmarkStart w:id="6916" w:name="Bookmark_para_1_43"/>
      <w:bookmarkEnd w:id="6916"/>
      <w:r>
        <w:rPr>
          <w:rFonts w:ascii="Arial" w:eastAsia="Arial" w:hAnsi="Arial" w:cs="Arial"/>
          <w:color w:val="000000"/>
          <w:sz w:val="20"/>
        </w:rPr>
        <w:t>PLEASE REFER TO FEDERAL RULES OF APPELLATE PROCEDURE RULE 32.1 GOVERNING THE CITATION TO UNPUBLISHED OPINIONS.</w:t>
      </w:r>
    </w:p>
    <w:p w:rsidR="00022B47" w:rsidRDefault="00000000">
      <w:pPr>
        <w:pStyle w:val="Normal44"/>
        <w:widowControl w:val="0"/>
        <w:spacing w:before="240" w:line="260" w:lineRule="atLeast"/>
        <w:jc w:val="both"/>
      </w:pPr>
      <w:bookmarkStart w:id="6917" w:name="Prior_History_43"/>
      <w:bookmarkEnd w:id="6917"/>
      <w:r>
        <w:rPr>
          <w:rFonts w:ascii="Arial" w:eastAsia="Arial" w:hAnsi="Arial" w:cs="Arial"/>
          <w:b/>
          <w:color w:val="000000"/>
          <w:sz w:val="20"/>
        </w:rPr>
        <w:t>Prior History:</w:t>
      </w:r>
      <w:r>
        <w:rPr>
          <w:rFonts w:ascii="Arial" w:eastAsia="Arial" w:hAnsi="Arial" w:cs="Arial"/>
          <w:color w:val="000000"/>
          <w:sz w:val="20"/>
        </w:rPr>
        <w:t> </w:t>
      </w:r>
      <w:bookmarkStart w:id="6918" w:name="Bookmark_para_2_43"/>
      <w:bookmarkEnd w:id="6918"/>
      <w:r>
        <w:rPr>
          <w:rFonts w:ascii="Arial" w:eastAsia="Arial" w:hAnsi="Arial" w:cs="Arial"/>
          <w:color w:val="000000"/>
          <w:sz w:val="20"/>
        </w:rPr>
        <w:t> [**1] Appeal from the United States District Court for the Southern District of Florida. D.C. Docket No. 9:19-cv-80979-RS.</w:t>
      </w:r>
    </w:p>
    <w:p w:rsidR="00022B47" w:rsidRDefault="00000000">
      <w:pPr>
        <w:pStyle w:val="Normal44"/>
        <w:widowControl w:val="0"/>
        <w:spacing w:before="120" w:line="260" w:lineRule="atLeast"/>
      </w:pPr>
      <w:r>
        <w:rPr>
          <w:rFonts w:ascii="Arial" w:eastAsia="Arial" w:hAnsi="Arial" w:cs="Arial"/>
          <w:color w:val="000000"/>
          <w:sz w:val="20"/>
        </w:rPr>
        <w:t>Revol v. Wellington Reg'l Med. Ctr., 2020 U.S. Dist. LEXIS 44885, 2020 WL 1244866 (S.D. Fla., Mar. 16, 2020)</w:t>
      </w:r>
    </w:p>
    <w:p w:rsidR="00022B47" w:rsidRDefault="00000000">
      <w:pPr>
        <w:pStyle w:val="Normal44"/>
        <w:widowControl w:val="0"/>
        <w:spacing w:before="240" w:line="260" w:lineRule="atLeast"/>
        <w:jc w:val="both"/>
      </w:pPr>
      <w:bookmarkStart w:id="6919" w:name="Disposition_12"/>
      <w:bookmarkEnd w:id="6919"/>
      <w:r>
        <w:rPr>
          <w:rFonts w:ascii="Arial" w:eastAsia="Arial" w:hAnsi="Arial" w:cs="Arial"/>
          <w:b/>
          <w:color w:val="000000"/>
          <w:sz w:val="20"/>
        </w:rPr>
        <w:t>Disposition:</w:t>
      </w:r>
      <w:r>
        <w:rPr>
          <w:rFonts w:ascii="Arial" w:eastAsia="Arial" w:hAnsi="Arial" w:cs="Arial"/>
          <w:color w:val="000000"/>
          <w:sz w:val="20"/>
        </w:rPr>
        <w:t> </w:t>
      </w:r>
      <w:bookmarkStart w:id="6920" w:name="Bookmark_clspara_1_2"/>
      <w:bookmarkEnd w:id="6920"/>
      <w:r>
        <w:rPr>
          <w:rFonts w:ascii="Arial" w:eastAsia="Arial" w:hAnsi="Arial" w:cs="Arial"/>
          <w:color w:val="000000"/>
          <w:sz w:val="20"/>
        </w:rPr>
        <w:t>AFFIRMED.</w:t>
      </w:r>
    </w:p>
    <w:p w:rsidR="00022B47" w:rsidRDefault="00000000">
      <w:pPr>
        <w:pStyle w:val="Normal44"/>
        <w:widowControl w:val="0"/>
        <w:spacing w:before="240" w:line="260" w:lineRule="atLeast"/>
      </w:pPr>
      <w:bookmarkStart w:id="6921" w:name="Counsel_43"/>
      <w:bookmarkEnd w:id="6921"/>
      <w:r>
        <w:rPr>
          <w:rFonts w:ascii="Arial" w:eastAsia="Arial" w:hAnsi="Arial" w:cs="Arial"/>
          <w:b/>
          <w:color w:val="000000"/>
          <w:sz w:val="20"/>
        </w:rPr>
        <w:t>Counsel:</w:t>
      </w:r>
      <w:r>
        <w:rPr>
          <w:rFonts w:ascii="Arial" w:eastAsia="Arial" w:hAnsi="Arial" w:cs="Arial"/>
          <w:color w:val="000000"/>
          <w:sz w:val="20"/>
        </w:rPr>
        <w:t> MAGARETTE REVOL, Plaintiff - Appellant, Pro se, WELLINGTON, FL.</w:t>
      </w:r>
    </w:p>
    <w:p w:rsidR="00022B47" w:rsidRDefault="00000000">
      <w:pPr>
        <w:pStyle w:val="Normal44"/>
        <w:widowControl w:val="0"/>
        <w:spacing w:before="120" w:line="260" w:lineRule="atLeast"/>
      </w:pPr>
      <w:r>
        <w:rPr>
          <w:rFonts w:ascii="Arial" w:eastAsia="Arial" w:hAnsi="Arial" w:cs="Arial"/>
          <w:color w:val="000000"/>
          <w:sz w:val="20"/>
        </w:rPr>
        <w:t>For WELLINGTON REGIONAL MEDICAL CENTER, WELLINGTON REGIONAL MEDICAL CENTER, INCORPORATED, MARIE JO CARRICILO, SAM CASTLE, Defendants - Appellees: Jay Cohen, The Law Offices of Jay Cohen, FORT LAUDERDALE, FL.</w:t>
      </w:r>
    </w:p>
    <w:p w:rsidR="00022B47" w:rsidRDefault="00000000">
      <w:pPr>
        <w:pStyle w:val="Normal44"/>
        <w:widowControl w:val="0"/>
        <w:spacing w:before="240" w:line="260" w:lineRule="atLeast"/>
      </w:pPr>
      <w:bookmarkStart w:id="6922" w:name="Judges_43"/>
      <w:bookmarkEnd w:id="6922"/>
      <w:r>
        <w:rPr>
          <w:rFonts w:ascii="Arial" w:eastAsia="Arial" w:hAnsi="Arial" w:cs="Arial"/>
          <w:b/>
          <w:color w:val="000000"/>
          <w:sz w:val="20"/>
        </w:rPr>
        <w:t>Judges:</w:t>
      </w:r>
      <w:r>
        <w:rPr>
          <w:rFonts w:ascii="Arial" w:eastAsia="Arial" w:hAnsi="Arial" w:cs="Arial"/>
          <w:color w:val="000000"/>
          <w:sz w:val="20"/>
        </w:rPr>
        <w:t> Before ROSENBAUM, NEWSOM, and ANDERSON, Circuit Judges.</w:t>
      </w:r>
    </w:p>
    <w:p w:rsidR="00022B47" w:rsidRDefault="00000000">
      <w:pPr>
        <w:pStyle w:val="Normal44"/>
        <w:keepNext/>
        <w:widowControl w:val="0"/>
        <w:spacing w:before="240" w:line="340" w:lineRule="atLeast"/>
      </w:pPr>
      <w:bookmarkStart w:id="6923" w:name="Opinion_43"/>
      <w:bookmarkEnd w:id="6923"/>
      <w:r>
        <w:rPr>
          <w:rFonts w:ascii="Arial" w:eastAsia="Arial" w:hAnsi="Arial" w:cs="Arial"/>
          <w:b/>
          <w:color w:val="000000"/>
          <w:sz w:val="28"/>
        </w:rPr>
        <w:t>Opinion</w:t>
      </w:r>
    </w:p>
    <w:p w:rsidR="00022B47" w:rsidRDefault="0025213E">
      <w:pPr>
        <w:pStyle w:val="Normal44"/>
        <w:spacing w:line="60" w:lineRule="exact"/>
      </w:pPr>
      <w:r>
        <w:rPr>
          <w:noProof/>
        </w:rPr>
        <mc:AlternateContent>
          <mc:Choice Requires="wps">
            <w:drawing>
              <wp:anchor distT="0" distB="0" distL="114300" distR="114300" simplePos="0" relativeHeight="25175244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012322568"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47CEF2" id="Line 94"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44"/>
      </w:pPr>
    </w:p>
    <w:p w:rsidR="00022B47" w:rsidRDefault="00000000">
      <w:pPr>
        <w:pStyle w:val="Normal44"/>
        <w:widowControl w:val="0"/>
        <w:spacing w:before="200" w:line="260" w:lineRule="atLeast"/>
        <w:jc w:val="both"/>
      </w:pPr>
      <w:bookmarkStart w:id="6924" w:name="Bookmark_para_3_43"/>
      <w:bookmarkEnd w:id="6924"/>
      <w:r>
        <w:rPr>
          <w:rFonts w:ascii="Arial" w:eastAsia="Arial" w:hAnsi="Arial" w:cs="Arial"/>
          <w:color w:val="000000"/>
          <w:sz w:val="20"/>
        </w:rPr>
        <w:t> [*658]  PER CURIAM:</w:t>
      </w:r>
    </w:p>
    <w:p w:rsidR="00022B47" w:rsidRDefault="00000000">
      <w:pPr>
        <w:pStyle w:val="Normal44"/>
        <w:widowControl w:val="0"/>
        <w:spacing w:before="200" w:line="260" w:lineRule="atLeast"/>
        <w:jc w:val="both"/>
      </w:pPr>
      <w:bookmarkStart w:id="6925" w:name="Bookmark_para_4_43"/>
      <w:bookmarkEnd w:id="6925"/>
      <w:r>
        <w:rPr>
          <w:rFonts w:ascii="Arial" w:eastAsia="Arial" w:hAnsi="Arial" w:cs="Arial"/>
          <w:color w:val="000000"/>
          <w:sz w:val="20"/>
        </w:rPr>
        <w:t xml:space="preserve">Margarette Revol appeals from the district court's dismissal of her </w:t>
      </w:r>
      <w:r>
        <w:rPr>
          <w:rFonts w:ascii="Arial" w:eastAsia="Arial" w:hAnsi="Arial" w:cs="Arial"/>
          <w:i/>
          <w:color w:val="000000"/>
          <w:sz w:val="20"/>
        </w:rPr>
        <w:t>pro se</w:t>
      </w:r>
      <w:r>
        <w:rPr>
          <w:rFonts w:ascii="Arial" w:eastAsia="Arial" w:hAnsi="Arial" w:cs="Arial"/>
          <w:color w:val="000000"/>
          <w:sz w:val="20"/>
        </w:rPr>
        <w:t xml:space="preserve"> complaint under the Americans with Disabilities Act ("ADA"), 42 U.S.C. § 12112(a), for failure to follow court orders and amend her complaint to comply with Federal Rule of Civil Procedure 10. After careful review, we affirm.</w:t>
      </w:r>
    </w:p>
    <w:p w:rsidR="00022B47" w:rsidRDefault="00000000">
      <w:pPr>
        <w:pStyle w:val="Normal44"/>
        <w:widowControl w:val="0"/>
        <w:spacing w:before="240" w:line="260" w:lineRule="atLeast"/>
      </w:pPr>
      <w:r>
        <w:br/>
      </w:r>
      <w:r>
        <w:rPr>
          <w:rFonts w:ascii="Arial" w:eastAsia="Arial" w:hAnsi="Arial" w:cs="Arial"/>
          <w:b/>
          <w:color w:val="000000"/>
          <w:sz w:val="20"/>
        </w:rPr>
        <w:t>I</w:t>
      </w:r>
    </w:p>
    <w:p w:rsidR="00022B47" w:rsidRDefault="00000000">
      <w:pPr>
        <w:pStyle w:val="Normal44"/>
        <w:widowControl w:val="0"/>
        <w:spacing w:before="200" w:line="260" w:lineRule="atLeast"/>
        <w:jc w:val="both"/>
      </w:pPr>
      <w:bookmarkStart w:id="6926" w:name="Bookmark_para_5_43"/>
      <w:bookmarkEnd w:id="6926"/>
      <w:r>
        <w:rPr>
          <w:rFonts w:ascii="Arial" w:eastAsia="Arial" w:hAnsi="Arial" w:cs="Arial"/>
          <w:color w:val="000000"/>
          <w:sz w:val="20"/>
        </w:rPr>
        <w:t xml:space="preserve">Revol, proceeding </w:t>
      </w:r>
      <w:r>
        <w:rPr>
          <w:rFonts w:ascii="Arial" w:eastAsia="Arial" w:hAnsi="Arial" w:cs="Arial"/>
          <w:i/>
          <w:color w:val="000000"/>
          <w:sz w:val="20"/>
        </w:rPr>
        <w:t>pro se</w:t>
      </w:r>
      <w:r>
        <w:rPr>
          <w:rFonts w:ascii="Arial" w:eastAsia="Arial" w:hAnsi="Arial" w:cs="Arial"/>
          <w:color w:val="000000"/>
          <w:sz w:val="20"/>
        </w:rPr>
        <w:t xml:space="preserve">, sued her employer under the ADA for retaliation and failure to accommodate. The district court ordered her to file an amended complaint within a certain time period to comply with Rule 10. </w:t>
      </w:r>
      <w:bookmarkStart w:id="6927" w:name="Bookmark_I63D4JTM2HM6VK0020000400"/>
      <w:bookmarkEnd w:id="6927"/>
      <w:r>
        <w:rPr>
          <w:rFonts w:ascii="Arial" w:eastAsia="Arial" w:hAnsi="Arial" w:cs="Arial"/>
          <w:color w:val="000000"/>
          <w:sz w:val="20"/>
        </w:rPr>
        <w:t>After she failed to do so, it dismissed her complaint with prejudice. She now argues, however, that the basis for dismissal was actually a separate finding by the district court that she had failed to timely make Rule 26 disclosures, which she asserts was erroneous. She contends that she did everything the district court requested [**2]  of her, but she does not address her failure to file an amended complaint within the period ordered by the district  [*659]  court.</w:t>
      </w:r>
      <w:r>
        <w:rPr>
          <w:rFonts w:ascii="Arial" w:eastAsia="Arial" w:hAnsi="Arial" w:cs="Arial"/>
          <w:vertAlign w:val="superscript"/>
        </w:rPr>
        <w:footnoteReference w:customMarkFollows="1" w:id="211"/>
        <w:t>1</w:t>
      </w:r>
    </w:p>
    <w:p w:rsidR="00022B47" w:rsidRDefault="00000000">
      <w:pPr>
        <w:pStyle w:val="Normal44"/>
        <w:widowControl w:val="0"/>
        <w:spacing w:before="240" w:line="260" w:lineRule="atLeast"/>
      </w:pPr>
      <w:r>
        <w:br/>
      </w:r>
      <w:r>
        <w:rPr>
          <w:rFonts w:ascii="Arial" w:eastAsia="Arial" w:hAnsi="Arial" w:cs="Arial"/>
          <w:b/>
          <w:color w:val="000000"/>
          <w:sz w:val="20"/>
        </w:rPr>
        <w:t>II</w:t>
      </w:r>
    </w:p>
    <w:p w:rsidR="00022B47" w:rsidRDefault="00000000">
      <w:pPr>
        <w:pStyle w:val="Normal44"/>
        <w:widowControl w:val="0"/>
        <w:spacing w:before="200" w:line="260" w:lineRule="atLeast"/>
        <w:jc w:val="both"/>
      </w:pPr>
      <w:bookmarkStart w:id="6930" w:name="Bookmark_para_6_43"/>
      <w:bookmarkEnd w:id="6930"/>
      <w:r>
        <w:rPr>
          <w:rFonts w:ascii="Arial" w:eastAsia="Arial" w:hAnsi="Arial" w:cs="Arial"/>
          <w:color w:val="000000"/>
          <w:sz w:val="20"/>
        </w:rPr>
        <w:t xml:space="preserve">Under Federal Rule of Civil Procedure 10, a complaint must state its claims in numbered paragraphs, "each limited as far as practicable to a single set of circumstances." Fed. R. Civ. P. 10(b). Rule 26 requires that parties disclose to other parties the identity of expert witnesses that they may use to present expert testimony at trial, as well as the facts or data considered by such witnesses in forming the opinions that they will express. </w:t>
      </w:r>
      <w:bookmarkStart w:id="6931" w:name="Bookmark_I63D4JTM2HM6VK0040000400"/>
      <w:bookmarkEnd w:id="6931"/>
      <w:r>
        <w:rPr>
          <w:rFonts w:ascii="Arial" w:eastAsia="Arial" w:hAnsi="Arial" w:cs="Arial"/>
          <w:color w:val="000000"/>
          <w:sz w:val="20"/>
        </w:rPr>
        <w:t>Fed. R. Civ. P. 26(a)(2). All litigants in federal court—</w:t>
      </w:r>
      <w:r>
        <w:rPr>
          <w:rFonts w:ascii="Arial" w:eastAsia="Arial" w:hAnsi="Arial" w:cs="Arial"/>
          <w:i/>
          <w:color w:val="000000"/>
          <w:sz w:val="20"/>
        </w:rPr>
        <w:t>pro se</w:t>
      </w:r>
      <w:r>
        <w:rPr>
          <w:rFonts w:ascii="Arial" w:eastAsia="Arial" w:hAnsi="Arial" w:cs="Arial"/>
          <w:color w:val="000000"/>
          <w:sz w:val="20"/>
        </w:rPr>
        <w:t xml:space="preserve"> or counseled—are required to comply with applicable procedural rules. </w:t>
      </w:r>
      <w:r>
        <w:rPr>
          <w:rFonts w:ascii="Arial" w:eastAsia="Arial" w:hAnsi="Arial" w:cs="Arial"/>
          <w:i/>
          <w:color w:val="000000"/>
          <w:sz w:val="20"/>
        </w:rPr>
        <w:t xml:space="preserve">See </w:t>
      </w:r>
      <w:bookmarkStart w:id="6932" w:name="Bookmark_I63D4JTM2HM6VK0030000400"/>
      <w:bookmarkEnd w:id="6932"/>
      <w:r>
        <w:rPr>
          <w:rFonts w:ascii="Arial" w:eastAsia="Arial" w:hAnsi="Arial" w:cs="Arial"/>
          <w:i/>
          <w:color w:val="000000"/>
          <w:sz w:val="20"/>
        </w:rPr>
        <w:t>Albra v. Advan, Inc.</w:t>
      </w:r>
      <w:r>
        <w:rPr>
          <w:rFonts w:ascii="Arial" w:eastAsia="Arial" w:hAnsi="Arial" w:cs="Arial"/>
          <w:color w:val="000000"/>
          <w:sz w:val="20"/>
        </w:rPr>
        <w:t>, 490 F.3d 826, 829 (11th Cir. 2007).</w:t>
      </w:r>
    </w:p>
    <w:p w:rsidR="00022B47" w:rsidRDefault="00000000">
      <w:pPr>
        <w:pStyle w:val="Normal44"/>
        <w:widowControl w:val="0"/>
        <w:spacing w:before="200" w:line="260" w:lineRule="atLeast"/>
        <w:jc w:val="both"/>
      </w:pPr>
      <w:bookmarkStart w:id="6933" w:name="Bookmark_para_7_43"/>
      <w:bookmarkStart w:id="6934" w:name="Bookmark_I63D4JTN2D6NB50010000400"/>
      <w:bookmarkEnd w:id="6933"/>
      <w:bookmarkEnd w:id="6934"/>
      <w:r>
        <w:rPr>
          <w:rFonts w:ascii="Arial" w:eastAsia="Arial" w:hAnsi="Arial" w:cs="Arial"/>
          <w:color w:val="000000"/>
          <w:sz w:val="20"/>
        </w:rPr>
        <w:t xml:space="preserve">If a plaintiff fails to prosecute or to comply with the Federal Rules of Civil Procedure or a court order, a defendant may move to dismiss an action or any claim against it. Fed. R. Civ. P. 41(b). Dismissal with prejudice under Rule 41(b), whether on motion or </w:t>
      </w:r>
      <w:r>
        <w:rPr>
          <w:rFonts w:ascii="Arial" w:eastAsia="Arial" w:hAnsi="Arial" w:cs="Arial"/>
          <w:i/>
          <w:color w:val="000000"/>
          <w:sz w:val="20"/>
        </w:rPr>
        <w:t>sua sponte</w:t>
      </w:r>
      <w:r>
        <w:rPr>
          <w:rFonts w:ascii="Arial" w:eastAsia="Arial" w:hAnsi="Arial" w:cs="Arial"/>
          <w:color w:val="000000"/>
          <w:sz w:val="20"/>
        </w:rPr>
        <w:t xml:space="preserve">, is appropriate where (i) there is a clear pattern of delay or willful contempt and (ii) the district court finds that lesser sanctions would not suffice. </w:t>
      </w:r>
      <w:bookmarkStart w:id="6935" w:name="Bookmark_I63D4JTN2D6NB50030000400"/>
      <w:bookmarkStart w:id="6936" w:name="Bookmark_I63D4JTM2HM6VK0050000400"/>
      <w:bookmarkEnd w:id="6935"/>
      <w:bookmarkEnd w:id="6936"/>
      <w:r>
        <w:rPr>
          <w:rFonts w:ascii="Arial" w:eastAsia="Arial" w:hAnsi="Arial" w:cs="Arial"/>
          <w:i/>
          <w:color w:val="000000"/>
          <w:sz w:val="20"/>
        </w:rPr>
        <w:t>Betty K Agencies, Ltd. v. M/V MONADA</w:t>
      </w:r>
      <w:r>
        <w:rPr>
          <w:rFonts w:ascii="Arial" w:eastAsia="Arial" w:hAnsi="Arial" w:cs="Arial"/>
          <w:color w:val="000000"/>
          <w:sz w:val="20"/>
        </w:rPr>
        <w:t xml:space="preserve">, 432 F.3d 1333, 1338 (11th Cir. 2005). </w:t>
      </w:r>
      <w:bookmarkStart w:id="6937" w:name="Bookmark_I63D4JTN2D6NB50030000400_2"/>
      <w:bookmarkEnd w:id="6937"/>
      <w:r>
        <w:rPr>
          <w:rFonts w:ascii="Arial" w:eastAsia="Arial" w:hAnsi="Arial" w:cs="Arial"/>
          <w:color w:val="000000"/>
          <w:sz w:val="20"/>
        </w:rPr>
        <w:t xml:space="preserve">The latter finding may be implicit or explicit. </w:t>
      </w:r>
      <w:bookmarkStart w:id="6938" w:name="Bookmark_I63D4JTN2D6NB50020000400"/>
      <w:bookmarkEnd w:id="6938"/>
      <w:r>
        <w:rPr>
          <w:rFonts w:ascii="Arial" w:eastAsia="Arial" w:hAnsi="Arial" w:cs="Arial"/>
          <w:i/>
          <w:color w:val="000000"/>
          <w:sz w:val="20"/>
        </w:rPr>
        <w:t>Gratton v. Great Am. Commc'ns.</w:t>
      </w:r>
      <w:r>
        <w:rPr>
          <w:rFonts w:ascii="Arial" w:eastAsia="Arial" w:hAnsi="Arial" w:cs="Arial"/>
          <w:color w:val="000000"/>
          <w:sz w:val="20"/>
        </w:rPr>
        <w:t>, 178 F.3d 1373, 1374 (11th Cir. 1999).</w:t>
      </w:r>
    </w:p>
    <w:p w:rsidR="00022B47" w:rsidRDefault="00000000">
      <w:pPr>
        <w:pStyle w:val="Normal44"/>
        <w:widowControl w:val="0"/>
        <w:spacing w:before="200" w:line="260" w:lineRule="atLeast"/>
        <w:jc w:val="both"/>
      </w:pPr>
      <w:bookmarkStart w:id="6939" w:name="Bookmark_para_8_42"/>
      <w:bookmarkEnd w:id="6939"/>
      <w:r>
        <w:rPr>
          <w:rFonts w:ascii="Arial" w:eastAsia="Arial" w:hAnsi="Arial" w:cs="Arial"/>
          <w:color w:val="000000"/>
          <w:sz w:val="20"/>
        </w:rPr>
        <w:t xml:space="preserve">Here, Revol's appeal fails. First, her brief, even liberally construed, fails to address the basis for the court's dismissal of her [**3]  suit—her failure to timely file an amended complaint. </w:t>
      </w:r>
      <w:bookmarkStart w:id="6940" w:name="Bookmark_I63D4JTN2D6NB50050000400"/>
      <w:bookmarkEnd w:id="6940"/>
      <w:r>
        <w:rPr>
          <w:rFonts w:ascii="Arial" w:eastAsia="Arial" w:hAnsi="Arial" w:cs="Arial"/>
          <w:color w:val="000000"/>
          <w:sz w:val="20"/>
        </w:rPr>
        <w:t xml:space="preserve">Accordingly she has failed to present any argument why the district court abused its discretion in dismissing her complaint. Second, as for the challenge that she does assert, any error related to Rule 26 is now moot, given her failure to comply with the court's order directing her to file an amended complaint. </w:t>
      </w:r>
      <w:r>
        <w:rPr>
          <w:rFonts w:ascii="Arial" w:eastAsia="Arial" w:hAnsi="Arial" w:cs="Arial"/>
          <w:i/>
          <w:color w:val="000000"/>
          <w:sz w:val="20"/>
        </w:rPr>
        <w:t xml:space="preserve">See </w:t>
      </w:r>
      <w:bookmarkStart w:id="6941" w:name="Bookmark_I63D4JTN2D6NB50040000400"/>
      <w:bookmarkEnd w:id="6941"/>
      <w:r>
        <w:rPr>
          <w:rFonts w:ascii="Arial" w:eastAsia="Arial" w:hAnsi="Arial" w:cs="Arial"/>
          <w:i/>
          <w:color w:val="000000"/>
          <w:sz w:val="20"/>
        </w:rPr>
        <w:t>Christian Coal. of Fla., Inc. v. United States</w:t>
      </w:r>
      <w:r>
        <w:rPr>
          <w:rFonts w:ascii="Arial" w:eastAsia="Arial" w:hAnsi="Arial" w:cs="Arial"/>
          <w:color w:val="000000"/>
          <w:sz w:val="20"/>
        </w:rPr>
        <w:t>, 662 F.3d 1182, 1189 (11th Cir. 2011) (holding that an issue becomes moot "when it no longer presents a live controversy with respect to which the court can give meaningful relief."). Accordingly, order of the district court is affirmed.</w:t>
      </w:r>
    </w:p>
    <w:p w:rsidR="00022B47" w:rsidRDefault="00000000">
      <w:pPr>
        <w:pStyle w:val="Normal44"/>
        <w:widowControl w:val="0"/>
        <w:spacing w:before="200" w:line="260" w:lineRule="atLeast"/>
        <w:jc w:val="both"/>
      </w:pPr>
      <w:bookmarkStart w:id="6942" w:name="Bookmark_para_9_41"/>
      <w:bookmarkEnd w:id="6942"/>
      <w:r>
        <w:rPr>
          <w:rFonts w:ascii="Arial" w:eastAsia="Arial" w:hAnsi="Arial" w:cs="Arial"/>
          <w:b/>
          <w:color w:val="000000"/>
          <w:sz w:val="20"/>
        </w:rPr>
        <w:t>AFFIRMED</w:t>
      </w:r>
      <w:r>
        <w:rPr>
          <w:rFonts w:ascii="Arial" w:eastAsia="Arial" w:hAnsi="Arial" w:cs="Arial"/>
          <w:color w:val="000000"/>
          <w:sz w:val="20"/>
        </w:rPr>
        <w:t>.</w:t>
      </w:r>
    </w:p>
    <w:p w:rsidR="00022B47" w:rsidRDefault="00022B47">
      <w:pPr>
        <w:pStyle w:val="Normal44"/>
      </w:pPr>
    </w:p>
    <w:p w:rsidR="00022B47" w:rsidRDefault="00000000">
      <w:pPr>
        <w:pStyle w:val="Normal44"/>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53472"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450834341"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0033A4" id="Line 95"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45"/>
        <w:sectPr w:rsidR="00022B47">
          <w:headerReference w:type="even" r:id="rId277"/>
          <w:headerReference w:type="default" r:id="rId278"/>
          <w:footerReference w:type="even" r:id="rId279"/>
          <w:footerReference w:type="default" r:id="rId280"/>
          <w:headerReference w:type="first" r:id="rId281"/>
          <w:footerReference w:type="first" r:id="rId282"/>
          <w:pgSz w:w="12240" w:h="15840"/>
          <w:pgMar w:top="840" w:right="1000" w:bottom="840" w:left="1000" w:header="400" w:footer="400" w:gutter="0"/>
          <w:cols w:space="720"/>
          <w:titlePg/>
        </w:sectPr>
      </w:pPr>
    </w:p>
    <w:p w:rsidR="00022B47" w:rsidRDefault="00022B47">
      <w:pPr>
        <w:pStyle w:val="Normal45"/>
      </w:pPr>
    </w:p>
    <w:p w:rsidR="00022B47" w:rsidRDefault="00000000">
      <w:pPr>
        <w:pStyle w:val="Heading144"/>
        <w:keepNext w:val="0"/>
        <w:widowControl w:val="0"/>
        <w:spacing w:after="200" w:line="340" w:lineRule="atLeast"/>
        <w:jc w:val="center"/>
      </w:pPr>
      <w:r>
        <w:rPr>
          <w:rFonts w:eastAsia="Arial"/>
          <w:color w:val="000000"/>
          <w:sz w:val="28"/>
        </w:rPr>
        <w:t>Hale v. Harrison Cty. Bd. of Supervisors</w:t>
      </w:r>
    </w:p>
    <w:p w:rsidR="00022B47" w:rsidRDefault="00000000">
      <w:pPr>
        <w:pStyle w:val="Normal45"/>
        <w:widowControl w:val="0"/>
        <w:spacing w:before="120" w:line="260" w:lineRule="atLeast"/>
        <w:jc w:val="center"/>
      </w:pPr>
      <w:r>
        <w:rPr>
          <w:rFonts w:ascii="Arial" w:eastAsia="Arial" w:hAnsi="Arial" w:cs="Arial"/>
          <w:color w:val="000000"/>
          <w:sz w:val="20"/>
        </w:rPr>
        <w:t>United States Court of Appeals for the Fifth Circuit</w:t>
      </w:r>
    </w:p>
    <w:p w:rsidR="00022B47" w:rsidRDefault="00000000">
      <w:pPr>
        <w:pStyle w:val="Normal45"/>
        <w:widowControl w:val="0"/>
        <w:spacing w:before="120" w:line="260" w:lineRule="atLeast"/>
        <w:jc w:val="center"/>
      </w:pPr>
      <w:r>
        <w:rPr>
          <w:rFonts w:ascii="Arial" w:eastAsia="Arial" w:hAnsi="Arial" w:cs="Arial"/>
          <w:color w:val="000000"/>
          <w:sz w:val="20"/>
        </w:rPr>
        <w:t>August 9, 2021, Filed</w:t>
      </w:r>
    </w:p>
    <w:p w:rsidR="00022B47" w:rsidRDefault="00000000">
      <w:pPr>
        <w:pStyle w:val="Normal45"/>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17-60246</w:t>
      </w:r>
    </w:p>
    <w:p w:rsidR="00022B47" w:rsidRDefault="00022B47">
      <w:pPr>
        <w:pStyle w:val="Normal45"/>
        <w:widowControl w:val="0"/>
        <w:spacing w:line="240" w:lineRule="atLeast"/>
        <w:jc w:val="both"/>
      </w:pPr>
      <w:bookmarkStart w:id="6943" w:name="Bookmark_46"/>
      <w:bookmarkEnd w:id="6943"/>
    </w:p>
    <w:p w:rsidR="00022B47" w:rsidRDefault="00000000">
      <w:pPr>
        <w:pStyle w:val="Normal45"/>
        <w:widowControl w:val="0"/>
        <w:spacing w:before="200" w:line="240" w:lineRule="atLeast"/>
      </w:pPr>
      <w:bookmarkStart w:id="6944" w:name="Reporter_44"/>
      <w:bookmarkEnd w:id="6944"/>
      <w:r>
        <w:rPr>
          <w:rFonts w:ascii="Arial" w:eastAsia="Arial" w:hAnsi="Arial" w:cs="Arial"/>
          <w:b/>
          <w:color w:val="000000"/>
          <w:sz w:val="18"/>
        </w:rPr>
        <w:t>Reporter</w:t>
      </w:r>
    </w:p>
    <w:p w:rsidR="00022B47" w:rsidRDefault="00000000">
      <w:pPr>
        <w:pStyle w:val="Normal45"/>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8 F.4th 399 *; 2021 U.S. App. LEXIS 23601 **</w:t>
      </w:r>
    </w:p>
    <w:p w:rsidR="00022B47" w:rsidRDefault="00000000">
      <w:pPr>
        <w:pStyle w:val="Normal45"/>
        <w:widowControl w:val="0"/>
        <w:spacing w:before="120" w:line="260" w:lineRule="atLeast"/>
      </w:pPr>
      <w:r>
        <w:rPr>
          <w:rFonts w:ascii="Arial" w:eastAsia="Arial" w:hAnsi="Arial" w:cs="Arial"/>
          <w:color w:val="000000"/>
          <w:sz w:val="20"/>
        </w:rPr>
        <w:t>JOHN HALE, Plaintiff—Appellant, versus HARRISON COUNTY BOARD OF SUPERVISORS; UNKNOWN WASHINGTON, MS. - LEGAL ASSISTANCE - IN OFFICIAL AND INDIVIDUAL CAPACITY; UNKNOWN COULTER, DOCTOR; NURSE TARA KUTSCHERENKO; JACLYN SIMMONS MEYER; UNKNOWN SANDERSON, WARDEN; CAPTAIN UNKNOWN LEGE, ASSISTANT WARDEN; SHERIFF UNKNOWN BRISOLARA; DOCTOR JEFFERY KNIGHT; A. JOHNSON, DEPUTY; UNKNOWN WILSON, DEPUTY; SERGEANT UNKNOWN TARPLEY; SERGEANT UNKNOWN FRENCH, Defendants—Appellees.</w:t>
      </w:r>
    </w:p>
    <w:p w:rsidR="00022B47" w:rsidRDefault="00000000">
      <w:pPr>
        <w:pStyle w:val="Normal45"/>
        <w:widowControl w:val="0"/>
        <w:spacing w:before="240" w:line="260" w:lineRule="atLeast"/>
        <w:jc w:val="both"/>
      </w:pPr>
      <w:bookmarkStart w:id="6945" w:name="Prior_History_44"/>
      <w:bookmarkEnd w:id="6945"/>
      <w:r>
        <w:rPr>
          <w:rFonts w:ascii="Arial" w:eastAsia="Arial" w:hAnsi="Arial" w:cs="Arial"/>
          <w:b/>
          <w:color w:val="000000"/>
          <w:sz w:val="20"/>
        </w:rPr>
        <w:t>Prior History:</w:t>
      </w:r>
      <w:r>
        <w:rPr>
          <w:rFonts w:ascii="Arial" w:eastAsia="Arial" w:hAnsi="Arial" w:cs="Arial"/>
          <w:color w:val="000000"/>
          <w:sz w:val="20"/>
        </w:rPr>
        <w:t> </w:t>
      </w:r>
      <w:bookmarkStart w:id="6946" w:name="Bookmark_para_1_44"/>
      <w:bookmarkEnd w:id="6946"/>
      <w:r>
        <w:rPr>
          <w:rFonts w:ascii="Arial" w:eastAsia="Arial" w:hAnsi="Arial" w:cs="Arial"/>
          <w:color w:val="000000"/>
          <w:sz w:val="20"/>
        </w:rPr>
        <w:t> [**1] Appeal from the United States District Court for the Southern District of Mississippi. USDC No. 1:14-cv-61.</w:t>
      </w:r>
    </w:p>
    <w:p w:rsidR="00022B47" w:rsidRDefault="00000000">
      <w:pPr>
        <w:pStyle w:val="Normal45"/>
        <w:widowControl w:val="0"/>
        <w:spacing w:before="120" w:line="260" w:lineRule="atLeast"/>
      </w:pPr>
      <w:r>
        <w:rPr>
          <w:rFonts w:ascii="Arial" w:eastAsia="Arial" w:hAnsi="Arial" w:cs="Arial"/>
          <w:color w:val="000000"/>
          <w:sz w:val="20"/>
        </w:rPr>
        <w:t>Hale v. Harrison County Bd. of Supervisors, 2014 U.S. Dist. LEXIS 182311 (S.D. Miss., July 8, 2014)</w:t>
      </w:r>
    </w:p>
    <w:p w:rsidR="00022B47" w:rsidRDefault="00000000">
      <w:pPr>
        <w:pStyle w:val="Normal45"/>
        <w:widowControl w:val="0"/>
        <w:spacing w:before="240" w:line="260" w:lineRule="atLeast"/>
        <w:jc w:val="both"/>
      </w:pPr>
      <w:bookmarkStart w:id="6947" w:name="Disposition_13"/>
      <w:bookmarkEnd w:id="6947"/>
      <w:r>
        <w:rPr>
          <w:rFonts w:ascii="Arial" w:eastAsia="Arial" w:hAnsi="Arial" w:cs="Arial"/>
          <w:b/>
          <w:color w:val="000000"/>
          <w:sz w:val="20"/>
        </w:rPr>
        <w:t>Disposition:</w:t>
      </w:r>
      <w:r>
        <w:rPr>
          <w:rFonts w:ascii="Arial" w:eastAsia="Arial" w:hAnsi="Arial" w:cs="Arial"/>
          <w:color w:val="000000"/>
          <w:sz w:val="20"/>
        </w:rPr>
        <w:t> </w:t>
      </w:r>
      <w:bookmarkStart w:id="6948" w:name="Bookmark_clspara_4_10"/>
      <w:bookmarkEnd w:id="6948"/>
      <w:r>
        <w:rPr>
          <w:rFonts w:ascii="Arial" w:eastAsia="Arial" w:hAnsi="Arial" w:cs="Arial"/>
          <w:color w:val="000000"/>
          <w:sz w:val="20"/>
        </w:rPr>
        <w:t>STRIKE IMPOSED; APPEAL DISMISSED.</w:t>
      </w:r>
    </w:p>
    <w:p w:rsidR="00022B47" w:rsidRDefault="00000000">
      <w:pPr>
        <w:pStyle w:val="Normal45"/>
        <w:widowControl w:val="0"/>
        <w:spacing w:before="240" w:line="260" w:lineRule="atLeast"/>
      </w:pPr>
      <w:bookmarkStart w:id="6949" w:name="Counsel_44"/>
      <w:bookmarkEnd w:id="6949"/>
      <w:r>
        <w:rPr>
          <w:rFonts w:ascii="Arial" w:eastAsia="Arial" w:hAnsi="Arial" w:cs="Arial"/>
          <w:b/>
          <w:color w:val="000000"/>
          <w:sz w:val="20"/>
        </w:rPr>
        <w:t>Counsel:</w:t>
      </w:r>
      <w:r>
        <w:rPr>
          <w:rFonts w:ascii="Arial" w:eastAsia="Arial" w:hAnsi="Arial" w:cs="Arial"/>
          <w:color w:val="000000"/>
          <w:sz w:val="20"/>
        </w:rPr>
        <w:t> John Hale, Plaintiff - Appellant, Pro se, Meridian, MS.</w:t>
      </w:r>
    </w:p>
    <w:p w:rsidR="00022B47" w:rsidRDefault="00000000">
      <w:pPr>
        <w:pStyle w:val="Normal45"/>
        <w:widowControl w:val="0"/>
        <w:spacing w:before="120" w:line="260" w:lineRule="atLeast"/>
      </w:pPr>
      <w:r>
        <w:rPr>
          <w:rFonts w:ascii="Arial" w:eastAsia="Arial" w:hAnsi="Arial" w:cs="Arial"/>
          <w:color w:val="000000"/>
          <w:sz w:val="20"/>
        </w:rPr>
        <w:t>For Harrison County Board of Supervisors, Defendant - Appellee: Tim C. Holleman, Esq., Patrick Taylor Guild, Boyce Holleman &amp; Associates, Gulfport, MS.</w:t>
      </w:r>
    </w:p>
    <w:p w:rsidR="00022B47" w:rsidRDefault="00000000">
      <w:pPr>
        <w:pStyle w:val="Normal45"/>
        <w:widowControl w:val="0"/>
        <w:spacing w:before="120" w:line="260" w:lineRule="atLeast"/>
      </w:pPr>
      <w:r>
        <w:rPr>
          <w:rFonts w:ascii="Arial" w:eastAsia="Arial" w:hAnsi="Arial" w:cs="Arial"/>
          <w:color w:val="000000"/>
          <w:sz w:val="20"/>
        </w:rPr>
        <w:t>For Unknown Washington, Ms. - Legal Assistance - In Official and Individual Capacity, Unknown Sanderson, Warden, Captain Unknown Lege, Assistant Warden, Sheriff Unknown Brisolara, A. Johnson, Deputy, Unknown Wilson, Deputy, Sergeant Unknown Tarpley, Sergeant Unknown French, Defendants - Appellees: Haley Necaise Broom, Esq., Shannon Ladner Ozerden, Dukes, Dukes, Keating &amp; Faneca, P.A., Gulfport, MS.</w:t>
      </w:r>
    </w:p>
    <w:p w:rsidR="00022B47" w:rsidRDefault="00000000">
      <w:pPr>
        <w:pStyle w:val="Normal45"/>
        <w:widowControl w:val="0"/>
        <w:spacing w:before="120" w:line="260" w:lineRule="atLeast"/>
      </w:pPr>
      <w:r>
        <w:rPr>
          <w:rFonts w:ascii="Arial" w:eastAsia="Arial" w:hAnsi="Arial" w:cs="Arial"/>
          <w:color w:val="000000"/>
          <w:sz w:val="20"/>
        </w:rPr>
        <w:t>For Unknown Coulter, Doctor, Nurse Tara Kutscherenko, Jaclyn Simmons Meyer, Doctor Jeffery Knight, Defendants - Appellees: R. Mark Hodges, Esq., Charles Edward Cowan, Wise Carter Child &amp; Caraway, P.A., Jackson, MS.</w:t>
      </w:r>
    </w:p>
    <w:p w:rsidR="00022B47" w:rsidRDefault="00000000">
      <w:pPr>
        <w:pStyle w:val="Normal45"/>
        <w:widowControl w:val="0"/>
        <w:spacing w:before="240" w:line="260" w:lineRule="atLeast"/>
      </w:pPr>
      <w:bookmarkStart w:id="6950" w:name="Judges_44"/>
      <w:bookmarkEnd w:id="6950"/>
      <w:r>
        <w:rPr>
          <w:rFonts w:ascii="Arial" w:eastAsia="Arial" w:hAnsi="Arial" w:cs="Arial"/>
          <w:b/>
          <w:color w:val="000000"/>
          <w:sz w:val="20"/>
        </w:rPr>
        <w:t>Judges:</w:t>
      </w:r>
      <w:r>
        <w:rPr>
          <w:rFonts w:ascii="Arial" w:eastAsia="Arial" w:hAnsi="Arial" w:cs="Arial"/>
          <w:color w:val="000000"/>
          <w:sz w:val="20"/>
        </w:rPr>
        <w:t> Before DAVIS, HAYNES, and OLDHAM, Circuit Judges.</w:t>
      </w:r>
    </w:p>
    <w:p w:rsidR="00022B47" w:rsidRDefault="00000000">
      <w:pPr>
        <w:pStyle w:val="Normal45"/>
        <w:keepNext/>
        <w:widowControl w:val="0"/>
        <w:spacing w:before="240" w:line="340" w:lineRule="atLeast"/>
      </w:pPr>
      <w:bookmarkStart w:id="6951" w:name="Opinion_44"/>
      <w:bookmarkEnd w:id="6951"/>
      <w:r>
        <w:rPr>
          <w:rFonts w:ascii="Arial" w:eastAsia="Arial" w:hAnsi="Arial" w:cs="Arial"/>
          <w:b/>
          <w:color w:val="000000"/>
          <w:sz w:val="28"/>
        </w:rPr>
        <w:t>Opinion</w:t>
      </w:r>
    </w:p>
    <w:p w:rsidR="00022B47" w:rsidRDefault="0025213E">
      <w:pPr>
        <w:pStyle w:val="Normal45"/>
        <w:spacing w:line="60" w:lineRule="exact"/>
      </w:pPr>
      <w:r>
        <w:rPr>
          <w:noProof/>
        </w:rPr>
        <mc:AlternateContent>
          <mc:Choice Requires="wps">
            <w:drawing>
              <wp:anchor distT="0" distB="0" distL="114300" distR="114300" simplePos="0" relativeHeight="251754496"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732854130"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CDDCD9" id="Line 96"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45"/>
      </w:pPr>
    </w:p>
    <w:p w:rsidR="00022B47" w:rsidRDefault="00000000">
      <w:pPr>
        <w:pStyle w:val="Normal45"/>
        <w:widowControl w:val="0"/>
        <w:spacing w:before="200" w:line="260" w:lineRule="atLeast"/>
        <w:jc w:val="both"/>
      </w:pPr>
      <w:bookmarkStart w:id="6952" w:name="Bookmark_para_2_44"/>
      <w:bookmarkEnd w:id="6952"/>
      <w:r>
        <w:rPr>
          <w:rFonts w:ascii="Arial" w:eastAsia="Arial" w:hAnsi="Arial" w:cs="Arial"/>
          <w:color w:val="000000"/>
          <w:sz w:val="20"/>
        </w:rPr>
        <w:t xml:space="preserve"> [*401]  </w:t>
      </w:r>
      <w:r>
        <w:rPr>
          <w:rFonts w:ascii="Arial" w:eastAsia="Arial" w:hAnsi="Arial" w:cs="Arial"/>
          <w:smallCaps/>
          <w:color w:val="000000"/>
          <w:sz w:val="20"/>
        </w:rPr>
        <w:t>Per Curiam</w:t>
      </w:r>
      <w:r>
        <w:rPr>
          <w:rFonts w:ascii="Arial" w:eastAsia="Arial" w:hAnsi="Arial" w:cs="Arial"/>
          <w:color w:val="000000"/>
          <w:sz w:val="20"/>
        </w:rPr>
        <w:t>:</w:t>
      </w:r>
    </w:p>
    <w:p w:rsidR="00022B47" w:rsidRDefault="00000000">
      <w:pPr>
        <w:pStyle w:val="Normal45"/>
        <w:widowControl w:val="0"/>
        <w:spacing w:before="200" w:line="260" w:lineRule="atLeast"/>
        <w:jc w:val="both"/>
      </w:pPr>
      <w:bookmarkStart w:id="6953" w:name="Bookmark_para_3_44"/>
      <w:bookmarkEnd w:id="6953"/>
      <w:r>
        <w:rPr>
          <w:rFonts w:ascii="Arial" w:eastAsia="Arial" w:hAnsi="Arial" w:cs="Arial"/>
          <w:color w:val="000000"/>
          <w:sz w:val="20"/>
        </w:rPr>
        <w:t>Plaintiff John Hale is a vexatious litigant. He admits that he files federal lawsuits against his custodians as a means of intimidating them to comply with his demands for things like [**2]  antacid and high-protein food. This is his seventh of at least twelve such complaints. Confronting his arguments, the district court entered summary judgment in favor of the defendants and imposed a third strike under the Prison Litigation Reform Act ("PLRA"). We dismiss the appeal and bar Hale from filing additional abusive suits.</w:t>
      </w:r>
    </w:p>
    <w:p w:rsidR="00022B47" w:rsidRDefault="00000000">
      <w:pPr>
        <w:pStyle w:val="Normal45"/>
        <w:widowControl w:val="0"/>
        <w:spacing w:before="120" w:line="260" w:lineRule="atLeast"/>
      </w:pPr>
      <w:r>
        <w:rPr>
          <w:rFonts w:ascii="Arial" w:eastAsia="Arial" w:hAnsi="Arial" w:cs="Arial"/>
          <w:color w:val="000000"/>
          <w:sz w:val="20"/>
        </w:rPr>
        <w:t>I.</w:t>
      </w:r>
    </w:p>
    <w:p w:rsidR="00022B47" w:rsidRDefault="00000000">
      <w:pPr>
        <w:pStyle w:val="Normal45"/>
        <w:widowControl w:val="0"/>
        <w:spacing w:before="120" w:line="260" w:lineRule="atLeast"/>
      </w:pPr>
      <w:r>
        <w:rPr>
          <w:rFonts w:ascii="Arial" w:eastAsia="Arial" w:hAnsi="Arial" w:cs="Arial"/>
          <w:color w:val="000000"/>
          <w:sz w:val="20"/>
        </w:rPr>
        <w:t>A.</w:t>
      </w:r>
    </w:p>
    <w:p w:rsidR="00022B47" w:rsidRDefault="00000000">
      <w:pPr>
        <w:pStyle w:val="Normal45"/>
        <w:widowControl w:val="0"/>
        <w:spacing w:before="200" w:line="260" w:lineRule="atLeast"/>
        <w:jc w:val="both"/>
      </w:pPr>
      <w:bookmarkStart w:id="6954" w:name="Bookmark_para_4_44"/>
      <w:bookmarkEnd w:id="6954"/>
      <w:r>
        <w:rPr>
          <w:rFonts w:ascii="Arial" w:eastAsia="Arial" w:hAnsi="Arial" w:cs="Arial"/>
          <w:color w:val="000000"/>
          <w:sz w:val="20"/>
        </w:rPr>
        <w:t>Since 2004, Hale has filed at least twelve federal lawsuits. Here is a brief summary of his litigation history:</w:t>
      </w:r>
    </w:p>
    <w:p w:rsidR="00022B47" w:rsidRDefault="00000000">
      <w:pPr>
        <w:pStyle w:val="Normal45"/>
        <w:widowControl w:val="0"/>
        <w:spacing w:before="200" w:line="260" w:lineRule="atLeast"/>
        <w:jc w:val="both"/>
      </w:pPr>
      <w:bookmarkStart w:id="6955" w:name="Bookmark_para_5_44"/>
      <w:bookmarkEnd w:id="6955"/>
      <w:r>
        <w:rPr>
          <w:rFonts w:ascii="Arial" w:eastAsia="Arial" w:hAnsi="Arial" w:cs="Arial"/>
          <w:color w:val="000000"/>
          <w:sz w:val="20"/>
        </w:rPr>
        <w:t xml:space="preserve">1. In his first suit, Hale claimed </w:t>
      </w:r>
      <w:r>
        <w:rPr>
          <w:rFonts w:ascii="Arial" w:eastAsia="Arial" w:hAnsi="Arial" w:cs="Arial"/>
          <w:i/>
          <w:color w:val="000000"/>
          <w:sz w:val="20"/>
        </w:rPr>
        <w:t>inter alia</w:t>
      </w:r>
      <w:r>
        <w:rPr>
          <w:rFonts w:ascii="Arial" w:eastAsia="Arial" w:hAnsi="Arial" w:cs="Arial"/>
          <w:color w:val="000000"/>
          <w:sz w:val="20"/>
        </w:rPr>
        <w:t xml:space="preserve"> that prison medical staff were deliberately indifferent when they denied him his preferred medication. </w:t>
      </w:r>
      <w:r>
        <w:rPr>
          <w:rFonts w:ascii="Arial" w:eastAsia="Arial" w:hAnsi="Arial" w:cs="Arial"/>
          <w:i/>
          <w:color w:val="000000"/>
          <w:sz w:val="20"/>
        </w:rPr>
        <w:t>See Hale v. Harrison Cnty. Bd. of Supervisors</w:t>
      </w:r>
      <w:r>
        <w:rPr>
          <w:rFonts w:ascii="Arial" w:eastAsia="Arial" w:hAnsi="Arial" w:cs="Arial"/>
          <w:color w:val="000000"/>
          <w:sz w:val="20"/>
        </w:rPr>
        <w:t xml:space="preserve">, No. 1:03-cv-840, ECF No. 8 (S.D. Miss. Jan. 8, 2004). The district court dismissed those claims with prejudice, </w:t>
      </w:r>
      <w:r>
        <w:rPr>
          <w:rFonts w:ascii="Arial" w:eastAsia="Arial" w:hAnsi="Arial" w:cs="Arial"/>
          <w:i/>
          <w:color w:val="000000"/>
          <w:sz w:val="20"/>
        </w:rPr>
        <w:t>see id.</w:t>
      </w:r>
      <w:r>
        <w:rPr>
          <w:rFonts w:ascii="Arial" w:eastAsia="Arial" w:hAnsi="Arial" w:cs="Arial"/>
          <w:color w:val="000000"/>
          <w:sz w:val="20"/>
        </w:rPr>
        <w:t xml:space="preserve">, ECF No. 126 (Nov. 4, 2005), and the parties settled all other claims, </w:t>
      </w:r>
      <w:r>
        <w:rPr>
          <w:rFonts w:ascii="Arial" w:eastAsia="Arial" w:hAnsi="Arial" w:cs="Arial"/>
          <w:i/>
          <w:color w:val="000000"/>
          <w:sz w:val="20"/>
        </w:rPr>
        <w:t>see id.</w:t>
      </w:r>
      <w:r>
        <w:rPr>
          <w:rFonts w:ascii="Arial" w:eastAsia="Arial" w:hAnsi="Arial" w:cs="Arial"/>
          <w:color w:val="000000"/>
          <w:sz w:val="20"/>
        </w:rPr>
        <w:t>, ECF No. 257 (April 28, 2008).</w:t>
      </w:r>
    </w:p>
    <w:p w:rsidR="00022B47" w:rsidRDefault="00000000">
      <w:pPr>
        <w:pStyle w:val="Normal45"/>
        <w:widowControl w:val="0"/>
        <w:spacing w:before="200" w:line="260" w:lineRule="atLeast"/>
        <w:jc w:val="both"/>
      </w:pPr>
      <w:bookmarkStart w:id="6956" w:name="Bookmark_para_6_44"/>
      <w:bookmarkEnd w:id="6956"/>
      <w:r>
        <w:rPr>
          <w:rFonts w:ascii="Arial" w:eastAsia="Arial" w:hAnsi="Arial" w:cs="Arial"/>
          <w:color w:val="000000"/>
          <w:sz w:val="20"/>
        </w:rPr>
        <w:t xml:space="preserve">2. Hale's second suit alleged similar violations of federal law, but he voluntarily dismissed it. </w:t>
      </w:r>
      <w:r>
        <w:rPr>
          <w:rFonts w:ascii="Arial" w:eastAsia="Arial" w:hAnsi="Arial" w:cs="Arial"/>
          <w:i/>
          <w:color w:val="000000"/>
          <w:sz w:val="20"/>
        </w:rPr>
        <w:t>See Hale v. Rios</w:t>
      </w:r>
      <w:r>
        <w:rPr>
          <w:rFonts w:ascii="Arial" w:eastAsia="Arial" w:hAnsi="Arial" w:cs="Arial"/>
          <w:color w:val="000000"/>
          <w:sz w:val="20"/>
        </w:rPr>
        <w:t>, No. 1:04-cv-461, ECF No. 4 (S.D. Miss. April 20, 2004).</w:t>
      </w:r>
    </w:p>
    <w:p w:rsidR="00022B47" w:rsidRDefault="00000000">
      <w:pPr>
        <w:pStyle w:val="Normal45"/>
        <w:widowControl w:val="0"/>
        <w:spacing w:before="200" w:line="260" w:lineRule="atLeast"/>
        <w:jc w:val="both"/>
      </w:pPr>
      <w:bookmarkStart w:id="6957" w:name="Bookmark_para_7_44"/>
      <w:bookmarkEnd w:id="6957"/>
      <w:r>
        <w:rPr>
          <w:rFonts w:ascii="Arial" w:eastAsia="Arial" w:hAnsi="Arial" w:cs="Arial"/>
          <w:color w:val="000000"/>
          <w:sz w:val="20"/>
        </w:rPr>
        <w:t xml:space="preserve"> [*402]  3. </w:t>
      </w:r>
      <w:bookmarkStart w:id="6958" w:name="Bookmark_I63C2R2K2N1R6X0020000400"/>
      <w:bookmarkEnd w:id="6958"/>
      <w:r>
        <w:rPr>
          <w:rFonts w:ascii="Arial" w:eastAsia="Arial" w:hAnsi="Arial" w:cs="Arial"/>
          <w:color w:val="000000"/>
          <w:sz w:val="20"/>
        </w:rPr>
        <w:t xml:space="preserve">In his third suit, Hale alleged inadequate medical treatment, denial of a humane diet, and violations of the Americans with Disabilities Act ("ADA"). </w:t>
      </w:r>
      <w:r>
        <w:rPr>
          <w:rFonts w:ascii="Arial" w:eastAsia="Arial" w:hAnsi="Arial" w:cs="Arial"/>
          <w:i/>
          <w:color w:val="000000"/>
          <w:sz w:val="20"/>
        </w:rPr>
        <w:t>See Hale v. Mississippi</w:t>
      </w:r>
      <w:r>
        <w:rPr>
          <w:rFonts w:ascii="Arial" w:eastAsia="Arial" w:hAnsi="Arial" w:cs="Arial"/>
          <w:color w:val="000000"/>
          <w:sz w:val="20"/>
        </w:rPr>
        <w:t xml:space="preserve">, No. 2:06-cv-245, ECF No. 1 (S.D. Miss. Oct. 24, 2006). [**3]  The case zig-zagged between the district court and the Fifth Circuit, </w:t>
      </w:r>
      <w:r>
        <w:rPr>
          <w:rFonts w:ascii="Arial" w:eastAsia="Arial" w:hAnsi="Arial" w:cs="Arial"/>
          <w:i/>
          <w:color w:val="000000"/>
          <w:sz w:val="20"/>
        </w:rPr>
        <w:t xml:space="preserve">see </w:t>
      </w:r>
      <w:bookmarkStart w:id="6959" w:name="Bookmark_I63C2R2K2N1R6X0010000400"/>
      <w:bookmarkEnd w:id="6959"/>
      <w:r>
        <w:rPr>
          <w:rFonts w:ascii="Arial" w:eastAsia="Arial" w:hAnsi="Arial" w:cs="Arial"/>
          <w:i/>
          <w:color w:val="000000"/>
          <w:sz w:val="20"/>
        </w:rPr>
        <w:t>Hale v. King</w:t>
      </w:r>
      <w:r>
        <w:rPr>
          <w:rFonts w:ascii="Arial" w:eastAsia="Arial" w:hAnsi="Arial" w:cs="Arial"/>
          <w:color w:val="000000"/>
          <w:sz w:val="20"/>
        </w:rPr>
        <w:t xml:space="preserve">, 642 F.3d 492 (5th Cir. 2011) (per curiam), but the district court eventually dismissed all of Hale's claims on the merits, </w:t>
      </w:r>
      <w:r>
        <w:rPr>
          <w:rFonts w:ascii="Arial" w:eastAsia="Arial" w:hAnsi="Arial" w:cs="Arial"/>
          <w:i/>
          <w:color w:val="000000"/>
          <w:sz w:val="20"/>
        </w:rPr>
        <w:t>see</w:t>
      </w:r>
      <w:r>
        <w:rPr>
          <w:rFonts w:ascii="Arial" w:eastAsia="Arial" w:hAnsi="Arial" w:cs="Arial"/>
          <w:color w:val="000000"/>
          <w:sz w:val="20"/>
        </w:rPr>
        <w:t xml:space="preserve"> No. 2:06-cv-245, ECF No. 160 (Jan. 15, 2013).</w:t>
      </w:r>
    </w:p>
    <w:p w:rsidR="00022B47" w:rsidRDefault="00000000">
      <w:pPr>
        <w:pStyle w:val="Normal45"/>
        <w:widowControl w:val="0"/>
        <w:spacing w:before="200" w:line="260" w:lineRule="atLeast"/>
        <w:jc w:val="both"/>
      </w:pPr>
      <w:bookmarkStart w:id="6960" w:name="Bookmark_para_8_43"/>
      <w:bookmarkEnd w:id="6960"/>
      <w:r>
        <w:rPr>
          <w:rFonts w:ascii="Arial" w:eastAsia="Arial" w:hAnsi="Arial" w:cs="Arial"/>
          <w:color w:val="000000"/>
          <w:sz w:val="20"/>
        </w:rPr>
        <w:t xml:space="preserve">4. While his third suit was pending, Hale filed his fourth lawsuit claiming prison officials violated the First Amendment by interfering with his right to access the court. </w:t>
      </w:r>
      <w:r>
        <w:rPr>
          <w:rFonts w:ascii="Arial" w:eastAsia="Arial" w:hAnsi="Arial" w:cs="Arial"/>
          <w:i/>
          <w:color w:val="000000"/>
          <w:sz w:val="20"/>
        </w:rPr>
        <w:t>See Hale v. Harrison Cnty. Bd. of Supervisors</w:t>
      </w:r>
      <w:r>
        <w:rPr>
          <w:rFonts w:ascii="Arial" w:eastAsia="Arial" w:hAnsi="Arial" w:cs="Arial"/>
          <w:color w:val="000000"/>
          <w:sz w:val="20"/>
        </w:rPr>
        <w:t xml:space="preserve">, No. 1:07-cv-956, ECF No. 1 (S.D. Miss. July 20, 2007). The parties eventually settled. </w:t>
      </w:r>
      <w:r>
        <w:rPr>
          <w:rFonts w:ascii="Arial" w:eastAsia="Arial" w:hAnsi="Arial" w:cs="Arial"/>
          <w:i/>
          <w:color w:val="000000"/>
          <w:sz w:val="20"/>
        </w:rPr>
        <w:t>See id.</w:t>
      </w:r>
      <w:r>
        <w:rPr>
          <w:rFonts w:ascii="Arial" w:eastAsia="Arial" w:hAnsi="Arial" w:cs="Arial"/>
          <w:color w:val="000000"/>
          <w:sz w:val="20"/>
        </w:rPr>
        <w:t>, ECF No. 70 (April 28, 2008).</w:t>
      </w:r>
    </w:p>
    <w:p w:rsidR="00022B47" w:rsidRDefault="00000000">
      <w:pPr>
        <w:pStyle w:val="Normal45"/>
        <w:widowControl w:val="0"/>
        <w:spacing w:before="200" w:line="260" w:lineRule="atLeast"/>
        <w:jc w:val="both"/>
      </w:pPr>
      <w:bookmarkStart w:id="6961" w:name="Bookmark_para_9_42"/>
      <w:bookmarkEnd w:id="6961"/>
      <w:r>
        <w:rPr>
          <w:rFonts w:ascii="Arial" w:eastAsia="Arial" w:hAnsi="Arial" w:cs="Arial"/>
          <w:color w:val="000000"/>
          <w:sz w:val="20"/>
        </w:rPr>
        <w:t xml:space="preserve">5. Around the same time, Hale filed a fifth suit alleging that prison officials retaliated against him for filing his third lawsuit. </w:t>
      </w:r>
      <w:r>
        <w:rPr>
          <w:rFonts w:ascii="Arial" w:eastAsia="Arial" w:hAnsi="Arial" w:cs="Arial"/>
          <w:i/>
          <w:color w:val="000000"/>
          <w:sz w:val="20"/>
        </w:rPr>
        <w:t>Hale v. Harrison Cnty. Bd. of Supervisors</w:t>
      </w:r>
      <w:r>
        <w:rPr>
          <w:rFonts w:ascii="Arial" w:eastAsia="Arial" w:hAnsi="Arial" w:cs="Arial"/>
          <w:color w:val="000000"/>
          <w:sz w:val="20"/>
        </w:rPr>
        <w:t xml:space="preserve">, No. 1:08-cv-1385, ECF No. 1 (S.D. Miss. Nov. 6, 2008). The district court dismissed that case too. </w:t>
      </w:r>
      <w:r>
        <w:rPr>
          <w:rFonts w:ascii="Arial" w:eastAsia="Arial" w:hAnsi="Arial" w:cs="Arial"/>
          <w:i/>
          <w:color w:val="000000"/>
          <w:sz w:val="20"/>
        </w:rPr>
        <w:t>See id.</w:t>
      </w:r>
      <w:r>
        <w:rPr>
          <w:rFonts w:ascii="Arial" w:eastAsia="Arial" w:hAnsi="Arial" w:cs="Arial"/>
          <w:color w:val="000000"/>
          <w:sz w:val="20"/>
        </w:rPr>
        <w:t>, ECF No. 126 (Feb. 10, 2011).</w:t>
      </w:r>
    </w:p>
    <w:p w:rsidR="00022B47" w:rsidRDefault="00000000">
      <w:pPr>
        <w:pStyle w:val="Normal45"/>
        <w:widowControl w:val="0"/>
        <w:spacing w:before="200" w:line="260" w:lineRule="atLeast"/>
        <w:jc w:val="both"/>
      </w:pPr>
      <w:bookmarkStart w:id="6962" w:name="Bookmark_para_10_41"/>
      <w:bookmarkEnd w:id="6962"/>
      <w:r>
        <w:rPr>
          <w:rFonts w:ascii="Arial" w:eastAsia="Arial" w:hAnsi="Arial" w:cs="Arial"/>
          <w:color w:val="000000"/>
          <w:sz w:val="20"/>
        </w:rPr>
        <w:t xml:space="preserve">6. In 2012, he filed his sixth lawsuit claiming the prison violated the ADA by denying him an extra mat for sleeping and a high-protein diet. </w:t>
      </w:r>
      <w:r>
        <w:rPr>
          <w:rFonts w:ascii="Arial" w:eastAsia="Arial" w:hAnsi="Arial" w:cs="Arial"/>
          <w:i/>
          <w:color w:val="000000"/>
          <w:sz w:val="20"/>
        </w:rPr>
        <w:t>See Hale v. Lege</w:t>
      </w:r>
      <w:r>
        <w:rPr>
          <w:rFonts w:ascii="Arial" w:eastAsia="Arial" w:hAnsi="Arial" w:cs="Arial"/>
          <w:color w:val="000000"/>
          <w:sz w:val="20"/>
        </w:rPr>
        <w:t xml:space="preserve">, No. 1:12-cv-130, ECF No. 1 (S.D. Miss. April 25, 2012). The district court again dismissed the case. </w:t>
      </w:r>
      <w:r>
        <w:rPr>
          <w:rFonts w:ascii="Arial" w:eastAsia="Arial" w:hAnsi="Arial" w:cs="Arial"/>
          <w:i/>
          <w:color w:val="000000"/>
          <w:sz w:val="20"/>
        </w:rPr>
        <w:t>See id.</w:t>
      </w:r>
      <w:r>
        <w:rPr>
          <w:rFonts w:ascii="Arial" w:eastAsia="Arial" w:hAnsi="Arial" w:cs="Arial"/>
          <w:color w:val="000000"/>
          <w:sz w:val="20"/>
        </w:rPr>
        <w:t>, ECF No. 47 (Jan. 9, 2013).</w:t>
      </w:r>
    </w:p>
    <w:p w:rsidR="00022B47" w:rsidRDefault="00000000">
      <w:pPr>
        <w:pStyle w:val="Normal45"/>
        <w:widowControl w:val="0"/>
        <w:spacing w:before="200" w:line="260" w:lineRule="atLeast"/>
        <w:jc w:val="both"/>
      </w:pPr>
      <w:bookmarkStart w:id="6963" w:name="Bookmark_para_11_40"/>
      <w:bookmarkEnd w:id="6963"/>
      <w:r>
        <w:rPr>
          <w:rFonts w:ascii="Arial" w:eastAsia="Arial" w:hAnsi="Arial" w:cs="Arial"/>
          <w:color w:val="000000"/>
          <w:sz w:val="20"/>
        </w:rPr>
        <w:t>7. The instant case is Hale's seventh lawsuit. [**4] </w:t>
      </w:r>
    </w:p>
    <w:p w:rsidR="00022B47" w:rsidRDefault="00000000">
      <w:pPr>
        <w:pStyle w:val="Normal45"/>
        <w:widowControl w:val="0"/>
        <w:spacing w:before="200" w:line="260" w:lineRule="atLeast"/>
        <w:jc w:val="both"/>
      </w:pPr>
      <w:bookmarkStart w:id="6964" w:name="Bookmark_para_12_39"/>
      <w:bookmarkEnd w:id="6964"/>
      <w:r>
        <w:rPr>
          <w:rFonts w:ascii="Arial" w:eastAsia="Arial" w:hAnsi="Arial" w:cs="Arial"/>
          <w:color w:val="000000"/>
          <w:sz w:val="20"/>
        </w:rPr>
        <w:t xml:space="preserve">8. While this case was pending, Hale filed his eighth lawsuit against a physician, a kitchen supervisor, and other staff at the East Mississippi Correctional Facility for an array of alleged constitutional and statutory violations. </w:t>
      </w:r>
      <w:r>
        <w:rPr>
          <w:rFonts w:ascii="Arial" w:eastAsia="Arial" w:hAnsi="Arial" w:cs="Arial"/>
          <w:i/>
          <w:color w:val="000000"/>
          <w:sz w:val="20"/>
        </w:rPr>
        <w:t>See Hale v. Abangan</w:t>
      </w:r>
      <w:r>
        <w:rPr>
          <w:rFonts w:ascii="Arial" w:eastAsia="Arial" w:hAnsi="Arial" w:cs="Arial"/>
          <w:color w:val="000000"/>
          <w:sz w:val="20"/>
        </w:rPr>
        <w:t xml:space="preserve">, No. 3:15-cv-170, ECF No. 1 (S.D. Miss. Mar. 9, 2015). The district court described Hale "an abusive litigant" and dismissed the case with prejudice. </w:t>
      </w:r>
      <w:r>
        <w:rPr>
          <w:rFonts w:ascii="Arial" w:eastAsia="Arial" w:hAnsi="Arial" w:cs="Arial"/>
          <w:i/>
          <w:color w:val="000000"/>
          <w:sz w:val="20"/>
        </w:rPr>
        <w:t>Id.</w:t>
      </w:r>
      <w:r>
        <w:rPr>
          <w:rFonts w:ascii="Arial" w:eastAsia="Arial" w:hAnsi="Arial" w:cs="Arial"/>
          <w:color w:val="000000"/>
          <w:sz w:val="20"/>
        </w:rPr>
        <w:t>, ECF No. 250, at 9 (Jan. 26, 2018).</w:t>
      </w:r>
    </w:p>
    <w:p w:rsidR="00022B47" w:rsidRDefault="00000000">
      <w:pPr>
        <w:pStyle w:val="Normal45"/>
        <w:widowControl w:val="0"/>
        <w:spacing w:before="200" w:line="260" w:lineRule="atLeast"/>
        <w:jc w:val="both"/>
      </w:pPr>
      <w:bookmarkStart w:id="6965" w:name="Bookmark_para_13_39"/>
      <w:bookmarkEnd w:id="6965"/>
      <w:r>
        <w:rPr>
          <w:rFonts w:ascii="Arial" w:eastAsia="Arial" w:hAnsi="Arial" w:cs="Arial"/>
          <w:color w:val="000000"/>
          <w:sz w:val="20"/>
        </w:rPr>
        <w:t xml:space="preserve">9. Hale filed his ninth suit in 2016, alleging that a nurse practitioner retaliated against him for his prior lawsuits by denying him pain treatment. </w:t>
      </w:r>
      <w:r>
        <w:rPr>
          <w:rFonts w:ascii="Arial" w:eastAsia="Arial" w:hAnsi="Arial" w:cs="Arial"/>
          <w:i/>
          <w:color w:val="000000"/>
          <w:sz w:val="20"/>
        </w:rPr>
        <w:t>See Hale v. Smith</w:t>
      </w:r>
      <w:r>
        <w:rPr>
          <w:rFonts w:ascii="Arial" w:eastAsia="Arial" w:hAnsi="Arial" w:cs="Arial"/>
          <w:color w:val="000000"/>
          <w:sz w:val="20"/>
        </w:rPr>
        <w:t xml:space="preserve">, 3:16-cv-105, ECF No. 1 (S.D. Miss. Feb. 11, 2016). Hale voluntarily dismissed that suit shortly after filing. </w:t>
      </w:r>
      <w:r>
        <w:rPr>
          <w:rFonts w:ascii="Arial" w:eastAsia="Arial" w:hAnsi="Arial" w:cs="Arial"/>
          <w:i/>
          <w:color w:val="000000"/>
          <w:sz w:val="20"/>
        </w:rPr>
        <w:t>See id.</w:t>
      </w:r>
      <w:r>
        <w:rPr>
          <w:rFonts w:ascii="Arial" w:eastAsia="Arial" w:hAnsi="Arial" w:cs="Arial"/>
          <w:color w:val="000000"/>
          <w:sz w:val="20"/>
        </w:rPr>
        <w:t>, ECF No. 4 (Mar. 21, 2016).</w:t>
      </w:r>
    </w:p>
    <w:p w:rsidR="00022B47" w:rsidRDefault="00000000">
      <w:pPr>
        <w:pStyle w:val="Normal45"/>
        <w:widowControl w:val="0"/>
        <w:spacing w:before="200" w:line="260" w:lineRule="atLeast"/>
        <w:jc w:val="both"/>
      </w:pPr>
      <w:bookmarkStart w:id="6966" w:name="Bookmark_para_14_39"/>
      <w:bookmarkEnd w:id="6966"/>
      <w:r>
        <w:rPr>
          <w:rFonts w:ascii="Arial" w:eastAsia="Arial" w:hAnsi="Arial" w:cs="Arial"/>
          <w:color w:val="000000"/>
          <w:sz w:val="20"/>
        </w:rPr>
        <w:t xml:space="preserve">10. Hale then filed his tenth suit against medical providers for their refusal to give him his preferred narcotic. </w:t>
      </w:r>
      <w:r>
        <w:rPr>
          <w:rFonts w:ascii="Arial" w:eastAsia="Arial" w:hAnsi="Arial" w:cs="Arial"/>
          <w:i/>
          <w:color w:val="000000"/>
          <w:sz w:val="20"/>
        </w:rPr>
        <w:t>See Hale v. Hopson</w:t>
      </w:r>
      <w:r>
        <w:rPr>
          <w:rFonts w:ascii="Arial" w:eastAsia="Arial" w:hAnsi="Arial" w:cs="Arial"/>
          <w:color w:val="000000"/>
          <w:sz w:val="20"/>
        </w:rPr>
        <w:t xml:space="preserve">, 3:16-cv-772, ECF. No. 1 (S.D. Miss. Oct. 3, 2016). That case, too, was voluntarily dismissed. </w:t>
      </w:r>
      <w:r>
        <w:rPr>
          <w:rFonts w:ascii="Arial" w:eastAsia="Arial" w:hAnsi="Arial" w:cs="Arial"/>
          <w:i/>
          <w:color w:val="000000"/>
          <w:sz w:val="20"/>
        </w:rPr>
        <w:t>See id.</w:t>
      </w:r>
      <w:r>
        <w:rPr>
          <w:rFonts w:ascii="Arial" w:eastAsia="Arial" w:hAnsi="Arial" w:cs="Arial"/>
          <w:color w:val="000000"/>
          <w:sz w:val="20"/>
        </w:rPr>
        <w:t>, ECF No. 11 (Mar. 2, 2017).</w:t>
      </w:r>
    </w:p>
    <w:p w:rsidR="00022B47" w:rsidRDefault="00000000">
      <w:pPr>
        <w:pStyle w:val="Normal45"/>
        <w:widowControl w:val="0"/>
        <w:spacing w:before="200" w:line="260" w:lineRule="atLeast"/>
        <w:jc w:val="both"/>
      </w:pPr>
      <w:bookmarkStart w:id="6967" w:name="Bookmark_para_15_37"/>
      <w:bookmarkEnd w:id="6967"/>
      <w:r>
        <w:rPr>
          <w:rFonts w:ascii="Arial" w:eastAsia="Arial" w:hAnsi="Arial" w:cs="Arial"/>
          <w:color w:val="000000"/>
          <w:sz w:val="20"/>
        </w:rPr>
        <w:t xml:space="preserve">11. Then Hale filed his eleventh lawsuit against medical providers and corrections officials for alleged violations of the ADA and their refusal to prescribe certain medications to him. [**5]  </w:t>
      </w:r>
      <w:r>
        <w:rPr>
          <w:rFonts w:ascii="Arial" w:eastAsia="Arial" w:hAnsi="Arial" w:cs="Arial"/>
          <w:i/>
          <w:color w:val="000000"/>
          <w:sz w:val="20"/>
        </w:rPr>
        <w:t>See Hale v. Arnold</w:t>
      </w:r>
      <w:r>
        <w:rPr>
          <w:rFonts w:ascii="Arial" w:eastAsia="Arial" w:hAnsi="Arial" w:cs="Arial"/>
          <w:color w:val="000000"/>
          <w:sz w:val="20"/>
        </w:rPr>
        <w:t xml:space="preserve">, No. 3:18-cv-754, ECF. No. 1 (S.D. Miss. Oct. 29, 2018). Hale soon voluntarily dismissed that case too. </w:t>
      </w:r>
      <w:r>
        <w:rPr>
          <w:rFonts w:ascii="Arial" w:eastAsia="Arial" w:hAnsi="Arial" w:cs="Arial"/>
          <w:i/>
          <w:color w:val="000000"/>
          <w:sz w:val="20"/>
        </w:rPr>
        <w:t>See id.</w:t>
      </w:r>
      <w:r>
        <w:rPr>
          <w:rFonts w:ascii="Arial" w:eastAsia="Arial" w:hAnsi="Arial" w:cs="Arial"/>
          <w:color w:val="000000"/>
          <w:sz w:val="20"/>
        </w:rPr>
        <w:t>, ECF No. 10 (April 1, 2019).</w:t>
      </w:r>
    </w:p>
    <w:p w:rsidR="00022B47" w:rsidRDefault="00000000">
      <w:pPr>
        <w:pStyle w:val="Normal45"/>
        <w:widowControl w:val="0"/>
        <w:spacing w:before="200" w:line="260" w:lineRule="atLeast"/>
        <w:jc w:val="both"/>
      </w:pPr>
      <w:bookmarkStart w:id="6968" w:name="Bookmark_para_16_37"/>
      <w:bookmarkEnd w:id="6968"/>
      <w:r>
        <w:rPr>
          <w:rFonts w:ascii="Arial" w:eastAsia="Arial" w:hAnsi="Arial" w:cs="Arial"/>
          <w:color w:val="000000"/>
          <w:sz w:val="20"/>
        </w:rPr>
        <w:t xml:space="preserve">12. Hale filed his most recent case against the prison medical director and other prison staff for failing to provide him with adequate pain medication and other medical accommodations. </w:t>
      </w:r>
      <w:r>
        <w:rPr>
          <w:rFonts w:ascii="Arial" w:eastAsia="Arial" w:hAnsi="Arial" w:cs="Arial"/>
          <w:i/>
          <w:color w:val="000000"/>
          <w:sz w:val="20"/>
        </w:rPr>
        <w:t>See Hale v. Arnold</w:t>
      </w:r>
      <w:r>
        <w:rPr>
          <w:rFonts w:ascii="Arial" w:eastAsia="Arial" w:hAnsi="Arial" w:cs="Arial"/>
          <w:color w:val="000000"/>
          <w:sz w:val="20"/>
        </w:rPr>
        <w:t>, No. 3:19-cv-813, ECF No.1 (S.D.  [*403]  Miss. Nov. 12, 2019). That suit remains pending.</w:t>
      </w:r>
    </w:p>
    <w:p w:rsidR="00022B47" w:rsidRDefault="00000000">
      <w:pPr>
        <w:pStyle w:val="Normal45"/>
        <w:widowControl w:val="0"/>
        <w:spacing w:before="120" w:line="260" w:lineRule="atLeast"/>
      </w:pPr>
      <w:r>
        <w:rPr>
          <w:rFonts w:ascii="Arial" w:eastAsia="Arial" w:hAnsi="Arial" w:cs="Arial"/>
          <w:color w:val="000000"/>
          <w:sz w:val="20"/>
        </w:rPr>
        <w:t>B.</w:t>
      </w:r>
    </w:p>
    <w:p w:rsidR="00022B47" w:rsidRDefault="00000000">
      <w:pPr>
        <w:pStyle w:val="Normal45"/>
        <w:widowControl w:val="0"/>
        <w:spacing w:before="200" w:line="260" w:lineRule="atLeast"/>
        <w:jc w:val="both"/>
      </w:pPr>
      <w:bookmarkStart w:id="6969" w:name="Bookmark_para_17_36"/>
      <w:bookmarkEnd w:id="6969"/>
      <w:r>
        <w:rPr>
          <w:rFonts w:ascii="Arial" w:eastAsia="Arial" w:hAnsi="Arial" w:cs="Arial"/>
          <w:color w:val="000000"/>
          <w:sz w:val="20"/>
        </w:rPr>
        <w:t xml:space="preserve">In this case, Hale sued prison officials, county officials, and medical supervisors who oversee the Harrison County Adult Detention Center ("HCDC") in Gulfport, Mississippi. Hale claimed the officials violated his rights by </w:t>
      </w:r>
      <w:r>
        <w:rPr>
          <w:rFonts w:ascii="Arial" w:eastAsia="Arial" w:hAnsi="Arial" w:cs="Arial"/>
          <w:i/>
          <w:color w:val="000000"/>
          <w:sz w:val="20"/>
        </w:rPr>
        <w:t>inter alia</w:t>
      </w:r>
      <w:r>
        <w:rPr>
          <w:rFonts w:ascii="Arial" w:eastAsia="Arial" w:hAnsi="Arial" w:cs="Arial"/>
          <w:color w:val="000000"/>
          <w:sz w:val="20"/>
        </w:rPr>
        <w:t>, (1) impeding his access to courts and violating his right to affordable bond; (2) denying him with sufficient pain medication, administering medication in crushed (rather than whole-pill) form, denying his request for a high-protein diet, failing to provide him with multiple Tums per day, and denying him his preferred dental treatment; (3) failing to fix a leaky roof which caused him to slip and fall; and (4) failing to administer the prison effectively. He sought relief under 42 U.S.C. §§ 1983 and 1985, the ADA, a consent decree, and [**6]  Mississippi tort law.</w:t>
      </w:r>
    </w:p>
    <w:p w:rsidR="00022B47" w:rsidRDefault="00000000">
      <w:pPr>
        <w:pStyle w:val="Normal45"/>
        <w:widowControl w:val="0"/>
        <w:spacing w:before="200" w:line="260" w:lineRule="atLeast"/>
        <w:jc w:val="both"/>
      </w:pPr>
      <w:bookmarkStart w:id="6970" w:name="Bookmark_para_18_35"/>
      <w:bookmarkEnd w:id="6970"/>
      <w:r>
        <w:rPr>
          <w:rFonts w:ascii="Arial" w:eastAsia="Arial" w:hAnsi="Arial" w:cs="Arial"/>
          <w:color w:val="000000"/>
          <w:sz w:val="20"/>
        </w:rPr>
        <w:t xml:space="preserve">While the complaint was pending, Hale unsuccessfully sought emergency injunctive relief and a temporary restraining order. He also filed unsuccessful petitions to enforce a consent decree and to initiate contempt proceedings against prison officials for perceived violations of the consent decree. The district court denied his motion for the appointment of counsel, and denied him authorization to proceed </w:t>
      </w:r>
      <w:r>
        <w:rPr>
          <w:rFonts w:ascii="Arial" w:eastAsia="Arial" w:hAnsi="Arial" w:cs="Arial"/>
          <w:i/>
          <w:color w:val="000000"/>
          <w:sz w:val="20"/>
        </w:rPr>
        <w:t>in forma pauperis</w:t>
      </w:r>
      <w:r>
        <w:rPr>
          <w:rFonts w:ascii="Arial" w:eastAsia="Arial" w:hAnsi="Arial" w:cs="Arial"/>
          <w:color w:val="000000"/>
          <w:sz w:val="20"/>
        </w:rPr>
        <w:t xml:space="preserve"> ("IFP"), finding that any appeal would not be taken in good faith. </w:t>
      </w:r>
      <w:bookmarkStart w:id="6971" w:name="Bookmark_I63C2R2K2N1R6X0040000400"/>
      <w:bookmarkEnd w:id="6971"/>
      <w:r>
        <w:rPr>
          <w:rFonts w:ascii="Arial" w:eastAsia="Arial" w:hAnsi="Arial" w:cs="Arial"/>
          <w:color w:val="000000"/>
          <w:sz w:val="20"/>
        </w:rPr>
        <w:t xml:space="preserve">Hale appealed anyway. Our court denied Hale authorization to proceed IFP and dismissed his interlocutory appeal as frivolous and for lack of jurisdiction. </w:t>
      </w:r>
      <w:r>
        <w:rPr>
          <w:rFonts w:ascii="Arial" w:eastAsia="Arial" w:hAnsi="Arial" w:cs="Arial"/>
          <w:i/>
          <w:color w:val="000000"/>
          <w:sz w:val="20"/>
        </w:rPr>
        <w:t xml:space="preserve">See </w:t>
      </w:r>
      <w:bookmarkStart w:id="6972" w:name="Bookmark_I63C2R2K2N1R6X0030000400"/>
      <w:bookmarkEnd w:id="6972"/>
      <w:r>
        <w:rPr>
          <w:rFonts w:ascii="Arial" w:eastAsia="Arial" w:hAnsi="Arial" w:cs="Arial"/>
          <w:i/>
          <w:color w:val="000000"/>
          <w:sz w:val="20"/>
        </w:rPr>
        <w:t>Hale v. Harrison Cnty. Bd. of Supervisors</w:t>
      </w:r>
      <w:r>
        <w:rPr>
          <w:rFonts w:ascii="Arial" w:eastAsia="Arial" w:hAnsi="Arial" w:cs="Arial"/>
          <w:color w:val="000000"/>
          <w:sz w:val="20"/>
        </w:rPr>
        <w:t>, 623 F. App'x 274 (5th Cir. 2015) (per curiam).</w:t>
      </w:r>
    </w:p>
    <w:p w:rsidR="00022B47" w:rsidRDefault="00000000">
      <w:pPr>
        <w:pStyle w:val="Normal45"/>
        <w:widowControl w:val="0"/>
        <w:spacing w:before="200" w:line="260" w:lineRule="atLeast"/>
        <w:jc w:val="both"/>
      </w:pPr>
      <w:bookmarkStart w:id="6973" w:name="Bookmark_para_19_34"/>
      <w:bookmarkEnd w:id="6973"/>
      <w:r>
        <w:rPr>
          <w:rFonts w:ascii="Arial" w:eastAsia="Arial" w:hAnsi="Arial" w:cs="Arial"/>
          <w:color w:val="000000"/>
          <w:sz w:val="20"/>
        </w:rPr>
        <w:t>The case returned to district court and was referred to a magistrate judge for consideration. There, Hale argued that his rights were violated at the HCDC during his pretrial detention period between July 2013 and November 2014. He claimed he was deprived of his rights under the ADA when his custodians crushed his medication, denied him his preferred medication, and denied him a high-protein diet.</w:t>
      </w:r>
    </w:p>
    <w:p w:rsidR="00022B47" w:rsidRDefault="00000000">
      <w:pPr>
        <w:pStyle w:val="Normal45"/>
        <w:widowControl w:val="0"/>
        <w:spacing w:before="200" w:line="260" w:lineRule="atLeast"/>
        <w:jc w:val="both"/>
      </w:pPr>
      <w:bookmarkStart w:id="6974" w:name="Bookmark_para_20_34"/>
      <w:bookmarkEnd w:id="6974"/>
      <w:r>
        <w:rPr>
          <w:rFonts w:ascii="Arial" w:eastAsia="Arial" w:hAnsi="Arial" w:cs="Arial"/>
          <w:color w:val="000000"/>
          <w:sz w:val="20"/>
        </w:rPr>
        <w:t>The defendants each filed motions for summary judgment. The magistrate judge addressed each of Hale's many claims [**7]  and recommended the suit be dismissed in party for failure to state a claim, and that summary judgment be entered in favor of the defendants on the remaining frivolous claims. The magistrate judge further classified Hale as an "abusive litigant" who "utilizes the litigation process as a means to intimidate jail staff into providing him what he wants." Recognizing Hale's two prior strikes under 28 U.S.C. § 1915(g) for frivolous filings, and the frivolity of the instant case, the magistrate judge recommended the imposition of a third-and-final strike under § 1915(g). The district court adopted the magistrate judge's report and recommendation, granted the defendants summary judgment, dismissed the action with prejudice, and imposed a third strike under § 1915(g).</w:t>
      </w:r>
    </w:p>
    <w:p w:rsidR="00022B47" w:rsidRDefault="00000000">
      <w:pPr>
        <w:pStyle w:val="Normal45"/>
        <w:widowControl w:val="0"/>
        <w:spacing w:before="200" w:line="260" w:lineRule="atLeast"/>
        <w:jc w:val="both"/>
      </w:pPr>
      <w:bookmarkStart w:id="6975" w:name="Bookmark_para_21_33"/>
      <w:bookmarkStart w:id="6976" w:name="Bookmark_I63C2R2M2N1R740010000400"/>
      <w:bookmarkEnd w:id="6975"/>
      <w:bookmarkEnd w:id="6976"/>
      <w:r>
        <w:rPr>
          <w:rFonts w:ascii="Arial" w:eastAsia="Arial" w:hAnsi="Arial" w:cs="Arial"/>
          <w:color w:val="000000"/>
          <w:sz w:val="20"/>
        </w:rPr>
        <w:t xml:space="preserve">Hale filed a timely notice of appeal and requested leave to proceed IFP. A judge of our court granted Hale's motion to proceed IFP because it was unclear that </w:t>
      </w:r>
      <w:r>
        <w:rPr>
          <w:rFonts w:ascii="Arial" w:eastAsia="Arial" w:hAnsi="Arial" w:cs="Arial"/>
          <w:i/>
          <w:color w:val="000000"/>
          <w:sz w:val="20"/>
        </w:rPr>
        <w:t>all</w:t>
      </w:r>
      <w:r>
        <w:rPr>
          <w:rFonts w:ascii="Arial" w:eastAsia="Arial" w:hAnsi="Arial" w:cs="Arial"/>
          <w:color w:val="000000"/>
          <w:sz w:val="20"/>
        </w:rPr>
        <w:t xml:space="preserve"> of Hale's claims had been dismissed as frivolous, malicious, or for failure to state a claim. </w:t>
      </w:r>
      <w:r>
        <w:rPr>
          <w:rFonts w:ascii="Arial" w:eastAsia="Arial" w:hAnsi="Arial" w:cs="Arial"/>
          <w:i/>
          <w:color w:val="000000"/>
          <w:sz w:val="20"/>
        </w:rPr>
        <w:t>See Hale v. Harrison Cnty. Bd. of Supervisors</w:t>
      </w:r>
      <w:r>
        <w:rPr>
          <w:rFonts w:ascii="Arial" w:eastAsia="Arial" w:hAnsi="Arial" w:cs="Arial"/>
          <w:color w:val="000000"/>
          <w:sz w:val="20"/>
        </w:rPr>
        <w:t xml:space="preserve">, No. 17-60246, ECF No. 75, at 2 (5th Cir. Sept. 4, 2019). Our review is de novo. </w:t>
      </w:r>
      <w:bookmarkStart w:id="6977" w:name="Bookmark_I63C2R2K2N1R6X0050000400"/>
      <w:bookmarkEnd w:id="6977"/>
      <w:r>
        <w:rPr>
          <w:rFonts w:ascii="Arial" w:eastAsia="Arial" w:hAnsi="Arial" w:cs="Arial"/>
          <w:i/>
          <w:color w:val="000000"/>
          <w:sz w:val="20"/>
        </w:rPr>
        <w:t>Morrow v. Meachum</w:t>
      </w:r>
      <w:r>
        <w:rPr>
          <w:rFonts w:ascii="Arial" w:eastAsia="Arial" w:hAnsi="Arial" w:cs="Arial"/>
          <w:color w:val="000000"/>
          <w:sz w:val="20"/>
        </w:rPr>
        <w:t>, 917 F.3d 870, 874 (5th Cir. 2019).</w:t>
      </w:r>
    </w:p>
    <w:p w:rsidR="00022B47" w:rsidRDefault="00000000">
      <w:pPr>
        <w:pStyle w:val="Normal45"/>
        <w:widowControl w:val="0"/>
        <w:spacing w:before="120" w:line="260" w:lineRule="atLeast"/>
      </w:pPr>
      <w:r>
        <w:rPr>
          <w:rFonts w:ascii="Arial" w:eastAsia="Arial" w:hAnsi="Arial" w:cs="Arial"/>
          <w:color w:val="000000"/>
          <w:sz w:val="20"/>
        </w:rPr>
        <w:t>II.</w:t>
      </w:r>
    </w:p>
    <w:p w:rsidR="00022B47" w:rsidRDefault="00000000">
      <w:pPr>
        <w:pStyle w:val="Normal45"/>
        <w:widowControl w:val="0"/>
        <w:spacing w:before="200" w:line="260" w:lineRule="atLeast"/>
        <w:jc w:val="both"/>
      </w:pPr>
      <w:bookmarkStart w:id="6978" w:name="Bookmark_para_22_32"/>
      <w:bookmarkEnd w:id="6978"/>
      <w:r>
        <w:rPr>
          <w:rFonts w:ascii="Arial" w:eastAsia="Arial" w:hAnsi="Arial" w:cs="Arial"/>
          <w:color w:val="000000"/>
          <w:sz w:val="20"/>
        </w:rPr>
        <w:t xml:space="preserve">After a careful review of the record, we conclude that the district court dismissed [**8]  Hale's entire action as frivolous, malicious, or for failing to state a claim. </w:t>
      </w:r>
      <w:bookmarkStart w:id="6979" w:name="Bookmark_I63C2R2M2N1R740030000400"/>
      <w:bookmarkEnd w:id="6979"/>
      <w:r>
        <w:rPr>
          <w:rFonts w:ascii="Arial" w:eastAsia="Arial" w:hAnsi="Arial" w:cs="Arial"/>
          <w:color w:val="000000"/>
          <w:sz w:val="20"/>
        </w:rPr>
        <w:t xml:space="preserve">The magistrate judge's report and recommendation  [*404]  concludes: "It is recommended that the summary judgment motions of all Defendants be granted and </w:t>
      </w:r>
      <w:r>
        <w:rPr>
          <w:rFonts w:ascii="Arial" w:eastAsia="Arial" w:hAnsi="Arial" w:cs="Arial"/>
          <w:i/>
          <w:color w:val="000000"/>
          <w:sz w:val="20"/>
        </w:rPr>
        <w:t>Hale's suit dismissed as frivolous and for failure to state a claim</w:t>
      </w:r>
      <w:r>
        <w:rPr>
          <w:rFonts w:ascii="Arial" w:eastAsia="Arial" w:hAnsi="Arial" w:cs="Arial"/>
          <w:color w:val="000000"/>
          <w:sz w:val="20"/>
        </w:rPr>
        <w:t xml:space="preserve">." (Emphasis added). The district court then adopted the magistrate's report as "as the opinion of this Court." </w:t>
      </w:r>
      <w:bookmarkStart w:id="6980" w:name="Bookmark_LNHNREFclscc1_38"/>
      <w:bookmarkEnd w:id="6980"/>
      <w:r>
        <w:rPr>
          <w:rFonts w:ascii="Arial" w:eastAsia="Arial" w:hAnsi="Arial" w:cs="Arial"/>
          <w:color w:val="000000"/>
          <w:sz w:val="20"/>
        </w:rPr>
        <w:t xml:space="preserve">This perfectly parrots and hence plainly satisfies the text of § 1915(g), which permits a strike where the action "was dismissed on the grounds that it is frivolous, malicious, or fails to state a claim upon which relief may be granted." We therefore could revoke Hale's IFP status and dismiss his appeal as barred by the PLRA's three-strikes provision. </w:t>
      </w:r>
      <w:r>
        <w:rPr>
          <w:rFonts w:ascii="Arial" w:eastAsia="Arial" w:hAnsi="Arial" w:cs="Arial"/>
          <w:i/>
          <w:color w:val="000000"/>
          <w:sz w:val="20"/>
        </w:rPr>
        <w:t xml:space="preserve">See </w:t>
      </w:r>
      <w:bookmarkStart w:id="6981" w:name="Bookmark_I63C2R2M2N1R740020000400"/>
      <w:bookmarkEnd w:id="6981"/>
      <w:r>
        <w:rPr>
          <w:rFonts w:ascii="Arial" w:eastAsia="Arial" w:hAnsi="Arial" w:cs="Arial"/>
          <w:i/>
          <w:color w:val="000000"/>
          <w:sz w:val="20"/>
        </w:rPr>
        <w:t>Banos v. O'Guin</w:t>
      </w:r>
      <w:r>
        <w:rPr>
          <w:rFonts w:ascii="Arial" w:eastAsia="Arial" w:hAnsi="Arial" w:cs="Arial"/>
          <w:color w:val="000000"/>
          <w:sz w:val="20"/>
        </w:rPr>
        <w:t xml:space="preserve">, 144 F.3d 883 (5th Cir. 1998) (per curiam) (revoking IFP status and dismissing an appeal after finding that the district court appropriately imposed a final § 1915(g) strike); </w:t>
      </w:r>
      <w:bookmarkStart w:id="6982" w:name="Bookmark_I63C2R2M2N1R740040000400"/>
      <w:bookmarkEnd w:id="6982"/>
      <w:r>
        <w:rPr>
          <w:rFonts w:ascii="Arial" w:eastAsia="Arial" w:hAnsi="Arial" w:cs="Arial"/>
          <w:i/>
          <w:color w:val="000000"/>
          <w:sz w:val="20"/>
        </w:rPr>
        <w:t>Taylor v. LeBlanc</w:t>
      </w:r>
      <w:r>
        <w:rPr>
          <w:rFonts w:ascii="Arial" w:eastAsia="Arial" w:hAnsi="Arial" w:cs="Arial"/>
          <w:color w:val="000000"/>
          <w:sz w:val="20"/>
        </w:rPr>
        <w:t>, 851 Fed. Appx. 502, 502 (5th Cir. 2021) (per curiam) (same).</w:t>
      </w:r>
    </w:p>
    <w:p w:rsidR="00022B47" w:rsidRDefault="00000000">
      <w:pPr>
        <w:pStyle w:val="Normal45"/>
        <w:widowControl w:val="0"/>
        <w:spacing w:before="200" w:line="260" w:lineRule="atLeast"/>
        <w:jc w:val="both"/>
      </w:pPr>
      <w:bookmarkStart w:id="6983" w:name="Bookmark_para_23_30"/>
      <w:bookmarkEnd w:id="6983"/>
      <w:r>
        <w:rPr>
          <w:rFonts w:ascii="Arial" w:eastAsia="Arial" w:hAnsi="Arial" w:cs="Arial"/>
          <w:color w:val="000000"/>
          <w:sz w:val="20"/>
        </w:rPr>
        <w:t xml:space="preserve">We recognize, however, that a single phrase of the district court's decretal language introduced an ambiguity. </w:t>
      </w:r>
      <w:bookmarkStart w:id="6984" w:name="Bookmark_I63C2R2N2D6MS80020000400"/>
      <w:bookmarkEnd w:id="6984"/>
      <w:r>
        <w:rPr>
          <w:rFonts w:ascii="Arial" w:eastAsia="Arial" w:hAnsi="Arial" w:cs="Arial"/>
          <w:color w:val="000000"/>
          <w:sz w:val="20"/>
        </w:rPr>
        <w:t xml:space="preserve">In it, the district court suggested that "certain claims" in Hale's complaint satisfied § 1915(g)—thus making it at least conceivable that others did not satisfy § 1915(g). </w:t>
      </w:r>
      <w:bookmarkStart w:id="6985" w:name="Bookmark_LNHNREFclscc2_38"/>
      <w:bookmarkEnd w:id="6985"/>
      <w:r>
        <w:rPr>
          <w:rFonts w:ascii="Arial" w:eastAsia="Arial" w:hAnsi="Arial" w:cs="Arial"/>
          <w:color w:val="000000"/>
          <w:sz w:val="20"/>
        </w:rPr>
        <w:t xml:space="preserve">As we've held, a district [**9]  court can impose a strike where the </w:t>
      </w:r>
      <w:r>
        <w:rPr>
          <w:rFonts w:ascii="Arial" w:eastAsia="Arial" w:hAnsi="Arial" w:cs="Arial"/>
          <w:i/>
          <w:color w:val="000000"/>
          <w:sz w:val="20"/>
        </w:rPr>
        <w:t>entire action</w:t>
      </w:r>
      <w:r>
        <w:rPr>
          <w:rFonts w:ascii="Arial" w:eastAsia="Arial" w:hAnsi="Arial" w:cs="Arial"/>
          <w:color w:val="000000"/>
          <w:sz w:val="20"/>
        </w:rPr>
        <w:t xml:space="preserve"> is frivolous or fails to state a claim. </w:t>
      </w:r>
      <w:r>
        <w:rPr>
          <w:rFonts w:ascii="Arial" w:eastAsia="Arial" w:hAnsi="Arial" w:cs="Arial"/>
          <w:i/>
          <w:color w:val="000000"/>
          <w:sz w:val="20"/>
        </w:rPr>
        <w:t xml:space="preserve">See </w:t>
      </w:r>
      <w:bookmarkStart w:id="6986" w:name="Bookmark_I63C2R2N2D6MS80010000400"/>
      <w:bookmarkEnd w:id="6986"/>
      <w:r>
        <w:rPr>
          <w:rFonts w:ascii="Arial" w:eastAsia="Arial" w:hAnsi="Arial" w:cs="Arial"/>
          <w:i/>
          <w:color w:val="000000"/>
          <w:sz w:val="20"/>
        </w:rPr>
        <w:t>Brown v. Megg</w:t>
      </w:r>
      <w:r>
        <w:rPr>
          <w:rFonts w:ascii="Arial" w:eastAsia="Arial" w:hAnsi="Arial" w:cs="Arial"/>
          <w:color w:val="000000"/>
          <w:sz w:val="20"/>
        </w:rPr>
        <w:t>, 857 F.3d 287, 290-91 (5th Cir. 2017). We therefore gave Hale the benefit of the doubt and allowed him to proceed IFP to raise the issue(s) that the district court did not unambiguously dismiss as frivolous or for failure to state a claim.</w:t>
      </w:r>
    </w:p>
    <w:p w:rsidR="00022B47" w:rsidRDefault="00000000">
      <w:pPr>
        <w:pStyle w:val="Normal45"/>
        <w:widowControl w:val="0"/>
        <w:spacing w:before="200" w:line="260" w:lineRule="atLeast"/>
        <w:jc w:val="both"/>
      </w:pPr>
      <w:bookmarkStart w:id="6987" w:name="Bookmark_para_24_28"/>
      <w:bookmarkEnd w:id="6987"/>
      <w:r>
        <w:rPr>
          <w:rFonts w:ascii="Arial" w:eastAsia="Arial" w:hAnsi="Arial" w:cs="Arial"/>
          <w:color w:val="000000"/>
          <w:sz w:val="20"/>
        </w:rPr>
        <w:t>Three months after we granted him IFP status, however, Hale filed his appellate brief and abandoned everything but a single ADA claim that the district court plainly and unambiguously dismissed as frivolous and for failure to state a claim. He abandoned everything else—including anything that could conceivably constitute a nonfrivolous appellate issue. We've reviewed the ADA claim that he did raise and agree with the district court that it's frivolous.</w:t>
      </w:r>
      <w:r>
        <w:rPr>
          <w:rFonts w:ascii="Arial" w:eastAsia="Arial" w:hAnsi="Arial" w:cs="Arial"/>
          <w:vertAlign w:val="superscript"/>
        </w:rPr>
        <w:footnoteReference w:customMarkFollows="1" w:id="212"/>
        <w:t>†</w:t>
      </w:r>
    </w:p>
    <w:p w:rsidR="00022B47" w:rsidRDefault="00000000">
      <w:pPr>
        <w:pStyle w:val="Normal45"/>
        <w:widowControl w:val="0"/>
        <w:spacing w:before="200" w:line="260" w:lineRule="atLeast"/>
        <w:jc w:val="both"/>
      </w:pPr>
      <w:bookmarkStart w:id="7008" w:name="Bookmark_para_25_27"/>
      <w:bookmarkEnd w:id="7008"/>
      <w:r>
        <w:rPr>
          <w:rFonts w:ascii="Arial" w:eastAsia="Arial" w:hAnsi="Arial" w:cs="Arial"/>
          <w:color w:val="000000"/>
          <w:sz w:val="20"/>
        </w:rPr>
        <w:t xml:space="preserve"> [*405]  Therefore, Hale is BARRED from proceeding IFP in any civil action or appeal filed in a court of the United States while he is incarcerated [**11]  or detained in any facility unless he is under imminent danger of serious physical injury. </w:t>
      </w:r>
      <w:r>
        <w:rPr>
          <w:rFonts w:ascii="Arial" w:eastAsia="Arial" w:hAnsi="Arial" w:cs="Arial"/>
          <w:i/>
          <w:color w:val="000000"/>
          <w:sz w:val="20"/>
        </w:rPr>
        <w:t>See</w:t>
      </w:r>
      <w:r>
        <w:rPr>
          <w:rFonts w:ascii="Arial" w:eastAsia="Arial" w:hAnsi="Arial" w:cs="Arial"/>
          <w:color w:val="000000"/>
          <w:sz w:val="20"/>
        </w:rPr>
        <w:t xml:space="preserve"> 28 U.S.C. § 1915(g).</w:t>
      </w:r>
    </w:p>
    <w:p w:rsidR="00022B47" w:rsidRDefault="00000000">
      <w:pPr>
        <w:pStyle w:val="Normal45"/>
        <w:widowControl w:val="0"/>
        <w:spacing w:before="200" w:line="260" w:lineRule="atLeast"/>
        <w:jc w:val="both"/>
      </w:pPr>
      <w:bookmarkStart w:id="7009" w:name="Bookmark_para_26_25"/>
      <w:bookmarkEnd w:id="7009"/>
      <w:r>
        <w:rPr>
          <w:rFonts w:ascii="Arial" w:eastAsia="Arial" w:hAnsi="Arial" w:cs="Arial"/>
          <w:color w:val="000000"/>
          <w:sz w:val="20"/>
        </w:rPr>
        <w:t>STRIKE IMPOSED; APPEAL DISMISSED.</w:t>
      </w:r>
    </w:p>
    <w:p w:rsidR="00022B47" w:rsidRDefault="00022B47">
      <w:pPr>
        <w:pStyle w:val="Normal45"/>
      </w:pPr>
    </w:p>
    <w:p w:rsidR="00022B47" w:rsidRDefault="00000000">
      <w:pPr>
        <w:pStyle w:val="Normal45"/>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55520"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2098742167"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A091D0" id="Line 97"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46"/>
        <w:sectPr w:rsidR="00022B47">
          <w:headerReference w:type="even" r:id="rId283"/>
          <w:headerReference w:type="default" r:id="rId284"/>
          <w:footerReference w:type="even" r:id="rId285"/>
          <w:footerReference w:type="default" r:id="rId286"/>
          <w:headerReference w:type="first" r:id="rId287"/>
          <w:footerReference w:type="first" r:id="rId288"/>
          <w:pgSz w:w="12240" w:h="15840"/>
          <w:pgMar w:top="840" w:right="1000" w:bottom="840" w:left="1000" w:header="400" w:footer="400" w:gutter="0"/>
          <w:cols w:space="720"/>
          <w:titlePg/>
        </w:sectPr>
      </w:pPr>
    </w:p>
    <w:p w:rsidR="00022B47" w:rsidRDefault="00022B47">
      <w:pPr>
        <w:pStyle w:val="Normal46"/>
      </w:pPr>
    </w:p>
    <w:p w:rsidR="00022B47" w:rsidRDefault="00000000">
      <w:pPr>
        <w:pStyle w:val="Heading145"/>
        <w:keepNext w:val="0"/>
        <w:widowControl w:val="0"/>
        <w:spacing w:after="200" w:line="340" w:lineRule="atLeast"/>
        <w:jc w:val="center"/>
      </w:pPr>
      <w:r>
        <w:rPr>
          <w:rFonts w:eastAsia="Arial"/>
          <w:color w:val="000000"/>
          <w:sz w:val="28"/>
        </w:rPr>
        <w:t>Francois v. Our Lady of the Lake Hosp., Inc.</w:t>
      </w:r>
    </w:p>
    <w:p w:rsidR="00022B47" w:rsidRDefault="00000000">
      <w:pPr>
        <w:pStyle w:val="Normal46"/>
        <w:widowControl w:val="0"/>
        <w:spacing w:before="120" w:line="260" w:lineRule="atLeast"/>
        <w:jc w:val="center"/>
      </w:pPr>
      <w:r>
        <w:rPr>
          <w:rFonts w:ascii="Arial" w:eastAsia="Arial" w:hAnsi="Arial" w:cs="Arial"/>
          <w:color w:val="000000"/>
          <w:sz w:val="20"/>
        </w:rPr>
        <w:t>United States Court of Appeals for the Fifth Circuit</w:t>
      </w:r>
    </w:p>
    <w:p w:rsidR="00022B47" w:rsidRDefault="00000000">
      <w:pPr>
        <w:pStyle w:val="Normal46"/>
        <w:widowControl w:val="0"/>
        <w:spacing w:before="120" w:line="260" w:lineRule="atLeast"/>
        <w:jc w:val="center"/>
      </w:pPr>
      <w:r>
        <w:rPr>
          <w:rFonts w:ascii="Arial" w:eastAsia="Arial" w:hAnsi="Arial" w:cs="Arial"/>
          <w:color w:val="000000"/>
          <w:sz w:val="20"/>
        </w:rPr>
        <w:t>August 6, 2021, Filed</w:t>
      </w:r>
    </w:p>
    <w:p w:rsidR="00022B47" w:rsidRDefault="00000000">
      <w:pPr>
        <w:pStyle w:val="Normal46"/>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20-30707</w:t>
      </w:r>
    </w:p>
    <w:p w:rsidR="00022B47" w:rsidRDefault="00022B47">
      <w:pPr>
        <w:pStyle w:val="Normal46"/>
        <w:widowControl w:val="0"/>
        <w:spacing w:line="240" w:lineRule="atLeast"/>
        <w:jc w:val="both"/>
      </w:pPr>
      <w:bookmarkStart w:id="7010" w:name="Bookmark_47"/>
      <w:bookmarkEnd w:id="7010"/>
    </w:p>
    <w:p w:rsidR="00022B47" w:rsidRDefault="00000000">
      <w:pPr>
        <w:pStyle w:val="Normal46"/>
        <w:widowControl w:val="0"/>
        <w:spacing w:before="200" w:line="240" w:lineRule="atLeast"/>
      </w:pPr>
      <w:bookmarkStart w:id="7011" w:name="Reporter_45"/>
      <w:bookmarkEnd w:id="7011"/>
      <w:r>
        <w:rPr>
          <w:rFonts w:ascii="Arial" w:eastAsia="Arial" w:hAnsi="Arial" w:cs="Arial"/>
          <w:b/>
          <w:color w:val="000000"/>
          <w:sz w:val="18"/>
        </w:rPr>
        <w:t>Reporter</w:t>
      </w:r>
    </w:p>
    <w:p w:rsidR="00022B47" w:rsidRDefault="00000000">
      <w:pPr>
        <w:pStyle w:val="Normal46"/>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8 F.4th 370 *; 2021 U.S. App. LEXIS 23474 **</w:t>
      </w:r>
    </w:p>
    <w:p w:rsidR="00022B47" w:rsidRDefault="00000000">
      <w:pPr>
        <w:pStyle w:val="Normal46"/>
        <w:widowControl w:val="0"/>
        <w:spacing w:before="120" w:line="260" w:lineRule="atLeast"/>
      </w:pPr>
      <w:r>
        <w:rPr>
          <w:rFonts w:ascii="Arial" w:eastAsia="Arial" w:hAnsi="Arial" w:cs="Arial"/>
          <w:color w:val="000000"/>
          <w:sz w:val="20"/>
        </w:rPr>
        <w:t>DAMIAN FRANCOIS, Plaintiff—Appellant, versus OUR LADY OF THE LAKE HOSPITAL, INCORPORATED, Defendant—Appellee.</w:t>
      </w:r>
    </w:p>
    <w:p w:rsidR="00022B47" w:rsidRDefault="00000000">
      <w:pPr>
        <w:pStyle w:val="Normal46"/>
        <w:widowControl w:val="0"/>
        <w:spacing w:before="240" w:line="260" w:lineRule="atLeast"/>
        <w:jc w:val="both"/>
      </w:pPr>
      <w:bookmarkStart w:id="7012" w:name="Prior_History_45"/>
      <w:bookmarkEnd w:id="7012"/>
      <w:r>
        <w:rPr>
          <w:rFonts w:ascii="Arial" w:eastAsia="Arial" w:hAnsi="Arial" w:cs="Arial"/>
          <w:b/>
          <w:color w:val="000000"/>
          <w:sz w:val="20"/>
        </w:rPr>
        <w:t>Prior History:</w:t>
      </w:r>
      <w:r>
        <w:rPr>
          <w:rFonts w:ascii="Arial" w:eastAsia="Arial" w:hAnsi="Arial" w:cs="Arial"/>
          <w:color w:val="000000"/>
          <w:sz w:val="20"/>
        </w:rPr>
        <w:t> </w:t>
      </w:r>
      <w:bookmarkStart w:id="7013" w:name="Bookmark_para_1_45"/>
      <w:bookmarkEnd w:id="7013"/>
      <w:r>
        <w:rPr>
          <w:rFonts w:ascii="Arial" w:eastAsia="Arial" w:hAnsi="Arial" w:cs="Arial"/>
          <w:color w:val="000000"/>
          <w:sz w:val="20"/>
        </w:rPr>
        <w:t> [**1] Appeal from the United States District Court for the Middle District of Louisiana. USDC No. 3:17-CV-393.</w:t>
      </w:r>
    </w:p>
    <w:p w:rsidR="00022B47" w:rsidRDefault="00000000">
      <w:pPr>
        <w:pStyle w:val="Normal46"/>
        <w:widowControl w:val="0"/>
        <w:spacing w:before="120" w:line="260" w:lineRule="atLeast"/>
      </w:pPr>
      <w:r>
        <w:rPr>
          <w:rFonts w:ascii="Arial" w:eastAsia="Arial" w:hAnsi="Arial" w:cs="Arial"/>
          <w:color w:val="000000"/>
          <w:sz w:val="20"/>
        </w:rPr>
        <w:t>Francois v. Our Lady of the Lake Found., 2020 U.S. Dist. LEXIS 190019, 2020 WL 6066167 (M.D. La., Oct. 14, 2020)</w:t>
      </w:r>
    </w:p>
    <w:p w:rsidR="00022B47" w:rsidRDefault="00000000">
      <w:pPr>
        <w:pStyle w:val="Normal46"/>
        <w:widowControl w:val="0"/>
        <w:spacing w:before="240" w:line="260" w:lineRule="atLeast"/>
      </w:pPr>
      <w:bookmarkStart w:id="7014" w:name="Counsel_45"/>
      <w:bookmarkEnd w:id="7014"/>
      <w:r>
        <w:rPr>
          <w:rFonts w:ascii="Arial" w:eastAsia="Arial" w:hAnsi="Arial" w:cs="Arial"/>
          <w:b/>
          <w:color w:val="000000"/>
          <w:sz w:val="20"/>
        </w:rPr>
        <w:t>Counsel:</w:t>
      </w:r>
      <w:r>
        <w:rPr>
          <w:rFonts w:ascii="Arial" w:eastAsia="Arial" w:hAnsi="Arial" w:cs="Arial"/>
          <w:color w:val="000000"/>
          <w:sz w:val="20"/>
        </w:rPr>
        <w:t> For Damian Francois, Plaintiff - Appellant: Andrew D. Bizer, Garret Scott DeReus, Bizer &amp; DeReus, L.L.C., New Orleans, LA.</w:t>
      </w:r>
    </w:p>
    <w:p w:rsidR="00022B47" w:rsidRDefault="00000000">
      <w:pPr>
        <w:pStyle w:val="Normal46"/>
        <w:widowControl w:val="0"/>
        <w:spacing w:before="120" w:line="260" w:lineRule="atLeast"/>
      </w:pPr>
      <w:r>
        <w:rPr>
          <w:rFonts w:ascii="Arial" w:eastAsia="Arial" w:hAnsi="Arial" w:cs="Arial"/>
          <w:color w:val="000000"/>
          <w:sz w:val="20"/>
        </w:rPr>
        <w:t>For Our Lady of the Lake Hospital, Incorporated, Defendant - Appellee: Douglas Kent Williams, Druit George Gremillion, Jr., Esq., Attorney, Breazeale, Sachse &amp; Wilson, L.L.P., Baton Rouge, LA.</w:t>
      </w:r>
    </w:p>
    <w:p w:rsidR="00022B47" w:rsidRDefault="00000000">
      <w:pPr>
        <w:pStyle w:val="Normal46"/>
        <w:widowControl w:val="0"/>
        <w:spacing w:before="240" w:line="260" w:lineRule="atLeast"/>
      </w:pPr>
      <w:bookmarkStart w:id="7015" w:name="Judges_45"/>
      <w:bookmarkEnd w:id="7015"/>
      <w:r>
        <w:rPr>
          <w:rFonts w:ascii="Arial" w:eastAsia="Arial" w:hAnsi="Arial" w:cs="Arial"/>
          <w:b/>
          <w:color w:val="000000"/>
          <w:sz w:val="20"/>
        </w:rPr>
        <w:t>Judges:</w:t>
      </w:r>
      <w:r>
        <w:rPr>
          <w:rFonts w:ascii="Arial" w:eastAsia="Arial" w:hAnsi="Arial" w:cs="Arial"/>
          <w:color w:val="000000"/>
          <w:sz w:val="20"/>
        </w:rPr>
        <w:t> Before JONES, SOUTHWICK, and COSTA, Circuit Judges.</w:t>
      </w:r>
    </w:p>
    <w:p w:rsidR="00022B47" w:rsidRDefault="00000000">
      <w:pPr>
        <w:pStyle w:val="Normal46"/>
        <w:widowControl w:val="0"/>
        <w:spacing w:before="240" w:line="260" w:lineRule="atLeast"/>
      </w:pPr>
      <w:bookmarkStart w:id="7016" w:name="Opinion_by_22"/>
      <w:bookmarkEnd w:id="7016"/>
      <w:r>
        <w:rPr>
          <w:rFonts w:ascii="Arial" w:eastAsia="Arial" w:hAnsi="Arial" w:cs="Arial"/>
          <w:b/>
          <w:color w:val="000000"/>
          <w:sz w:val="20"/>
        </w:rPr>
        <w:t>Opinion by:</w:t>
      </w:r>
      <w:r>
        <w:rPr>
          <w:rFonts w:ascii="Arial" w:eastAsia="Arial" w:hAnsi="Arial" w:cs="Arial"/>
          <w:color w:val="000000"/>
          <w:sz w:val="20"/>
        </w:rPr>
        <w:t> LESLIE. H. SOUTHWICK</w:t>
      </w:r>
    </w:p>
    <w:p w:rsidR="00022B47" w:rsidRDefault="00000000">
      <w:pPr>
        <w:pStyle w:val="Normal46"/>
        <w:keepNext/>
        <w:widowControl w:val="0"/>
        <w:spacing w:before="240" w:line="340" w:lineRule="atLeast"/>
      </w:pPr>
      <w:bookmarkStart w:id="7017" w:name="Opinion_45"/>
      <w:bookmarkEnd w:id="7017"/>
      <w:r>
        <w:rPr>
          <w:rFonts w:ascii="Arial" w:eastAsia="Arial" w:hAnsi="Arial" w:cs="Arial"/>
          <w:b/>
          <w:color w:val="000000"/>
          <w:sz w:val="28"/>
        </w:rPr>
        <w:t>Opinion</w:t>
      </w:r>
    </w:p>
    <w:p w:rsidR="00022B47" w:rsidRDefault="0025213E">
      <w:pPr>
        <w:pStyle w:val="Normal46"/>
        <w:spacing w:line="60" w:lineRule="exact"/>
      </w:pPr>
      <w:r>
        <w:rPr>
          <w:noProof/>
        </w:rPr>
        <mc:AlternateContent>
          <mc:Choice Requires="wps">
            <w:drawing>
              <wp:anchor distT="0" distB="0" distL="114300" distR="114300" simplePos="0" relativeHeight="251756544"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1597988756"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B33AB9" id="Line 98"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46"/>
      </w:pPr>
    </w:p>
    <w:p w:rsidR="00022B47" w:rsidRDefault="00000000">
      <w:pPr>
        <w:pStyle w:val="Normal46"/>
        <w:widowControl w:val="0"/>
        <w:spacing w:before="200" w:line="260" w:lineRule="atLeast"/>
        <w:jc w:val="both"/>
      </w:pPr>
      <w:bookmarkStart w:id="7018" w:name="Bookmark_para_2_45"/>
      <w:bookmarkEnd w:id="7018"/>
      <w:r>
        <w:rPr>
          <w:rFonts w:ascii="Arial" w:eastAsia="Arial" w:hAnsi="Arial" w:cs="Arial"/>
          <w:color w:val="000000"/>
          <w:sz w:val="20"/>
        </w:rPr>
        <w:t xml:space="preserve"> [*374]  </w:t>
      </w:r>
      <w:r>
        <w:rPr>
          <w:rFonts w:ascii="Arial" w:eastAsia="Arial" w:hAnsi="Arial" w:cs="Arial"/>
          <w:smallCaps/>
          <w:color w:val="000000"/>
          <w:sz w:val="20"/>
        </w:rPr>
        <w:t>Leslie. H. Southwick</w:t>
      </w:r>
      <w:r>
        <w:rPr>
          <w:rFonts w:ascii="Arial" w:eastAsia="Arial" w:hAnsi="Arial" w:cs="Arial"/>
          <w:color w:val="000000"/>
          <w:sz w:val="20"/>
        </w:rPr>
        <w:t xml:space="preserve">, </w:t>
      </w:r>
      <w:r>
        <w:rPr>
          <w:rFonts w:ascii="Arial" w:eastAsia="Arial" w:hAnsi="Arial" w:cs="Arial"/>
          <w:i/>
          <w:color w:val="000000"/>
          <w:sz w:val="20"/>
        </w:rPr>
        <w:t>Circuit Judge</w:t>
      </w:r>
      <w:r>
        <w:rPr>
          <w:rFonts w:ascii="Arial" w:eastAsia="Arial" w:hAnsi="Arial" w:cs="Arial"/>
          <w:color w:val="000000"/>
          <w:sz w:val="20"/>
        </w:rPr>
        <w:t>:</w:t>
      </w:r>
    </w:p>
    <w:p w:rsidR="00022B47" w:rsidRDefault="00000000">
      <w:pPr>
        <w:pStyle w:val="Normal46"/>
        <w:widowControl w:val="0"/>
        <w:spacing w:before="200" w:line="260" w:lineRule="atLeast"/>
        <w:jc w:val="both"/>
      </w:pPr>
      <w:bookmarkStart w:id="7019" w:name="Bookmark_para_3_45"/>
      <w:bookmarkEnd w:id="7019"/>
      <w:r>
        <w:rPr>
          <w:rFonts w:ascii="Arial" w:eastAsia="Arial" w:hAnsi="Arial" w:cs="Arial"/>
          <w:color w:val="000000"/>
          <w:sz w:val="20"/>
        </w:rPr>
        <w:t>Damian Francois sued Our Lady of the Lake Hospital for disability discrimination. He now appeals the district court's grant of summary judgment to the Hospital, which dismissed his claims that the Hospital violated the Rehabilitation Act and Affordable Care Act by failing to provide an on-site interpreter until the sixth day of his hospital stay. We AFFIRM.</w:t>
      </w:r>
    </w:p>
    <w:p w:rsidR="00022B47" w:rsidRDefault="00000000">
      <w:pPr>
        <w:pStyle w:val="Normal46"/>
        <w:widowControl w:val="0"/>
        <w:spacing w:before="120" w:line="260" w:lineRule="atLeast"/>
      </w:pPr>
      <w:r>
        <w:rPr>
          <w:rFonts w:ascii="Arial" w:eastAsia="Arial" w:hAnsi="Arial" w:cs="Arial"/>
          <w:color w:val="000000"/>
          <w:sz w:val="20"/>
        </w:rPr>
        <w:t>FACTUAL AND PROCEDURAL BACKGROUND</w:t>
      </w:r>
    </w:p>
    <w:p w:rsidR="00022B47" w:rsidRDefault="00000000">
      <w:pPr>
        <w:pStyle w:val="Normal46"/>
        <w:widowControl w:val="0"/>
        <w:spacing w:before="200" w:line="260" w:lineRule="atLeast"/>
        <w:jc w:val="both"/>
      </w:pPr>
      <w:bookmarkStart w:id="7020" w:name="Bookmark_para_4_45"/>
      <w:bookmarkEnd w:id="7020"/>
      <w:r>
        <w:rPr>
          <w:rFonts w:ascii="Arial" w:eastAsia="Arial" w:hAnsi="Arial" w:cs="Arial"/>
          <w:color w:val="000000"/>
          <w:sz w:val="20"/>
        </w:rPr>
        <w:t>According to the record, Damian Francois is a deaf and "virtually illiterate" individual who communicates primarily in American Sign Language ("ASL"). This appeal concerns whether there is evidence in the summary-judgment record that creates a genuine dispute of material fact about whether [**2]  the Hospital had actual notice that an on-site interpreter was necessary to provide appropriate medical care to Francois.</w:t>
      </w:r>
    </w:p>
    <w:p w:rsidR="00022B47" w:rsidRDefault="00000000">
      <w:pPr>
        <w:pStyle w:val="Normal46"/>
        <w:widowControl w:val="0"/>
        <w:spacing w:before="200" w:line="260" w:lineRule="atLeast"/>
        <w:jc w:val="both"/>
      </w:pPr>
      <w:bookmarkStart w:id="7021" w:name="Bookmark_para_5_45"/>
      <w:bookmarkEnd w:id="7021"/>
      <w:r>
        <w:rPr>
          <w:rFonts w:ascii="Arial" w:eastAsia="Arial" w:hAnsi="Arial" w:cs="Arial"/>
          <w:color w:val="000000"/>
          <w:sz w:val="20"/>
        </w:rPr>
        <w:t>On April 11, 2017, Francois was admitted to the Hospital after his uncle shot him in the back. Francois' grandmother, Leona Deemer, testified in a deposition that she told the ambulance crew, the "lady at the front desk," and a doctor that Francois was deaf and "needed an interpreter." She also testified that she told Francois' attendant nurses that he was unable to understand many written or complex words. That first night, Francois underwent emergency surgery that saved his life but did not prevent his permanent paralysis.</w:t>
      </w:r>
    </w:p>
    <w:p w:rsidR="00022B47" w:rsidRDefault="00000000">
      <w:pPr>
        <w:pStyle w:val="Normal46"/>
        <w:widowControl w:val="0"/>
        <w:spacing w:before="200" w:line="260" w:lineRule="atLeast"/>
        <w:jc w:val="both"/>
      </w:pPr>
      <w:bookmarkStart w:id="7022" w:name="Bookmark_para_6_45"/>
      <w:bookmarkEnd w:id="7022"/>
      <w:r>
        <w:rPr>
          <w:rFonts w:ascii="Arial" w:eastAsia="Arial" w:hAnsi="Arial" w:cs="Arial"/>
          <w:color w:val="000000"/>
          <w:sz w:val="20"/>
        </w:rPr>
        <w:t>The next morning, Francois met with John Deshotel, who was a Care Coordinator at the Hospital. Deshotel communicated with Francois in ASL, which is Deshotel's second language. He also spoke in English because Deemer was there too. According to Deshotel's sworn affidavit, he told Francois during this meeting that "the hospital wanted to meet his needs throughout his admission"; asked Francois if he needed any additional services, and Francois answered that he did not; and told Francois "if he needed any additional services, that he could ask for [**3]  me and that I would come meet with him." According to Deshotel's affidavit, neither Francois nor Deemer requested an interpreter during that meeting.</w:t>
      </w:r>
    </w:p>
    <w:p w:rsidR="00022B47" w:rsidRDefault="00000000">
      <w:pPr>
        <w:pStyle w:val="Normal46"/>
        <w:widowControl w:val="0"/>
        <w:spacing w:before="200" w:line="260" w:lineRule="atLeast"/>
        <w:jc w:val="both"/>
      </w:pPr>
      <w:bookmarkStart w:id="7023" w:name="Bookmark_para_7_45"/>
      <w:bookmarkEnd w:id="7023"/>
      <w:r>
        <w:rPr>
          <w:rFonts w:ascii="Arial" w:eastAsia="Arial" w:hAnsi="Arial" w:cs="Arial"/>
          <w:color w:val="000000"/>
          <w:sz w:val="20"/>
        </w:rPr>
        <w:t>During Francois' first five days, the Hospital relied on several methods of communication other than an on-site interpreter. It relied primarily on the use of a whiteboard/dry-erase board and nonverbal cues. At various times, the Hospital also relied for interpretive assistance on a board with pictures, Francois' family, and a video remote interpreter.</w:t>
      </w:r>
      <w:r>
        <w:rPr>
          <w:rFonts w:ascii="Arial" w:eastAsia="Arial" w:hAnsi="Arial" w:cs="Arial"/>
          <w:vertAlign w:val="superscript"/>
        </w:rPr>
        <w:footnoteReference w:customMarkFollows="1" w:id="213"/>
        <w:t>1</w:t>
      </w:r>
    </w:p>
    <w:p w:rsidR="00022B47" w:rsidRDefault="00000000">
      <w:pPr>
        <w:pStyle w:val="Normal46"/>
        <w:widowControl w:val="0"/>
        <w:spacing w:before="200" w:line="260" w:lineRule="atLeast"/>
        <w:jc w:val="both"/>
      </w:pPr>
      <w:bookmarkStart w:id="7026" w:name="Bookmark_para_8_44"/>
      <w:bookmarkEnd w:id="7026"/>
      <w:r>
        <w:rPr>
          <w:rFonts w:ascii="Arial" w:eastAsia="Arial" w:hAnsi="Arial" w:cs="Arial"/>
          <w:color w:val="000000"/>
          <w:sz w:val="20"/>
        </w:rPr>
        <w:t>The nurses attending Francois testified that he appeared to understand their written and nonverbal communications. Allison Berry, assigned to Francois on April 12, testified to multiple instances when she communicated with Francois using the  [*375]  whiteboard and Francois nonverbally indicated that he understood. Another nurse, Katelyn Ferachi, was assigned to Francois on April 15. She testified that Francois "never gave any indication that he did not understand [whiteboard notes] or that [using the whiteboard] was not appropriate for him." She also testified that, when the Hospital's staff would use the whiteboard to communicate, Francois would "answer with either a nonverbal cue or a written answer [**4]  on the board."</w:t>
      </w:r>
    </w:p>
    <w:p w:rsidR="00022B47" w:rsidRDefault="00000000">
      <w:pPr>
        <w:pStyle w:val="Normal46"/>
        <w:widowControl w:val="0"/>
        <w:spacing w:before="200" w:line="260" w:lineRule="atLeast"/>
        <w:jc w:val="both"/>
      </w:pPr>
      <w:bookmarkStart w:id="7027" w:name="Bookmark_para_9_43"/>
      <w:bookmarkEnd w:id="7027"/>
      <w:r>
        <w:rPr>
          <w:rFonts w:ascii="Arial" w:eastAsia="Arial" w:hAnsi="Arial" w:cs="Arial"/>
          <w:color w:val="000000"/>
          <w:sz w:val="20"/>
        </w:rPr>
        <w:t xml:space="preserve">There are hospital records showing that difficulties arose in communicating with Francois. On several occasions, communications with Francois about his medical history were "limited." Two of those records, though, indicate that the Hospital was able to obtain Francois' medical history using methods other than an on-site interpreter, </w:t>
      </w:r>
      <w:r>
        <w:rPr>
          <w:rFonts w:ascii="Arial" w:eastAsia="Arial" w:hAnsi="Arial" w:cs="Arial"/>
          <w:i/>
          <w:color w:val="000000"/>
          <w:sz w:val="20"/>
        </w:rPr>
        <w:t>i.e.</w:t>
      </w:r>
      <w:r>
        <w:rPr>
          <w:rFonts w:ascii="Arial" w:eastAsia="Arial" w:hAnsi="Arial" w:cs="Arial"/>
          <w:color w:val="000000"/>
          <w:sz w:val="20"/>
        </w:rPr>
        <w:t>, "by writing questions and interviewing [Francois'] grandmother," and by the "use of a dry erase board and sign language through family member at bedside."</w:t>
      </w:r>
    </w:p>
    <w:p w:rsidR="00022B47" w:rsidRDefault="00000000">
      <w:pPr>
        <w:pStyle w:val="Normal46"/>
        <w:widowControl w:val="0"/>
        <w:spacing w:before="200" w:line="260" w:lineRule="atLeast"/>
        <w:jc w:val="both"/>
      </w:pPr>
      <w:bookmarkStart w:id="7028" w:name="Bookmark_para_10_42"/>
      <w:bookmarkEnd w:id="7028"/>
      <w:r>
        <w:rPr>
          <w:rFonts w:ascii="Arial" w:eastAsia="Arial" w:hAnsi="Arial" w:cs="Arial"/>
          <w:color w:val="000000"/>
          <w:sz w:val="20"/>
        </w:rPr>
        <w:t>As of April 14, his third full day in the Hospital, Francois' medical condition was stable, but the Hospital knew that Francois was paralyzed. At that point, the Hospital was ready to transfer him from a trauma unit to a rehabilitation unit. That day, one of Francois' friends, Paula Rodriguez, sent a text message to the Civil Rights Coordinator at the Hospital requesting an interpreter for Francois. It appears that the text message resulted in the Hospital's attempting, unsuccessfully, to use a virtual remote interpreter.</w:t>
      </w:r>
    </w:p>
    <w:p w:rsidR="00022B47" w:rsidRDefault="00000000">
      <w:pPr>
        <w:pStyle w:val="Normal46"/>
        <w:widowControl w:val="0"/>
        <w:spacing w:before="200" w:line="260" w:lineRule="atLeast"/>
        <w:jc w:val="both"/>
      </w:pPr>
      <w:bookmarkStart w:id="7029" w:name="Bookmark_para_11_41"/>
      <w:bookmarkEnd w:id="7029"/>
      <w:r>
        <w:rPr>
          <w:rFonts w:ascii="Arial" w:eastAsia="Arial" w:hAnsi="Arial" w:cs="Arial"/>
          <w:color w:val="000000"/>
          <w:sz w:val="20"/>
        </w:rPr>
        <w:t>On April 15, Rodriguez visited the Hospital, told medical personnel that the virtual remote interpreter was ineffective, and requested an on-site interpreter for Francois. [**5]  Rodriguez later testified that on April 15, Francois still did not know that he was permanently paralyzed. Instead, he thought that he would have another surgery and walk again.</w:t>
      </w:r>
    </w:p>
    <w:p w:rsidR="00022B47" w:rsidRDefault="00000000">
      <w:pPr>
        <w:pStyle w:val="Normal46"/>
        <w:widowControl w:val="0"/>
        <w:spacing w:before="200" w:line="260" w:lineRule="atLeast"/>
        <w:jc w:val="both"/>
      </w:pPr>
      <w:bookmarkStart w:id="7030" w:name="Bookmark_para_12_40"/>
      <w:bookmarkEnd w:id="7030"/>
      <w:r>
        <w:rPr>
          <w:rFonts w:ascii="Arial" w:eastAsia="Arial" w:hAnsi="Arial" w:cs="Arial"/>
          <w:color w:val="000000"/>
          <w:sz w:val="20"/>
        </w:rPr>
        <w:t>The Hospital provided an on-site interpreter the next day, April 16. On that day, with an on-site interpreter present, Francois met with Dr. Malia Eischen, who explained to Francois his diagnosis and prognosis of permanent paralysis. A medical record indicates that, during this meeting, Francois' family "expressed concern that [Francois] was not understanding communication that had previously been provided."</w:t>
      </w:r>
    </w:p>
    <w:p w:rsidR="00022B47" w:rsidRDefault="00000000">
      <w:pPr>
        <w:pStyle w:val="Normal46"/>
        <w:widowControl w:val="0"/>
        <w:spacing w:before="200" w:line="260" w:lineRule="atLeast"/>
        <w:jc w:val="both"/>
      </w:pPr>
      <w:bookmarkStart w:id="7031" w:name="Bookmark_para_13_40"/>
      <w:bookmarkEnd w:id="7031"/>
      <w:r>
        <w:rPr>
          <w:rFonts w:ascii="Arial" w:eastAsia="Arial" w:hAnsi="Arial" w:cs="Arial"/>
          <w:color w:val="000000"/>
          <w:sz w:val="20"/>
        </w:rPr>
        <w:t>Francois remained in the Hospital until May 17. From April 16 to May 17, the Hospital provided an on-site interpreter on 61 occasions.</w:t>
      </w:r>
    </w:p>
    <w:p w:rsidR="00022B47" w:rsidRDefault="00000000">
      <w:pPr>
        <w:pStyle w:val="Normal46"/>
        <w:widowControl w:val="0"/>
        <w:spacing w:before="200" w:line="260" w:lineRule="atLeast"/>
        <w:jc w:val="both"/>
      </w:pPr>
      <w:bookmarkStart w:id="7032" w:name="Bookmark_para_14_40"/>
      <w:bookmarkEnd w:id="7032"/>
      <w:r>
        <w:rPr>
          <w:rFonts w:ascii="Arial" w:eastAsia="Arial" w:hAnsi="Arial" w:cs="Arial"/>
          <w:color w:val="000000"/>
          <w:sz w:val="20"/>
        </w:rPr>
        <w:t>Francois sued the Hospital in the United States District Court for the Middle District of Louisiana. In the live complaint, Francois asserted claims against the Hospital under Section 504 of the Rehabilitation Act ("RA"), 29 U.S.C. § 794; Title III of the Americans with Disabilities Act ("ADA"), 42 U.S.C. § 12182; Section 1557 of the Patient Protection and Affordable Care Act ("ACA"), 42 U.S.C. § 18116; and the Louisiana Commission on Human Rights, La. Rev. Stat. § 51:2231. [**6]  Francois sought a declaratory judgment, injunctive relief, compensatory damages, costs and attorneys' fees, and any other relief necessary and appropriate. In February 2018, the district court dismissed Francois' state-law claims. In October 2019, Francois voluntarily dismissed his ADA claim. Only his RA and ACA claims remained. The Hospital filed for summary judgment on those two remaining claims.</w:t>
      </w:r>
    </w:p>
    <w:p w:rsidR="00022B47" w:rsidRDefault="00000000">
      <w:pPr>
        <w:pStyle w:val="Normal46"/>
        <w:widowControl w:val="0"/>
        <w:spacing w:before="200" w:line="260" w:lineRule="atLeast"/>
        <w:jc w:val="both"/>
      </w:pPr>
      <w:bookmarkStart w:id="7033" w:name="Bookmark_para_15_38"/>
      <w:bookmarkStart w:id="7034" w:name="Bookmark_I63G8T3P2D6N1J0020000400"/>
      <w:bookmarkEnd w:id="7033"/>
      <w:bookmarkEnd w:id="7034"/>
      <w:r>
        <w:rPr>
          <w:rFonts w:ascii="Arial" w:eastAsia="Arial" w:hAnsi="Arial" w:cs="Arial"/>
          <w:color w:val="000000"/>
          <w:sz w:val="20"/>
        </w:rPr>
        <w:t xml:space="preserve">After briefing, the district court granted summary judgment in favor of the Hospital. As for Francois compensatory-damages claims, the court held that Francois failed to establish the requisite intentional discrimination because he "failed to present evidence that [the Hospital's]  [*376]  staff had actual notice that [Francois'] rights were being violated." The court reasoned that the Hospital "made good faith efforts to accommodate [Francois] and believed that communication via written messages and family assistance was effective, especially considering [Francois] never indicated a lack of understanding or requested an interpreter or to meet with Deshotel." According to the court, the summary-judgment evidence "may demonstrate negligence or carelessness," but not intentional discrimination. As for [**7]  the injunctive-relief claims, the court held that Francois lacked standing because he failed to show an injury in fact. As for available damages, the court correctly observed that that emotional-distress damages are unavailable under </w:t>
      </w:r>
      <w:bookmarkStart w:id="7035" w:name="Bookmark_I63G8T3P2D6N1J0010000400"/>
      <w:bookmarkEnd w:id="7035"/>
      <w:r>
        <w:rPr>
          <w:rFonts w:ascii="Arial" w:eastAsia="Arial" w:hAnsi="Arial" w:cs="Arial"/>
          <w:i/>
          <w:color w:val="000000"/>
          <w:sz w:val="20"/>
        </w:rPr>
        <w:t>Cummings v. Premier Rehab Keller, P.L.L.C.</w:t>
      </w:r>
      <w:r>
        <w:rPr>
          <w:rFonts w:ascii="Arial" w:eastAsia="Arial" w:hAnsi="Arial" w:cs="Arial"/>
          <w:color w:val="000000"/>
          <w:sz w:val="20"/>
        </w:rPr>
        <w:t xml:space="preserve">, 948 F.3d 673 (5th Cir. 2020), </w:t>
      </w:r>
      <w:r>
        <w:rPr>
          <w:rFonts w:ascii="Arial" w:eastAsia="Arial" w:hAnsi="Arial" w:cs="Arial"/>
          <w:i/>
          <w:color w:val="000000"/>
          <w:sz w:val="20"/>
        </w:rPr>
        <w:t>cert. granted</w:t>
      </w:r>
      <w:r>
        <w:rPr>
          <w:rFonts w:ascii="Arial" w:eastAsia="Arial" w:hAnsi="Arial" w:cs="Arial"/>
          <w:color w:val="000000"/>
          <w:sz w:val="20"/>
        </w:rPr>
        <w:t xml:space="preserve">, </w:t>
      </w:r>
      <w:bookmarkStart w:id="7036" w:name="Bookmark_I63G8T3P2D6N1J0030000400"/>
      <w:bookmarkEnd w:id="7036"/>
      <w:r>
        <w:rPr>
          <w:rFonts w:ascii="Arial" w:eastAsia="Arial" w:hAnsi="Arial" w:cs="Arial"/>
          <w:color w:val="000000"/>
          <w:sz w:val="20"/>
        </w:rPr>
        <w:t>141 S. Ct. 2882, 210 L. Ed. 2d 989, 2021 U.S. LEXIS 3579, 2021 WL 2742781 (July 2, 2021) (No. 20-219). The district court then determined that compensatory damages for "denial of self-determination" are unavailable too.</w:t>
      </w:r>
      <w:r>
        <w:rPr>
          <w:rFonts w:ascii="Arial" w:eastAsia="Arial" w:hAnsi="Arial" w:cs="Arial"/>
          <w:vertAlign w:val="superscript"/>
        </w:rPr>
        <w:footnoteReference w:customMarkFollows="1" w:id="214"/>
        <w:t>2</w:t>
      </w:r>
    </w:p>
    <w:p w:rsidR="00022B47" w:rsidRDefault="00000000">
      <w:pPr>
        <w:pStyle w:val="Normal46"/>
        <w:widowControl w:val="0"/>
        <w:spacing w:before="200" w:line="260" w:lineRule="atLeast"/>
        <w:jc w:val="both"/>
      </w:pPr>
      <w:bookmarkStart w:id="7038" w:name="Bookmark_para_16_38"/>
      <w:bookmarkEnd w:id="7038"/>
      <w:r>
        <w:rPr>
          <w:rFonts w:ascii="Arial" w:eastAsia="Arial" w:hAnsi="Arial" w:cs="Arial"/>
          <w:color w:val="000000"/>
          <w:sz w:val="20"/>
        </w:rPr>
        <w:t>The district court dismissed all of Francois' remaining claims with prejudice and entered final judgment for the Hospital. Francois timely appealed.</w:t>
      </w:r>
    </w:p>
    <w:p w:rsidR="00022B47" w:rsidRDefault="00000000">
      <w:pPr>
        <w:pStyle w:val="Normal46"/>
        <w:widowControl w:val="0"/>
        <w:spacing w:before="120" w:line="260" w:lineRule="atLeast"/>
      </w:pPr>
      <w:r>
        <w:rPr>
          <w:rFonts w:ascii="Arial" w:eastAsia="Arial" w:hAnsi="Arial" w:cs="Arial"/>
          <w:color w:val="000000"/>
          <w:sz w:val="20"/>
        </w:rPr>
        <w:t>DISCUSSION</w:t>
      </w:r>
    </w:p>
    <w:p w:rsidR="00022B47" w:rsidRDefault="00000000">
      <w:pPr>
        <w:pStyle w:val="Normal46"/>
        <w:widowControl w:val="0"/>
        <w:spacing w:before="200" w:line="260" w:lineRule="atLeast"/>
        <w:jc w:val="both"/>
      </w:pPr>
      <w:bookmarkStart w:id="7039" w:name="Bookmark_para_17_37"/>
      <w:bookmarkStart w:id="7040" w:name="Bookmark_I63G8T4K2D6N5C0010000400"/>
      <w:bookmarkStart w:id="7041" w:name="Bookmark_LNHNREFclscc2_39"/>
      <w:bookmarkEnd w:id="7039"/>
      <w:bookmarkEnd w:id="7040"/>
      <w:bookmarkEnd w:id="7041"/>
      <w:r>
        <w:rPr>
          <w:rFonts w:ascii="Arial" w:eastAsia="Arial" w:hAnsi="Arial" w:cs="Arial"/>
          <w:color w:val="000000"/>
          <w:sz w:val="20"/>
        </w:rPr>
        <w:t xml:space="preserve">We review the grant of summary judgment </w:t>
      </w:r>
      <w:r>
        <w:rPr>
          <w:rFonts w:ascii="Arial" w:eastAsia="Arial" w:hAnsi="Arial" w:cs="Arial"/>
          <w:i/>
          <w:color w:val="000000"/>
          <w:sz w:val="20"/>
        </w:rPr>
        <w:t>de novo</w:t>
      </w:r>
      <w:r>
        <w:rPr>
          <w:rFonts w:ascii="Arial" w:eastAsia="Arial" w:hAnsi="Arial" w:cs="Arial"/>
          <w:color w:val="000000"/>
          <w:sz w:val="20"/>
        </w:rPr>
        <w:t xml:space="preserve">, applying the same standards as the district court. </w:t>
      </w:r>
      <w:bookmarkStart w:id="7042" w:name="Bookmark_I63G8T4K2D6N5C0030000400"/>
      <w:bookmarkStart w:id="7043" w:name="Bookmark_I63G8T3P2D6N1J0050000400"/>
      <w:bookmarkEnd w:id="7042"/>
      <w:bookmarkEnd w:id="7043"/>
      <w:r>
        <w:rPr>
          <w:rFonts w:ascii="Arial" w:eastAsia="Arial" w:hAnsi="Arial" w:cs="Arial"/>
          <w:i/>
          <w:color w:val="000000"/>
          <w:sz w:val="20"/>
        </w:rPr>
        <w:t>Smith v. Harris Cnty.</w:t>
      </w:r>
      <w:r>
        <w:rPr>
          <w:rFonts w:ascii="Arial" w:eastAsia="Arial" w:hAnsi="Arial" w:cs="Arial"/>
          <w:color w:val="000000"/>
          <w:sz w:val="20"/>
        </w:rPr>
        <w:t xml:space="preserve">, 956 F.3d 311, 316 (5th Cir. 2020). Summary judgment is appropriate "if the movant shows that there is no genuine dispute as to any material fact and the movant is entitled to judgment as a matter of law." </w:t>
      </w:r>
      <w:r>
        <w:rPr>
          <w:rFonts w:ascii="Arial" w:eastAsia="Arial" w:hAnsi="Arial" w:cs="Arial"/>
          <w:smallCaps/>
          <w:color w:val="000000"/>
          <w:sz w:val="20"/>
        </w:rPr>
        <w:t>Fed. R. Civ. P.</w:t>
      </w:r>
      <w:r>
        <w:rPr>
          <w:rFonts w:ascii="Arial" w:eastAsia="Arial" w:hAnsi="Arial" w:cs="Arial"/>
          <w:color w:val="000000"/>
          <w:sz w:val="20"/>
        </w:rPr>
        <w:t xml:space="preserve"> 56(a). </w:t>
      </w:r>
      <w:bookmarkStart w:id="7044" w:name="Bookmark_I63G8T4K2D6N5C0030000400_2"/>
      <w:bookmarkEnd w:id="7044"/>
      <w:r>
        <w:rPr>
          <w:rFonts w:ascii="Arial" w:eastAsia="Arial" w:hAnsi="Arial" w:cs="Arial"/>
          <w:color w:val="000000"/>
          <w:sz w:val="20"/>
        </w:rPr>
        <w:t xml:space="preserve">"A dispute is genuine if the evidence is such that a reasonable jury could return a verdict for the nonmoving party." </w:t>
      </w:r>
      <w:bookmarkStart w:id="7045" w:name="Bookmark_I63G8T4K2D6N5C0020000400"/>
      <w:bookmarkEnd w:id="7045"/>
      <w:r>
        <w:rPr>
          <w:rFonts w:ascii="Arial" w:eastAsia="Arial" w:hAnsi="Arial" w:cs="Arial"/>
          <w:i/>
          <w:color w:val="000000"/>
          <w:sz w:val="20"/>
        </w:rPr>
        <w:t>Dyer v. Houston</w:t>
      </w:r>
      <w:r>
        <w:rPr>
          <w:rFonts w:ascii="Arial" w:eastAsia="Arial" w:hAnsi="Arial" w:cs="Arial"/>
          <w:color w:val="000000"/>
          <w:sz w:val="20"/>
        </w:rPr>
        <w:t xml:space="preserve">, 964 F.3d 374, 379 (5th Cir. 2020). </w:t>
      </w:r>
      <w:bookmarkStart w:id="7046" w:name="Bookmark_I63G8T4K2D6N5C0050000400"/>
      <w:bookmarkEnd w:id="7046"/>
      <w:r>
        <w:rPr>
          <w:rFonts w:ascii="Arial" w:eastAsia="Arial" w:hAnsi="Arial" w:cs="Arial"/>
          <w:color w:val="000000"/>
          <w:sz w:val="20"/>
        </w:rPr>
        <w:t xml:space="preserve">"A fact [**8]  is material if its resolution could affect the outcome of the action." </w:t>
      </w:r>
      <w:r>
        <w:rPr>
          <w:rFonts w:ascii="Arial" w:eastAsia="Arial" w:hAnsi="Arial" w:cs="Arial"/>
          <w:i/>
          <w:color w:val="000000"/>
          <w:sz w:val="20"/>
        </w:rPr>
        <w:t>Id.</w:t>
      </w:r>
      <w:r>
        <w:rPr>
          <w:rFonts w:ascii="Arial" w:eastAsia="Arial" w:hAnsi="Arial" w:cs="Arial"/>
          <w:color w:val="000000"/>
          <w:sz w:val="20"/>
        </w:rPr>
        <w:t xml:space="preserve"> (quotation marks and citation omitted). </w:t>
      </w:r>
      <w:bookmarkStart w:id="7047" w:name="Bookmark_LNHNREFclscc3_39"/>
      <w:bookmarkEnd w:id="7047"/>
      <w:r>
        <w:rPr>
          <w:rFonts w:ascii="Arial" w:eastAsia="Arial" w:hAnsi="Arial" w:cs="Arial"/>
          <w:color w:val="000000"/>
          <w:sz w:val="20"/>
        </w:rPr>
        <w:t xml:space="preserve">On appeal from summary judgment, we view the facts in the light most favorable to the nonmoving party and draw all reasonable inferences in its favor. </w:t>
      </w:r>
      <w:bookmarkStart w:id="7048" w:name="Bookmark_I63G8T4K2D6N5C0040000400"/>
      <w:bookmarkEnd w:id="7048"/>
      <w:r>
        <w:rPr>
          <w:rFonts w:ascii="Arial" w:eastAsia="Arial" w:hAnsi="Arial" w:cs="Arial"/>
          <w:i/>
          <w:color w:val="000000"/>
          <w:sz w:val="20"/>
        </w:rPr>
        <w:t>SEC v. Kahlon</w:t>
      </w:r>
      <w:r>
        <w:rPr>
          <w:rFonts w:ascii="Arial" w:eastAsia="Arial" w:hAnsi="Arial" w:cs="Arial"/>
          <w:color w:val="000000"/>
          <w:sz w:val="20"/>
        </w:rPr>
        <w:t>, 873 F.3d 500, 504 (5th Cir. 2017).</w:t>
      </w:r>
    </w:p>
    <w:p w:rsidR="00022B47" w:rsidRDefault="00000000">
      <w:pPr>
        <w:pStyle w:val="Normal46"/>
        <w:widowControl w:val="0"/>
        <w:spacing w:before="200" w:line="260" w:lineRule="atLeast"/>
        <w:jc w:val="both"/>
      </w:pPr>
      <w:bookmarkStart w:id="7049" w:name="Bookmark_para_18_36"/>
      <w:bookmarkEnd w:id="7049"/>
      <w:r>
        <w:rPr>
          <w:rFonts w:ascii="Arial" w:eastAsia="Arial" w:hAnsi="Arial" w:cs="Arial"/>
          <w:color w:val="000000"/>
          <w:sz w:val="20"/>
        </w:rPr>
        <w:t>Francois contends that his need for an on-site interpreter was "open and obvious" and that the Hospital's failure to provide one until April 16 constitutes intentional discrimination. He claims that, because of the Hospital's delay in providing an on-site interpreter, Francois did not understand until the sixth day in the Hospital that he was paralyzed and wrongfully believed that he would have surgery and walk again.</w:t>
      </w:r>
    </w:p>
    <w:p w:rsidR="00022B47" w:rsidRDefault="00000000">
      <w:pPr>
        <w:pStyle w:val="Normal46"/>
        <w:widowControl w:val="0"/>
        <w:spacing w:before="200" w:line="260" w:lineRule="atLeast"/>
        <w:jc w:val="both"/>
      </w:pPr>
      <w:bookmarkStart w:id="7050" w:name="Bookmark_para_19_35"/>
      <w:bookmarkEnd w:id="7050"/>
      <w:r>
        <w:rPr>
          <w:rFonts w:ascii="Arial" w:eastAsia="Arial" w:hAnsi="Arial" w:cs="Arial"/>
          <w:color w:val="000000"/>
          <w:sz w:val="20"/>
        </w:rPr>
        <w:t>The Hospital disagrees with Francois' view of the evidence. It asserts that the evidence shows that its staff had no reason to know that their means of communication were ineffective. The Hospital contends that an on-site interpreter was not requested until April 15, and at no time did Francois' nurses or Deshotel have reason to believe that an on-site interpreter was necessary. The Hospital's position is that it took reasonable steps to accommodate Francois and [**9]  arranged for an on-site interpreter as soon as it learned of Francois' need for one.</w:t>
      </w:r>
    </w:p>
    <w:p w:rsidR="00022B47" w:rsidRDefault="00000000">
      <w:pPr>
        <w:pStyle w:val="Normal46"/>
        <w:widowControl w:val="0"/>
        <w:spacing w:before="200" w:line="260" w:lineRule="atLeast"/>
        <w:jc w:val="both"/>
      </w:pPr>
      <w:bookmarkStart w:id="7051" w:name="Bookmark_para_20_35"/>
      <w:bookmarkEnd w:id="7051"/>
      <w:r>
        <w:rPr>
          <w:rFonts w:ascii="Arial" w:eastAsia="Arial" w:hAnsi="Arial" w:cs="Arial"/>
          <w:color w:val="000000"/>
          <w:sz w:val="20"/>
        </w:rPr>
        <w:t>First, we will explain the analytical frameworks for Francois' claims for disability discrimination under Section 504 of the RA and Section 1557 of the ACA.  [*377]  Second, we will analyze whether Francois presented sufficient evidence to survive summary judgment. We conclude that Francois failed to make a summary-judgment showing of intentional discrimination because the evidence, viewed in the light most favorable to Francois, is not sufficient for a reasonable jury to determine that the Hospital had actual knowledge of the need for an on-site interpreter.</w:t>
      </w:r>
    </w:p>
    <w:p w:rsidR="00022B47" w:rsidRDefault="00000000">
      <w:pPr>
        <w:pStyle w:val="Normal46"/>
        <w:widowControl w:val="0"/>
        <w:spacing w:before="240" w:line="260" w:lineRule="atLeast"/>
      </w:pPr>
      <w:r>
        <w:br/>
      </w:r>
      <w:r>
        <w:rPr>
          <w:rFonts w:ascii="Arial" w:eastAsia="Arial" w:hAnsi="Arial" w:cs="Arial"/>
          <w:i/>
          <w:color w:val="000000"/>
          <w:sz w:val="20"/>
        </w:rPr>
        <w:t>I. The analytical frameworks</w:t>
      </w:r>
    </w:p>
    <w:p w:rsidR="00022B47" w:rsidRDefault="00000000">
      <w:pPr>
        <w:pStyle w:val="Normal46"/>
        <w:widowControl w:val="0"/>
        <w:spacing w:before="200" w:line="260" w:lineRule="atLeast"/>
        <w:jc w:val="both"/>
      </w:pPr>
      <w:bookmarkStart w:id="7052" w:name="Bookmark_para_21_34"/>
      <w:bookmarkStart w:id="7053" w:name="Bookmark_LNHNREFclscc4_39"/>
      <w:bookmarkEnd w:id="7052"/>
      <w:bookmarkEnd w:id="7053"/>
      <w:r>
        <w:rPr>
          <w:rFonts w:ascii="Arial" w:eastAsia="Arial" w:hAnsi="Arial" w:cs="Arial"/>
          <w:color w:val="000000"/>
          <w:sz w:val="20"/>
        </w:rPr>
        <w:t>Section 504 of the RA prohibits disability discrimination by recipients of federal funds. 29 U.S.C. § 794(a).</w:t>
      </w:r>
      <w:r>
        <w:rPr>
          <w:rFonts w:ascii="Arial" w:eastAsia="Arial" w:hAnsi="Arial" w:cs="Arial"/>
          <w:vertAlign w:val="superscript"/>
        </w:rPr>
        <w:footnoteReference w:customMarkFollows="1" w:id="215"/>
        <w:t>3</w:t>
      </w:r>
      <w:r>
        <w:rPr>
          <w:rFonts w:ascii="Arial" w:eastAsia="Arial" w:hAnsi="Arial" w:cs="Arial"/>
          <w:color w:val="000000"/>
          <w:sz w:val="20"/>
        </w:rPr>
        <w:t xml:space="preserve"> The RA's implementing regulations provide additional requirements and guidance. </w:t>
      </w:r>
      <w:bookmarkStart w:id="7056" w:name="Bookmark_I63G8T4M2D6N5J0020000400"/>
      <w:bookmarkEnd w:id="7056"/>
      <w:r>
        <w:rPr>
          <w:rFonts w:ascii="Arial" w:eastAsia="Arial" w:hAnsi="Arial" w:cs="Arial"/>
          <w:color w:val="000000"/>
          <w:sz w:val="20"/>
        </w:rPr>
        <w:t xml:space="preserve">First, a recipient of federal funds must "provide </w:t>
      </w:r>
      <w:r>
        <w:rPr>
          <w:rFonts w:ascii="Arial" w:eastAsia="Arial" w:hAnsi="Arial" w:cs="Arial"/>
          <w:i/>
          <w:color w:val="000000"/>
          <w:sz w:val="20"/>
        </w:rPr>
        <w:t>appropriate</w:t>
      </w:r>
      <w:r>
        <w:rPr>
          <w:rFonts w:ascii="Arial" w:eastAsia="Arial" w:hAnsi="Arial" w:cs="Arial"/>
          <w:color w:val="000000"/>
          <w:sz w:val="20"/>
        </w:rPr>
        <w:t xml:space="preserve"> auxiliary aids to persons with impaired sensory, manual, or speaking skills, where </w:t>
      </w:r>
      <w:r>
        <w:rPr>
          <w:rFonts w:ascii="Arial" w:eastAsia="Arial" w:hAnsi="Arial" w:cs="Arial"/>
          <w:i/>
          <w:color w:val="000000"/>
          <w:sz w:val="20"/>
        </w:rPr>
        <w:t>necessary</w:t>
      </w:r>
      <w:r>
        <w:rPr>
          <w:rFonts w:ascii="Arial" w:eastAsia="Arial" w:hAnsi="Arial" w:cs="Arial"/>
          <w:color w:val="000000"/>
          <w:sz w:val="20"/>
        </w:rPr>
        <w:t xml:space="preserve"> to afford such persons an equal opportunity to benefit from the service in question." 45 C.F.R. § 84.52(d)(1)  [*378]  (emphasis added). Second, "aids, benefits, and services, to be equally effective, [**10]  are not required to produce the identical result or level of achievement for handicapped and nonhandicapped persons, but must afford handicapped persons </w:t>
      </w:r>
      <w:r>
        <w:rPr>
          <w:rFonts w:ascii="Arial" w:eastAsia="Arial" w:hAnsi="Arial" w:cs="Arial"/>
          <w:i/>
          <w:color w:val="000000"/>
          <w:sz w:val="20"/>
        </w:rPr>
        <w:t>equal opportunity</w:t>
      </w:r>
      <w:r>
        <w:rPr>
          <w:rFonts w:ascii="Arial" w:eastAsia="Arial" w:hAnsi="Arial" w:cs="Arial"/>
          <w:color w:val="000000"/>
          <w:sz w:val="20"/>
        </w:rPr>
        <w:t xml:space="preserve"> to obtain the same result, to gain the same benefit, or to reach the same level of achievement, in the most integrated setting appropriate to the person's needs." </w:t>
      </w:r>
      <w:r>
        <w:rPr>
          <w:rFonts w:ascii="Arial" w:eastAsia="Arial" w:hAnsi="Arial" w:cs="Arial"/>
          <w:i/>
          <w:color w:val="000000"/>
          <w:sz w:val="20"/>
        </w:rPr>
        <w:t>Id.</w:t>
      </w:r>
      <w:r>
        <w:rPr>
          <w:rFonts w:ascii="Arial" w:eastAsia="Arial" w:hAnsi="Arial" w:cs="Arial"/>
          <w:color w:val="000000"/>
          <w:sz w:val="20"/>
        </w:rPr>
        <w:t xml:space="preserve"> § 84.4(b)(2). "The remedies, procedures, and rights available under the Rehabilitation Act parallel those available under the ADA." </w:t>
      </w:r>
      <w:bookmarkStart w:id="7057" w:name="Bookmark_I63G8T4M2D6N5J0010000400"/>
      <w:bookmarkEnd w:id="7057"/>
      <w:r>
        <w:rPr>
          <w:rFonts w:ascii="Arial" w:eastAsia="Arial" w:hAnsi="Arial" w:cs="Arial"/>
          <w:i/>
          <w:color w:val="000000"/>
          <w:sz w:val="20"/>
        </w:rPr>
        <w:t>Cadena v. El Paso Cnty.</w:t>
      </w:r>
      <w:r>
        <w:rPr>
          <w:rFonts w:ascii="Arial" w:eastAsia="Arial" w:hAnsi="Arial" w:cs="Arial"/>
          <w:color w:val="000000"/>
          <w:sz w:val="20"/>
        </w:rPr>
        <w:t xml:space="preserve">, 946 F.3d 717, 723 (5th Cir. 2020). Thus, precedent interpreting or applying the ADA applies with equal force to a claim under the RA. </w:t>
      </w:r>
      <w:r>
        <w:rPr>
          <w:rFonts w:ascii="Arial" w:eastAsia="Arial" w:hAnsi="Arial" w:cs="Arial"/>
          <w:i/>
          <w:color w:val="000000"/>
          <w:sz w:val="20"/>
        </w:rPr>
        <w:t>Id.</w:t>
      </w:r>
    </w:p>
    <w:p w:rsidR="00022B47" w:rsidRDefault="00000000">
      <w:pPr>
        <w:pStyle w:val="Normal46"/>
        <w:widowControl w:val="0"/>
        <w:spacing w:before="200" w:line="260" w:lineRule="atLeast"/>
        <w:jc w:val="both"/>
      </w:pPr>
      <w:bookmarkStart w:id="7058" w:name="Bookmark_para_23_31"/>
      <w:bookmarkStart w:id="7059" w:name="Bookmark_LNHNREFclscc5_38"/>
      <w:bookmarkEnd w:id="7058"/>
      <w:bookmarkEnd w:id="7059"/>
      <w:r>
        <w:rPr>
          <w:rFonts w:ascii="Arial" w:eastAsia="Arial" w:hAnsi="Arial" w:cs="Arial"/>
          <w:color w:val="000000"/>
          <w:sz w:val="20"/>
        </w:rPr>
        <w:t>Section 1557 of the ACA prohibits discrimination based on any of the grounds protected under Title VI, Title IX, the Age Discrimination [**11]  Act, and the RA, during the provision of health care. 42 U.S.C. § 18116(a).</w:t>
      </w:r>
      <w:r>
        <w:rPr>
          <w:rFonts w:ascii="Arial" w:eastAsia="Arial" w:hAnsi="Arial" w:cs="Arial"/>
          <w:vertAlign w:val="superscript"/>
        </w:rPr>
        <w:footnoteReference w:customMarkFollows="1" w:id="216"/>
        <w:t>4</w:t>
      </w:r>
      <w:r>
        <w:rPr>
          <w:rFonts w:ascii="Arial" w:eastAsia="Arial" w:hAnsi="Arial" w:cs="Arial"/>
          <w:color w:val="000000"/>
          <w:sz w:val="20"/>
        </w:rPr>
        <w:t xml:space="preserve"> The ACA's implementing regulations also provide additional requirements and guidance. First, a health program or activity receiving federal funds must "provide </w:t>
      </w:r>
      <w:r>
        <w:rPr>
          <w:rFonts w:ascii="Arial" w:eastAsia="Arial" w:hAnsi="Arial" w:cs="Arial"/>
          <w:i/>
          <w:color w:val="000000"/>
          <w:sz w:val="20"/>
        </w:rPr>
        <w:t>appropriate</w:t>
      </w:r>
      <w:r>
        <w:rPr>
          <w:rFonts w:ascii="Arial" w:eastAsia="Arial" w:hAnsi="Arial" w:cs="Arial"/>
          <w:color w:val="000000"/>
          <w:sz w:val="20"/>
        </w:rPr>
        <w:t xml:space="preserve"> auxiliary aids and services, including interpreters and information in alternate formats, to individuals with impaired sensory, manual, or speaking skills, where </w:t>
      </w:r>
      <w:r>
        <w:rPr>
          <w:rFonts w:ascii="Arial" w:eastAsia="Arial" w:hAnsi="Arial" w:cs="Arial"/>
          <w:i/>
          <w:color w:val="000000"/>
          <w:sz w:val="20"/>
        </w:rPr>
        <w:t>necessary</w:t>
      </w:r>
      <w:r>
        <w:rPr>
          <w:rFonts w:ascii="Arial" w:eastAsia="Arial" w:hAnsi="Arial" w:cs="Arial"/>
          <w:color w:val="000000"/>
          <w:sz w:val="20"/>
        </w:rPr>
        <w:t xml:space="preserve"> to afford such persons an equal opportunity to benefit from the service in question." 45 C.F.R. § 92.102(b) (emphasis added). Under the ACA, auxiliary aids include, among other things, "[i]nterpreters on-site or through video remote interpreting (VRI) services," "note takers," "written materials," "exchange of written notes," and "other effective methods of making aurally delivered information available to individuals who are deaf or hard of hearing." </w:t>
      </w:r>
      <w:r>
        <w:rPr>
          <w:rFonts w:ascii="Arial" w:eastAsia="Arial" w:hAnsi="Arial" w:cs="Arial"/>
          <w:i/>
          <w:color w:val="000000"/>
          <w:sz w:val="20"/>
        </w:rPr>
        <w:t>Id.</w:t>
      </w:r>
      <w:r>
        <w:rPr>
          <w:rFonts w:ascii="Arial" w:eastAsia="Arial" w:hAnsi="Arial" w:cs="Arial"/>
          <w:color w:val="000000"/>
          <w:sz w:val="20"/>
        </w:rPr>
        <w:t xml:space="preserve"> § 92.102(b)(1)(i).</w:t>
      </w:r>
    </w:p>
    <w:p w:rsidR="00022B47" w:rsidRDefault="00000000">
      <w:pPr>
        <w:pStyle w:val="Normal46"/>
        <w:widowControl w:val="0"/>
        <w:spacing w:before="200" w:line="260" w:lineRule="atLeast"/>
        <w:jc w:val="both"/>
      </w:pPr>
      <w:bookmarkStart w:id="7062" w:name="Bookmark_para_25_28"/>
      <w:bookmarkStart w:id="7063" w:name="Bookmark_I63G8T4M2D6N5J0040000400"/>
      <w:bookmarkEnd w:id="7062"/>
      <w:bookmarkEnd w:id="7063"/>
      <w:r>
        <w:rPr>
          <w:rFonts w:ascii="Arial" w:eastAsia="Arial" w:hAnsi="Arial" w:cs="Arial"/>
          <w:color w:val="000000"/>
          <w:sz w:val="20"/>
        </w:rPr>
        <w:t xml:space="preserve">Section 504 of the RA and Section 1557 of the ACA provide private causes of action. </w:t>
      </w:r>
      <w:r>
        <w:rPr>
          <w:rFonts w:ascii="Arial" w:eastAsia="Arial" w:hAnsi="Arial" w:cs="Arial"/>
          <w:i/>
          <w:color w:val="000000"/>
          <w:sz w:val="20"/>
        </w:rPr>
        <w:t>See</w:t>
      </w:r>
      <w:r>
        <w:rPr>
          <w:rFonts w:ascii="Arial" w:eastAsia="Arial" w:hAnsi="Arial" w:cs="Arial"/>
          <w:color w:val="000000"/>
          <w:sz w:val="20"/>
        </w:rPr>
        <w:t xml:space="preserve"> RA, 29 U.S.C. § 794a; ACA, 42 U.S.C. § 18116(a) (incorporating the "enforcement mechanisms" of the other civil rights statutes). </w:t>
      </w:r>
      <w:bookmarkStart w:id="7064" w:name="Bookmark_LNHNREFclscc6_32"/>
      <w:bookmarkEnd w:id="7064"/>
      <w:r>
        <w:rPr>
          <w:rFonts w:ascii="Arial" w:eastAsia="Arial" w:hAnsi="Arial" w:cs="Arial"/>
          <w:color w:val="000000"/>
          <w:sz w:val="20"/>
        </w:rPr>
        <w:t xml:space="preserve">For disability-discrimination claims, the ACA incorporates the substantive analytical framework of the RA. </w:t>
      </w:r>
      <w:bookmarkStart w:id="7065" w:name="Bookmark_I63G8T4M2D6N5J0030000400"/>
      <w:bookmarkEnd w:id="7065"/>
      <w:r>
        <w:rPr>
          <w:rFonts w:ascii="Arial" w:eastAsia="Arial" w:hAnsi="Arial" w:cs="Arial"/>
          <w:i/>
          <w:color w:val="000000"/>
          <w:sz w:val="20"/>
        </w:rPr>
        <w:t>Doe v. BlueCross BlueShield of Tenn., Inc.</w:t>
      </w:r>
      <w:r>
        <w:rPr>
          <w:rFonts w:ascii="Arial" w:eastAsia="Arial" w:hAnsi="Arial" w:cs="Arial"/>
          <w:color w:val="000000"/>
          <w:sz w:val="20"/>
        </w:rPr>
        <w:t>, 926 F.3d 235, 239 (6th Cir. 2019) ("By referring to four statutes, Congress incorporated the legal standards that define discrimination under each one.").</w:t>
      </w:r>
      <w:r>
        <w:rPr>
          <w:rFonts w:ascii="Arial" w:eastAsia="Arial" w:hAnsi="Arial" w:cs="Arial"/>
          <w:vertAlign w:val="superscript"/>
        </w:rPr>
        <w:footnoteReference w:customMarkFollows="1" w:id="217"/>
        <w:t>5</w:t>
      </w:r>
      <w:r>
        <w:rPr>
          <w:rFonts w:ascii="Arial" w:eastAsia="Arial" w:hAnsi="Arial" w:cs="Arial"/>
          <w:color w:val="000000"/>
          <w:sz w:val="20"/>
        </w:rPr>
        <w:t xml:space="preserve"> Accordingly, we will analyze Francois' [**13]  RA and ACA claims together.</w:t>
      </w:r>
    </w:p>
    <w:p w:rsidR="00022B47" w:rsidRDefault="00000000">
      <w:pPr>
        <w:pStyle w:val="Normal46"/>
        <w:widowControl w:val="0"/>
        <w:spacing w:before="200" w:line="260" w:lineRule="atLeast"/>
        <w:jc w:val="both"/>
      </w:pPr>
      <w:bookmarkStart w:id="7070" w:name="Bookmark_para_26_26"/>
      <w:bookmarkStart w:id="7071" w:name="Bookmark_I63G8T4N2D6N5N0050000400"/>
      <w:bookmarkStart w:id="7072" w:name="Bookmark_LNHNREFclscc7_31"/>
      <w:bookmarkEnd w:id="7070"/>
      <w:bookmarkEnd w:id="7071"/>
      <w:bookmarkEnd w:id="7072"/>
      <w:r>
        <w:rPr>
          <w:rFonts w:ascii="Arial" w:eastAsia="Arial" w:hAnsi="Arial" w:cs="Arial"/>
          <w:color w:val="000000"/>
          <w:sz w:val="20"/>
        </w:rPr>
        <w:t xml:space="preserve">To establish a </w:t>
      </w:r>
      <w:r>
        <w:rPr>
          <w:rFonts w:ascii="Arial" w:eastAsia="Arial" w:hAnsi="Arial" w:cs="Arial"/>
          <w:i/>
          <w:color w:val="000000"/>
          <w:sz w:val="20"/>
        </w:rPr>
        <w:t>prima facie</w:t>
      </w:r>
      <w:r>
        <w:rPr>
          <w:rFonts w:ascii="Arial" w:eastAsia="Arial" w:hAnsi="Arial" w:cs="Arial"/>
          <w:color w:val="000000"/>
          <w:sz w:val="20"/>
        </w:rPr>
        <w:t xml:space="preserve"> case for disability discrimination under the RA, and by extension the ACA, a plaintiff must show that: (1) he has a qualifying disability; (2) he is being excluded from participation in, denied the benefits of, or otherwise discriminated against by a covered entity; and (3) such discrimination is by reason of his disability. </w:t>
      </w:r>
      <w:bookmarkStart w:id="7073" w:name="Bookmark_I63G8T4N2D6N5T0020000400"/>
      <w:bookmarkStart w:id="7074" w:name="Bookmark_I63G8T4N2D6N5N0040000400"/>
      <w:bookmarkEnd w:id="7073"/>
      <w:bookmarkEnd w:id="7074"/>
      <w:r>
        <w:rPr>
          <w:rFonts w:ascii="Arial" w:eastAsia="Arial" w:hAnsi="Arial" w:cs="Arial"/>
          <w:i/>
          <w:color w:val="000000"/>
          <w:sz w:val="20"/>
        </w:rPr>
        <w:t>Miraglia v. Bd. of Supervisors of La. State Museum</w:t>
      </w:r>
      <w:r>
        <w:rPr>
          <w:rFonts w:ascii="Arial" w:eastAsia="Arial" w:hAnsi="Arial" w:cs="Arial"/>
          <w:color w:val="000000"/>
          <w:sz w:val="20"/>
        </w:rPr>
        <w:t xml:space="preserve">, 901 F.3d 565, 574 (5th Cir. 2018). </w:t>
      </w:r>
      <w:bookmarkStart w:id="7075" w:name="Bookmark_I63G8T4N2D6N5T0040000400"/>
      <w:bookmarkEnd w:id="7075"/>
      <w:r>
        <w:rPr>
          <w:rFonts w:ascii="Arial" w:eastAsia="Arial" w:hAnsi="Arial" w:cs="Arial"/>
          <w:color w:val="000000"/>
          <w:sz w:val="20"/>
        </w:rPr>
        <w:t xml:space="preserve">A </w:t>
      </w:r>
      <w:r>
        <w:rPr>
          <w:rFonts w:ascii="Arial" w:eastAsia="Arial" w:hAnsi="Arial" w:cs="Arial"/>
          <w:i/>
          <w:color w:val="000000"/>
          <w:sz w:val="20"/>
        </w:rPr>
        <w:t>prima facie</w:t>
      </w:r>
      <w:r>
        <w:rPr>
          <w:rFonts w:ascii="Arial" w:eastAsia="Arial" w:hAnsi="Arial" w:cs="Arial"/>
          <w:color w:val="000000"/>
          <w:sz w:val="20"/>
        </w:rPr>
        <w:t xml:space="preserve"> case requires evidence that the plaintiff's disability, limitation, and necessary reasonable accommodation were "known by" the covered entity. </w:t>
      </w:r>
      <w:bookmarkStart w:id="7076" w:name="Bookmark_I63G8T4N2D6N5T0040000400_2"/>
      <w:bookmarkStart w:id="7077" w:name="Bookmark_I63G8T4N2D6N5T0020000400_2"/>
      <w:bookmarkStart w:id="7078" w:name="Bookmark_I63G8T4N2SF85B0010000400"/>
      <w:bookmarkStart w:id="7079" w:name="Bookmark_I63G8T4N2D6N5T0010000400"/>
      <w:bookmarkEnd w:id="7076"/>
      <w:bookmarkEnd w:id="7077"/>
      <w:bookmarkEnd w:id="7078"/>
      <w:bookmarkEnd w:id="7079"/>
      <w:r>
        <w:rPr>
          <w:rFonts w:ascii="Arial" w:eastAsia="Arial" w:hAnsi="Arial" w:cs="Arial"/>
          <w:i/>
          <w:color w:val="000000"/>
          <w:sz w:val="20"/>
        </w:rPr>
        <w:t>Windham v. Harris Cnty.</w:t>
      </w:r>
      <w:r>
        <w:rPr>
          <w:rFonts w:ascii="Arial" w:eastAsia="Arial" w:hAnsi="Arial" w:cs="Arial"/>
          <w:color w:val="000000"/>
          <w:sz w:val="20"/>
        </w:rPr>
        <w:t xml:space="preserve">, 875 F.3d 229, 236 (5th Cir. 2017). </w:t>
      </w:r>
      <w:bookmarkStart w:id="7080" w:name="Bookmark_I63G8T4N2SF85B0010000400_2"/>
      <w:bookmarkEnd w:id="7080"/>
      <w:r>
        <w:rPr>
          <w:rFonts w:ascii="Arial" w:eastAsia="Arial" w:hAnsi="Arial" w:cs="Arial"/>
          <w:color w:val="000000"/>
          <w:sz w:val="20"/>
        </w:rPr>
        <w:t xml:space="preserve">"Plaintiffs ordinarily satisfy the knowledge element by showing that they identified their disabilities as well as the resulting limitations to [the covered] entity or its employees and requested an accommodation in direct and specific terms." </w:t>
      </w:r>
      <w:bookmarkStart w:id="7081" w:name="Bookmark_I63G8T4N2D6N5T0030000400"/>
      <w:bookmarkEnd w:id="7081"/>
      <w:r>
        <w:rPr>
          <w:rFonts w:ascii="Arial" w:eastAsia="Arial" w:hAnsi="Arial" w:cs="Arial"/>
          <w:i/>
          <w:color w:val="000000"/>
          <w:sz w:val="20"/>
        </w:rPr>
        <w:t>Smith</w:t>
      </w:r>
      <w:r>
        <w:rPr>
          <w:rFonts w:ascii="Arial" w:eastAsia="Arial" w:hAnsi="Arial" w:cs="Arial"/>
          <w:color w:val="000000"/>
          <w:sz w:val="20"/>
        </w:rPr>
        <w:t xml:space="preserve">, 956 F.3d at 317. </w:t>
      </w:r>
      <w:bookmarkStart w:id="7082" w:name="Bookmark_I63G8T4N2SF85B0010000400_3"/>
      <w:bookmarkEnd w:id="7082"/>
      <w:r>
        <w:rPr>
          <w:rFonts w:ascii="Arial" w:eastAsia="Arial" w:hAnsi="Arial" w:cs="Arial"/>
          <w:color w:val="000000"/>
          <w:sz w:val="20"/>
        </w:rPr>
        <w:t xml:space="preserve">"When a plaintiff fails to request an accommodation in this manner, he can prevail only by showing that [**14]  'the disability, resulting limitation, and necessary reasonable accommodation' were 'open, obvious, and apparent,' to the entity's relevant agents." </w:t>
      </w:r>
      <w:bookmarkStart w:id="7083" w:name="Bookmark_I63G8T4N2D6N5T0050000400"/>
      <w:bookmarkEnd w:id="7083"/>
      <w:r>
        <w:rPr>
          <w:rFonts w:ascii="Arial" w:eastAsia="Arial" w:hAnsi="Arial" w:cs="Arial"/>
          <w:i/>
          <w:color w:val="000000"/>
          <w:sz w:val="20"/>
        </w:rPr>
        <w:t>Windham</w:t>
      </w:r>
      <w:r>
        <w:rPr>
          <w:rFonts w:ascii="Arial" w:eastAsia="Arial" w:hAnsi="Arial" w:cs="Arial"/>
          <w:color w:val="000000"/>
          <w:sz w:val="20"/>
        </w:rPr>
        <w:t>, 875 F.3d at 237.</w:t>
      </w:r>
      <w:r>
        <w:rPr>
          <w:rFonts w:ascii="Arial" w:eastAsia="Arial" w:hAnsi="Arial" w:cs="Arial"/>
          <w:vertAlign w:val="superscript"/>
        </w:rPr>
        <w:footnoteReference w:customMarkFollows="1" w:id="218"/>
        <w:t>6</w:t>
      </w:r>
    </w:p>
    <w:p w:rsidR="00022B47" w:rsidRDefault="00000000">
      <w:pPr>
        <w:pStyle w:val="Normal46"/>
        <w:widowControl w:val="0"/>
        <w:spacing w:before="200" w:line="260" w:lineRule="atLeast"/>
        <w:jc w:val="both"/>
      </w:pPr>
      <w:bookmarkStart w:id="7087" w:name="Bookmark_para_27_24"/>
      <w:bookmarkStart w:id="7088" w:name="Bookmark_I63G8T4N2SF85B0050000400"/>
      <w:bookmarkStart w:id="7089" w:name="Bookmark_LNHNREFclscc8_28"/>
      <w:bookmarkEnd w:id="7087"/>
      <w:bookmarkEnd w:id="7088"/>
      <w:bookmarkEnd w:id="7089"/>
      <w:r>
        <w:rPr>
          <w:rFonts w:ascii="Arial" w:eastAsia="Arial" w:hAnsi="Arial" w:cs="Arial"/>
          <w:color w:val="000000"/>
          <w:sz w:val="20"/>
        </w:rPr>
        <w:t xml:space="preserve">Establishing a </w:t>
      </w:r>
      <w:r>
        <w:rPr>
          <w:rFonts w:ascii="Arial" w:eastAsia="Arial" w:hAnsi="Arial" w:cs="Arial"/>
          <w:i/>
          <w:color w:val="000000"/>
          <w:sz w:val="20"/>
        </w:rPr>
        <w:t>prima facie</w:t>
      </w:r>
      <w:r>
        <w:rPr>
          <w:rFonts w:ascii="Arial" w:eastAsia="Arial" w:hAnsi="Arial" w:cs="Arial"/>
          <w:color w:val="000000"/>
          <w:sz w:val="20"/>
        </w:rPr>
        <w:t xml:space="preserve"> case entitles a plaintiff to pursue equitable relief. </w:t>
      </w:r>
      <w:bookmarkStart w:id="7090" w:name="Bookmark_I63G8T4N2SF85B0040000400"/>
      <w:bookmarkEnd w:id="7090"/>
      <w:r>
        <w:rPr>
          <w:rFonts w:ascii="Arial" w:eastAsia="Arial" w:hAnsi="Arial" w:cs="Arial"/>
          <w:i/>
          <w:color w:val="000000"/>
          <w:sz w:val="20"/>
        </w:rPr>
        <w:t>Miraglia</w:t>
      </w:r>
      <w:r>
        <w:rPr>
          <w:rFonts w:ascii="Arial" w:eastAsia="Arial" w:hAnsi="Arial" w:cs="Arial"/>
          <w:color w:val="000000"/>
          <w:sz w:val="20"/>
        </w:rPr>
        <w:t xml:space="preserve">, 901 F.3d at 574. </w:t>
      </w:r>
      <w:bookmarkStart w:id="7091" w:name="Bookmark_I63G8T4N2D6N5V0020000400"/>
      <w:bookmarkEnd w:id="7091"/>
      <w:r>
        <w:rPr>
          <w:rFonts w:ascii="Arial" w:eastAsia="Arial" w:hAnsi="Arial" w:cs="Arial"/>
          <w:color w:val="000000"/>
          <w:sz w:val="20"/>
        </w:rPr>
        <w:t xml:space="preserve">Compensatory damages, however, require a showing of intentional discrimination. </w:t>
      </w:r>
      <w:bookmarkStart w:id="7092" w:name="Bookmark_I63G8T4N2D6N5V0020000400_2"/>
      <w:bookmarkEnd w:id="7092"/>
      <w:r>
        <w:rPr>
          <w:rFonts w:ascii="Arial" w:eastAsia="Arial" w:hAnsi="Arial" w:cs="Arial"/>
          <w:i/>
          <w:color w:val="000000"/>
          <w:sz w:val="20"/>
        </w:rPr>
        <w:t>Id.</w:t>
      </w:r>
      <w:r>
        <w:rPr>
          <w:rFonts w:ascii="Arial" w:eastAsia="Arial" w:hAnsi="Arial" w:cs="Arial"/>
          <w:color w:val="000000"/>
          <w:sz w:val="20"/>
        </w:rPr>
        <w:t xml:space="preserve"> This circuit has declined to "delineate the precise contours" of intentional discrimination. </w:t>
      </w:r>
      <w:bookmarkStart w:id="7093" w:name="Bookmark_I63G8T4N2D6N5V0010000400"/>
      <w:bookmarkEnd w:id="7093"/>
      <w:r>
        <w:rPr>
          <w:rFonts w:ascii="Arial" w:eastAsia="Arial" w:hAnsi="Arial" w:cs="Arial"/>
          <w:i/>
          <w:color w:val="000000"/>
          <w:sz w:val="20"/>
        </w:rPr>
        <w:t>Id.</w:t>
      </w:r>
      <w:r>
        <w:rPr>
          <w:rFonts w:ascii="Arial" w:eastAsia="Arial" w:hAnsi="Arial" w:cs="Arial"/>
          <w:color w:val="000000"/>
          <w:sz w:val="20"/>
        </w:rPr>
        <w:t xml:space="preserve"> at 575. At a minimum, though, "intent requires that the defendant at least have actual notice of a violation." </w:t>
      </w:r>
      <w:r>
        <w:rPr>
          <w:rFonts w:ascii="Arial" w:eastAsia="Arial" w:hAnsi="Arial" w:cs="Arial"/>
          <w:i/>
          <w:color w:val="000000"/>
          <w:sz w:val="20"/>
        </w:rPr>
        <w:t>Id.</w:t>
      </w:r>
    </w:p>
    <w:p w:rsidR="00022B47" w:rsidRDefault="00000000">
      <w:pPr>
        <w:pStyle w:val="Normal46"/>
        <w:widowControl w:val="0"/>
        <w:spacing w:before="200" w:line="260" w:lineRule="atLeast"/>
        <w:jc w:val="both"/>
      </w:pPr>
      <w:bookmarkStart w:id="7094" w:name="Bookmark_para_28_24"/>
      <w:bookmarkEnd w:id="7094"/>
      <w:r>
        <w:rPr>
          <w:rFonts w:ascii="Arial" w:eastAsia="Arial" w:hAnsi="Arial" w:cs="Arial"/>
          <w:color w:val="000000"/>
          <w:sz w:val="20"/>
        </w:rPr>
        <w:t xml:space="preserve"> [*379]  Francois expressly abandoned his claim for injunctive relief, so all that remains for us are his claims for declaratory relief, nominal damages, and compensatory monetary damages. </w:t>
      </w:r>
      <w:bookmarkStart w:id="7095" w:name="Bookmark_I63G8T4N2D6N5V0040000400"/>
      <w:bookmarkEnd w:id="7095"/>
      <w:r>
        <w:rPr>
          <w:rFonts w:ascii="Arial" w:eastAsia="Arial" w:hAnsi="Arial" w:cs="Arial"/>
          <w:color w:val="000000"/>
          <w:sz w:val="20"/>
        </w:rPr>
        <w:t>Francois has not pressed on appeal that his claims for declaratory relief should survive even in the absence of intentional discrimination.</w:t>
      </w:r>
      <w:r>
        <w:rPr>
          <w:rFonts w:ascii="Arial" w:eastAsia="Arial" w:hAnsi="Arial" w:cs="Arial"/>
          <w:vertAlign w:val="superscript"/>
        </w:rPr>
        <w:footnoteReference w:customMarkFollows="1" w:id="219"/>
        <w:t>7</w:t>
      </w:r>
      <w:r>
        <w:rPr>
          <w:rFonts w:ascii="Arial" w:eastAsia="Arial" w:hAnsi="Arial" w:cs="Arial"/>
          <w:color w:val="000000"/>
          <w:sz w:val="20"/>
        </w:rPr>
        <w:t xml:space="preserve"> Likewise, he has made no attempt to argue that his nominal-damages claims, if any exist, are not subject to the same intentional-discrimination standard as a claim for compensatory monetary damages. As a result, to survive summary judgment, Francois must have offered evidence of intentional discrimination, [**15]  which as we just stated means he must at least show the Hospital's actual notice. </w:t>
      </w:r>
      <w:bookmarkStart w:id="7104" w:name="Bookmark_I63G8T4N2D6N5V0030000400"/>
      <w:bookmarkEnd w:id="7104"/>
      <w:r>
        <w:rPr>
          <w:rFonts w:ascii="Arial" w:eastAsia="Arial" w:hAnsi="Arial" w:cs="Arial"/>
          <w:i/>
          <w:color w:val="000000"/>
          <w:sz w:val="20"/>
        </w:rPr>
        <w:t>Miraglia</w:t>
      </w:r>
      <w:r>
        <w:rPr>
          <w:rFonts w:ascii="Arial" w:eastAsia="Arial" w:hAnsi="Arial" w:cs="Arial"/>
          <w:color w:val="000000"/>
          <w:sz w:val="20"/>
        </w:rPr>
        <w:t>, 901 F.3d at 574.</w:t>
      </w:r>
    </w:p>
    <w:p w:rsidR="00022B47" w:rsidRDefault="00000000">
      <w:pPr>
        <w:pStyle w:val="Normal46"/>
        <w:widowControl w:val="0"/>
        <w:spacing w:before="200" w:line="260" w:lineRule="atLeast"/>
        <w:jc w:val="both"/>
      </w:pPr>
      <w:bookmarkStart w:id="7105" w:name="Bookmark_para_29_22"/>
      <w:bookmarkStart w:id="7106" w:name="Bookmark_I4XM319BRY1000066B50006F"/>
      <w:bookmarkStart w:id="7107" w:name="Bookmark_I63G8T4P2SF85F0020000400"/>
      <w:bookmarkEnd w:id="7105"/>
      <w:bookmarkEnd w:id="7106"/>
      <w:bookmarkEnd w:id="7107"/>
      <w:r>
        <w:rPr>
          <w:rFonts w:ascii="Arial" w:eastAsia="Arial" w:hAnsi="Arial" w:cs="Arial"/>
          <w:color w:val="000000"/>
          <w:sz w:val="20"/>
        </w:rPr>
        <w:t xml:space="preserve">The district court granted the Hospital's motion for summary judgment because Francois failed to show intentional discrimination. A claim of intentional discrimination requires evidence sufficient for a reasonable jury to conclude that the Hospital had actual notice that its failure to provide an on-site interpreter until April 16 denied Francois an equal opportunity to participate in the medical process. </w:t>
      </w:r>
      <w:bookmarkStart w:id="7108" w:name="Bookmark_LNHNREFclscc10_21"/>
      <w:bookmarkEnd w:id="7108"/>
      <w:r>
        <w:rPr>
          <w:rFonts w:ascii="Arial" w:eastAsia="Arial" w:hAnsi="Arial" w:cs="Arial"/>
          <w:color w:val="000000"/>
          <w:sz w:val="20"/>
        </w:rPr>
        <w:t xml:space="preserve">We agree with the Eleventh Circuit that when "effective communication under the circumstances is achievable with something less than an on-site interpreter, then the hospital is well within its ADA and RA obligations to rely on other alternatives." </w:t>
      </w:r>
      <w:bookmarkStart w:id="7109" w:name="Bookmark_I63G8T4P2SF85F0010000400"/>
      <w:bookmarkEnd w:id="7109"/>
      <w:r>
        <w:rPr>
          <w:rFonts w:ascii="Arial" w:eastAsia="Arial" w:hAnsi="Arial" w:cs="Arial"/>
          <w:i/>
          <w:color w:val="000000"/>
          <w:sz w:val="20"/>
        </w:rPr>
        <w:t>Silva v. Baptist Health S. Fla., Inc.</w:t>
      </w:r>
      <w:r>
        <w:rPr>
          <w:rFonts w:ascii="Arial" w:eastAsia="Arial" w:hAnsi="Arial" w:cs="Arial"/>
          <w:color w:val="000000"/>
          <w:sz w:val="20"/>
        </w:rPr>
        <w:t>, 856 F.3d 824, 836 (11th Cir. 2017). Here, the claims of intentional discrimination fail unless there is evidence the Hospital actually knew that it was not effectively communicating with Francois with the methods it was using.</w:t>
      </w:r>
    </w:p>
    <w:p w:rsidR="00022B47" w:rsidRDefault="00000000">
      <w:pPr>
        <w:pStyle w:val="Normal46"/>
        <w:widowControl w:val="0"/>
        <w:spacing w:before="200" w:line="260" w:lineRule="atLeast"/>
        <w:jc w:val="both"/>
      </w:pPr>
      <w:bookmarkStart w:id="7110" w:name="Bookmark_para_30_21"/>
      <w:bookmarkStart w:id="7111" w:name="Bookmark_I63G8T4P2SF85F0040000400"/>
      <w:bookmarkEnd w:id="7110"/>
      <w:bookmarkEnd w:id="7111"/>
      <w:r>
        <w:rPr>
          <w:rFonts w:ascii="Arial" w:eastAsia="Arial" w:hAnsi="Arial" w:cs="Arial"/>
          <w:color w:val="000000"/>
          <w:sz w:val="20"/>
        </w:rPr>
        <w:t xml:space="preserve">We have affirmed a district court's finding of intentional discrimination when [**16]  a hearing-impaired arrestee could not understand the police officer, the officer was aware that his attempts to communicate were ineffective, and the officer failed to try more effective methods of communication. </w:t>
      </w:r>
      <w:bookmarkStart w:id="7112" w:name="Bookmark_I63G8T4P2HM5PN0010000400"/>
      <w:bookmarkStart w:id="7113" w:name="Bookmark_I63G8T4P2SF85F0030000400"/>
      <w:bookmarkEnd w:id="7112"/>
      <w:bookmarkEnd w:id="7113"/>
      <w:r>
        <w:rPr>
          <w:rFonts w:ascii="Arial" w:eastAsia="Arial" w:hAnsi="Arial" w:cs="Arial"/>
          <w:i/>
          <w:color w:val="000000"/>
          <w:sz w:val="20"/>
        </w:rPr>
        <w:t>Delano-Pyle v. Victoria Cnty.</w:t>
      </w:r>
      <w:r>
        <w:rPr>
          <w:rFonts w:ascii="Arial" w:eastAsia="Arial" w:hAnsi="Arial" w:cs="Arial"/>
          <w:color w:val="000000"/>
          <w:sz w:val="20"/>
        </w:rPr>
        <w:t xml:space="preserve">, 302 F.3d 567, 575-76 (5th Cir. 2002). We have held in a non-precedential opinion that a plaintiff raised a genuine dispute of material fact where "on several occasions, an interpreter was requested but not provided," the hospital's chosen means of communication were "often ineffective," and the hospital "ignored clear indications" that further accommodation was necessary. </w:t>
      </w:r>
      <w:bookmarkStart w:id="7114" w:name="Bookmark_I63G8T4P2HM5PN0010000400_2"/>
      <w:bookmarkStart w:id="7115" w:name="Bookmark_I63G8T4P2HM5PN0030000400"/>
      <w:bookmarkStart w:id="7116" w:name="Bookmark_I63G8T4P2SF85F0050000400"/>
      <w:bookmarkEnd w:id="7114"/>
      <w:bookmarkEnd w:id="7115"/>
      <w:bookmarkEnd w:id="7116"/>
      <w:r>
        <w:rPr>
          <w:rFonts w:ascii="Arial" w:eastAsia="Arial" w:hAnsi="Arial" w:cs="Arial"/>
          <w:i/>
          <w:color w:val="000000"/>
          <w:sz w:val="20"/>
        </w:rPr>
        <w:t>Perez v. Drs. Hosp. at Renaissance, Ltd.</w:t>
      </w:r>
      <w:r>
        <w:rPr>
          <w:rFonts w:ascii="Arial" w:eastAsia="Arial" w:hAnsi="Arial" w:cs="Arial"/>
          <w:color w:val="000000"/>
          <w:sz w:val="20"/>
        </w:rPr>
        <w:t xml:space="preserve">, 624 F. App'x 180, 185 (5th Cir. 2015). </w:t>
      </w:r>
      <w:bookmarkStart w:id="7117" w:name="Bookmark_I63G8T4P2HM5PN0030000400_2"/>
      <w:bookmarkEnd w:id="7117"/>
      <w:r>
        <w:rPr>
          <w:rFonts w:ascii="Arial" w:eastAsia="Arial" w:hAnsi="Arial" w:cs="Arial"/>
          <w:color w:val="000000"/>
          <w:sz w:val="20"/>
        </w:rPr>
        <w:t xml:space="preserve">Most recently, we held that a plaintiff had shown intentional discrimination when a jail's staff was subjectively aware of a detainee's need for a wheelchair, accommodated her only with crutches, watched her fall while using the crutches, and still refused to provide a wheelchair. </w:t>
      </w:r>
      <w:bookmarkStart w:id="7118" w:name="Bookmark_I63G8T4P2HM5PN0020000400"/>
      <w:bookmarkEnd w:id="7118"/>
      <w:r>
        <w:rPr>
          <w:rFonts w:ascii="Arial" w:eastAsia="Arial" w:hAnsi="Arial" w:cs="Arial"/>
          <w:i/>
          <w:color w:val="000000"/>
          <w:sz w:val="20"/>
        </w:rPr>
        <w:t>Cadena</w:t>
      </w:r>
      <w:r>
        <w:rPr>
          <w:rFonts w:ascii="Arial" w:eastAsia="Arial" w:hAnsi="Arial" w:cs="Arial"/>
          <w:color w:val="000000"/>
          <w:sz w:val="20"/>
        </w:rPr>
        <w:t>, 946 F.3d at 726.</w:t>
      </w:r>
    </w:p>
    <w:p w:rsidR="00022B47" w:rsidRDefault="00000000">
      <w:pPr>
        <w:pStyle w:val="Normal46"/>
        <w:widowControl w:val="0"/>
        <w:spacing w:before="200" w:line="260" w:lineRule="atLeast"/>
        <w:jc w:val="both"/>
      </w:pPr>
      <w:bookmarkStart w:id="7119" w:name="Bookmark_para_31_21"/>
      <w:bookmarkStart w:id="7120" w:name="Bookmark_LNHNREFclscc11_16"/>
      <w:bookmarkEnd w:id="7119"/>
      <w:bookmarkEnd w:id="7120"/>
      <w:r>
        <w:rPr>
          <w:rFonts w:ascii="Arial" w:eastAsia="Arial" w:hAnsi="Arial" w:cs="Arial"/>
          <w:color w:val="000000"/>
          <w:sz w:val="20"/>
        </w:rPr>
        <w:t>Accordingly, our intentional-discrimination cases turn on the defendant's subjective awareness of the need for further accommodation.</w:t>
      </w:r>
    </w:p>
    <w:p w:rsidR="00022B47" w:rsidRDefault="00000000">
      <w:pPr>
        <w:pStyle w:val="Normal46"/>
        <w:widowControl w:val="0"/>
        <w:spacing w:before="240" w:line="260" w:lineRule="atLeast"/>
      </w:pPr>
      <w:r>
        <w:br/>
      </w:r>
      <w:r>
        <w:rPr>
          <w:rFonts w:ascii="Arial" w:eastAsia="Arial" w:hAnsi="Arial" w:cs="Arial"/>
          <w:color w:val="000000"/>
          <w:sz w:val="20"/>
        </w:rPr>
        <w:t xml:space="preserve"> [*380]  </w:t>
      </w:r>
      <w:r>
        <w:rPr>
          <w:rFonts w:ascii="Arial" w:eastAsia="Arial" w:hAnsi="Arial" w:cs="Arial"/>
          <w:i/>
          <w:color w:val="000000"/>
          <w:sz w:val="20"/>
        </w:rPr>
        <w:t>II. Analysis of the summary-judgment evidence</w:t>
      </w:r>
    </w:p>
    <w:p w:rsidR="00022B47" w:rsidRDefault="00000000">
      <w:pPr>
        <w:pStyle w:val="Normal46"/>
        <w:widowControl w:val="0"/>
        <w:spacing w:before="200" w:line="260" w:lineRule="atLeast"/>
        <w:jc w:val="both"/>
      </w:pPr>
      <w:bookmarkStart w:id="7121" w:name="Bookmark_para_32_21"/>
      <w:bookmarkEnd w:id="7121"/>
      <w:r>
        <w:rPr>
          <w:rFonts w:ascii="Arial" w:eastAsia="Arial" w:hAnsi="Arial" w:cs="Arial"/>
          <w:color w:val="000000"/>
          <w:sz w:val="20"/>
        </w:rPr>
        <w:t>We now review the [**17]  summary-judgment record.</w:t>
      </w:r>
    </w:p>
    <w:p w:rsidR="00022B47" w:rsidRDefault="00000000">
      <w:pPr>
        <w:pStyle w:val="Normal46"/>
        <w:widowControl w:val="0"/>
        <w:spacing w:before="200" w:line="260" w:lineRule="atLeast"/>
        <w:jc w:val="both"/>
      </w:pPr>
      <w:bookmarkStart w:id="7122" w:name="Bookmark_para_33_20"/>
      <w:bookmarkEnd w:id="7122"/>
      <w:r>
        <w:rPr>
          <w:rFonts w:ascii="Arial" w:eastAsia="Arial" w:hAnsi="Arial" w:cs="Arial"/>
          <w:color w:val="000000"/>
          <w:sz w:val="20"/>
        </w:rPr>
        <w:t xml:space="preserve">First, the testimony of Francois' linguistics expert establishes, at most, constructive notice of Francois' need for an on-site interpreter. The expert, Dr. Judy Shepard-Kegl, stated that "writing, lipreading, and speech" were "wholly inadequate for communication access" for Francois. She explained that it would be "wishful thinking on the part of the service providers" to assume that writing, lipreading, and speech were sufficient methods of communication, and that such an assumption was "evidence of how little communication was actually happening." A reasonable jury could conclude from the expert's testimony that the Hospital should have known that Francois needed further accommodation. What the Hospital </w:t>
      </w:r>
      <w:r>
        <w:rPr>
          <w:rFonts w:ascii="Arial" w:eastAsia="Arial" w:hAnsi="Arial" w:cs="Arial"/>
          <w:i/>
          <w:color w:val="000000"/>
          <w:sz w:val="20"/>
        </w:rPr>
        <w:t>should have known</w:t>
      </w:r>
      <w:r>
        <w:rPr>
          <w:rFonts w:ascii="Arial" w:eastAsia="Arial" w:hAnsi="Arial" w:cs="Arial"/>
          <w:color w:val="000000"/>
          <w:sz w:val="20"/>
        </w:rPr>
        <w:t>, though, is not evidence of actual notice.</w:t>
      </w:r>
    </w:p>
    <w:p w:rsidR="00022B47" w:rsidRDefault="00000000">
      <w:pPr>
        <w:pStyle w:val="Normal46"/>
        <w:widowControl w:val="0"/>
        <w:spacing w:before="200" w:line="260" w:lineRule="atLeast"/>
        <w:jc w:val="both"/>
      </w:pPr>
      <w:bookmarkStart w:id="7123" w:name="Bookmark_para_34_20"/>
      <w:bookmarkEnd w:id="7123"/>
      <w:r>
        <w:rPr>
          <w:rFonts w:ascii="Arial" w:eastAsia="Arial" w:hAnsi="Arial" w:cs="Arial"/>
          <w:color w:val="000000"/>
          <w:sz w:val="20"/>
        </w:rPr>
        <w:t>Second, evidence that Francois in fact did not understand the nurses' communications does not show that the Hospital (or its staff) knew that Francois was not understanding. By contrast, the nurses testified that Francois appeared to understand their written and nonverbal communications. We do not suggest that the nurses' testimony about successful communication is enough to secure summary judgment. [**18] </w:t>
      </w:r>
      <w:r>
        <w:rPr>
          <w:rFonts w:ascii="Arial" w:eastAsia="Arial" w:hAnsi="Arial" w:cs="Arial"/>
          <w:vertAlign w:val="superscript"/>
        </w:rPr>
        <w:footnoteReference w:customMarkFollows="1" w:id="220"/>
        <w:t>8</w:t>
      </w:r>
      <w:r>
        <w:rPr>
          <w:rFonts w:ascii="Arial" w:eastAsia="Arial" w:hAnsi="Arial" w:cs="Arial"/>
          <w:color w:val="000000"/>
          <w:sz w:val="20"/>
        </w:rPr>
        <w:t xml:space="preserve"> Here, though, the record is devoid of evidence that the Hospital knew that its efforts to communicate with Francois were ineffective.</w:t>
      </w:r>
    </w:p>
    <w:p w:rsidR="00022B47" w:rsidRDefault="00000000">
      <w:pPr>
        <w:pStyle w:val="Normal46"/>
        <w:widowControl w:val="0"/>
        <w:spacing w:before="200" w:line="260" w:lineRule="atLeast"/>
        <w:jc w:val="both"/>
      </w:pPr>
      <w:bookmarkStart w:id="7128" w:name="Bookmark_para_35_20"/>
      <w:bookmarkEnd w:id="7128"/>
      <w:r>
        <w:rPr>
          <w:rFonts w:ascii="Arial" w:eastAsia="Arial" w:hAnsi="Arial" w:cs="Arial"/>
          <w:color w:val="000000"/>
          <w:sz w:val="20"/>
        </w:rPr>
        <w:t>Only Deemer testified as to some evidence that made the Hospital's staff aware that Francois was not understanding. She testified that after a nurse wrote Francois a note, he "was just looking at her" because "he didn't understand what she was saying." She also testified that he "will draw up in his shoulders or flop his hands" when he does not understand but did not indicate whether this ever happened at the Hospital. This evidence, though, does not defeat the Hospital's motion for summary judgment because there is no indication that the Hospital quit trying to communicate with Francois or that its efforts were ultimately unsuccessful. As a result, Deemer's testimony does not constitute evidence that the Hospital actually knew that only an on-site interpreter would suffice.</w:t>
      </w:r>
    </w:p>
    <w:p w:rsidR="00022B47" w:rsidRDefault="00000000">
      <w:pPr>
        <w:pStyle w:val="Normal46"/>
        <w:widowControl w:val="0"/>
        <w:spacing w:before="200" w:line="260" w:lineRule="atLeast"/>
        <w:jc w:val="both"/>
      </w:pPr>
      <w:bookmarkStart w:id="7129" w:name="Bookmark_para_36_20"/>
      <w:bookmarkStart w:id="7130" w:name="Bookmark_I63G8T4R2D6N630020000400"/>
      <w:bookmarkEnd w:id="7129"/>
      <w:bookmarkEnd w:id="7130"/>
      <w:r>
        <w:rPr>
          <w:rFonts w:ascii="Arial" w:eastAsia="Arial" w:hAnsi="Arial" w:cs="Arial"/>
          <w:color w:val="000000"/>
          <w:sz w:val="20"/>
        </w:rPr>
        <w:t xml:space="preserve">Third, Francois argues that his medical records show that the Hospital "knew Mr. Francois was not communicating effectively and nonetheless failed to summon or provide an ASL interpreter." Several medical records do support that communications with Francois about his medical history [**19]  were "limited." The medical records also show, though, that Francois' medical history was obtained by several methods short of bringing in an on-site interpreter, including writing questions on the whiteboard, asking Francois' grandmother about his medical history, and utilizing Francois' grandmother for ASL interpretive assistance. Accordingly, the records do not show that the Hospital actually knew that nothing short of an on-site interpreter was enough. Rather, the evidence shows only that, from the Hospital's perspective,  [*381]  "effective communication under the circumstances [was] achievable with something less than an on-site interpreter." </w:t>
      </w:r>
      <w:bookmarkStart w:id="7131" w:name="Bookmark_I63G8T4R2D6N630010000400"/>
      <w:bookmarkEnd w:id="7131"/>
      <w:r>
        <w:rPr>
          <w:rFonts w:ascii="Arial" w:eastAsia="Arial" w:hAnsi="Arial" w:cs="Arial"/>
          <w:i/>
          <w:color w:val="000000"/>
          <w:sz w:val="20"/>
        </w:rPr>
        <w:t>Silva</w:t>
      </w:r>
      <w:r>
        <w:rPr>
          <w:rFonts w:ascii="Arial" w:eastAsia="Arial" w:hAnsi="Arial" w:cs="Arial"/>
          <w:color w:val="000000"/>
          <w:sz w:val="20"/>
        </w:rPr>
        <w:t>, 856 F.3d at 836.</w:t>
      </w:r>
    </w:p>
    <w:p w:rsidR="00022B47" w:rsidRDefault="00000000">
      <w:pPr>
        <w:pStyle w:val="Normal46"/>
        <w:widowControl w:val="0"/>
        <w:spacing w:before="200" w:line="260" w:lineRule="atLeast"/>
        <w:jc w:val="both"/>
      </w:pPr>
      <w:bookmarkStart w:id="7132" w:name="Bookmark_para_37_17"/>
      <w:bookmarkEnd w:id="7132"/>
      <w:r>
        <w:rPr>
          <w:rFonts w:ascii="Arial" w:eastAsia="Arial" w:hAnsi="Arial" w:cs="Arial"/>
          <w:color w:val="000000"/>
          <w:sz w:val="20"/>
        </w:rPr>
        <w:t>Fourth, Francois argues that the Hospital's failure to comply with its internal policy is evidence of intent.</w:t>
      </w:r>
      <w:r>
        <w:rPr>
          <w:rFonts w:ascii="Arial" w:eastAsia="Arial" w:hAnsi="Arial" w:cs="Arial"/>
          <w:vertAlign w:val="superscript"/>
        </w:rPr>
        <w:footnoteReference w:customMarkFollows="1" w:id="221"/>
        <w:t>9</w:t>
      </w:r>
      <w:r>
        <w:rPr>
          <w:rFonts w:ascii="Arial" w:eastAsia="Arial" w:hAnsi="Arial" w:cs="Arial"/>
          <w:color w:val="000000"/>
          <w:sz w:val="20"/>
        </w:rPr>
        <w:t xml:space="preserve"> The policy mirrors the regulatory requirements in that an interpreter must be utilized only if "necessary." </w:t>
      </w:r>
      <w:r>
        <w:rPr>
          <w:rFonts w:ascii="Arial" w:eastAsia="Arial" w:hAnsi="Arial" w:cs="Arial"/>
          <w:i/>
          <w:color w:val="000000"/>
          <w:sz w:val="20"/>
        </w:rPr>
        <w:t>See</w:t>
      </w:r>
      <w:r>
        <w:rPr>
          <w:rFonts w:ascii="Arial" w:eastAsia="Arial" w:hAnsi="Arial" w:cs="Arial"/>
          <w:color w:val="000000"/>
          <w:sz w:val="20"/>
        </w:rPr>
        <w:t xml:space="preserve"> RA, 45 C.F.R. § 84.52(d)(1); ACA, 45 C.F.R. § 92.102(b). It follows that the Hospital did not violate the policy unless other methods were not effective. Ultimately, this argument fails because it does not dispute the otherwise-uncontroverted evidence that the Hospital's staff believed that effective communication [**20]  was achievable with something less than an on-site interpreter.</w:t>
      </w:r>
    </w:p>
    <w:p w:rsidR="00022B47" w:rsidRDefault="00000000">
      <w:pPr>
        <w:pStyle w:val="Normal46"/>
        <w:widowControl w:val="0"/>
        <w:spacing w:before="200" w:line="260" w:lineRule="atLeast"/>
        <w:jc w:val="both"/>
      </w:pPr>
      <w:bookmarkStart w:id="7134" w:name="Bookmark_para_38_17"/>
      <w:bookmarkStart w:id="7135" w:name="Bookmark_I63G8T4R2D6N630040000400"/>
      <w:bookmarkEnd w:id="7134"/>
      <w:bookmarkEnd w:id="7135"/>
      <w:r>
        <w:rPr>
          <w:rFonts w:ascii="Arial" w:eastAsia="Arial" w:hAnsi="Arial" w:cs="Arial"/>
          <w:color w:val="000000"/>
          <w:sz w:val="20"/>
        </w:rPr>
        <w:t xml:space="preserve">Finally, Francois argues that Deemer made a satisfactory request for an interpreter. Deemer testified that she told hospital staff upon Francois' admittance that he "was speech and hearing impaired, and [that] he needed an interpreter." Even with this evidence, the summary-judgment record falls short of establishing that the Hospital had actual knowledge that only an on-site interpreter would meet Francois' needs. </w:t>
      </w:r>
      <w:bookmarkStart w:id="7136" w:name="Bookmark_LNHNREFclscc13_12"/>
      <w:bookmarkEnd w:id="7136"/>
      <w:r>
        <w:rPr>
          <w:rFonts w:ascii="Arial" w:eastAsia="Arial" w:hAnsi="Arial" w:cs="Arial"/>
          <w:color w:val="000000"/>
          <w:sz w:val="20"/>
        </w:rPr>
        <w:t xml:space="preserve">A patient is not entitled to an on-site interpreter merely because he or someone on his behalf requests one. </w:t>
      </w:r>
      <w:r>
        <w:rPr>
          <w:rFonts w:ascii="Arial" w:eastAsia="Arial" w:hAnsi="Arial" w:cs="Arial"/>
          <w:i/>
          <w:color w:val="000000"/>
          <w:sz w:val="20"/>
        </w:rPr>
        <w:t xml:space="preserve">See </w:t>
      </w:r>
      <w:bookmarkStart w:id="7137" w:name="Bookmark_I63G8T4R2D6N630030000400"/>
      <w:bookmarkEnd w:id="7137"/>
      <w:r>
        <w:rPr>
          <w:rFonts w:ascii="Arial" w:eastAsia="Arial" w:hAnsi="Arial" w:cs="Arial"/>
          <w:i/>
          <w:color w:val="000000"/>
          <w:sz w:val="20"/>
        </w:rPr>
        <w:t>Silva</w:t>
      </w:r>
      <w:r>
        <w:rPr>
          <w:rFonts w:ascii="Arial" w:eastAsia="Arial" w:hAnsi="Arial" w:cs="Arial"/>
          <w:color w:val="000000"/>
          <w:sz w:val="20"/>
        </w:rPr>
        <w:t>, 856 F.3d at 835-36. Rather, a patient is entitled to an on-site interpreter when necessary. RA, 45 C.F.R. § 84.52(d)(1); ACA, 45 C.F.R. § 92.102(b). The morning after Deemer made the request, the Hospital sent an employee who communicated in ASL to Francois' room. During that meeting, Francois never asked for an interpreter in response to a direct question about the services he needed. Later, when another request was made, the Hospital promptly provided an ASL interpreter and continued to do so throughout Francois' hospital stay. Considered along with the evidence showing that the Hospital's [**21]  staff subjectively believed that they were adequately communicating with Francois via other means, the record does not support a finding of intentional discrimination.</w:t>
      </w:r>
    </w:p>
    <w:p w:rsidR="00022B47" w:rsidRDefault="00000000">
      <w:pPr>
        <w:pStyle w:val="Normal46"/>
        <w:widowControl w:val="0"/>
        <w:spacing w:before="200" w:line="260" w:lineRule="atLeast"/>
        <w:jc w:val="both"/>
      </w:pPr>
      <w:bookmarkStart w:id="7138" w:name="Bookmark_para_39_14"/>
      <w:bookmarkEnd w:id="7138"/>
      <w:r>
        <w:rPr>
          <w:rFonts w:ascii="Arial" w:eastAsia="Arial" w:hAnsi="Arial" w:cs="Arial"/>
          <w:color w:val="000000"/>
          <w:sz w:val="20"/>
        </w:rPr>
        <w:t xml:space="preserve">The summary-judgment evidence, viewed in the light most favorable to Francois, is sufficient for a reasonable jury to determine that the Hospital </w:t>
      </w:r>
      <w:r>
        <w:rPr>
          <w:rFonts w:ascii="Arial" w:eastAsia="Arial" w:hAnsi="Arial" w:cs="Arial"/>
          <w:i/>
          <w:color w:val="000000"/>
          <w:sz w:val="20"/>
        </w:rPr>
        <w:t>should have known</w:t>
      </w:r>
      <w:r>
        <w:rPr>
          <w:rFonts w:ascii="Arial" w:eastAsia="Arial" w:hAnsi="Arial" w:cs="Arial"/>
          <w:color w:val="000000"/>
          <w:sz w:val="20"/>
        </w:rPr>
        <w:t xml:space="preserve"> that Francois needed an on-site interpreter. Fatal to Francois' claims, the evidence is not sufficient for a reasonable jury to determine that the Hospital had actual knowledge of Francois' need for an on-site interpreter.</w:t>
      </w:r>
    </w:p>
    <w:p w:rsidR="00022B47" w:rsidRDefault="00000000">
      <w:pPr>
        <w:pStyle w:val="Normal46"/>
        <w:widowControl w:val="0"/>
        <w:spacing w:before="200" w:line="260" w:lineRule="atLeast"/>
        <w:jc w:val="both"/>
      </w:pPr>
      <w:bookmarkStart w:id="7139" w:name="Bookmark_para_40_14"/>
      <w:bookmarkEnd w:id="7139"/>
      <w:r>
        <w:rPr>
          <w:rFonts w:ascii="Arial" w:eastAsia="Arial" w:hAnsi="Arial" w:cs="Arial"/>
          <w:color w:val="000000"/>
          <w:sz w:val="20"/>
        </w:rPr>
        <w:t>The Hospital is entitled to summary judgment because Francois failed to make a summary-judgment showing of intentional discrimination. Francois has made no attempt to argue in this appeal or in district court that his nominal-damage claims, if any exist, are not subject to the same intentional-discrimination standard. Further, Francois has expressly abandoned his claims for injunctive relief and has not pressed his claim for a declaratory judgment on appeal. AFFIRMED.</w:t>
      </w:r>
    </w:p>
    <w:p w:rsidR="00022B47" w:rsidRDefault="00022B47">
      <w:pPr>
        <w:pStyle w:val="Normal46"/>
      </w:pPr>
    </w:p>
    <w:p w:rsidR="00022B47" w:rsidRDefault="00000000">
      <w:pPr>
        <w:pStyle w:val="Normal46"/>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57568"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703758994"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AFDEA2" id="Line 99"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47"/>
        <w:sectPr w:rsidR="00022B47">
          <w:headerReference w:type="even" r:id="rId289"/>
          <w:headerReference w:type="default" r:id="rId290"/>
          <w:footerReference w:type="even" r:id="rId291"/>
          <w:footerReference w:type="default" r:id="rId292"/>
          <w:headerReference w:type="first" r:id="rId293"/>
          <w:footerReference w:type="first" r:id="rId294"/>
          <w:pgSz w:w="12240" w:h="15840"/>
          <w:pgMar w:top="840" w:right="1000" w:bottom="840" w:left="1000" w:header="400" w:footer="400" w:gutter="0"/>
          <w:cols w:space="720"/>
          <w:titlePg/>
        </w:sectPr>
      </w:pPr>
    </w:p>
    <w:p w:rsidR="00022B47" w:rsidRDefault="00022B47">
      <w:pPr>
        <w:pStyle w:val="Normal47"/>
      </w:pPr>
    </w:p>
    <w:p w:rsidR="00022B47" w:rsidRDefault="00000000">
      <w:pPr>
        <w:pStyle w:val="Heading146"/>
        <w:keepNext w:val="0"/>
        <w:widowControl w:val="0"/>
        <w:spacing w:after="200" w:line="340" w:lineRule="atLeast"/>
        <w:jc w:val="center"/>
      </w:pPr>
      <w:r>
        <w:rPr>
          <w:rFonts w:eastAsia="Arial"/>
          <w:color w:val="000000"/>
          <w:sz w:val="28"/>
        </w:rPr>
        <w:t>Baldassarre v. Norfolk Southern Ry.</w:t>
      </w:r>
    </w:p>
    <w:p w:rsidR="00022B47" w:rsidRDefault="00000000">
      <w:pPr>
        <w:pStyle w:val="Normal47"/>
        <w:widowControl w:val="0"/>
        <w:spacing w:before="120" w:line="260" w:lineRule="atLeast"/>
        <w:jc w:val="center"/>
      </w:pPr>
      <w:r>
        <w:rPr>
          <w:rFonts w:ascii="Arial" w:eastAsia="Arial" w:hAnsi="Arial" w:cs="Arial"/>
          <w:color w:val="000000"/>
          <w:sz w:val="20"/>
        </w:rPr>
        <w:t>United States Court of Appeals for the Fourth Circuit</w:t>
      </w:r>
    </w:p>
    <w:p w:rsidR="00022B47" w:rsidRDefault="00000000">
      <w:pPr>
        <w:pStyle w:val="Normal47"/>
        <w:widowControl w:val="0"/>
        <w:spacing w:before="120" w:line="260" w:lineRule="atLeast"/>
        <w:jc w:val="center"/>
      </w:pPr>
      <w:r>
        <w:rPr>
          <w:rFonts w:ascii="Arial" w:eastAsia="Arial" w:hAnsi="Arial" w:cs="Arial"/>
          <w:color w:val="000000"/>
          <w:sz w:val="20"/>
        </w:rPr>
        <w:t>July 28, 2021, Submitted; July 29, 2021, Decided</w:t>
      </w:r>
    </w:p>
    <w:p w:rsidR="00022B47" w:rsidRDefault="00000000">
      <w:pPr>
        <w:pStyle w:val="Normal47"/>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20-1308</w:t>
      </w:r>
    </w:p>
    <w:p w:rsidR="00022B47" w:rsidRDefault="00022B47">
      <w:pPr>
        <w:pStyle w:val="Normal47"/>
        <w:widowControl w:val="0"/>
        <w:spacing w:line="240" w:lineRule="atLeast"/>
        <w:jc w:val="both"/>
      </w:pPr>
      <w:bookmarkStart w:id="7140" w:name="Bookmark_48"/>
      <w:bookmarkEnd w:id="7140"/>
    </w:p>
    <w:p w:rsidR="00022B47" w:rsidRDefault="00000000">
      <w:pPr>
        <w:pStyle w:val="Normal47"/>
        <w:widowControl w:val="0"/>
        <w:spacing w:before="200" w:line="240" w:lineRule="atLeast"/>
      </w:pPr>
      <w:bookmarkStart w:id="7141" w:name="Reporter_46"/>
      <w:bookmarkEnd w:id="7141"/>
      <w:r>
        <w:rPr>
          <w:rFonts w:ascii="Arial" w:eastAsia="Arial" w:hAnsi="Arial" w:cs="Arial"/>
          <w:b/>
          <w:color w:val="000000"/>
          <w:sz w:val="18"/>
        </w:rPr>
        <w:t>Reporter</w:t>
      </w:r>
    </w:p>
    <w:p w:rsidR="00022B47" w:rsidRDefault="00000000">
      <w:pPr>
        <w:pStyle w:val="Normal47"/>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854 Fed. Appx. 540 *; 2021 U.S. App. LEXIS 22518 **; 2021 WL 3205734</w:t>
      </w:r>
    </w:p>
    <w:p w:rsidR="00022B47" w:rsidRDefault="00000000">
      <w:pPr>
        <w:pStyle w:val="Normal47"/>
        <w:widowControl w:val="0"/>
        <w:spacing w:before="120" w:line="260" w:lineRule="atLeast"/>
      </w:pPr>
      <w:r>
        <w:rPr>
          <w:rFonts w:ascii="Arial" w:eastAsia="Arial" w:hAnsi="Arial" w:cs="Arial"/>
          <w:color w:val="000000"/>
          <w:sz w:val="20"/>
        </w:rPr>
        <w:t>ALFRED BALDASSARRE, Plaintiff - Appellant, v. NORFOLK SOUTHERN RAILWAY CO., Defendant - Appellee, DISABILITY LAW CENTER OF VIRGINIA, Amicus Supporting Appellant.</w:t>
      </w:r>
    </w:p>
    <w:p w:rsidR="00022B47" w:rsidRDefault="00000000">
      <w:pPr>
        <w:pStyle w:val="Normal47"/>
        <w:widowControl w:val="0"/>
        <w:spacing w:before="240" w:line="260" w:lineRule="atLeast"/>
        <w:jc w:val="both"/>
      </w:pPr>
      <w:bookmarkStart w:id="7142" w:name="Notice_24"/>
      <w:bookmarkEnd w:id="7142"/>
      <w:r>
        <w:rPr>
          <w:rFonts w:ascii="Arial" w:eastAsia="Arial" w:hAnsi="Arial" w:cs="Arial"/>
          <w:b/>
          <w:color w:val="000000"/>
          <w:sz w:val="20"/>
        </w:rPr>
        <w:t>Notice:</w:t>
      </w:r>
      <w:r>
        <w:rPr>
          <w:rFonts w:ascii="Arial" w:eastAsia="Arial" w:hAnsi="Arial" w:cs="Arial"/>
          <w:color w:val="000000"/>
          <w:sz w:val="20"/>
        </w:rPr>
        <w:t> </w:t>
      </w:r>
      <w:bookmarkStart w:id="7143" w:name="Bookmark_para_1_46"/>
      <w:bookmarkEnd w:id="7143"/>
      <w:r>
        <w:rPr>
          <w:rFonts w:ascii="Arial" w:eastAsia="Arial" w:hAnsi="Arial" w:cs="Arial"/>
          <w:color w:val="000000"/>
          <w:sz w:val="20"/>
        </w:rPr>
        <w:t>PLEASE REFER TO FEDERAL RULES OF APPELLATE PROCEDURE RULE 32.1 GOVERNING THE CITATION TO UNPUBLISHED OPINIONS.</w:t>
      </w:r>
    </w:p>
    <w:p w:rsidR="00022B47" w:rsidRDefault="00000000">
      <w:pPr>
        <w:pStyle w:val="Normal47"/>
        <w:widowControl w:val="0"/>
        <w:spacing w:before="240" w:line="260" w:lineRule="atLeast"/>
        <w:jc w:val="both"/>
      </w:pPr>
      <w:bookmarkStart w:id="7144" w:name="Prior_History_46"/>
      <w:bookmarkEnd w:id="7144"/>
      <w:r>
        <w:rPr>
          <w:rFonts w:ascii="Arial" w:eastAsia="Arial" w:hAnsi="Arial" w:cs="Arial"/>
          <w:b/>
          <w:color w:val="000000"/>
          <w:sz w:val="20"/>
        </w:rPr>
        <w:t>Prior History:</w:t>
      </w:r>
      <w:r>
        <w:rPr>
          <w:rFonts w:ascii="Arial" w:eastAsia="Arial" w:hAnsi="Arial" w:cs="Arial"/>
          <w:color w:val="000000"/>
          <w:sz w:val="20"/>
        </w:rPr>
        <w:t> </w:t>
      </w:r>
      <w:bookmarkStart w:id="7145" w:name="Bookmark_para_2_46"/>
      <w:bookmarkEnd w:id="7145"/>
      <w:r>
        <w:rPr>
          <w:rFonts w:ascii="Arial" w:eastAsia="Arial" w:hAnsi="Arial" w:cs="Arial"/>
          <w:color w:val="000000"/>
          <w:sz w:val="20"/>
        </w:rPr>
        <w:t> [**1] Appeal from the United States District Court for the Eastern District of Virginia, at Norfolk. (2:18-cv-00598-HCM-LRL). Henry Coke Morgan, Jr., Senior District Judge.</w:t>
      </w:r>
    </w:p>
    <w:p w:rsidR="00022B47" w:rsidRDefault="00000000">
      <w:pPr>
        <w:pStyle w:val="Normal47"/>
        <w:widowControl w:val="0"/>
        <w:spacing w:before="120" w:line="260" w:lineRule="atLeast"/>
      </w:pPr>
      <w:r>
        <w:rPr>
          <w:rFonts w:ascii="Arial" w:eastAsia="Arial" w:hAnsi="Arial" w:cs="Arial"/>
          <w:color w:val="000000"/>
          <w:sz w:val="20"/>
        </w:rPr>
        <w:t>Baldassarre v. Norfolk Southern Ry., 2020 U.S. Dist. LEXIS 29540, 2020 WL 855964 (E.D. Va., Feb. 19, 2020)</w:t>
      </w:r>
    </w:p>
    <w:p w:rsidR="00022B47" w:rsidRDefault="00000000">
      <w:pPr>
        <w:pStyle w:val="Normal47"/>
        <w:widowControl w:val="0"/>
        <w:spacing w:before="240" w:line="260" w:lineRule="atLeast"/>
        <w:jc w:val="both"/>
      </w:pPr>
      <w:bookmarkStart w:id="7146" w:name="Disposition_14"/>
      <w:bookmarkEnd w:id="7146"/>
      <w:r>
        <w:rPr>
          <w:rFonts w:ascii="Arial" w:eastAsia="Arial" w:hAnsi="Arial" w:cs="Arial"/>
          <w:b/>
          <w:color w:val="000000"/>
          <w:sz w:val="20"/>
        </w:rPr>
        <w:t>Disposition:</w:t>
      </w:r>
      <w:r>
        <w:rPr>
          <w:rFonts w:ascii="Arial" w:eastAsia="Arial" w:hAnsi="Arial" w:cs="Arial"/>
          <w:color w:val="000000"/>
          <w:sz w:val="20"/>
        </w:rPr>
        <w:t> </w:t>
      </w:r>
      <w:bookmarkStart w:id="7147" w:name="Bookmark_clspara_1_3"/>
      <w:bookmarkEnd w:id="7147"/>
      <w:r>
        <w:rPr>
          <w:rFonts w:ascii="Arial" w:eastAsia="Arial" w:hAnsi="Arial" w:cs="Arial"/>
          <w:color w:val="000000"/>
          <w:sz w:val="20"/>
        </w:rPr>
        <w:t>AFFIRMED.</w:t>
      </w:r>
    </w:p>
    <w:p w:rsidR="00022B47" w:rsidRDefault="00000000">
      <w:pPr>
        <w:pStyle w:val="Normal47"/>
        <w:widowControl w:val="0"/>
        <w:spacing w:before="240" w:line="260" w:lineRule="atLeast"/>
      </w:pPr>
      <w:bookmarkStart w:id="7148" w:name="Counsel_46"/>
      <w:bookmarkEnd w:id="7148"/>
      <w:r>
        <w:rPr>
          <w:rFonts w:ascii="Arial" w:eastAsia="Arial" w:hAnsi="Arial" w:cs="Arial"/>
          <w:b/>
          <w:color w:val="000000"/>
          <w:sz w:val="20"/>
        </w:rPr>
        <w:t>Counsel:</w:t>
      </w:r>
      <w:r>
        <w:rPr>
          <w:rFonts w:ascii="Arial" w:eastAsia="Arial" w:hAnsi="Arial" w:cs="Arial"/>
          <w:color w:val="000000"/>
          <w:sz w:val="20"/>
        </w:rPr>
        <w:t> Adam W. Hansen, APOLLO LAW LLC, Minneapolis, Minnesota; Michael E. Bourne, Minneapolis, Minnesota; Nicholas D. Thompson, THE MOODY LAW FIRM, Portsmouth, Virginia, for Appellant.</w:t>
      </w:r>
    </w:p>
    <w:p w:rsidR="00022B47" w:rsidRDefault="00000000">
      <w:pPr>
        <w:pStyle w:val="Normal47"/>
        <w:widowControl w:val="0"/>
        <w:spacing w:before="120" w:line="260" w:lineRule="atLeast"/>
      </w:pPr>
      <w:r>
        <w:rPr>
          <w:rFonts w:ascii="Arial" w:eastAsia="Arial" w:hAnsi="Arial" w:cs="Arial"/>
          <w:color w:val="000000"/>
          <w:sz w:val="20"/>
        </w:rPr>
        <w:t>Raymond Baldwin, Julie Loring, SEYFARTH SHAW LLP, Washington, D.C., for Appellee.</w:t>
      </w:r>
    </w:p>
    <w:p w:rsidR="00022B47" w:rsidRDefault="00000000">
      <w:pPr>
        <w:pStyle w:val="Normal47"/>
        <w:widowControl w:val="0"/>
        <w:spacing w:before="120" w:line="260" w:lineRule="atLeast"/>
      </w:pPr>
      <w:r>
        <w:rPr>
          <w:rFonts w:ascii="Arial" w:eastAsia="Arial" w:hAnsi="Arial" w:cs="Arial"/>
          <w:color w:val="000000"/>
          <w:sz w:val="20"/>
        </w:rPr>
        <w:t>Kalena C. M. Elk, Kerry M. Chilton, Steven M. Traubert, DISABILITY LAW CENTER OF VIRGINIA, Richmond, Virginia, for Amicus disAbility Law Center of Virginia.</w:t>
      </w:r>
    </w:p>
    <w:p w:rsidR="00022B47" w:rsidRDefault="00000000">
      <w:pPr>
        <w:pStyle w:val="Normal47"/>
        <w:widowControl w:val="0"/>
        <w:spacing w:before="240" w:line="260" w:lineRule="atLeast"/>
      </w:pPr>
      <w:bookmarkStart w:id="7149" w:name="Judges_46"/>
      <w:bookmarkEnd w:id="7149"/>
      <w:r>
        <w:rPr>
          <w:rFonts w:ascii="Arial" w:eastAsia="Arial" w:hAnsi="Arial" w:cs="Arial"/>
          <w:b/>
          <w:color w:val="000000"/>
          <w:sz w:val="20"/>
        </w:rPr>
        <w:t>Judges:</w:t>
      </w:r>
      <w:r>
        <w:rPr>
          <w:rFonts w:ascii="Arial" w:eastAsia="Arial" w:hAnsi="Arial" w:cs="Arial"/>
          <w:color w:val="000000"/>
          <w:sz w:val="20"/>
        </w:rPr>
        <w:t> Before KING, AGEE, and WYNN, Circuit Judges.</w:t>
      </w:r>
    </w:p>
    <w:p w:rsidR="00022B47" w:rsidRDefault="00000000">
      <w:pPr>
        <w:pStyle w:val="Normal47"/>
        <w:keepNext/>
        <w:widowControl w:val="0"/>
        <w:spacing w:before="240" w:line="340" w:lineRule="atLeast"/>
      </w:pPr>
      <w:bookmarkStart w:id="7150" w:name="Opinion_46"/>
      <w:bookmarkEnd w:id="7150"/>
      <w:r>
        <w:rPr>
          <w:rFonts w:ascii="Arial" w:eastAsia="Arial" w:hAnsi="Arial" w:cs="Arial"/>
          <w:b/>
          <w:color w:val="000000"/>
          <w:sz w:val="28"/>
        </w:rPr>
        <w:t>Opinion</w:t>
      </w:r>
    </w:p>
    <w:p w:rsidR="00022B47" w:rsidRDefault="0025213E">
      <w:pPr>
        <w:pStyle w:val="Normal47"/>
        <w:spacing w:line="60" w:lineRule="exact"/>
      </w:pPr>
      <w:r>
        <w:rPr>
          <w:noProof/>
        </w:rPr>
        <mc:AlternateContent>
          <mc:Choice Requires="wps">
            <w:drawing>
              <wp:anchor distT="0" distB="0" distL="114300" distR="114300" simplePos="0" relativeHeight="251758592"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385211234"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DD8C29" id="Line 100"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47"/>
      </w:pPr>
    </w:p>
    <w:p w:rsidR="00022B47" w:rsidRDefault="00000000">
      <w:pPr>
        <w:pStyle w:val="Normal47"/>
        <w:widowControl w:val="0"/>
        <w:spacing w:before="200" w:line="260" w:lineRule="atLeast"/>
        <w:jc w:val="both"/>
      </w:pPr>
      <w:bookmarkStart w:id="7151" w:name="Bookmark_para_3_46"/>
      <w:bookmarkEnd w:id="7151"/>
      <w:r>
        <w:rPr>
          <w:rFonts w:ascii="Arial" w:eastAsia="Arial" w:hAnsi="Arial" w:cs="Arial"/>
          <w:color w:val="000000"/>
          <w:sz w:val="20"/>
        </w:rPr>
        <w:t> [*540]  PER CURIAM:</w:t>
      </w:r>
    </w:p>
    <w:p w:rsidR="00022B47" w:rsidRDefault="00000000">
      <w:pPr>
        <w:pStyle w:val="Normal47"/>
        <w:widowControl w:val="0"/>
        <w:spacing w:before="200" w:line="260" w:lineRule="atLeast"/>
        <w:jc w:val="both"/>
      </w:pPr>
      <w:bookmarkStart w:id="7152" w:name="Bookmark_para_4_46"/>
      <w:bookmarkEnd w:id="7152"/>
      <w:r>
        <w:rPr>
          <w:rFonts w:ascii="Arial" w:eastAsia="Arial" w:hAnsi="Arial" w:cs="Arial"/>
          <w:color w:val="000000"/>
          <w:sz w:val="20"/>
        </w:rPr>
        <w:t>Alfred Baldassarre appeals the district court's order granting summary judgment to Norfolk Southern Railway Company ("Norfolk") on his civil action commenced under the Americans with Disabilities Act (ADA), 42 U.S.C. §§ 12101-12213. On appeal, Baldassarre disputes the court's decision to consider a declaration from a witness that Norfolk failed to timely disclose. Baldassarre also challenges the court's conclusion that no reasonable jury could find in his favor on his failure to accommodate claims under the ADA. We affirm.</w:t>
      </w:r>
    </w:p>
    <w:p w:rsidR="00022B47" w:rsidRDefault="00000000">
      <w:pPr>
        <w:pStyle w:val="Normal47"/>
        <w:widowControl w:val="0"/>
        <w:spacing w:before="200" w:line="260" w:lineRule="atLeast"/>
        <w:jc w:val="both"/>
      </w:pPr>
      <w:bookmarkStart w:id="7153" w:name="Bookmark_para_5_46"/>
      <w:bookmarkStart w:id="7154" w:name="Bookmark_I639BXXM28T4FW0020000400"/>
      <w:bookmarkStart w:id="7155" w:name="Bookmark_I639BXXM28T4FW0040000400"/>
      <w:bookmarkEnd w:id="7153"/>
      <w:bookmarkEnd w:id="7154"/>
      <w:bookmarkEnd w:id="7155"/>
      <w:r>
        <w:rPr>
          <w:rFonts w:ascii="Arial" w:eastAsia="Arial" w:hAnsi="Arial" w:cs="Arial"/>
          <w:color w:val="000000"/>
          <w:sz w:val="20"/>
        </w:rPr>
        <w:t xml:space="preserve">"We review evidentiary rulings for abuse of discretion and will only overturn an evidentiary [**2]  ruling that is arbitrary and irrational." </w:t>
      </w:r>
      <w:bookmarkStart w:id="7156" w:name="Bookmark_I639BXXM28T4FW0010000400"/>
      <w:bookmarkEnd w:id="7156"/>
      <w:r>
        <w:rPr>
          <w:rFonts w:ascii="Arial" w:eastAsia="Arial" w:hAnsi="Arial" w:cs="Arial"/>
          <w:i/>
          <w:color w:val="000000"/>
          <w:sz w:val="20"/>
        </w:rPr>
        <w:t>Gentry v. E. W. Partners Club Mgmt. Co.</w:t>
      </w:r>
      <w:r>
        <w:rPr>
          <w:rFonts w:ascii="Arial" w:eastAsia="Arial" w:hAnsi="Arial" w:cs="Arial"/>
          <w:color w:val="000000"/>
          <w:sz w:val="20"/>
        </w:rPr>
        <w:t xml:space="preserve">, 816 F.3d 228, 239 (4th Cir. 2016) (internal quotation marks omitted). "If a party fails to provide information or identify a witness as required by [Fed. R. Civ. P.] 26(a) or (e), the party is not allowed  [*541]  to use that information or witness to supply evidence on a motion, . . . unless the failure was substantially justified or is harmless." Fed. R. Civ. P. 37(c)(1). In determining whether the failure was substantially justified or harmless, a court should be guided by the factors articulated by this court in </w:t>
      </w:r>
      <w:r>
        <w:rPr>
          <w:rFonts w:ascii="Arial" w:eastAsia="Arial" w:hAnsi="Arial" w:cs="Arial"/>
          <w:i/>
          <w:color w:val="000000"/>
          <w:sz w:val="20"/>
        </w:rPr>
        <w:t xml:space="preserve">S. </w:t>
      </w:r>
      <w:bookmarkStart w:id="7157" w:name="Bookmark_I639BXXM28T4FW0030000400"/>
      <w:bookmarkEnd w:id="7157"/>
      <w:r>
        <w:rPr>
          <w:rFonts w:ascii="Arial" w:eastAsia="Arial" w:hAnsi="Arial" w:cs="Arial"/>
          <w:i/>
          <w:color w:val="000000"/>
          <w:sz w:val="20"/>
        </w:rPr>
        <w:t>States Rack &amp; Fixture, Inc. v. Sherwin-Williams Co.</w:t>
      </w:r>
      <w:r>
        <w:rPr>
          <w:rFonts w:ascii="Arial" w:eastAsia="Arial" w:hAnsi="Arial" w:cs="Arial"/>
          <w:color w:val="000000"/>
          <w:sz w:val="20"/>
        </w:rPr>
        <w:t>, 318 F.3d 592, 597 (4th Cir. 2003). We have thoroughly reviewed the record and conclude that the district court did not abuse its broad discretion in admitting the declaration despite Norfolk's failure to timely disclose the declarant as a witness.</w:t>
      </w:r>
    </w:p>
    <w:p w:rsidR="00022B47" w:rsidRDefault="00000000">
      <w:pPr>
        <w:pStyle w:val="Normal47"/>
        <w:widowControl w:val="0"/>
        <w:spacing w:before="200" w:line="260" w:lineRule="atLeast"/>
        <w:jc w:val="both"/>
      </w:pPr>
      <w:bookmarkStart w:id="7158" w:name="Bookmark_para_6_46"/>
      <w:bookmarkStart w:id="7159" w:name="Bookmark_I639BXXP2SF86W0010000400"/>
      <w:bookmarkEnd w:id="7158"/>
      <w:bookmarkEnd w:id="7159"/>
      <w:r>
        <w:rPr>
          <w:rFonts w:ascii="Arial" w:eastAsia="Arial" w:hAnsi="Arial" w:cs="Arial"/>
          <w:color w:val="000000"/>
          <w:sz w:val="20"/>
        </w:rPr>
        <w:t xml:space="preserve">Next, "[w]e review de novo a district court's grant or denial of a motion for summary judgment, construing all facts and reasonable inferences therefrom in favor of the nonmoving party." </w:t>
      </w:r>
      <w:bookmarkStart w:id="7160" w:name="Bookmark_I639BXXM28T4FW0050000400"/>
      <w:bookmarkEnd w:id="7160"/>
      <w:r>
        <w:rPr>
          <w:rFonts w:ascii="Arial" w:eastAsia="Arial" w:hAnsi="Arial" w:cs="Arial"/>
          <w:i/>
          <w:color w:val="000000"/>
          <w:sz w:val="20"/>
        </w:rPr>
        <w:t>Gen. Ins. Co. of Am. v. U.S. Fire Ins. Co.</w:t>
      </w:r>
      <w:r>
        <w:rPr>
          <w:rFonts w:ascii="Arial" w:eastAsia="Arial" w:hAnsi="Arial" w:cs="Arial"/>
          <w:color w:val="000000"/>
          <w:sz w:val="20"/>
        </w:rPr>
        <w:t xml:space="preserve">, 886 F.3d 346, 353 (4th Cir. 2018). </w:t>
      </w:r>
      <w:bookmarkStart w:id="7161" w:name="Bookmark_I639BXXP2SF86W0030000400"/>
      <w:bookmarkEnd w:id="7161"/>
      <w:r>
        <w:rPr>
          <w:rFonts w:ascii="Arial" w:eastAsia="Arial" w:hAnsi="Arial" w:cs="Arial"/>
          <w:color w:val="000000"/>
          <w:sz w:val="20"/>
        </w:rPr>
        <w:t xml:space="preserve">Summary judgment is appropriate "if the movant shows that there is no genuine dispute as to any material fact and the movant is entitled to judgment as a matter of law." Fed. R. Civ. P. 56(a). We will uphold the district court's grant of summary judgment unless we find that a reasonable jury could return a verdict for the nonmoving party on [**3]  the evidence presented. </w:t>
      </w:r>
      <w:bookmarkStart w:id="7162" w:name="Bookmark_I639BXXP2SF86W0030000400_2"/>
      <w:bookmarkEnd w:id="7162"/>
      <w:r>
        <w:rPr>
          <w:rFonts w:ascii="Arial" w:eastAsia="Arial" w:hAnsi="Arial" w:cs="Arial"/>
          <w:i/>
          <w:color w:val="000000"/>
          <w:sz w:val="20"/>
        </w:rPr>
        <w:t xml:space="preserve">See </w:t>
      </w:r>
      <w:bookmarkStart w:id="7163" w:name="Bookmark_I639BXXP2SF86W0020000400"/>
      <w:bookmarkEnd w:id="7163"/>
      <w:r>
        <w:rPr>
          <w:rFonts w:ascii="Arial" w:eastAsia="Arial" w:hAnsi="Arial" w:cs="Arial"/>
          <w:i/>
          <w:color w:val="000000"/>
          <w:sz w:val="20"/>
        </w:rPr>
        <w:t>Reyes v. Waples Mobile Home Park Ltd. P'ship</w:t>
      </w:r>
      <w:r>
        <w:rPr>
          <w:rFonts w:ascii="Arial" w:eastAsia="Arial" w:hAnsi="Arial" w:cs="Arial"/>
          <w:color w:val="000000"/>
          <w:sz w:val="20"/>
        </w:rPr>
        <w:t>, 903 F.3d 415, 423 (4th Cir. 2018).</w:t>
      </w:r>
    </w:p>
    <w:p w:rsidR="00022B47" w:rsidRDefault="00000000">
      <w:pPr>
        <w:pStyle w:val="Normal47"/>
        <w:widowControl w:val="0"/>
        <w:spacing w:before="200" w:line="260" w:lineRule="atLeast"/>
        <w:jc w:val="both"/>
      </w:pPr>
      <w:bookmarkStart w:id="7164" w:name="Bookmark_para_7_46"/>
      <w:bookmarkEnd w:id="7164"/>
      <w:r>
        <w:rPr>
          <w:rFonts w:ascii="Arial" w:eastAsia="Arial" w:hAnsi="Arial" w:cs="Arial"/>
          <w:color w:val="000000"/>
          <w:sz w:val="20"/>
        </w:rPr>
        <w:t xml:space="preserve">The ADA prohibits employers from "discriminat[ing] against a qualified individual on the basis of disability in regard to . . . the hiring, advancement, or discharge of employees, . . . and other terms, conditions, and privileges of employment." 42 U.S.C. § 12112(a). </w:t>
      </w:r>
      <w:bookmarkStart w:id="7165" w:name="Bookmark_I639BXXP2SF86W0050000400"/>
      <w:bookmarkEnd w:id="7165"/>
      <w:r>
        <w:rPr>
          <w:rFonts w:ascii="Arial" w:eastAsia="Arial" w:hAnsi="Arial" w:cs="Arial"/>
          <w:color w:val="000000"/>
          <w:sz w:val="20"/>
        </w:rPr>
        <w:t>"[T]he term 'discriminate against a qualified individual' . . . includes . . . not making reasonable accommodations." 42 U.S.C. § 12112(b)(5)(A).</w:t>
      </w:r>
    </w:p>
    <w:p w:rsidR="00022B47" w:rsidRDefault="00000000">
      <w:pPr>
        <w:pStyle w:val="Normal47"/>
        <w:widowControl w:val="0"/>
        <w:spacing w:line="260" w:lineRule="atLeast"/>
        <w:ind w:left="400"/>
        <w:jc w:val="both"/>
      </w:pPr>
      <w:bookmarkStart w:id="7166" w:name="Bookmark_para_8_45"/>
      <w:bookmarkStart w:id="7167" w:name="Bookmark_I639BXXP2SF86W0050000400_2"/>
      <w:bookmarkStart w:id="7168" w:name="Bookmark_I639BXXR2N1RVY0020000400"/>
      <w:bookmarkEnd w:id="7166"/>
      <w:bookmarkEnd w:id="7167"/>
      <w:bookmarkEnd w:id="7168"/>
      <w:r>
        <w:rPr>
          <w:rFonts w:ascii="Arial" w:eastAsia="Arial" w:hAnsi="Arial" w:cs="Arial"/>
          <w:color w:val="000000"/>
          <w:sz w:val="20"/>
        </w:rPr>
        <w:t>To establish a prima facie case for failure to accommodate, [Baldassarre] must show: (1) that [he] was an individual who had a disability within the meaning of the statute; (2) that the employer had notice of [his] disability; (3) that with reasonable accommodation [he] could perform the essential functions of the position, and (4) that the employer refused to make such accommodations.</w:t>
      </w:r>
    </w:p>
    <w:p w:rsidR="00022B47" w:rsidRDefault="00000000">
      <w:pPr>
        <w:pStyle w:val="Normal47"/>
        <w:widowControl w:val="0"/>
        <w:spacing w:before="200" w:line="260" w:lineRule="atLeast"/>
        <w:jc w:val="both"/>
      </w:pPr>
      <w:bookmarkStart w:id="7169" w:name="Bookmark_I639BXXR2N1RVY0020000400_2"/>
      <w:bookmarkStart w:id="7170" w:name="Bookmark_I639BXXP2SF86W0050000400_3"/>
      <w:bookmarkStart w:id="7171" w:name="Bookmark_I639BXXR2N1RVY0040000400"/>
      <w:bookmarkStart w:id="7172" w:name="Bookmark_I639BXXP2SF86W0040000400"/>
      <w:bookmarkEnd w:id="7169"/>
      <w:bookmarkEnd w:id="7170"/>
      <w:bookmarkEnd w:id="7171"/>
      <w:bookmarkEnd w:id="7172"/>
      <w:r>
        <w:rPr>
          <w:rFonts w:ascii="Arial" w:eastAsia="Arial" w:hAnsi="Arial" w:cs="Arial"/>
          <w:i/>
          <w:color w:val="000000"/>
          <w:sz w:val="20"/>
        </w:rPr>
        <w:t>Jacobs v. N.C. Admin. Office of Courts</w:t>
      </w:r>
      <w:r>
        <w:rPr>
          <w:rFonts w:ascii="Arial" w:eastAsia="Arial" w:hAnsi="Arial" w:cs="Arial"/>
          <w:color w:val="000000"/>
          <w:sz w:val="20"/>
        </w:rPr>
        <w:t xml:space="preserve">, 780 F.3d 562, 579 (4th Cir. 2015) (internal quotation marks omitted). </w:t>
      </w:r>
      <w:bookmarkStart w:id="7173" w:name="Bookmark_I639BXXR2N1RVY0040000400_2"/>
      <w:bookmarkEnd w:id="7173"/>
      <w:r>
        <w:rPr>
          <w:rFonts w:ascii="Arial" w:eastAsia="Arial" w:hAnsi="Arial" w:cs="Arial"/>
          <w:color w:val="000000"/>
          <w:sz w:val="20"/>
        </w:rPr>
        <w:t xml:space="preserve">"A reasonable accommodation is one that enables a qualified individual with a disability to perform the essential functions of a position." </w:t>
      </w:r>
      <w:bookmarkStart w:id="7174" w:name="Bookmark_I639BXXR2N1RVY0010000400"/>
      <w:bookmarkEnd w:id="7174"/>
      <w:r>
        <w:rPr>
          <w:rFonts w:ascii="Arial" w:eastAsia="Arial" w:hAnsi="Arial" w:cs="Arial"/>
          <w:i/>
          <w:color w:val="000000"/>
          <w:sz w:val="20"/>
        </w:rPr>
        <w:t>Id.</w:t>
      </w:r>
      <w:r>
        <w:rPr>
          <w:rFonts w:ascii="Arial" w:eastAsia="Arial" w:hAnsi="Arial" w:cs="Arial"/>
          <w:color w:val="000000"/>
          <w:sz w:val="20"/>
        </w:rPr>
        <w:t xml:space="preserve"> at 580 (internal quotation marks and brackets omitted). </w:t>
      </w:r>
      <w:bookmarkStart w:id="7175" w:name="Bookmark_I639BXXR2N1RVY0040000400_3"/>
      <w:bookmarkEnd w:id="7175"/>
      <w:r>
        <w:rPr>
          <w:rFonts w:ascii="Arial" w:eastAsia="Arial" w:hAnsi="Arial" w:cs="Arial"/>
          <w:color w:val="000000"/>
          <w:sz w:val="20"/>
        </w:rPr>
        <w:t xml:space="preserve">"To overcome a motion for summary judgment, [Baldassarre] was required to present evidence from which a jury may infer that the proposed accommodation is reasonable on its face." </w:t>
      </w:r>
      <w:bookmarkStart w:id="7176" w:name="Bookmark_I639BXXR2N1RVY0030000400"/>
      <w:bookmarkEnd w:id="7176"/>
      <w:r>
        <w:rPr>
          <w:rFonts w:ascii="Arial" w:eastAsia="Arial" w:hAnsi="Arial" w:cs="Arial"/>
          <w:i/>
          <w:color w:val="000000"/>
          <w:sz w:val="20"/>
        </w:rPr>
        <w:t>Reyazuddin v. Montgomery Cnty.</w:t>
      </w:r>
      <w:r>
        <w:rPr>
          <w:rFonts w:ascii="Arial" w:eastAsia="Arial" w:hAnsi="Arial" w:cs="Arial"/>
          <w:color w:val="000000"/>
          <w:sz w:val="20"/>
        </w:rPr>
        <w:t>, 789 F.3d 407, 414 (4th Cir. 2015) (internal [**4]  quotation marks and brackets omitted). After thoroughly reviewing the record, we conclude that no reasonable juror could find, under the totality of the circumstances, that Norfolk violated the ADA by failing to reasonably accommodate Baldassarre's condition.</w:t>
      </w:r>
    </w:p>
    <w:p w:rsidR="00022B47" w:rsidRDefault="00000000">
      <w:pPr>
        <w:pStyle w:val="Normal47"/>
        <w:widowControl w:val="0"/>
        <w:spacing w:before="200" w:line="260" w:lineRule="atLeast"/>
        <w:jc w:val="both"/>
      </w:pPr>
      <w:bookmarkStart w:id="7177" w:name="Bookmark_para_9_44"/>
      <w:bookmarkEnd w:id="7177"/>
      <w:r>
        <w:rPr>
          <w:rFonts w:ascii="Arial" w:eastAsia="Arial" w:hAnsi="Arial" w:cs="Arial"/>
          <w:color w:val="000000"/>
          <w:sz w:val="20"/>
        </w:rPr>
        <w:t>Accordingly, we affirm the district court's order granting summary judgment to Norfolk. We dispense with oral argument because the facts and legal contentions are adequately presented in the materials before this court and argument would not aid the decisional process.</w:t>
      </w:r>
    </w:p>
    <w:p w:rsidR="00022B47" w:rsidRDefault="00000000">
      <w:pPr>
        <w:pStyle w:val="Normal47"/>
        <w:widowControl w:val="0"/>
        <w:spacing w:before="200" w:line="260" w:lineRule="atLeast"/>
        <w:jc w:val="both"/>
      </w:pPr>
      <w:bookmarkStart w:id="7178" w:name="Bookmark_para_10_43"/>
      <w:bookmarkEnd w:id="7178"/>
      <w:r>
        <w:rPr>
          <w:rFonts w:ascii="Arial" w:eastAsia="Arial" w:hAnsi="Arial" w:cs="Arial"/>
          <w:i/>
          <w:color w:val="000000"/>
          <w:sz w:val="20"/>
        </w:rPr>
        <w:t>AFFIRMED</w:t>
      </w:r>
    </w:p>
    <w:p w:rsidR="00022B47" w:rsidRDefault="00022B47">
      <w:pPr>
        <w:pStyle w:val="Normal47"/>
      </w:pPr>
    </w:p>
    <w:p w:rsidR="00022B47" w:rsidRDefault="00000000">
      <w:pPr>
        <w:pStyle w:val="Normal47"/>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59616"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386728773"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FFCE75" id="Line 101"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48"/>
        <w:sectPr w:rsidR="00022B47">
          <w:headerReference w:type="even" r:id="rId295"/>
          <w:headerReference w:type="default" r:id="rId296"/>
          <w:footerReference w:type="even" r:id="rId297"/>
          <w:footerReference w:type="default" r:id="rId298"/>
          <w:headerReference w:type="first" r:id="rId299"/>
          <w:footerReference w:type="first" r:id="rId300"/>
          <w:pgSz w:w="12240" w:h="15840"/>
          <w:pgMar w:top="840" w:right="1000" w:bottom="840" w:left="1000" w:header="400" w:footer="400" w:gutter="0"/>
          <w:cols w:space="720"/>
          <w:titlePg/>
        </w:sectPr>
      </w:pPr>
    </w:p>
    <w:p w:rsidR="00022B47" w:rsidRDefault="00022B47">
      <w:pPr>
        <w:pStyle w:val="Normal48"/>
      </w:pPr>
    </w:p>
    <w:p w:rsidR="00022B47" w:rsidRDefault="00000000">
      <w:pPr>
        <w:pStyle w:val="Heading147"/>
        <w:keepNext w:val="0"/>
        <w:widowControl w:val="0"/>
        <w:spacing w:after="200" w:line="340" w:lineRule="atLeast"/>
        <w:jc w:val="center"/>
      </w:pPr>
      <w:r>
        <w:rPr>
          <w:rFonts w:eastAsia="Arial"/>
          <w:color w:val="000000"/>
          <w:sz w:val="28"/>
        </w:rPr>
        <w:t>Coral Ridge Ministries Media, Inc. v. Amazon.com, Inc.</w:t>
      </w:r>
    </w:p>
    <w:p w:rsidR="00022B47" w:rsidRDefault="00000000">
      <w:pPr>
        <w:pStyle w:val="Normal48"/>
        <w:widowControl w:val="0"/>
        <w:spacing w:before="120" w:line="260" w:lineRule="atLeast"/>
        <w:jc w:val="center"/>
      </w:pPr>
      <w:r>
        <w:rPr>
          <w:rFonts w:ascii="Arial" w:eastAsia="Arial" w:hAnsi="Arial" w:cs="Arial"/>
          <w:color w:val="000000"/>
          <w:sz w:val="20"/>
        </w:rPr>
        <w:t>United States Court of Appeals for the Eleventh Circuit</w:t>
      </w:r>
    </w:p>
    <w:p w:rsidR="00022B47" w:rsidRDefault="00000000">
      <w:pPr>
        <w:pStyle w:val="Normal48"/>
        <w:widowControl w:val="0"/>
        <w:spacing w:before="120" w:line="260" w:lineRule="atLeast"/>
        <w:jc w:val="center"/>
      </w:pPr>
      <w:r>
        <w:rPr>
          <w:rFonts w:ascii="Arial" w:eastAsia="Arial" w:hAnsi="Arial" w:cs="Arial"/>
          <w:color w:val="000000"/>
          <w:sz w:val="20"/>
        </w:rPr>
        <w:t>July 28, 2021, Decided</w:t>
      </w:r>
    </w:p>
    <w:p w:rsidR="00022B47" w:rsidRDefault="00000000">
      <w:pPr>
        <w:pStyle w:val="Normal48"/>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19-14125</w:t>
      </w:r>
    </w:p>
    <w:p w:rsidR="00022B47" w:rsidRDefault="00022B47">
      <w:pPr>
        <w:pStyle w:val="Normal48"/>
        <w:widowControl w:val="0"/>
        <w:spacing w:line="240" w:lineRule="atLeast"/>
        <w:jc w:val="both"/>
      </w:pPr>
      <w:bookmarkStart w:id="7179" w:name="Bookmark_49"/>
      <w:bookmarkEnd w:id="7179"/>
    </w:p>
    <w:p w:rsidR="00022B47" w:rsidRDefault="00000000">
      <w:pPr>
        <w:pStyle w:val="Normal48"/>
        <w:widowControl w:val="0"/>
        <w:spacing w:before="200" w:line="240" w:lineRule="atLeast"/>
      </w:pPr>
      <w:bookmarkStart w:id="7180" w:name="Reporter_47"/>
      <w:bookmarkEnd w:id="7180"/>
      <w:r>
        <w:rPr>
          <w:rFonts w:ascii="Arial" w:eastAsia="Arial" w:hAnsi="Arial" w:cs="Arial"/>
          <w:b/>
          <w:color w:val="000000"/>
          <w:sz w:val="18"/>
        </w:rPr>
        <w:t>Reporter</w:t>
      </w:r>
    </w:p>
    <w:p w:rsidR="00022B47" w:rsidRDefault="00000000">
      <w:pPr>
        <w:pStyle w:val="Normal48"/>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6 F.4th 1247 *; 2021 U.S. App. LEXIS 22344 **; 29 Fla. L. Weekly Fed. C 131</w:t>
      </w:r>
    </w:p>
    <w:p w:rsidR="00022B47" w:rsidRDefault="00000000">
      <w:pPr>
        <w:pStyle w:val="Normal48"/>
        <w:widowControl w:val="0"/>
        <w:spacing w:before="120" w:line="260" w:lineRule="atLeast"/>
      </w:pPr>
      <w:r>
        <w:rPr>
          <w:rFonts w:ascii="Arial" w:eastAsia="Arial" w:hAnsi="Arial" w:cs="Arial"/>
          <w:color w:val="000000"/>
          <w:sz w:val="20"/>
        </w:rPr>
        <w:t>CORAL RIDGE MINISTRIES MEDIA, INC., d.b.a. D. James Kennedy Ministries, Plaintiff - Appellant, versus AMAZON.COM, INC., SOUTHERN POVERTY LAW CENTER, INC., AMAZONSMILE FOUNDATION, Defendants - Appellees, AMAZONSMILE FOUNDATION, INC., et al., Defendants.</w:t>
      </w:r>
    </w:p>
    <w:p w:rsidR="00022B47" w:rsidRDefault="00000000">
      <w:pPr>
        <w:pStyle w:val="Normal48"/>
        <w:widowControl w:val="0"/>
        <w:spacing w:before="240" w:line="260" w:lineRule="atLeast"/>
      </w:pPr>
      <w:bookmarkStart w:id="7181" w:name="Subsequent_History_6"/>
      <w:bookmarkEnd w:id="7181"/>
      <w:r>
        <w:rPr>
          <w:rFonts w:ascii="Arial" w:eastAsia="Arial" w:hAnsi="Arial" w:cs="Arial"/>
          <w:b/>
          <w:color w:val="000000"/>
          <w:sz w:val="20"/>
        </w:rPr>
        <w:t>Subsequent History:</w:t>
      </w:r>
      <w:r>
        <w:rPr>
          <w:rFonts w:ascii="Arial" w:eastAsia="Arial" w:hAnsi="Arial" w:cs="Arial"/>
          <w:color w:val="000000"/>
          <w:sz w:val="20"/>
        </w:rPr>
        <w:t> US Supreme Court certiorari denied by Coral Ridge Ministries Media, Inc. v. S. Poverty Law Ctr., 2022 U.S. LEXIS 3099 (U.S., June 27, 2022)</w:t>
      </w:r>
    </w:p>
    <w:p w:rsidR="00022B47" w:rsidRDefault="00000000">
      <w:pPr>
        <w:pStyle w:val="Normal48"/>
        <w:widowControl w:val="0"/>
        <w:spacing w:before="240" w:line="260" w:lineRule="atLeast"/>
        <w:jc w:val="both"/>
      </w:pPr>
      <w:bookmarkStart w:id="7182" w:name="Prior_History_47"/>
      <w:bookmarkEnd w:id="7182"/>
      <w:r>
        <w:rPr>
          <w:rFonts w:ascii="Arial" w:eastAsia="Arial" w:hAnsi="Arial" w:cs="Arial"/>
          <w:b/>
          <w:color w:val="000000"/>
          <w:sz w:val="20"/>
        </w:rPr>
        <w:t>Prior History:</w:t>
      </w:r>
      <w:r>
        <w:rPr>
          <w:rFonts w:ascii="Arial" w:eastAsia="Arial" w:hAnsi="Arial" w:cs="Arial"/>
          <w:color w:val="000000"/>
          <w:sz w:val="20"/>
        </w:rPr>
        <w:t> </w:t>
      </w:r>
      <w:bookmarkStart w:id="7183" w:name="Bookmark_para_1_47"/>
      <w:bookmarkEnd w:id="7183"/>
      <w:r>
        <w:rPr>
          <w:rFonts w:ascii="Arial" w:eastAsia="Arial" w:hAnsi="Arial" w:cs="Arial"/>
          <w:color w:val="000000"/>
          <w:sz w:val="20"/>
        </w:rPr>
        <w:t> [**1] Appeal from the United States District Court for the Middle District of Alabama. D.C. Docket No. 2:17-cv-00566-MHT-SMD.</w:t>
      </w:r>
    </w:p>
    <w:p w:rsidR="00022B47" w:rsidRDefault="00000000">
      <w:pPr>
        <w:pStyle w:val="Normal48"/>
        <w:widowControl w:val="0"/>
        <w:spacing w:before="120" w:line="260" w:lineRule="atLeast"/>
      </w:pPr>
      <w:r>
        <w:rPr>
          <w:rFonts w:ascii="Arial" w:eastAsia="Arial" w:hAnsi="Arial" w:cs="Arial"/>
          <w:color w:val="000000"/>
          <w:sz w:val="20"/>
        </w:rPr>
        <w:t>Coral Ridge Ministries Media, Inc. v. Amazon.com, Inc., 406 F. Supp. 3d 1258, 2019 U.S. Dist. LEXIS 159685, 2019 WL 4547064 (M.D. Ala., Sept. 19, 2019)</w:t>
      </w:r>
    </w:p>
    <w:p w:rsidR="00022B47" w:rsidRDefault="00000000">
      <w:pPr>
        <w:pStyle w:val="Normal48"/>
        <w:widowControl w:val="0"/>
        <w:spacing w:before="240" w:line="260" w:lineRule="atLeast"/>
        <w:jc w:val="both"/>
      </w:pPr>
      <w:bookmarkStart w:id="7184" w:name="Disposition_15"/>
      <w:bookmarkEnd w:id="7184"/>
      <w:r>
        <w:rPr>
          <w:rFonts w:ascii="Arial" w:eastAsia="Arial" w:hAnsi="Arial" w:cs="Arial"/>
          <w:b/>
          <w:color w:val="000000"/>
          <w:sz w:val="20"/>
        </w:rPr>
        <w:t>Disposition:</w:t>
      </w:r>
      <w:r>
        <w:rPr>
          <w:rFonts w:ascii="Arial" w:eastAsia="Arial" w:hAnsi="Arial" w:cs="Arial"/>
          <w:color w:val="000000"/>
          <w:sz w:val="20"/>
        </w:rPr>
        <w:t> </w:t>
      </w:r>
      <w:bookmarkStart w:id="7185" w:name="Bookmark_clspara_4_11"/>
      <w:bookmarkEnd w:id="7185"/>
      <w:r>
        <w:rPr>
          <w:rFonts w:ascii="Arial" w:eastAsia="Arial" w:hAnsi="Arial" w:cs="Arial"/>
          <w:color w:val="000000"/>
          <w:sz w:val="20"/>
        </w:rPr>
        <w:t>AFFIRMED.</w:t>
      </w:r>
    </w:p>
    <w:p w:rsidR="00022B47" w:rsidRDefault="00000000">
      <w:pPr>
        <w:pStyle w:val="Normal48"/>
        <w:widowControl w:val="0"/>
        <w:spacing w:before="240" w:line="260" w:lineRule="atLeast"/>
      </w:pPr>
      <w:bookmarkStart w:id="7186" w:name="Counsel_47"/>
      <w:bookmarkEnd w:id="7186"/>
      <w:r>
        <w:rPr>
          <w:rFonts w:ascii="Arial" w:eastAsia="Arial" w:hAnsi="Arial" w:cs="Arial"/>
          <w:b/>
          <w:color w:val="000000"/>
          <w:sz w:val="20"/>
        </w:rPr>
        <w:t>Counsel:</w:t>
      </w:r>
      <w:r>
        <w:rPr>
          <w:rFonts w:ascii="Arial" w:eastAsia="Arial" w:hAnsi="Arial" w:cs="Arial"/>
          <w:color w:val="000000"/>
          <w:sz w:val="20"/>
        </w:rPr>
        <w:t> For CORAL RIDGE MINISTRIES MEDIA, INC., d.b.a. D. James Kennedy Ministries, Plaintiff - Appellant: David C. Gibbs, III, The National Center for Life and Liberty, Inc., BARTONVILLE, TX.</w:t>
      </w:r>
    </w:p>
    <w:p w:rsidR="00022B47" w:rsidRDefault="00000000">
      <w:pPr>
        <w:pStyle w:val="Normal48"/>
        <w:widowControl w:val="0"/>
        <w:spacing w:before="120" w:line="260" w:lineRule="atLeast"/>
      </w:pPr>
      <w:r>
        <w:rPr>
          <w:rFonts w:ascii="Arial" w:eastAsia="Arial" w:hAnsi="Arial" w:cs="Arial"/>
          <w:color w:val="000000"/>
          <w:sz w:val="20"/>
        </w:rPr>
        <w:t>For AMAZON.COM, INC., AMAZONSMILE FOUNDATION, Defendants - Appellees: Tim Cunningham, Davis Wright Tremaine, LLP, PORTLAND, OR; Bruce Edward Johnson, Ambika Kumar, Davis Wright Tremaine, LLP, SEATTLE, WA; Harlan Irby Prater, IV, Robert Ashby Pate, Lightfoot Franklin &amp; White, LLC, BIRMINGHAM, AL.</w:t>
      </w:r>
    </w:p>
    <w:p w:rsidR="00022B47" w:rsidRDefault="00000000">
      <w:pPr>
        <w:pStyle w:val="Normal48"/>
        <w:widowControl w:val="0"/>
        <w:spacing w:before="120" w:line="260" w:lineRule="atLeast"/>
      </w:pPr>
      <w:r>
        <w:rPr>
          <w:rFonts w:ascii="Arial" w:eastAsia="Arial" w:hAnsi="Arial" w:cs="Arial"/>
          <w:color w:val="000000"/>
          <w:sz w:val="20"/>
        </w:rPr>
        <w:t>For SOUTHERN POVERTY LAW CENTER, INC., Defendant - Appellee: Shannon L. Holliday, Robert D. Segall, Benjamin Woodforde Maxymuk, Copeland Franco Screws &amp; Gill, PA, MONTGOMERY, AL.</w:t>
      </w:r>
    </w:p>
    <w:p w:rsidR="00022B47" w:rsidRDefault="00000000">
      <w:pPr>
        <w:pStyle w:val="Normal48"/>
        <w:widowControl w:val="0"/>
        <w:spacing w:before="120" w:line="260" w:lineRule="atLeast"/>
      </w:pPr>
      <w:r>
        <w:rPr>
          <w:rFonts w:ascii="Arial" w:eastAsia="Arial" w:hAnsi="Arial" w:cs="Arial"/>
          <w:color w:val="000000"/>
          <w:sz w:val="20"/>
        </w:rPr>
        <w:t>For CONSERVATIVE LEGAL DEFENSE AND EDUCATION FUND, I BELONG AMEN MINISTRIES, ONE NATION UNDER GOD FOUNDATION, PASS THE SALT MINISTRIES, PUBLIC ADVOCATE OF THE UNITED STATES, RESTORING LIBERTY ACTION COMMITTEE, Amicus Curiaes: William J. Olson, William J. Olson, PC, VIENNA, VA.</w:t>
      </w:r>
    </w:p>
    <w:p w:rsidR="00022B47" w:rsidRDefault="00000000">
      <w:pPr>
        <w:pStyle w:val="Normal48"/>
        <w:widowControl w:val="0"/>
        <w:spacing w:before="120" w:line="260" w:lineRule="atLeast"/>
      </w:pPr>
      <w:r>
        <w:rPr>
          <w:rFonts w:ascii="Arial" w:eastAsia="Arial" w:hAnsi="Arial" w:cs="Arial"/>
          <w:color w:val="000000"/>
          <w:sz w:val="20"/>
        </w:rPr>
        <w:t>For AMERICAN CIVIL LIBERTIES UNION FOUNDATION, AMERICAN CIVIL LIBERTIES UNION FOUNDATION OF ALABAMA, Amicus Curiaes: Vera Eidelman, American [**2]  Civil Liberties Union Foundation, NEW YORK, NY.</w:t>
      </w:r>
    </w:p>
    <w:p w:rsidR="00022B47" w:rsidRDefault="00000000">
      <w:pPr>
        <w:pStyle w:val="Normal48"/>
        <w:widowControl w:val="0"/>
        <w:spacing w:before="240" w:line="260" w:lineRule="atLeast"/>
      </w:pPr>
      <w:bookmarkStart w:id="7187" w:name="Judges_47"/>
      <w:bookmarkEnd w:id="7187"/>
      <w:r>
        <w:rPr>
          <w:rFonts w:ascii="Arial" w:eastAsia="Arial" w:hAnsi="Arial" w:cs="Arial"/>
          <w:b/>
          <w:color w:val="000000"/>
          <w:sz w:val="20"/>
        </w:rPr>
        <w:t>Judges:</w:t>
      </w:r>
      <w:r>
        <w:rPr>
          <w:rFonts w:ascii="Arial" w:eastAsia="Arial" w:hAnsi="Arial" w:cs="Arial"/>
          <w:color w:val="000000"/>
          <w:sz w:val="20"/>
        </w:rPr>
        <w:t> Before WILSON, GRANT, and TJOFLAT, Circuit Judges.</w:t>
      </w:r>
    </w:p>
    <w:p w:rsidR="00022B47" w:rsidRDefault="00000000">
      <w:pPr>
        <w:pStyle w:val="Normal48"/>
        <w:widowControl w:val="0"/>
        <w:spacing w:before="240" w:line="260" w:lineRule="atLeast"/>
      </w:pPr>
      <w:bookmarkStart w:id="7188" w:name="Opinion_by_23"/>
      <w:bookmarkEnd w:id="7188"/>
      <w:r>
        <w:rPr>
          <w:rFonts w:ascii="Arial" w:eastAsia="Arial" w:hAnsi="Arial" w:cs="Arial"/>
          <w:b/>
          <w:color w:val="000000"/>
          <w:sz w:val="20"/>
        </w:rPr>
        <w:t>Opinion by:</w:t>
      </w:r>
      <w:r>
        <w:rPr>
          <w:rFonts w:ascii="Arial" w:eastAsia="Arial" w:hAnsi="Arial" w:cs="Arial"/>
          <w:color w:val="000000"/>
          <w:sz w:val="20"/>
        </w:rPr>
        <w:t> WILSON</w:t>
      </w:r>
    </w:p>
    <w:p w:rsidR="00022B47" w:rsidRDefault="00000000">
      <w:pPr>
        <w:pStyle w:val="Normal48"/>
        <w:keepNext/>
        <w:widowControl w:val="0"/>
        <w:spacing w:before="240" w:line="340" w:lineRule="atLeast"/>
      </w:pPr>
      <w:bookmarkStart w:id="7189" w:name="Opinion_47"/>
      <w:bookmarkEnd w:id="7189"/>
      <w:r>
        <w:rPr>
          <w:rFonts w:ascii="Arial" w:eastAsia="Arial" w:hAnsi="Arial" w:cs="Arial"/>
          <w:b/>
          <w:color w:val="000000"/>
          <w:sz w:val="28"/>
        </w:rPr>
        <w:t>Opinion</w:t>
      </w:r>
    </w:p>
    <w:p w:rsidR="00022B47" w:rsidRDefault="0025213E">
      <w:pPr>
        <w:pStyle w:val="Normal48"/>
        <w:spacing w:line="60" w:lineRule="exact"/>
      </w:pPr>
      <w:r>
        <w:rPr>
          <w:noProof/>
        </w:rPr>
        <mc:AlternateContent>
          <mc:Choice Requires="wps">
            <w:drawing>
              <wp:anchor distT="0" distB="0" distL="114300" distR="114300" simplePos="0" relativeHeight="251760640"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91023650"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6156EA" id="Line 102"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48"/>
      </w:pPr>
    </w:p>
    <w:p w:rsidR="00022B47" w:rsidRDefault="00000000">
      <w:pPr>
        <w:pStyle w:val="Normal48"/>
        <w:widowControl w:val="0"/>
        <w:spacing w:before="200" w:line="260" w:lineRule="atLeast"/>
        <w:jc w:val="both"/>
      </w:pPr>
      <w:bookmarkStart w:id="7190" w:name="Bookmark_para_2_47"/>
      <w:bookmarkEnd w:id="7190"/>
      <w:r>
        <w:rPr>
          <w:rFonts w:ascii="Arial" w:eastAsia="Arial" w:hAnsi="Arial" w:cs="Arial"/>
          <w:color w:val="000000"/>
          <w:sz w:val="20"/>
        </w:rPr>
        <w:t> [*1250]  WILSON, Circuit Judge:</w:t>
      </w:r>
    </w:p>
    <w:p w:rsidR="00022B47" w:rsidRDefault="00000000">
      <w:pPr>
        <w:pStyle w:val="Normal48"/>
        <w:widowControl w:val="0"/>
        <w:spacing w:before="200" w:line="260" w:lineRule="atLeast"/>
        <w:jc w:val="both"/>
      </w:pPr>
      <w:bookmarkStart w:id="7191" w:name="Bookmark_para_3_47"/>
      <w:bookmarkEnd w:id="7191"/>
      <w:r>
        <w:rPr>
          <w:rFonts w:ascii="Arial" w:eastAsia="Arial" w:hAnsi="Arial" w:cs="Arial"/>
          <w:color w:val="000000"/>
          <w:sz w:val="20"/>
        </w:rPr>
        <w:t>Coral Ridge Ministries Media (Coral Ridge), a Christian ministry and media corporation, appeals the district court's dismissal of its defamation claim against the Southern Poverty Law Center (SPLC) and religious discrimination claim against Amazon.com and the AmazonSmile Foundation (collectively, Amazon). Because we find that the district court did not err in dismissing this suit, we affirm.</w:t>
      </w:r>
    </w:p>
    <w:p w:rsidR="00022B47" w:rsidRDefault="00000000">
      <w:pPr>
        <w:pStyle w:val="Normal48"/>
        <w:widowControl w:val="0"/>
        <w:spacing w:before="240" w:line="260" w:lineRule="atLeast"/>
      </w:pPr>
      <w:r>
        <w:br/>
      </w:r>
      <w:r>
        <w:rPr>
          <w:rFonts w:ascii="Arial" w:eastAsia="Arial" w:hAnsi="Arial" w:cs="Arial"/>
          <w:b/>
          <w:color w:val="000000"/>
          <w:sz w:val="20"/>
        </w:rPr>
        <w:t>I</w:t>
      </w:r>
      <w:r>
        <w:rPr>
          <w:rFonts w:ascii="Arial" w:eastAsia="Arial" w:hAnsi="Arial" w:cs="Arial"/>
          <w:color w:val="000000"/>
          <w:sz w:val="20"/>
        </w:rPr>
        <w:t>.</w:t>
      </w:r>
    </w:p>
    <w:p w:rsidR="00022B47" w:rsidRDefault="00000000">
      <w:pPr>
        <w:pStyle w:val="Normal48"/>
        <w:widowControl w:val="0"/>
        <w:spacing w:before="200" w:line="260" w:lineRule="atLeast"/>
        <w:jc w:val="both"/>
      </w:pPr>
      <w:bookmarkStart w:id="7192" w:name="Bookmark_para_4_47"/>
      <w:bookmarkEnd w:id="7192"/>
      <w:r>
        <w:rPr>
          <w:rFonts w:ascii="Arial" w:eastAsia="Arial" w:hAnsi="Arial" w:cs="Arial"/>
          <w:color w:val="000000"/>
          <w:sz w:val="20"/>
        </w:rPr>
        <w:t>Amazon.com is the largest internet-based retailer in the world. AmazonSmile Foundation (AmazonSmile) is a tax-exempt corporation affiliated with Amazon.com. The AmazonSmile website allows customers to buy products as if they were using Amazon.com, but with every purchase Amazon will donate 0.5% of the price to an eligible charity selected by the customer. To be  [*1251]  an eligible charity for the AmazonSmile program, an organization must be registered and in good standing with the Internal Revenue Service as a nonprofit organization under 26 U.S.C. § 501(c)(3); must agree to a Participation Agreement; and cannot "engage in, support, encourage, or promote intolerance, hate, terrorism, violence, money [**3]  laundering, or other illegal activities." In relation to the last requirement, organizations that SPLC designates as hate groups are not eligible to participate in the AmazonSmile program. SPLC is an Alabama-based nonprofit organization that, among other things, publishes a "Hate Map"—a list of entities the organization has characterized as hate groups—on its website.</w:t>
      </w:r>
      <w:r>
        <w:rPr>
          <w:rFonts w:ascii="Arial" w:eastAsia="Arial" w:hAnsi="Arial" w:cs="Arial"/>
          <w:vertAlign w:val="superscript"/>
        </w:rPr>
        <w:footnoteReference w:customMarkFollows="1" w:id="222"/>
        <w:t>1</w:t>
      </w:r>
      <w:r>
        <w:rPr>
          <w:rFonts w:ascii="Arial" w:eastAsia="Arial" w:hAnsi="Arial" w:cs="Arial"/>
          <w:color w:val="000000"/>
          <w:sz w:val="20"/>
        </w:rPr>
        <w:t xml:space="preserve"> Coral Ridge applied to be an eligible charity for the AmazonSmile program, but Amazon denied its application because Coral Ridge is listed on the Hate Map as being anti-LGBTQ.</w:t>
      </w:r>
      <w:r>
        <w:rPr>
          <w:rFonts w:ascii="Arial" w:eastAsia="Arial" w:hAnsi="Arial" w:cs="Arial"/>
          <w:vertAlign w:val="superscript"/>
        </w:rPr>
        <w:footnoteReference w:customMarkFollows="1" w:id="223"/>
        <w:t>2</w:t>
      </w:r>
    </w:p>
    <w:p w:rsidR="00022B47" w:rsidRDefault="00000000">
      <w:pPr>
        <w:pStyle w:val="Normal48"/>
        <w:widowControl w:val="0"/>
        <w:spacing w:before="200" w:line="260" w:lineRule="atLeast"/>
        <w:jc w:val="both"/>
      </w:pPr>
      <w:bookmarkStart w:id="7195" w:name="Bookmark_para_5_47"/>
      <w:bookmarkEnd w:id="7195"/>
      <w:r>
        <w:rPr>
          <w:rFonts w:ascii="Arial" w:eastAsia="Arial" w:hAnsi="Arial" w:cs="Arial"/>
          <w:color w:val="000000"/>
          <w:sz w:val="20"/>
        </w:rPr>
        <w:t>Coral Ridge filed suit in the Middle District of Alabama, claiming, inter alia, that (1) SPLC defamed Coral Ridge by listing it on the Hate Map, and (2) Amazon violated Title II of the Civil Rights Act (Title II), 42 U.S.C. § 2000a et seq., by discriminating against it based on religion.</w:t>
      </w:r>
      <w:r>
        <w:rPr>
          <w:rFonts w:ascii="Arial" w:eastAsia="Arial" w:hAnsi="Arial" w:cs="Arial"/>
          <w:vertAlign w:val="superscript"/>
        </w:rPr>
        <w:footnoteReference w:customMarkFollows="1" w:id="224"/>
        <w:t>3</w:t>
      </w:r>
      <w:r>
        <w:rPr>
          <w:rFonts w:ascii="Arial" w:eastAsia="Arial" w:hAnsi="Arial" w:cs="Arial"/>
          <w:color w:val="000000"/>
          <w:sz w:val="20"/>
        </w:rPr>
        <w:t xml:space="preserve"> In its complaint, Coral Ridge acknowledged that it opposes homosexual conduct, but denied that it is a hate group. It rejected SPLC's definition of hate group and instead said that the commonly understood definition of the term was "groups that engage in violence and crime."</w:t>
      </w:r>
      <w:r>
        <w:rPr>
          <w:rFonts w:ascii="Arial" w:eastAsia="Arial" w:hAnsi="Arial" w:cs="Arial"/>
          <w:vertAlign w:val="superscript"/>
        </w:rPr>
        <w:footnoteReference w:customMarkFollows="1" w:id="225"/>
        <w:t>4</w:t>
      </w:r>
      <w:r>
        <w:rPr>
          <w:rFonts w:ascii="Arial" w:eastAsia="Arial" w:hAnsi="Arial" w:cs="Arial"/>
          <w:color w:val="000000"/>
          <w:sz w:val="20"/>
        </w:rPr>
        <w:t xml:space="preserve"> Coral Ridge asserted it did not fall within either this definition or SPLC's definition of the term. Additionally, Coral Ridge alleged that SPLC listed it on the [**4]  Hate Map because of its religious beliefs about LGBTQ conduct. Therefore, according to Coral Ridge, a court could infer that Amazon discriminated against it by relying on the Hate Map. Both SPLC and Amazon moved to dismiss the suit under Federal Rule of Civil Procedure 12(b)(6).</w:t>
      </w:r>
    </w:p>
    <w:p w:rsidR="00022B47" w:rsidRDefault="00000000">
      <w:pPr>
        <w:pStyle w:val="Normal48"/>
        <w:widowControl w:val="0"/>
        <w:spacing w:before="200" w:line="260" w:lineRule="atLeast"/>
        <w:jc w:val="both"/>
      </w:pPr>
      <w:bookmarkStart w:id="7198" w:name="Bookmark_para_6_47"/>
      <w:bookmarkEnd w:id="7198"/>
      <w:r>
        <w:rPr>
          <w:rFonts w:ascii="Arial" w:eastAsia="Arial" w:hAnsi="Arial" w:cs="Arial"/>
          <w:color w:val="000000"/>
          <w:sz w:val="20"/>
        </w:rPr>
        <w:t>In a thorough 141-page order, the district court dismissed the defamation claim on First Amendment grounds and dismissed the Title II claim primarily because it found that the AmazonSmile program was not covered by Title II in this instance. Alternatively, it held that Coral Ridge's interpretation of Title II created First Amendment problems. Finally, the district court found that Coral Ridge did not plausibly allege either intentional or disparate impact discrimination. It therefore dismissed Coral Ridge's suit in full.</w:t>
      </w:r>
    </w:p>
    <w:p w:rsidR="00022B47" w:rsidRDefault="00000000">
      <w:pPr>
        <w:pStyle w:val="Normal48"/>
        <w:widowControl w:val="0"/>
        <w:spacing w:before="240" w:line="260" w:lineRule="atLeast"/>
      </w:pPr>
      <w:r>
        <w:br/>
      </w:r>
      <w:r>
        <w:rPr>
          <w:rFonts w:ascii="Arial" w:eastAsia="Arial" w:hAnsi="Arial" w:cs="Arial"/>
          <w:b/>
          <w:color w:val="000000"/>
          <w:sz w:val="20"/>
        </w:rPr>
        <w:t>II</w:t>
      </w:r>
      <w:r>
        <w:rPr>
          <w:rFonts w:ascii="Arial" w:eastAsia="Arial" w:hAnsi="Arial" w:cs="Arial"/>
          <w:color w:val="000000"/>
          <w:sz w:val="20"/>
        </w:rPr>
        <w:t>.</w:t>
      </w:r>
    </w:p>
    <w:p w:rsidR="00022B47" w:rsidRDefault="00000000">
      <w:pPr>
        <w:pStyle w:val="Normal48"/>
        <w:widowControl w:val="0"/>
        <w:spacing w:before="200" w:line="260" w:lineRule="atLeast"/>
        <w:jc w:val="both"/>
      </w:pPr>
      <w:bookmarkStart w:id="7199" w:name="Bookmark_para_7_47"/>
      <w:bookmarkStart w:id="7200" w:name="Bookmark_I63893W92SF7P40020000400"/>
      <w:bookmarkStart w:id="7201" w:name="Bookmark_LNHNREFclscc1_40"/>
      <w:bookmarkEnd w:id="7199"/>
      <w:bookmarkEnd w:id="7200"/>
      <w:bookmarkEnd w:id="7201"/>
      <w:r>
        <w:rPr>
          <w:rFonts w:ascii="Arial" w:eastAsia="Arial" w:hAnsi="Arial" w:cs="Arial"/>
          <w:color w:val="000000"/>
          <w:sz w:val="20"/>
        </w:rPr>
        <w:t xml:space="preserve">We review de novo a Rule 12(b)(6) dismissal for failure to state a claim upon which relief may be granted. </w:t>
      </w:r>
      <w:bookmarkStart w:id="7202" w:name="Bookmark_I63893W92SF7P40040000400"/>
      <w:bookmarkStart w:id="7203" w:name="Bookmark_I63893W92SF7P40010000400"/>
      <w:bookmarkEnd w:id="7202"/>
      <w:bookmarkEnd w:id="7203"/>
      <w:r>
        <w:rPr>
          <w:rFonts w:ascii="Arial" w:eastAsia="Arial" w:hAnsi="Arial" w:cs="Arial"/>
          <w:i/>
          <w:color w:val="000000"/>
          <w:sz w:val="20"/>
        </w:rPr>
        <w:t>Michel v. NYP Holdings, Inc.</w:t>
      </w:r>
      <w:r>
        <w:rPr>
          <w:rFonts w:ascii="Arial" w:eastAsia="Arial" w:hAnsi="Arial" w:cs="Arial"/>
          <w:color w:val="000000"/>
          <w:sz w:val="20"/>
        </w:rPr>
        <w:t xml:space="preserve">, 816 F.3d 686, 694 (11th Cir. 2016). </w:t>
      </w:r>
      <w:bookmarkStart w:id="7204" w:name="Bookmark_I63893WB2N1RB80010000400"/>
      <w:bookmarkEnd w:id="7204"/>
      <w:r>
        <w:rPr>
          <w:rFonts w:ascii="Arial" w:eastAsia="Arial" w:hAnsi="Arial" w:cs="Arial"/>
          <w:color w:val="000000"/>
          <w:sz w:val="20"/>
        </w:rPr>
        <w:t xml:space="preserve">We accept the factual allegations in the complaint as true and construe them in the light most favorable to the plaintiff. </w:t>
      </w:r>
      <w:bookmarkStart w:id="7205" w:name="Bookmark_I63893WB2N1RB80010000400_2"/>
      <w:bookmarkStart w:id="7206" w:name="Bookmark_I63893W92SF7P40040000400_2"/>
      <w:bookmarkEnd w:id="7205"/>
      <w:bookmarkEnd w:id="7206"/>
      <w:r>
        <w:rPr>
          <w:rFonts w:ascii="Arial" w:eastAsia="Arial" w:hAnsi="Arial" w:cs="Arial"/>
          <w:i/>
          <w:color w:val="000000"/>
          <w:sz w:val="20"/>
        </w:rPr>
        <w:t>Id.</w:t>
      </w:r>
      <w:r>
        <w:rPr>
          <w:rFonts w:ascii="Arial" w:eastAsia="Arial" w:hAnsi="Arial" w:cs="Arial"/>
          <w:color w:val="000000"/>
          <w:sz w:val="20"/>
        </w:rPr>
        <w:t xml:space="preserve"> To survive a motion to dismiss, a complaint must contain "enough facts to state a claim to relief that is plausible on its face." </w:t>
      </w:r>
      <w:r>
        <w:rPr>
          <w:rFonts w:ascii="Arial" w:eastAsia="Arial" w:hAnsi="Arial" w:cs="Arial"/>
          <w:i/>
          <w:color w:val="000000"/>
          <w:sz w:val="20"/>
        </w:rPr>
        <w:t>Id.</w:t>
      </w:r>
      <w:r>
        <w:rPr>
          <w:rFonts w:ascii="Arial" w:eastAsia="Arial" w:hAnsi="Arial" w:cs="Arial"/>
          <w:color w:val="000000"/>
          <w:sz w:val="20"/>
        </w:rPr>
        <w:t xml:space="preserve"> (quoting </w:t>
      </w:r>
      <w:bookmarkStart w:id="7207" w:name="Bookmark_I63893W92SF7P40030000400"/>
      <w:bookmarkEnd w:id="7207"/>
      <w:r>
        <w:rPr>
          <w:rFonts w:ascii="Arial" w:eastAsia="Arial" w:hAnsi="Arial" w:cs="Arial"/>
          <w:i/>
          <w:color w:val="000000"/>
          <w:sz w:val="20"/>
        </w:rPr>
        <w:t>Bell Atl. Corp. v. Twombly</w:t>
      </w:r>
      <w:r>
        <w:rPr>
          <w:rFonts w:ascii="Arial" w:eastAsia="Arial" w:hAnsi="Arial" w:cs="Arial"/>
          <w:color w:val="000000"/>
          <w:sz w:val="20"/>
        </w:rPr>
        <w:t xml:space="preserve">, 550 U.S. 544, 570, 127 S. Ct. 1955, 167 L. Ed. 2d 929 (2007)). "A claim has facial plausibility when the plaintiff pleads factual content that allows the court [**5]  to draw the reasonable inference that the defendant is liable for the misconduct alleged." </w:t>
      </w:r>
      <w:bookmarkStart w:id="7208" w:name="Bookmark_I63893W92SF7P40050000400"/>
      <w:bookmarkEnd w:id="7208"/>
      <w:r>
        <w:rPr>
          <w:rFonts w:ascii="Arial" w:eastAsia="Arial" w:hAnsi="Arial" w:cs="Arial"/>
          <w:i/>
          <w:color w:val="000000"/>
          <w:sz w:val="20"/>
        </w:rPr>
        <w:t>Ashcroft v. Iqbal</w:t>
      </w:r>
      <w:r>
        <w:rPr>
          <w:rFonts w:ascii="Arial" w:eastAsia="Arial" w:hAnsi="Arial" w:cs="Arial"/>
          <w:color w:val="000000"/>
          <w:sz w:val="20"/>
        </w:rPr>
        <w:t xml:space="preserve">, 556 U.S. 662, 678, 129 S. Ct. 1937, 173 L. Ed. 2d 868 (2009). We need not, however, accept as true a complaint's conclusory allegations or legal conclusions. </w:t>
      </w:r>
      <w:r>
        <w:rPr>
          <w:rFonts w:ascii="Arial" w:eastAsia="Arial" w:hAnsi="Arial" w:cs="Arial"/>
          <w:i/>
          <w:color w:val="000000"/>
          <w:sz w:val="20"/>
        </w:rPr>
        <w:t>Id.</w:t>
      </w:r>
    </w:p>
    <w:p w:rsidR="00022B47" w:rsidRDefault="00000000">
      <w:pPr>
        <w:pStyle w:val="Normal48"/>
        <w:widowControl w:val="0"/>
        <w:spacing w:before="240" w:line="260" w:lineRule="atLeast"/>
      </w:pPr>
      <w:r>
        <w:br/>
      </w:r>
      <w:r>
        <w:rPr>
          <w:rFonts w:ascii="Arial" w:eastAsia="Arial" w:hAnsi="Arial" w:cs="Arial"/>
          <w:b/>
          <w:color w:val="000000"/>
          <w:sz w:val="20"/>
        </w:rPr>
        <w:t>III</w:t>
      </w:r>
      <w:r>
        <w:rPr>
          <w:rFonts w:ascii="Arial" w:eastAsia="Arial" w:hAnsi="Arial" w:cs="Arial"/>
          <w:color w:val="000000"/>
          <w:sz w:val="20"/>
        </w:rPr>
        <w:t>.</w:t>
      </w:r>
    </w:p>
    <w:p w:rsidR="00022B47" w:rsidRDefault="00000000">
      <w:pPr>
        <w:pStyle w:val="Normal48"/>
        <w:widowControl w:val="0"/>
        <w:spacing w:before="200" w:line="260" w:lineRule="atLeast"/>
        <w:jc w:val="both"/>
      </w:pPr>
      <w:bookmarkStart w:id="7209" w:name="Bookmark_para_8_46"/>
      <w:bookmarkStart w:id="7210" w:name="Bookmark_I63893WB2N1RB80030000400"/>
      <w:bookmarkStart w:id="7211" w:name="Bookmark_LNHNREFclscc2_40"/>
      <w:bookmarkEnd w:id="7209"/>
      <w:bookmarkEnd w:id="7210"/>
      <w:bookmarkEnd w:id="7211"/>
      <w:r>
        <w:rPr>
          <w:rFonts w:ascii="Arial" w:eastAsia="Arial" w:hAnsi="Arial" w:cs="Arial"/>
          <w:color w:val="000000"/>
          <w:sz w:val="20"/>
        </w:rPr>
        <w:t xml:space="preserve">Under Alabama law, a plaintiff establishes a prima facie defamation claim when he or she demonstrates: "(1) that the defendant was at least negligent (2) in publishing (3) a false and defamatory statement to another (4) concerning the  [*1252]  plaintiff, (5) which is either actionable without having to prove special harm . . . or actionable upon allegations and proof of special harm." </w:t>
      </w:r>
      <w:bookmarkStart w:id="7212" w:name="Bookmark_I63893WB2N1RB80020000400"/>
      <w:bookmarkEnd w:id="7212"/>
      <w:r>
        <w:rPr>
          <w:rFonts w:ascii="Arial" w:eastAsia="Arial" w:hAnsi="Arial" w:cs="Arial"/>
          <w:i/>
          <w:color w:val="000000"/>
          <w:sz w:val="20"/>
        </w:rPr>
        <w:t>Ex parte Bole</w:t>
      </w:r>
      <w:r>
        <w:rPr>
          <w:rFonts w:ascii="Arial" w:eastAsia="Arial" w:hAnsi="Arial" w:cs="Arial"/>
          <w:color w:val="000000"/>
          <w:sz w:val="20"/>
        </w:rPr>
        <w:t>, 103 So. 3d 40, 51 (Ala. 2012) (alterations accepted and emphasis omitted).</w:t>
      </w:r>
    </w:p>
    <w:p w:rsidR="00022B47" w:rsidRDefault="00000000">
      <w:pPr>
        <w:pStyle w:val="Normal48"/>
        <w:widowControl w:val="0"/>
        <w:spacing w:before="200" w:line="260" w:lineRule="atLeast"/>
        <w:jc w:val="both"/>
      </w:pPr>
      <w:bookmarkStart w:id="7213" w:name="Bookmark_para_9_45"/>
      <w:bookmarkStart w:id="7214" w:name="Bookmark_I63893WB2N1RB80050000400"/>
      <w:bookmarkStart w:id="7215" w:name="Bookmark_I63893WC2N1RB90020000400"/>
      <w:bookmarkStart w:id="7216" w:name="Bookmark_LNHNREFclscc3_40"/>
      <w:bookmarkEnd w:id="7213"/>
      <w:bookmarkEnd w:id="7214"/>
      <w:bookmarkEnd w:id="7215"/>
      <w:bookmarkEnd w:id="7216"/>
      <w:r>
        <w:rPr>
          <w:rFonts w:ascii="Arial" w:eastAsia="Arial" w:hAnsi="Arial" w:cs="Arial"/>
          <w:color w:val="000000"/>
          <w:sz w:val="20"/>
        </w:rPr>
        <w:t>When applying state defamation law to public figures, the First Amendment imposes additional limitations.</w:t>
      </w:r>
      <w:r>
        <w:rPr>
          <w:rFonts w:ascii="Arial" w:eastAsia="Arial" w:hAnsi="Arial" w:cs="Arial"/>
          <w:vertAlign w:val="superscript"/>
        </w:rPr>
        <w:footnoteReference w:customMarkFollows="1" w:id="226"/>
        <w:t>5</w:t>
      </w:r>
      <w:r>
        <w:rPr>
          <w:rFonts w:ascii="Arial" w:eastAsia="Arial" w:hAnsi="Arial" w:cs="Arial"/>
          <w:color w:val="000000"/>
          <w:sz w:val="20"/>
        </w:rPr>
        <w:t xml:space="preserve"> First, the alleged defamatory statement must be "sufficiently factual to be susceptible of being proved true or false." </w:t>
      </w:r>
      <w:bookmarkStart w:id="7218" w:name="Bookmark_I63893WB2N1RB80040000400"/>
      <w:bookmarkEnd w:id="7218"/>
      <w:r>
        <w:rPr>
          <w:rFonts w:ascii="Arial" w:eastAsia="Arial" w:hAnsi="Arial" w:cs="Arial"/>
          <w:i/>
          <w:color w:val="000000"/>
          <w:sz w:val="20"/>
        </w:rPr>
        <w:t>Milkovich v. Lorain J. Co.</w:t>
      </w:r>
      <w:r>
        <w:rPr>
          <w:rFonts w:ascii="Arial" w:eastAsia="Arial" w:hAnsi="Arial" w:cs="Arial"/>
          <w:color w:val="000000"/>
          <w:sz w:val="20"/>
        </w:rPr>
        <w:t xml:space="preserve">, 497 U.S. 1, 21, 110 S. Ct. 2695, 111 L. Ed. 2d 1 (1990). </w:t>
      </w:r>
      <w:bookmarkStart w:id="7219" w:name="Bookmark_I63893WC2N1RB90040000400"/>
      <w:bookmarkEnd w:id="7219"/>
      <w:r>
        <w:rPr>
          <w:rFonts w:ascii="Arial" w:eastAsia="Arial" w:hAnsi="Arial" w:cs="Arial"/>
          <w:color w:val="000000"/>
          <w:sz w:val="20"/>
        </w:rPr>
        <w:t xml:space="preserve">Second, the statement must be actually false. </w:t>
      </w:r>
      <w:bookmarkStart w:id="7220" w:name="Bookmark_I63893WC2N1RB90010000400"/>
      <w:bookmarkEnd w:id="7220"/>
      <w:r>
        <w:rPr>
          <w:rFonts w:ascii="Arial" w:eastAsia="Arial" w:hAnsi="Arial" w:cs="Arial"/>
          <w:i/>
          <w:color w:val="000000"/>
          <w:sz w:val="20"/>
        </w:rPr>
        <w:t>Id.</w:t>
      </w:r>
      <w:r>
        <w:rPr>
          <w:rFonts w:ascii="Arial" w:eastAsia="Arial" w:hAnsi="Arial" w:cs="Arial"/>
          <w:color w:val="000000"/>
          <w:sz w:val="20"/>
        </w:rPr>
        <w:t xml:space="preserve"> at 16. </w:t>
      </w:r>
      <w:bookmarkStart w:id="7221" w:name="Bookmark_I63893WC2N1RB90040000400_2"/>
      <w:bookmarkStart w:id="7222" w:name="Bookmark_I63893WC28T3YG0010000400"/>
      <w:bookmarkEnd w:id="7221"/>
      <w:bookmarkEnd w:id="7222"/>
      <w:r>
        <w:rPr>
          <w:rFonts w:ascii="Arial" w:eastAsia="Arial" w:hAnsi="Arial" w:cs="Arial"/>
          <w:color w:val="000000"/>
          <w:sz w:val="20"/>
        </w:rPr>
        <w:t xml:space="preserve">And third, a public-figure plaintiff must prove that the defendant made the alleged defamatory statement with "actual malice"—"with knowledge that it was false or with reckless disregard of whether it was false or not." </w:t>
      </w:r>
      <w:bookmarkStart w:id="7223" w:name="Bookmark_I63893WC2N1RB90030000400"/>
      <w:bookmarkEnd w:id="7223"/>
      <w:r>
        <w:rPr>
          <w:rFonts w:ascii="Arial" w:eastAsia="Arial" w:hAnsi="Arial" w:cs="Arial"/>
          <w:i/>
          <w:color w:val="000000"/>
          <w:sz w:val="20"/>
        </w:rPr>
        <w:t>N.Y. Times Co. v. Sullivan</w:t>
      </w:r>
      <w:r>
        <w:rPr>
          <w:rFonts w:ascii="Arial" w:eastAsia="Arial" w:hAnsi="Arial" w:cs="Arial"/>
          <w:color w:val="000000"/>
          <w:sz w:val="20"/>
        </w:rPr>
        <w:t xml:space="preserve">, 376 U.S. 254, 279-80, 84 S. Ct. 710, 11 L. Ed. 2d 686 (1964). </w:t>
      </w:r>
      <w:bookmarkStart w:id="7224" w:name="Bookmark_I63893WC28T3YG0010000400_2"/>
      <w:bookmarkEnd w:id="7224"/>
      <w:r>
        <w:rPr>
          <w:rFonts w:ascii="Arial" w:eastAsia="Arial" w:hAnsi="Arial" w:cs="Arial"/>
          <w:color w:val="000000"/>
          <w:sz w:val="20"/>
        </w:rPr>
        <w:t>This actual malice test is subjective; the public-figure plaintiff must show that the defendant " [**6] </w:t>
      </w:r>
      <w:r>
        <w:rPr>
          <w:rFonts w:ascii="Arial" w:eastAsia="Arial" w:hAnsi="Arial" w:cs="Arial"/>
          <w:i/>
          <w:color w:val="000000"/>
          <w:sz w:val="20"/>
        </w:rPr>
        <w:t>in fact</w:t>
      </w:r>
      <w:r>
        <w:rPr>
          <w:rFonts w:ascii="Arial" w:eastAsia="Arial" w:hAnsi="Arial" w:cs="Arial"/>
          <w:color w:val="000000"/>
          <w:sz w:val="20"/>
        </w:rPr>
        <w:t xml:space="preserve"> entertained serious doubts as to the truth" of the statement. </w:t>
      </w:r>
      <w:bookmarkStart w:id="7225" w:name="Bookmark_I63893WC2N1RB90050000400"/>
      <w:bookmarkEnd w:id="7225"/>
      <w:r>
        <w:rPr>
          <w:rFonts w:ascii="Arial" w:eastAsia="Arial" w:hAnsi="Arial" w:cs="Arial"/>
          <w:i/>
          <w:color w:val="000000"/>
          <w:sz w:val="20"/>
        </w:rPr>
        <w:t>Berisha v. Lawson</w:t>
      </w:r>
      <w:r>
        <w:rPr>
          <w:rFonts w:ascii="Arial" w:eastAsia="Arial" w:hAnsi="Arial" w:cs="Arial"/>
          <w:color w:val="000000"/>
          <w:sz w:val="20"/>
        </w:rPr>
        <w:t>, 973 F.3d 1304, 1312 (11th Cir. 2020).</w:t>
      </w:r>
    </w:p>
    <w:p w:rsidR="00022B47" w:rsidRDefault="00000000">
      <w:pPr>
        <w:pStyle w:val="Normal48"/>
        <w:widowControl w:val="0"/>
        <w:spacing w:before="200" w:line="260" w:lineRule="atLeast"/>
        <w:jc w:val="both"/>
      </w:pPr>
      <w:bookmarkStart w:id="7226" w:name="Bookmark_para_10_44"/>
      <w:bookmarkEnd w:id="7226"/>
      <w:r>
        <w:rPr>
          <w:rFonts w:ascii="Arial" w:eastAsia="Arial" w:hAnsi="Arial" w:cs="Arial"/>
          <w:color w:val="000000"/>
          <w:sz w:val="20"/>
        </w:rPr>
        <w:t>The district court dismissed Coral Ridge's defamation claim on the grounds that the term hate group has a "highly debatable and ambiguous meaning" and thus is not provable as false. Alternatively, the court found that Coral Ridge did not sufficiently plead that SPLC acted with actual malice.</w:t>
      </w:r>
      <w:r>
        <w:rPr>
          <w:rFonts w:ascii="Arial" w:eastAsia="Arial" w:hAnsi="Arial" w:cs="Arial"/>
          <w:vertAlign w:val="superscript"/>
        </w:rPr>
        <w:footnoteReference w:customMarkFollows="1" w:id="227"/>
        <w:t>6</w:t>
      </w:r>
      <w:r>
        <w:rPr>
          <w:rFonts w:ascii="Arial" w:eastAsia="Arial" w:hAnsi="Arial" w:cs="Arial"/>
          <w:color w:val="000000"/>
          <w:sz w:val="20"/>
        </w:rPr>
        <w:t xml:space="preserve"> Because we agree that Coral Ridge failed to adequately plead actual malice, we affirm the dismissal of Coral Ridge's defamation claim.</w:t>
      </w:r>
      <w:r>
        <w:rPr>
          <w:rFonts w:ascii="Arial" w:eastAsia="Arial" w:hAnsi="Arial" w:cs="Arial"/>
          <w:vertAlign w:val="superscript"/>
        </w:rPr>
        <w:footnoteReference w:customMarkFollows="1" w:id="228"/>
        <w:t>7</w:t>
      </w:r>
    </w:p>
    <w:p w:rsidR="00022B47" w:rsidRDefault="00000000">
      <w:pPr>
        <w:pStyle w:val="Normal48"/>
        <w:widowControl w:val="0"/>
        <w:spacing w:before="200" w:line="260" w:lineRule="atLeast"/>
        <w:jc w:val="both"/>
      </w:pPr>
      <w:bookmarkStart w:id="7229" w:name="Bookmark_para_11_42"/>
      <w:bookmarkStart w:id="7230" w:name="Bookmark_I63893WC28T3YG0030000400"/>
      <w:bookmarkStart w:id="7231" w:name="Bookmark_I63893WC28T3YG0050000400"/>
      <w:bookmarkEnd w:id="7229"/>
      <w:bookmarkEnd w:id="7230"/>
      <w:bookmarkEnd w:id="7231"/>
      <w:r>
        <w:rPr>
          <w:rFonts w:ascii="Arial" w:eastAsia="Arial" w:hAnsi="Arial" w:cs="Arial"/>
          <w:color w:val="000000"/>
          <w:sz w:val="20"/>
        </w:rPr>
        <w:t xml:space="preserve">Coral Ridge did not sufficiently plead facts that give rise to a reasonable inference that SPLC "actually entertained serious doubts as to the veracity" of its hate group definition and that definition's application to Coral Ridge, or that SPLC was "highly aware" that the definition and its application was "probably false." </w:t>
      </w:r>
      <w:bookmarkStart w:id="7232" w:name="Bookmark_I63893WC28T3YG0020000400"/>
      <w:bookmarkEnd w:id="7232"/>
      <w:r>
        <w:rPr>
          <w:rFonts w:ascii="Arial" w:eastAsia="Arial" w:hAnsi="Arial" w:cs="Arial"/>
          <w:i/>
          <w:color w:val="000000"/>
          <w:sz w:val="20"/>
        </w:rPr>
        <w:t>Michel</w:t>
      </w:r>
      <w:r>
        <w:rPr>
          <w:rFonts w:ascii="Arial" w:eastAsia="Arial" w:hAnsi="Arial" w:cs="Arial"/>
          <w:color w:val="000000"/>
          <w:sz w:val="20"/>
        </w:rPr>
        <w:t xml:space="preserve">, 816 F.3d at 702-03. For starters, we can disregard the portions of the complaint where Coral Ridge alleged in a purely conclusory manner that the defendants acted "with actual malice" in publishing the Hate Map. Allegations such as these amount to threadbare recitals of the elements of a cause of action, which are insufficient to state a claim. </w:t>
      </w:r>
      <w:r>
        <w:rPr>
          <w:rFonts w:ascii="Arial" w:eastAsia="Arial" w:hAnsi="Arial" w:cs="Arial"/>
          <w:i/>
          <w:color w:val="000000"/>
          <w:sz w:val="20"/>
        </w:rPr>
        <w:t>Id.</w:t>
      </w:r>
      <w:r>
        <w:rPr>
          <w:rFonts w:ascii="Arial" w:eastAsia="Arial" w:hAnsi="Arial" w:cs="Arial"/>
          <w:color w:val="000000"/>
          <w:sz w:val="20"/>
        </w:rPr>
        <w:t xml:space="preserve">; </w:t>
      </w:r>
      <w:r>
        <w:rPr>
          <w:rFonts w:ascii="Arial" w:eastAsia="Arial" w:hAnsi="Arial" w:cs="Arial"/>
          <w:i/>
          <w:color w:val="000000"/>
          <w:sz w:val="20"/>
        </w:rPr>
        <w:t xml:space="preserve">see also </w:t>
      </w:r>
      <w:bookmarkStart w:id="7233" w:name="Bookmark_I63893WC28T3YG0040000400"/>
      <w:bookmarkEnd w:id="7233"/>
      <w:r>
        <w:rPr>
          <w:rFonts w:ascii="Arial" w:eastAsia="Arial" w:hAnsi="Arial" w:cs="Arial"/>
          <w:i/>
          <w:color w:val="000000"/>
          <w:sz w:val="20"/>
        </w:rPr>
        <w:t>Iqbal</w:t>
      </w:r>
      <w:r>
        <w:rPr>
          <w:rFonts w:ascii="Arial" w:eastAsia="Arial" w:hAnsi="Arial" w:cs="Arial"/>
          <w:color w:val="000000"/>
          <w:sz w:val="20"/>
        </w:rPr>
        <w:t>, 556 U.S. at 678.</w:t>
      </w:r>
    </w:p>
    <w:p w:rsidR="00022B47" w:rsidRDefault="00000000">
      <w:pPr>
        <w:pStyle w:val="Normal48"/>
        <w:widowControl w:val="0"/>
        <w:spacing w:before="200" w:line="260" w:lineRule="atLeast"/>
        <w:jc w:val="both"/>
      </w:pPr>
      <w:bookmarkStart w:id="7234" w:name="Bookmark_para_12_41"/>
      <w:bookmarkStart w:id="7235" w:name="Bookmark_I63893WC2N1RBB0020000400"/>
      <w:bookmarkEnd w:id="7234"/>
      <w:bookmarkEnd w:id="7235"/>
      <w:r>
        <w:rPr>
          <w:rFonts w:ascii="Arial" w:eastAsia="Arial" w:hAnsi="Arial" w:cs="Arial"/>
          <w:color w:val="000000"/>
          <w:sz w:val="20"/>
        </w:rPr>
        <w:t xml:space="preserve">Setting those allegations aside, [**7]  Coral Ridge makes two basic contentions regarding actual malice. First, it claims that SPLC's definition of hate group is so far removed from the commonly understood meaning of the term that its designation of Coral Ridge as a hate group is "intentionally false and deceptive." This statement comes very close to being a conclusory assertion of the elements of the cause of action. </w:t>
      </w:r>
      <w:bookmarkStart w:id="7236" w:name="Bookmark_I63893WC2N1RBB0010000400"/>
      <w:bookmarkEnd w:id="7236"/>
      <w:r>
        <w:rPr>
          <w:rFonts w:ascii="Arial" w:eastAsia="Arial" w:hAnsi="Arial" w:cs="Arial"/>
          <w:i/>
          <w:color w:val="000000"/>
          <w:sz w:val="20"/>
        </w:rPr>
        <w:t>Michel</w:t>
      </w:r>
      <w:r>
        <w:rPr>
          <w:rFonts w:ascii="Arial" w:eastAsia="Arial" w:hAnsi="Arial" w:cs="Arial"/>
          <w:color w:val="000000"/>
          <w:sz w:val="20"/>
        </w:rPr>
        <w:t xml:space="preserve">, 816 F.3d at 703. </w:t>
      </w:r>
      <w:bookmarkStart w:id="7237" w:name="Bookmark_I63893WC2N1RBB0040000400"/>
      <w:bookmarkEnd w:id="7237"/>
      <w:r>
        <w:rPr>
          <w:rFonts w:ascii="Arial" w:eastAsia="Arial" w:hAnsi="Arial" w:cs="Arial"/>
          <w:color w:val="000000"/>
          <w:sz w:val="20"/>
        </w:rPr>
        <w:t xml:space="preserve">In any event, Coral Ridge does not plead any facts that would allow us to infer that SPLC doubted the veracity of its own definition  [*1253]  of the term. Moreover, the complaint states that SPLC publicly disseminates its own definition of a hate group on its website; given that, it is hard to see how SPLC's use of the term would be misleading. Regardless of the commonly understood meaning of hate group, and regardless of whether SPLC's definition is the same, the complaint did not present any factual allegations that would allow us to infer that SPLC's subjective state of mind was sufficiently culpable. </w:t>
      </w:r>
      <w:bookmarkStart w:id="7238" w:name="Bookmark_I63893WC2N1RBB0030000400"/>
      <w:bookmarkEnd w:id="7238"/>
      <w:r>
        <w:rPr>
          <w:rFonts w:ascii="Arial" w:eastAsia="Arial" w:hAnsi="Arial" w:cs="Arial"/>
          <w:i/>
          <w:color w:val="000000"/>
          <w:sz w:val="20"/>
        </w:rPr>
        <w:t>Berisha</w:t>
      </w:r>
      <w:r>
        <w:rPr>
          <w:rFonts w:ascii="Arial" w:eastAsia="Arial" w:hAnsi="Arial" w:cs="Arial"/>
          <w:color w:val="000000"/>
          <w:sz w:val="20"/>
        </w:rPr>
        <w:t>, 973 F.3d at 1312.</w:t>
      </w:r>
    </w:p>
    <w:p w:rsidR="00022B47" w:rsidRDefault="00000000">
      <w:pPr>
        <w:pStyle w:val="Normal48"/>
        <w:widowControl w:val="0"/>
        <w:spacing w:before="200" w:line="260" w:lineRule="atLeast"/>
        <w:jc w:val="both"/>
      </w:pPr>
      <w:bookmarkStart w:id="7239" w:name="Bookmark_para_13_41"/>
      <w:bookmarkStart w:id="7240" w:name="Bookmark_I63893WC2D6MWK0010000400"/>
      <w:bookmarkEnd w:id="7239"/>
      <w:bookmarkEnd w:id="7240"/>
      <w:r>
        <w:rPr>
          <w:rFonts w:ascii="Arial" w:eastAsia="Arial" w:hAnsi="Arial" w:cs="Arial"/>
          <w:color w:val="000000"/>
          <w:sz w:val="20"/>
        </w:rPr>
        <w:t>Second, Coral Ridge contends that SPLC acted "with reckless disregard for the truth" in designating Coral Ridge a hate group, even under SPLC's definition of the term. But Coral Ridge pleaded no facts that would [**8]  allow us to infer that SPLC seriously doubted the accuracy of designating Coral Ridge a hate group. The complaint states that Coral Ridge "has never attacked or maligned anyone on the basis of engaging in homosexual conduct" and that "SPLC's conduct, in and of itself, would have created a high degree of awareness of the probable falsity of SPLC's declaration."</w:t>
      </w:r>
      <w:r>
        <w:rPr>
          <w:rFonts w:ascii="Arial" w:eastAsia="Arial" w:hAnsi="Arial" w:cs="Arial"/>
          <w:vertAlign w:val="superscript"/>
        </w:rPr>
        <w:footnoteReference w:customMarkFollows="1" w:id="229"/>
        <w:t>8</w:t>
      </w:r>
      <w:r>
        <w:rPr>
          <w:rFonts w:ascii="Arial" w:eastAsia="Arial" w:hAnsi="Arial" w:cs="Arial"/>
          <w:color w:val="000000"/>
          <w:sz w:val="20"/>
        </w:rPr>
        <w:t xml:space="preserve"> Although we must accept Coral Ridge's allegations as true at this stage, bare-bone allegations like these are insufficient to show that SPLC doubted the truth of its designation. </w:t>
      </w:r>
      <w:bookmarkStart w:id="7248" w:name="Bookmark_I63893WC2N1RBB0050000400"/>
      <w:bookmarkEnd w:id="7248"/>
      <w:r>
        <w:rPr>
          <w:rFonts w:ascii="Arial" w:eastAsia="Arial" w:hAnsi="Arial" w:cs="Arial"/>
          <w:i/>
          <w:color w:val="000000"/>
          <w:sz w:val="20"/>
        </w:rPr>
        <w:t>Michel</w:t>
      </w:r>
      <w:r>
        <w:rPr>
          <w:rFonts w:ascii="Arial" w:eastAsia="Arial" w:hAnsi="Arial" w:cs="Arial"/>
          <w:color w:val="000000"/>
          <w:sz w:val="20"/>
        </w:rPr>
        <w:t>, 816 F.3d at 703. Accordingly, the district court was correct to dismiss Coral Ridge's defamation claim on the ground that Coral Ridge did not sufficiently plead actual malice, and we affirm as to this issue.</w:t>
      </w:r>
      <w:r>
        <w:rPr>
          <w:rFonts w:ascii="Arial" w:eastAsia="Arial" w:hAnsi="Arial" w:cs="Arial"/>
          <w:vertAlign w:val="superscript"/>
        </w:rPr>
        <w:footnoteReference w:customMarkFollows="1" w:id="230"/>
        <w:t>9</w:t>
      </w:r>
    </w:p>
    <w:p w:rsidR="00022B47" w:rsidRDefault="00000000">
      <w:pPr>
        <w:pStyle w:val="Normal48"/>
        <w:widowControl w:val="0"/>
        <w:spacing w:before="240" w:line="260" w:lineRule="atLeast"/>
      </w:pPr>
      <w:r>
        <w:br/>
      </w:r>
      <w:r>
        <w:rPr>
          <w:rFonts w:ascii="Arial" w:eastAsia="Arial" w:hAnsi="Arial" w:cs="Arial"/>
          <w:b/>
          <w:color w:val="000000"/>
          <w:sz w:val="20"/>
        </w:rPr>
        <w:t>IV</w:t>
      </w:r>
      <w:r>
        <w:rPr>
          <w:rFonts w:ascii="Arial" w:eastAsia="Arial" w:hAnsi="Arial" w:cs="Arial"/>
          <w:color w:val="000000"/>
          <w:sz w:val="20"/>
        </w:rPr>
        <w:t>.</w:t>
      </w:r>
    </w:p>
    <w:p w:rsidR="00022B47" w:rsidRDefault="00000000">
      <w:pPr>
        <w:pStyle w:val="Normal48"/>
        <w:widowControl w:val="0"/>
        <w:spacing w:before="200" w:line="260" w:lineRule="atLeast"/>
        <w:jc w:val="both"/>
      </w:pPr>
      <w:bookmarkStart w:id="7256" w:name="Bookmark_para_14_41"/>
      <w:bookmarkEnd w:id="7256"/>
      <w:r>
        <w:rPr>
          <w:rFonts w:ascii="Arial" w:eastAsia="Arial" w:hAnsi="Arial" w:cs="Arial"/>
          <w:color w:val="000000"/>
          <w:sz w:val="20"/>
        </w:rPr>
        <w:t xml:space="preserve">Next, we review whether the district court was correct in dismissing Coral Ridge's religious discrimination claim. </w:t>
      </w:r>
      <w:bookmarkStart w:id="7257" w:name="Bookmark_LNHNREFclscc6_33"/>
      <w:bookmarkEnd w:id="7257"/>
      <w:r>
        <w:rPr>
          <w:rFonts w:ascii="Arial" w:eastAsia="Arial" w:hAnsi="Arial" w:cs="Arial"/>
          <w:color w:val="000000"/>
          <w:sz w:val="20"/>
        </w:rPr>
        <w:t>In relevant part, Title II states: "All persons shall be entitled to the full and equal enjoyment of the goods, services, facilities, privileges, advantages, and accommodations of any place of public accommodation, as defined in this section, without discrimination or segregation on the ground of race, color, religion, or national origin." [**9]  42 U.S.C. § 2000a(a).</w:t>
      </w:r>
    </w:p>
    <w:p w:rsidR="00022B47" w:rsidRDefault="00000000">
      <w:pPr>
        <w:pStyle w:val="Normal48"/>
        <w:widowControl w:val="0"/>
        <w:spacing w:before="200" w:line="260" w:lineRule="atLeast"/>
        <w:jc w:val="both"/>
      </w:pPr>
      <w:bookmarkStart w:id="7258" w:name="Bookmark_para_15_39"/>
      <w:bookmarkEnd w:id="7258"/>
      <w:r>
        <w:rPr>
          <w:rFonts w:ascii="Arial" w:eastAsia="Arial" w:hAnsi="Arial" w:cs="Arial"/>
          <w:color w:val="000000"/>
          <w:sz w:val="20"/>
        </w:rPr>
        <w:t>The district court assumed without deciding that websites, like Amazon and AmazonSmile, qualify as places of public accommodation under Title II. It dismissed Coral Ridge's Title II claim primarily because it found that the AmazonSmile program did not qualify as a "service," "privilege," or "advantage" under the statute. It held in the alternative that Coral Ridge's claim failed on First Amendment grounds. And last, it found that the claim had to be dismissed because it did not adequately allege discrimination.</w:t>
      </w:r>
    </w:p>
    <w:p w:rsidR="00022B47" w:rsidRDefault="00000000">
      <w:pPr>
        <w:pStyle w:val="Normal48"/>
        <w:widowControl w:val="0"/>
        <w:spacing w:before="200" w:line="260" w:lineRule="atLeast"/>
        <w:jc w:val="both"/>
      </w:pPr>
      <w:bookmarkStart w:id="7259" w:name="Bookmark_para_16_39"/>
      <w:bookmarkEnd w:id="7259"/>
      <w:r>
        <w:rPr>
          <w:rFonts w:ascii="Arial" w:eastAsia="Arial" w:hAnsi="Arial" w:cs="Arial"/>
          <w:color w:val="000000"/>
          <w:sz w:val="20"/>
        </w:rPr>
        <w:t>Coral Ridge challenges all of the district court's findings. It alleges that Amazon is liable under Title II because (1) Amazon is a "place of public accommodation," (2) the  [*1254]  AmazonSmile program is a "privilege," "service," or "advantage" of Amazon, and (3) Amazon excluded Coral Ridge from benefiting from the AmazonSmile program because of Coral Ridge's religious views. Coral Ridge also contests the district court's finding that its interpretation of Title II "raise[s] serious First Amendment problems." It says that the First Amendment should not apply because it is ultimately the customers—not Amazon—who donate and decide what charity to donate to. Therefore, it claims, if any First Amendment rights are at issue here it would be the [**10]  customers'—not Amazon's.</w:t>
      </w:r>
    </w:p>
    <w:p w:rsidR="00022B47" w:rsidRDefault="00000000">
      <w:pPr>
        <w:pStyle w:val="Normal48"/>
        <w:widowControl w:val="0"/>
        <w:spacing w:before="200" w:line="260" w:lineRule="atLeast"/>
        <w:jc w:val="both"/>
      </w:pPr>
      <w:bookmarkStart w:id="7260" w:name="Bookmark_para_17_38"/>
      <w:bookmarkEnd w:id="7260"/>
      <w:r>
        <w:rPr>
          <w:rFonts w:ascii="Arial" w:eastAsia="Arial" w:hAnsi="Arial" w:cs="Arial"/>
          <w:color w:val="000000"/>
          <w:sz w:val="20"/>
        </w:rPr>
        <w:t>We hold that the district court was correct in finding that Coral Ridge's interpretation of Title II would violate the First Amendment by essentially forcing Amazon to donate to organizations it does not support.</w:t>
      </w:r>
    </w:p>
    <w:p w:rsidR="00022B47" w:rsidRDefault="00000000">
      <w:pPr>
        <w:pStyle w:val="Normal48"/>
        <w:widowControl w:val="0"/>
        <w:spacing w:before="200" w:line="260" w:lineRule="atLeast"/>
        <w:jc w:val="both"/>
      </w:pPr>
      <w:bookmarkStart w:id="7261" w:name="Bookmark_para_18_37"/>
      <w:bookmarkEnd w:id="7261"/>
      <w:r>
        <w:rPr>
          <w:rFonts w:ascii="Arial" w:eastAsia="Arial" w:hAnsi="Arial" w:cs="Arial"/>
          <w:color w:val="000000"/>
          <w:sz w:val="20"/>
        </w:rPr>
        <w:t>As an initial matter, we disagree with Coral Ridge's position that it is the customers rather than Amazon who donate under the program. It is Amazon that is forgoing a portion of its proceeds and donating to the charities. Coral Ridge acknowledges as much in their complaint when it quotes the AmazonSmile website, which states that the "AmazonSmile Foundation will donate 0.5% of the price of eligible purchases to the charitable organizations selected by customers." Coral Ridge argues that still it is the customers who get to choose where to donate. This is true in a sense, but ignores the fact that Amazon is the party actually paying the charities. Thus the donation is Amazon's—not the customers'. With that in mind, we turn to Amazon's right to free speech under the First Amendment.</w:t>
      </w:r>
    </w:p>
    <w:p w:rsidR="00022B47" w:rsidRDefault="00000000">
      <w:pPr>
        <w:pStyle w:val="Normal48"/>
        <w:widowControl w:val="0"/>
        <w:spacing w:before="200" w:line="260" w:lineRule="atLeast"/>
        <w:jc w:val="both"/>
      </w:pPr>
      <w:bookmarkStart w:id="7262" w:name="Bookmark_para_19_36"/>
      <w:bookmarkStart w:id="7263" w:name="Bookmark_I63893WS28T40T0010000400"/>
      <w:bookmarkStart w:id="7264" w:name="Bookmark_LNHNREFclscc7_32"/>
      <w:bookmarkEnd w:id="7262"/>
      <w:bookmarkEnd w:id="7263"/>
      <w:bookmarkEnd w:id="7264"/>
      <w:r>
        <w:rPr>
          <w:rFonts w:ascii="Arial" w:eastAsia="Arial" w:hAnsi="Arial" w:cs="Arial"/>
          <w:color w:val="000000"/>
          <w:sz w:val="20"/>
        </w:rPr>
        <w:t xml:space="preserve">The First Amendment provides that "Congress shall make no law . . . abridging the freedom of speech." U.S. Const. amend. I. "Constitutional protection for freedom of speech does not end at the spoken or written word"; the First Amendment also protects [**11]  expressive conduct. </w:t>
      </w:r>
      <w:bookmarkStart w:id="7265" w:name="Bookmark_I63893WC2N1RBC0050000400"/>
      <w:bookmarkEnd w:id="7265"/>
      <w:r>
        <w:rPr>
          <w:rFonts w:ascii="Arial" w:eastAsia="Arial" w:hAnsi="Arial" w:cs="Arial"/>
          <w:i/>
          <w:color w:val="000000"/>
          <w:sz w:val="20"/>
        </w:rPr>
        <w:t>Fort Lauderdale Food Not Bombs v. City of Fort Lauderdale</w:t>
      </w:r>
      <w:r>
        <w:rPr>
          <w:rFonts w:ascii="Arial" w:eastAsia="Arial" w:hAnsi="Arial" w:cs="Arial"/>
          <w:color w:val="000000"/>
          <w:sz w:val="20"/>
        </w:rPr>
        <w:t xml:space="preserve">, 901 F.3d 1235, 1240 (11th Cir. 2018) (quotation mark omitted). "[I]n determining whether conduct is expressive, we ask whether the reasonable person would interpret it as </w:t>
      </w:r>
      <w:r>
        <w:rPr>
          <w:rFonts w:ascii="Arial" w:eastAsia="Arial" w:hAnsi="Arial" w:cs="Arial"/>
          <w:i/>
          <w:color w:val="000000"/>
          <w:sz w:val="20"/>
        </w:rPr>
        <w:t>some</w:t>
      </w:r>
      <w:r>
        <w:rPr>
          <w:rFonts w:ascii="Arial" w:eastAsia="Arial" w:hAnsi="Arial" w:cs="Arial"/>
          <w:color w:val="000000"/>
          <w:sz w:val="20"/>
        </w:rPr>
        <w:t xml:space="preserve"> sort of message, not whether an observer would necessarily infer a </w:t>
      </w:r>
      <w:r>
        <w:rPr>
          <w:rFonts w:ascii="Arial" w:eastAsia="Arial" w:hAnsi="Arial" w:cs="Arial"/>
          <w:i/>
          <w:color w:val="000000"/>
          <w:sz w:val="20"/>
        </w:rPr>
        <w:t>specific</w:t>
      </w:r>
      <w:r>
        <w:rPr>
          <w:rFonts w:ascii="Arial" w:eastAsia="Arial" w:hAnsi="Arial" w:cs="Arial"/>
          <w:color w:val="000000"/>
          <w:sz w:val="20"/>
        </w:rPr>
        <w:t xml:space="preserve"> message." </w:t>
      </w:r>
      <w:r>
        <w:rPr>
          <w:rFonts w:ascii="Arial" w:eastAsia="Arial" w:hAnsi="Arial" w:cs="Arial"/>
          <w:i/>
          <w:color w:val="000000"/>
          <w:sz w:val="20"/>
        </w:rPr>
        <w:t>Id.</w:t>
      </w:r>
      <w:r>
        <w:rPr>
          <w:rFonts w:ascii="Arial" w:eastAsia="Arial" w:hAnsi="Arial" w:cs="Arial"/>
          <w:color w:val="000000"/>
          <w:sz w:val="20"/>
        </w:rPr>
        <w:t xml:space="preserve"> If we find that the conduct in question is expressive, any law regulating that conduct is subject to the First Amendment. </w:t>
      </w:r>
      <w:r>
        <w:rPr>
          <w:rFonts w:ascii="Arial" w:eastAsia="Arial" w:hAnsi="Arial" w:cs="Arial"/>
          <w:i/>
          <w:color w:val="000000"/>
          <w:sz w:val="20"/>
        </w:rPr>
        <w:t>See id.</w:t>
      </w:r>
    </w:p>
    <w:p w:rsidR="00022B47" w:rsidRDefault="00000000">
      <w:pPr>
        <w:pStyle w:val="Normal48"/>
        <w:widowControl w:val="0"/>
        <w:spacing w:before="200" w:line="260" w:lineRule="atLeast"/>
        <w:jc w:val="both"/>
      </w:pPr>
      <w:bookmarkStart w:id="7266" w:name="Bookmark_para_20_36"/>
      <w:bookmarkStart w:id="7267" w:name="Bookmark_I63893WS28T40T0030000400"/>
      <w:bookmarkEnd w:id="7266"/>
      <w:bookmarkEnd w:id="7267"/>
      <w:r>
        <w:rPr>
          <w:rFonts w:ascii="Arial" w:eastAsia="Arial" w:hAnsi="Arial" w:cs="Arial"/>
          <w:color w:val="000000"/>
          <w:sz w:val="20"/>
        </w:rPr>
        <w:t xml:space="preserve">The parties do not dispute that donating money qualifies as expressive conduct. </w:t>
      </w:r>
      <w:bookmarkStart w:id="7268" w:name="Bookmark_LNHNREFclscc8_29"/>
      <w:bookmarkEnd w:id="7268"/>
      <w:r>
        <w:rPr>
          <w:rFonts w:ascii="Arial" w:eastAsia="Arial" w:hAnsi="Arial" w:cs="Arial"/>
          <w:color w:val="000000"/>
          <w:sz w:val="20"/>
        </w:rPr>
        <w:t xml:space="preserve">Indeed, it is "bedrock principle that, except perhaps in the rarest of circumstances, no person in this country may be compelled to subsidize speech by a third party that he or she does not wish to support." </w:t>
      </w:r>
      <w:bookmarkStart w:id="7269" w:name="Bookmark_I63893WS28T40T0020000400"/>
      <w:bookmarkEnd w:id="7269"/>
      <w:r>
        <w:rPr>
          <w:rFonts w:ascii="Arial" w:eastAsia="Arial" w:hAnsi="Arial" w:cs="Arial"/>
          <w:i/>
          <w:color w:val="000000"/>
          <w:sz w:val="20"/>
        </w:rPr>
        <w:t>Harris v. Quinn</w:t>
      </w:r>
      <w:r>
        <w:rPr>
          <w:rFonts w:ascii="Arial" w:eastAsia="Arial" w:hAnsi="Arial" w:cs="Arial"/>
          <w:color w:val="000000"/>
          <w:sz w:val="20"/>
        </w:rPr>
        <w:t>, 573 U.S. 616, 656, 134 S. Ct. 2618, 189 L. Ed. 2d 620 (2014). The question is how the facts of this case map onto that principle.</w:t>
      </w:r>
    </w:p>
    <w:p w:rsidR="00022B47" w:rsidRDefault="00000000">
      <w:pPr>
        <w:pStyle w:val="Normal48"/>
        <w:widowControl w:val="0"/>
        <w:spacing w:before="200" w:line="260" w:lineRule="atLeast"/>
        <w:jc w:val="both"/>
      </w:pPr>
      <w:bookmarkStart w:id="7270" w:name="Bookmark_para_21_35"/>
      <w:bookmarkStart w:id="7271" w:name="Bookmark_I63893WS28T40T0050000400"/>
      <w:bookmarkEnd w:id="7270"/>
      <w:bookmarkEnd w:id="7271"/>
      <w:r>
        <w:rPr>
          <w:rFonts w:ascii="Arial" w:eastAsia="Arial" w:hAnsi="Arial" w:cs="Arial"/>
          <w:color w:val="000000"/>
          <w:sz w:val="20"/>
        </w:rPr>
        <w:t>In setting out the criteria for the AmazonSmile program, Amazon expressly states that it relies on SPLC to determine which charitable organizations are eligible to participate. A reasonable person would interpret this as Amazon conveying "</w:t>
      </w:r>
      <w:r>
        <w:rPr>
          <w:rFonts w:ascii="Arial" w:eastAsia="Arial" w:hAnsi="Arial" w:cs="Arial"/>
          <w:i/>
          <w:color w:val="000000"/>
          <w:sz w:val="20"/>
        </w:rPr>
        <w:t>some</w:t>
      </w:r>
      <w:r>
        <w:rPr>
          <w:rFonts w:ascii="Arial" w:eastAsia="Arial" w:hAnsi="Arial" w:cs="Arial"/>
          <w:color w:val="000000"/>
          <w:sz w:val="20"/>
        </w:rPr>
        <w:t xml:space="preserve"> sort of message" about the organizations it wishes to support. </w:t>
      </w:r>
      <w:bookmarkStart w:id="7272" w:name="Bookmark_I63893WS28T40T0040000400"/>
      <w:bookmarkEnd w:id="7272"/>
      <w:r>
        <w:rPr>
          <w:rFonts w:ascii="Arial" w:eastAsia="Arial" w:hAnsi="Arial" w:cs="Arial"/>
          <w:i/>
          <w:color w:val="000000"/>
          <w:sz w:val="20"/>
        </w:rPr>
        <w:t>Fort Lauderdale Food Not Bombs</w:t>
      </w:r>
      <w:r>
        <w:rPr>
          <w:rFonts w:ascii="Arial" w:eastAsia="Arial" w:hAnsi="Arial" w:cs="Arial"/>
          <w:color w:val="000000"/>
          <w:sz w:val="20"/>
        </w:rPr>
        <w:t xml:space="preserve">, 901 F.3d at 1240; </w:t>
      </w:r>
      <w:r>
        <w:rPr>
          <w:rFonts w:ascii="Arial" w:eastAsia="Arial" w:hAnsi="Arial" w:cs="Arial"/>
          <w:i/>
          <w:color w:val="000000"/>
          <w:sz w:val="20"/>
        </w:rPr>
        <w:t xml:space="preserve">see also </w:t>
      </w:r>
      <w:bookmarkStart w:id="7273" w:name="Bookmark_I63893WS28T40W0010000400"/>
      <w:bookmarkEnd w:id="7273"/>
      <w:r>
        <w:rPr>
          <w:rFonts w:ascii="Arial" w:eastAsia="Arial" w:hAnsi="Arial" w:cs="Arial"/>
          <w:i/>
          <w:color w:val="000000"/>
          <w:sz w:val="20"/>
        </w:rPr>
        <w:t>Hurley v. Irish-American Gay, Lesbian &amp; Bisexual Grp. of Boston</w:t>
      </w:r>
      <w:r>
        <w:rPr>
          <w:rFonts w:ascii="Arial" w:eastAsia="Arial" w:hAnsi="Arial" w:cs="Arial"/>
          <w:color w:val="000000"/>
          <w:sz w:val="20"/>
        </w:rPr>
        <w:t xml:space="preserve">, 515 U.S. 557, 573, 115 S. Ct. 2338, 132 L. Ed. 2d 487 (1995) ("Since </w:t>
      </w:r>
      <w:r>
        <w:rPr>
          <w:rFonts w:ascii="Arial" w:eastAsia="Arial" w:hAnsi="Arial" w:cs="Arial"/>
          <w:i/>
          <w:color w:val="000000"/>
          <w:sz w:val="20"/>
        </w:rPr>
        <w:t>all</w:t>
      </w:r>
      <w:r>
        <w:rPr>
          <w:rFonts w:ascii="Arial" w:eastAsia="Arial" w:hAnsi="Arial" w:cs="Arial"/>
          <w:color w:val="000000"/>
          <w:sz w:val="20"/>
        </w:rPr>
        <w:t xml:space="preserve"> speech inherently involves choices of what to say and what to leave unsaid, one important manifestation of the principle of free speech is that one [**12]  who chooses to speak may also decide what not to say." (citations and internal quotation marks omitted)). Thus, we have no problem finding that Amazon engages in expressive [*1255]  conduct when it decides which charities to support through the AmazonSmile program.</w:t>
      </w:r>
    </w:p>
    <w:p w:rsidR="00022B47" w:rsidRDefault="00000000">
      <w:pPr>
        <w:pStyle w:val="Normal48"/>
        <w:widowControl w:val="0"/>
        <w:spacing w:before="200" w:line="260" w:lineRule="atLeast"/>
        <w:jc w:val="both"/>
      </w:pPr>
      <w:bookmarkStart w:id="7274" w:name="Bookmark_para_22_34"/>
      <w:bookmarkStart w:id="7275" w:name="Bookmark_I63893WS28T40W0040000400"/>
      <w:bookmarkEnd w:id="7274"/>
      <w:bookmarkEnd w:id="7275"/>
      <w:r>
        <w:rPr>
          <w:rFonts w:ascii="Arial" w:eastAsia="Arial" w:hAnsi="Arial" w:cs="Arial"/>
          <w:color w:val="000000"/>
          <w:sz w:val="20"/>
        </w:rPr>
        <w:t xml:space="preserve">Next, we must consider whether Coral Ridge's proposed application of Title II to the AmazonSmile program is permissible under the First Amendment. </w:t>
      </w:r>
      <w:bookmarkStart w:id="7276" w:name="Bookmark_I63893WT2N1RCT0010000400"/>
      <w:bookmarkEnd w:id="7276"/>
      <w:r>
        <w:rPr>
          <w:rFonts w:ascii="Arial" w:eastAsia="Arial" w:hAnsi="Arial" w:cs="Arial"/>
          <w:color w:val="000000"/>
          <w:sz w:val="20"/>
        </w:rPr>
        <w:t xml:space="preserve">The Supreme Court's decision in </w:t>
      </w:r>
      <w:r>
        <w:rPr>
          <w:rFonts w:ascii="Arial" w:eastAsia="Arial" w:hAnsi="Arial" w:cs="Arial"/>
          <w:i/>
          <w:color w:val="000000"/>
          <w:sz w:val="20"/>
        </w:rPr>
        <w:t>Hurley v. Irish-American Gay, Lesbian &amp; Bisexual Group of Boston</w:t>
      </w:r>
      <w:r>
        <w:rPr>
          <w:rFonts w:ascii="Arial" w:eastAsia="Arial" w:hAnsi="Arial" w:cs="Arial"/>
          <w:color w:val="000000"/>
          <w:sz w:val="20"/>
        </w:rPr>
        <w:t xml:space="preserve"> is instructive here. </w:t>
      </w:r>
      <w:bookmarkStart w:id="7277" w:name="Bookmark_I63893WS28T40W0030000400"/>
      <w:bookmarkEnd w:id="7277"/>
      <w:r>
        <w:rPr>
          <w:rFonts w:ascii="Arial" w:eastAsia="Arial" w:hAnsi="Arial" w:cs="Arial"/>
          <w:color w:val="000000"/>
          <w:sz w:val="20"/>
        </w:rPr>
        <w:t xml:space="preserve">515 U.S. 557. </w:t>
      </w:r>
      <w:bookmarkStart w:id="7278" w:name="Bookmark_I63893WT2N1RCT0030000400"/>
      <w:bookmarkEnd w:id="7278"/>
      <w:r>
        <w:rPr>
          <w:rFonts w:ascii="Arial" w:eastAsia="Arial" w:hAnsi="Arial" w:cs="Arial"/>
          <w:color w:val="000000"/>
          <w:sz w:val="20"/>
        </w:rPr>
        <w:t xml:space="preserve">In </w:t>
      </w:r>
      <w:r>
        <w:rPr>
          <w:rFonts w:ascii="Arial" w:eastAsia="Arial" w:hAnsi="Arial" w:cs="Arial"/>
          <w:i/>
          <w:color w:val="000000"/>
          <w:sz w:val="20"/>
        </w:rPr>
        <w:t>Hurley</w:t>
      </w:r>
      <w:r>
        <w:rPr>
          <w:rFonts w:ascii="Arial" w:eastAsia="Arial" w:hAnsi="Arial" w:cs="Arial"/>
          <w:color w:val="000000"/>
          <w:sz w:val="20"/>
        </w:rPr>
        <w:t xml:space="preserve">, the Irish-American Gay, Lesbian and Bisexual Group of Boston (GLIB) sued the South Boston Allied War Veterans Council (the Council), an association that organized a St. Patrick's Day parade in Boston, when the Council denied GLIB's application to have a unit in the parade. </w:t>
      </w:r>
      <w:bookmarkStart w:id="7279" w:name="Bookmark_I63893WT2N1RCT0030000400_2"/>
      <w:bookmarkStart w:id="7280" w:name="Bookmark_I63893WT2N1RCT0010000400_2"/>
      <w:bookmarkStart w:id="7281" w:name="Bookmark_I63893WS28T40W0050000400"/>
      <w:bookmarkEnd w:id="7279"/>
      <w:bookmarkEnd w:id="7280"/>
      <w:bookmarkEnd w:id="7281"/>
      <w:r>
        <w:rPr>
          <w:rFonts w:ascii="Arial" w:eastAsia="Arial" w:hAnsi="Arial" w:cs="Arial"/>
          <w:i/>
          <w:color w:val="000000"/>
          <w:sz w:val="20"/>
        </w:rPr>
        <w:t>Id.</w:t>
      </w:r>
      <w:r>
        <w:rPr>
          <w:rFonts w:ascii="Arial" w:eastAsia="Arial" w:hAnsi="Arial" w:cs="Arial"/>
          <w:color w:val="000000"/>
          <w:sz w:val="20"/>
        </w:rPr>
        <w:t xml:space="preserve"> at 561. </w:t>
      </w:r>
      <w:bookmarkStart w:id="7282" w:name="Bookmark_I63893WT2N1RCT0050000400"/>
      <w:bookmarkEnd w:id="7282"/>
      <w:r>
        <w:rPr>
          <w:rFonts w:ascii="Arial" w:eastAsia="Arial" w:hAnsi="Arial" w:cs="Arial"/>
          <w:color w:val="000000"/>
          <w:sz w:val="20"/>
        </w:rPr>
        <w:t xml:space="preserve">GLIB sued in state court under a Massachusetts law that prohibited discrimination on the basis of sexual orientation "in the admission of any person to, or treatment in any place of public accommodation." </w:t>
      </w:r>
      <w:bookmarkStart w:id="7283" w:name="Bookmark_I63893WT2N1RCT0020000400"/>
      <w:bookmarkEnd w:id="7283"/>
      <w:r>
        <w:rPr>
          <w:rFonts w:ascii="Arial" w:eastAsia="Arial" w:hAnsi="Arial" w:cs="Arial"/>
          <w:i/>
          <w:color w:val="000000"/>
          <w:sz w:val="20"/>
        </w:rPr>
        <w:t>Id.</w:t>
      </w:r>
      <w:r>
        <w:rPr>
          <w:rFonts w:ascii="Arial" w:eastAsia="Arial" w:hAnsi="Arial" w:cs="Arial"/>
          <w:color w:val="000000"/>
          <w:sz w:val="20"/>
        </w:rPr>
        <w:t xml:space="preserve"> at 572 (internal quotation mark omitted). </w:t>
      </w:r>
      <w:bookmarkStart w:id="7284" w:name="Bookmark_I63893WT2N1RCT0050000400_2"/>
      <w:bookmarkEnd w:id="7284"/>
      <w:r>
        <w:rPr>
          <w:rFonts w:ascii="Arial" w:eastAsia="Arial" w:hAnsi="Arial" w:cs="Arial"/>
          <w:color w:val="000000"/>
          <w:sz w:val="20"/>
        </w:rPr>
        <w:t xml:space="preserve">The Massachusetts Supreme Court agreed with GLIB, finding that the Council violated the state law in denying its parade-unit application. </w:t>
      </w:r>
      <w:bookmarkStart w:id="7285" w:name="Bookmark_I63893WT2SF7RT0020000400"/>
      <w:bookmarkStart w:id="7286" w:name="Bookmark_I63893WT2N1RCT0040000400"/>
      <w:bookmarkEnd w:id="7285"/>
      <w:bookmarkEnd w:id="7286"/>
      <w:r>
        <w:rPr>
          <w:rFonts w:ascii="Arial" w:eastAsia="Arial" w:hAnsi="Arial" w:cs="Arial"/>
          <w:i/>
          <w:color w:val="000000"/>
          <w:sz w:val="20"/>
        </w:rPr>
        <w:t>Id.</w:t>
      </w:r>
      <w:r>
        <w:rPr>
          <w:rFonts w:ascii="Arial" w:eastAsia="Arial" w:hAnsi="Arial" w:cs="Arial"/>
          <w:color w:val="000000"/>
          <w:sz w:val="20"/>
        </w:rPr>
        <w:t xml:space="preserve"> at 563-64. </w:t>
      </w:r>
      <w:bookmarkStart w:id="7287" w:name="Bookmark_I63893WT2SF7RT0020000400_2"/>
      <w:bookmarkEnd w:id="7287"/>
      <w:r>
        <w:rPr>
          <w:rFonts w:ascii="Arial" w:eastAsia="Arial" w:hAnsi="Arial" w:cs="Arial"/>
          <w:color w:val="000000"/>
          <w:sz w:val="20"/>
        </w:rPr>
        <w:t xml:space="preserve">In a unanimous decision, [**13]  the United States Supreme Court reversed. </w:t>
      </w:r>
      <w:bookmarkStart w:id="7288" w:name="Bookmark_I63893WT2SF7RT0010000400"/>
      <w:bookmarkEnd w:id="7288"/>
      <w:r>
        <w:rPr>
          <w:rFonts w:ascii="Arial" w:eastAsia="Arial" w:hAnsi="Arial" w:cs="Arial"/>
          <w:i/>
          <w:color w:val="000000"/>
          <w:sz w:val="20"/>
        </w:rPr>
        <w:t>Id.</w:t>
      </w:r>
      <w:r>
        <w:rPr>
          <w:rFonts w:ascii="Arial" w:eastAsia="Arial" w:hAnsi="Arial" w:cs="Arial"/>
          <w:color w:val="000000"/>
          <w:sz w:val="20"/>
        </w:rPr>
        <w:t xml:space="preserve"> at 581.</w:t>
      </w:r>
    </w:p>
    <w:p w:rsidR="00022B47" w:rsidRDefault="00000000">
      <w:pPr>
        <w:pStyle w:val="Normal48"/>
        <w:widowControl w:val="0"/>
        <w:spacing w:before="200" w:line="260" w:lineRule="atLeast"/>
        <w:jc w:val="both"/>
      </w:pPr>
      <w:bookmarkStart w:id="7289" w:name="Bookmark_para_23_32"/>
      <w:bookmarkStart w:id="7290" w:name="Bookmark_I63893WT2SF7RT0040000400"/>
      <w:bookmarkStart w:id="7291" w:name="Bookmark_I63893WT2D6MY20010000400"/>
      <w:bookmarkEnd w:id="7289"/>
      <w:bookmarkEnd w:id="7290"/>
      <w:bookmarkEnd w:id="7291"/>
      <w:r>
        <w:rPr>
          <w:rFonts w:ascii="Arial" w:eastAsia="Arial" w:hAnsi="Arial" w:cs="Arial"/>
          <w:color w:val="000000"/>
          <w:sz w:val="20"/>
        </w:rPr>
        <w:t xml:space="preserve">The Supreme Court stated that GLIB's interpretation of the state public accommodation law was "peculiar" in that individual members of GLIB were not "claim[ing] to have been excluded from parading as a member of any group that the Council has approved to march. Instead, the disagreement [went] to the admission of GLIB as its own parade unit carrying its own banner." </w:t>
      </w:r>
      <w:bookmarkStart w:id="7292" w:name="Bookmark_I63893WT2SF7RT0030000400"/>
      <w:bookmarkEnd w:id="7292"/>
      <w:r>
        <w:rPr>
          <w:rFonts w:ascii="Arial" w:eastAsia="Arial" w:hAnsi="Arial" w:cs="Arial"/>
          <w:i/>
          <w:color w:val="000000"/>
          <w:sz w:val="20"/>
        </w:rPr>
        <w:t>Id.</w:t>
      </w:r>
      <w:r>
        <w:rPr>
          <w:rFonts w:ascii="Arial" w:eastAsia="Arial" w:hAnsi="Arial" w:cs="Arial"/>
          <w:color w:val="000000"/>
          <w:sz w:val="20"/>
        </w:rPr>
        <w:t xml:space="preserve"> at 572. The Court explained that while the state statute was generally constitutional and acceptable, "the state courts' application of the statute had the effect of declaring the [Council's] speech itself to be the public accommodation." </w:t>
      </w:r>
      <w:bookmarkStart w:id="7293" w:name="Bookmark_I63893WT2SF7RT0050000400"/>
      <w:bookmarkEnd w:id="7293"/>
      <w:r>
        <w:rPr>
          <w:rFonts w:ascii="Arial" w:eastAsia="Arial" w:hAnsi="Arial" w:cs="Arial"/>
          <w:i/>
          <w:color w:val="000000"/>
          <w:sz w:val="20"/>
        </w:rPr>
        <w:t>Id.</w:t>
      </w:r>
      <w:r>
        <w:rPr>
          <w:rFonts w:ascii="Arial" w:eastAsia="Arial" w:hAnsi="Arial" w:cs="Arial"/>
          <w:color w:val="000000"/>
          <w:sz w:val="20"/>
        </w:rPr>
        <w:t xml:space="preserve"> at 573. </w:t>
      </w:r>
      <w:bookmarkStart w:id="7294" w:name="Bookmark_I63893WT2D6MY20030000400"/>
      <w:bookmarkEnd w:id="7294"/>
      <w:r>
        <w:rPr>
          <w:rFonts w:ascii="Arial" w:eastAsia="Arial" w:hAnsi="Arial" w:cs="Arial"/>
          <w:color w:val="000000"/>
          <w:sz w:val="20"/>
        </w:rPr>
        <w:t xml:space="preserve">That is, the Council's decision as to which organizations could have a unit in the parade was expressive conduct protected by the First Amendment. </w:t>
      </w:r>
      <w:r>
        <w:rPr>
          <w:rFonts w:ascii="Arial" w:eastAsia="Arial" w:hAnsi="Arial" w:cs="Arial"/>
          <w:i/>
          <w:color w:val="000000"/>
          <w:sz w:val="20"/>
        </w:rPr>
        <w:t>Id.</w:t>
      </w:r>
      <w:r>
        <w:rPr>
          <w:rFonts w:ascii="Arial" w:eastAsia="Arial" w:hAnsi="Arial" w:cs="Arial"/>
          <w:color w:val="000000"/>
          <w:sz w:val="20"/>
        </w:rPr>
        <w:t xml:space="preserve"> The Court further reasoned that the lower court's application of the law did not advance the law's purpose of preventing discrimination in access to public accommodations. </w:t>
      </w:r>
      <w:bookmarkStart w:id="7295" w:name="Bookmark_I6Y2RG999KN00002JS200001"/>
      <w:bookmarkStart w:id="7296" w:name="Bookmark_I63893WT2D6MY20050000400"/>
      <w:bookmarkStart w:id="7297" w:name="Bookmark_I63893WT2D6MY20020000400"/>
      <w:bookmarkEnd w:id="7295"/>
      <w:bookmarkEnd w:id="7296"/>
      <w:bookmarkEnd w:id="7297"/>
      <w:r>
        <w:rPr>
          <w:rFonts w:ascii="Arial" w:eastAsia="Arial" w:hAnsi="Arial" w:cs="Arial"/>
          <w:i/>
          <w:color w:val="000000"/>
          <w:sz w:val="20"/>
        </w:rPr>
        <w:t>Id.</w:t>
      </w:r>
      <w:r>
        <w:rPr>
          <w:rFonts w:ascii="Arial" w:eastAsia="Arial" w:hAnsi="Arial" w:cs="Arial"/>
          <w:color w:val="000000"/>
          <w:sz w:val="20"/>
        </w:rPr>
        <w:t xml:space="preserve"> at 578 ("When the law is applied to expressive activity in the way it was done here, its apparent object is simply to require speakers to modify the content of their expression to whatever extent beneficiaries of the law choose to alter it with messages [**14]  of their own. But in the absence of some further, legitimate end, this object is merely to allow exactly what the general rule of speaker's autonomy forbids."). </w:t>
      </w:r>
      <w:bookmarkStart w:id="7298" w:name="Bookmark_I63893WT2D6MY20050000400_2"/>
      <w:bookmarkEnd w:id="7298"/>
      <w:r>
        <w:rPr>
          <w:rFonts w:ascii="Arial" w:eastAsia="Arial" w:hAnsi="Arial" w:cs="Arial"/>
          <w:color w:val="000000"/>
          <w:sz w:val="20"/>
        </w:rPr>
        <w:t xml:space="preserve">Because there was no other legitimate reason to apply the state statute in this way, the Court reversed the Massachusetts Supreme Court's decision on First Amendment grounds. </w:t>
      </w:r>
      <w:bookmarkStart w:id="7299" w:name="Bookmark_I63893WT2D6MY20040000400"/>
      <w:bookmarkEnd w:id="7299"/>
      <w:r>
        <w:rPr>
          <w:rFonts w:ascii="Arial" w:eastAsia="Arial" w:hAnsi="Arial" w:cs="Arial"/>
          <w:i/>
          <w:color w:val="000000"/>
          <w:sz w:val="20"/>
        </w:rPr>
        <w:t>Id.</w:t>
      </w:r>
      <w:r>
        <w:rPr>
          <w:rFonts w:ascii="Arial" w:eastAsia="Arial" w:hAnsi="Arial" w:cs="Arial"/>
          <w:color w:val="000000"/>
          <w:sz w:val="20"/>
        </w:rPr>
        <w:t xml:space="preserve"> at 579 ("The very idea that a noncommercial speech restriction be used to produce thoughts and statements acceptable to some groups or, indeed, all people, grates on the First Amendment, for it amounts to nothing less than a proposal to limit speech in the service of orthodox expression.").</w:t>
      </w:r>
    </w:p>
    <w:p w:rsidR="00022B47" w:rsidRDefault="00000000">
      <w:pPr>
        <w:pStyle w:val="Normal48"/>
        <w:widowControl w:val="0"/>
        <w:spacing w:before="200" w:line="260" w:lineRule="atLeast"/>
        <w:jc w:val="both"/>
      </w:pPr>
      <w:bookmarkStart w:id="7300" w:name="Bookmark_para_24_30"/>
      <w:bookmarkStart w:id="7301" w:name="Bookmark_I63893WT28T4100020000400"/>
      <w:bookmarkStart w:id="7302" w:name="Bookmark_I63893WT2N1RCW0030000400"/>
      <w:bookmarkEnd w:id="7300"/>
      <w:bookmarkEnd w:id="7301"/>
      <w:bookmarkEnd w:id="7302"/>
      <w:r>
        <w:rPr>
          <w:rFonts w:ascii="Arial" w:eastAsia="Arial" w:hAnsi="Arial" w:cs="Arial"/>
          <w:i/>
          <w:color w:val="000000"/>
          <w:sz w:val="20"/>
        </w:rPr>
        <w:t>Hurley</w:t>
      </w:r>
      <w:r>
        <w:rPr>
          <w:rFonts w:ascii="Arial" w:eastAsia="Arial" w:hAnsi="Arial" w:cs="Arial"/>
          <w:color w:val="000000"/>
          <w:sz w:val="20"/>
        </w:rPr>
        <w:t xml:space="preserve"> is analogous to this case in that Coral Ridge's proposed interpretation of Title II would violate the First Amendment. </w:t>
      </w:r>
      <w:bookmarkStart w:id="7303" w:name="Bookmark_I63893WT28T4100040000400"/>
      <w:bookmarkEnd w:id="7303"/>
      <w:r>
        <w:rPr>
          <w:rFonts w:ascii="Arial" w:eastAsia="Arial" w:hAnsi="Arial" w:cs="Arial"/>
          <w:color w:val="000000"/>
          <w:sz w:val="20"/>
        </w:rPr>
        <w:t xml:space="preserve">In the same way that the Council's choice of parade units was expressive conduct, so too is Amazon's choice of what charities are eligible to receive donations through AmazonSmile. Applying Title II in the way Coral Ridge proposes would not further the statute's purpose of "secur[ing] for all citizens the full enjoyment of facilities described in the Act which are open to the general public." </w:t>
      </w:r>
      <w:bookmarkStart w:id="7304" w:name="Bookmark_I63893WT28T4100010000400"/>
      <w:bookmarkEnd w:id="7304"/>
      <w:r>
        <w:rPr>
          <w:rFonts w:ascii="Arial" w:eastAsia="Arial" w:hAnsi="Arial" w:cs="Arial"/>
          <w:i/>
          <w:color w:val="000000"/>
          <w:sz w:val="20"/>
        </w:rPr>
        <w:t>United States v. DeRosier</w:t>
      </w:r>
      <w:r>
        <w:rPr>
          <w:rFonts w:ascii="Arial" w:eastAsia="Arial" w:hAnsi="Arial" w:cs="Arial"/>
          <w:color w:val="000000"/>
          <w:sz w:val="20"/>
        </w:rPr>
        <w:t>, [*1256]  473 F.2d 749, 751 (5th Cir. 1973).</w:t>
      </w:r>
      <w:r>
        <w:rPr>
          <w:rFonts w:ascii="Arial" w:eastAsia="Arial" w:hAnsi="Arial" w:cs="Arial"/>
          <w:vertAlign w:val="superscript"/>
        </w:rPr>
        <w:footnoteReference w:customMarkFollows="1" w:id="231"/>
        <w:t>10</w:t>
      </w:r>
      <w:r>
        <w:rPr>
          <w:rFonts w:ascii="Arial" w:eastAsia="Arial" w:hAnsi="Arial" w:cs="Arial"/>
          <w:color w:val="000000"/>
          <w:sz w:val="20"/>
        </w:rPr>
        <w:t xml:space="preserve"> It would instead "modify the content of [Amazon's] expression"—and thus modify Amazon's "speech itself"—by [**15]  forcing it to donate to an organization it does not wish to promote. </w:t>
      </w:r>
      <w:bookmarkStart w:id="7307" w:name="Bookmark_I63893WT28T4100040000400_2"/>
      <w:bookmarkEnd w:id="7307"/>
      <w:r>
        <w:rPr>
          <w:rFonts w:ascii="Arial" w:eastAsia="Arial" w:hAnsi="Arial" w:cs="Arial"/>
          <w:i/>
          <w:color w:val="000000"/>
          <w:sz w:val="20"/>
        </w:rPr>
        <w:t xml:space="preserve">See </w:t>
      </w:r>
      <w:bookmarkStart w:id="7308" w:name="Bookmark_I63893WT28T4100030000400"/>
      <w:bookmarkEnd w:id="7308"/>
      <w:r>
        <w:rPr>
          <w:rFonts w:ascii="Arial" w:eastAsia="Arial" w:hAnsi="Arial" w:cs="Arial"/>
          <w:i/>
          <w:color w:val="000000"/>
          <w:sz w:val="20"/>
        </w:rPr>
        <w:t>Hurley</w:t>
      </w:r>
      <w:r>
        <w:rPr>
          <w:rFonts w:ascii="Arial" w:eastAsia="Arial" w:hAnsi="Arial" w:cs="Arial"/>
          <w:color w:val="000000"/>
          <w:sz w:val="20"/>
        </w:rPr>
        <w:t>, 515 U.S. at 573, 578.</w:t>
      </w:r>
      <w:r>
        <w:rPr>
          <w:rFonts w:ascii="Arial" w:eastAsia="Arial" w:hAnsi="Arial" w:cs="Arial"/>
          <w:vertAlign w:val="superscript"/>
        </w:rPr>
        <w:footnoteReference w:customMarkFollows="1" w:id="232"/>
        <w:t>11</w:t>
      </w:r>
      <w:r>
        <w:rPr>
          <w:rFonts w:ascii="Arial" w:eastAsia="Arial" w:hAnsi="Arial" w:cs="Arial"/>
          <w:color w:val="000000"/>
          <w:sz w:val="20"/>
        </w:rPr>
        <w:t xml:space="preserve"> This we cannot do. </w:t>
      </w:r>
      <w:bookmarkStart w:id="7314" w:name="Bookmark_LNHNREFclscc9_25"/>
      <w:bookmarkEnd w:id="7314"/>
      <w:r>
        <w:rPr>
          <w:rFonts w:ascii="Arial" w:eastAsia="Arial" w:hAnsi="Arial" w:cs="Arial"/>
          <w:color w:val="000000"/>
          <w:sz w:val="20"/>
        </w:rPr>
        <w:t xml:space="preserve">The law "is not free to interfere with speech for no better reason than promoting an approved message or discouraging a disfavored one, however enlightened either purpose may strike the government." </w:t>
      </w:r>
      <w:bookmarkStart w:id="7315" w:name="Bookmark_I63893WT28T4100050000400"/>
      <w:bookmarkEnd w:id="7315"/>
      <w:r>
        <w:rPr>
          <w:rFonts w:ascii="Arial" w:eastAsia="Arial" w:hAnsi="Arial" w:cs="Arial"/>
          <w:i/>
          <w:color w:val="000000"/>
          <w:sz w:val="20"/>
        </w:rPr>
        <w:t>Id.</w:t>
      </w:r>
      <w:r>
        <w:rPr>
          <w:rFonts w:ascii="Arial" w:eastAsia="Arial" w:hAnsi="Arial" w:cs="Arial"/>
          <w:color w:val="000000"/>
          <w:sz w:val="20"/>
        </w:rPr>
        <w:t xml:space="preserve"> at 579.</w:t>
      </w:r>
    </w:p>
    <w:p w:rsidR="00022B47" w:rsidRDefault="00000000">
      <w:pPr>
        <w:pStyle w:val="Normal48"/>
        <w:widowControl w:val="0"/>
        <w:spacing w:before="200" w:line="260" w:lineRule="atLeast"/>
        <w:jc w:val="both"/>
      </w:pPr>
      <w:bookmarkStart w:id="7316" w:name="Bookmark_para_26_27"/>
      <w:bookmarkStart w:id="7317" w:name="Bookmark_I63893WT2D6MY70020000400"/>
      <w:bookmarkEnd w:id="7316"/>
      <w:bookmarkEnd w:id="7317"/>
      <w:r>
        <w:rPr>
          <w:rFonts w:ascii="Arial" w:eastAsia="Arial" w:hAnsi="Arial" w:cs="Arial"/>
          <w:color w:val="000000"/>
          <w:sz w:val="20"/>
        </w:rPr>
        <w:t>Therefore, because Coral Ridge's proposed interpretation of Title II would infringe on Amazon's First Amendment right to engage in expressive conduct and would not further Title II's purpose, we affirm the district court's dismissal of this claim.</w:t>
      </w:r>
      <w:r>
        <w:rPr>
          <w:rFonts w:ascii="Arial" w:eastAsia="Arial" w:hAnsi="Arial" w:cs="Arial"/>
          <w:vertAlign w:val="superscript"/>
        </w:rPr>
        <w:footnoteReference w:customMarkFollows="1" w:id="233"/>
        <w:t>12</w:t>
      </w:r>
    </w:p>
    <w:p w:rsidR="00022B47" w:rsidRDefault="00000000">
      <w:pPr>
        <w:pStyle w:val="Normal48"/>
        <w:widowControl w:val="0"/>
        <w:spacing w:before="240" w:line="260" w:lineRule="atLeast"/>
      </w:pPr>
      <w:r>
        <w:br/>
      </w:r>
      <w:r>
        <w:rPr>
          <w:rFonts w:ascii="Arial" w:eastAsia="Arial" w:hAnsi="Arial" w:cs="Arial"/>
          <w:b/>
          <w:color w:val="000000"/>
          <w:sz w:val="20"/>
        </w:rPr>
        <w:t>V</w:t>
      </w:r>
      <w:r>
        <w:rPr>
          <w:rFonts w:ascii="Arial" w:eastAsia="Arial" w:hAnsi="Arial" w:cs="Arial"/>
          <w:color w:val="000000"/>
          <w:sz w:val="20"/>
        </w:rPr>
        <w:t>.</w:t>
      </w:r>
    </w:p>
    <w:p w:rsidR="00022B47" w:rsidRDefault="00000000">
      <w:pPr>
        <w:pStyle w:val="Normal48"/>
        <w:widowControl w:val="0"/>
        <w:spacing w:before="200" w:line="260" w:lineRule="atLeast"/>
        <w:jc w:val="both"/>
      </w:pPr>
      <w:bookmarkStart w:id="7321" w:name="Bookmark_para_27_25"/>
      <w:bookmarkEnd w:id="7321"/>
      <w:r>
        <w:rPr>
          <w:rFonts w:ascii="Arial" w:eastAsia="Arial" w:hAnsi="Arial" w:cs="Arial"/>
          <w:color w:val="000000"/>
          <w:sz w:val="20"/>
        </w:rPr>
        <w:t>In sum, we find that Coral Ridge has not adequately alleged a state law defamation claim and that its proposed interpretation of Title II would violate the First Amendment. Accordingly, we affirm the district court's dismissal of Coral Ridge's complaint.</w:t>
      </w:r>
    </w:p>
    <w:p w:rsidR="00022B47" w:rsidRDefault="00000000">
      <w:pPr>
        <w:pStyle w:val="Normal48"/>
        <w:widowControl w:val="0"/>
        <w:spacing w:before="200" w:line="260" w:lineRule="atLeast"/>
        <w:jc w:val="both"/>
      </w:pPr>
      <w:bookmarkStart w:id="7322" w:name="Bookmark_para_28_25"/>
      <w:bookmarkEnd w:id="7322"/>
      <w:r>
        <w:rPr>
          <w:rFonts w:ascii="Arial" w:eastAsia="Arial" w:hAnsi="Arial" w:cs="Arial"/>
          <w:b/>
          <w:color w:val="000000"/>
          <w:sz w:val="20"/>
        </w:rPr>
        <w:t>AFFIRMED</w:t>
      </w:r>
      <w:r>
        <w:rPr>
          <w:rFonts w:ascii="Arial" w:eastAsia="Arial" w:hAnsi="Arial" w:cs="Arial"/>
          <w:color w:val="000000"/>
          <w:sz w:val="20"/>
        </w:rPr>
        <w:t>.</w:t>
      </w:r>
    </w:p>
    <w:p w:rsidR="00022B47" w:rsidRDefault="00022B47">
      <w:pPr>
        <w:pStyle w:val="Normal48"/>
      </w:pPr>
    </w:p>
    <w:p w:rsidR="00022B47" w:rsidRDefault="00000000">
      <w:pPr>
        <w:pStyle w:val="Normal48"/>
        <w:ind w:left="200"/>
        <w:sectPr w:rsidR="00022B47">
          <w:type w:val="continuous"/>
          <w:pgSz w:w="12240" w:h="15840"/>
          <w:pgMar w:top="840" w:right="1000" w:bottom="840" w:left="1000" w:header="400" w:footer="400" w:gutter="0"/>
          <w:cols w:num="2" w:space="240"/>
        </w:sectPr>
      </w:pPr>
      <w:r>
        <w:br/>
      </w:r>
      <w:r w:rsidR="0025213E">
        <w:rPr>
          <w:noProof/>
        </w:rPr>
        <mc:AlternateContent>
          <mc:Choice Requires="wps">
            <w:drawing>
              <wp:anchor distT="0" distB="0" distL="114300" distR="114300" simplePos="0" relativeHeight="251761664"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1514414734"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C79FA2" id="Line 103"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rsidR="00022B47" w:rsidRDefault="00022B47">
      <w:pPr>
        <w:pStyle w:val="Normal49"/>
        <w:sectPr w:rsidR="00022B47">
          <w:headerReference w:type="even" r:id="rId301"/>
          <w:headerReference w:type="default" r:id="rId302"/>
          <w:footerReference w:type="even" r:id="rId303"/>
          <w:footerReference w:type="default" r:id="rId304"/>
          <w:headerReference w:type="first" r:id="rId305"/>
          <w:footerReference w:type="first" r:id="rId306"/>
          <w:pgSz w:w="12240" w:h="15840"/>
          <w:pgMar w:top="840" w:right="1000" w:bottom="840" w:left="1000" w:header="400" w:footer="400" w:gutter="0"/>
          <w:cols w:space="720"/>
          <w:titlePg/>
        </w:sectPr>
      </w:pPr>
    </w:p>
    <w:p w:rsidR="00022B47" w:rsidRDefault="00022B47">
      <w:pPr>
        <w:pStyle w:val="Normal49"/>
      </w:pPr>
    </w:p>
    <w:p w:rsidR="00022B47" w:rsidRDefault="00000000">
      <w:pPr>
        <w:pStyle w:val="Heading148"/>
        <w:keepNext w:val="0"/>
        <w:widowControl w:val="0"/>
        <w:spacing w:after="200" w:line="340" w:lineRule="atLeast"/>
        <w:jc w:val="center"/>
      </w:pPr>
      <w:r>
        <w:rPr>
          <w:rFonts w:eastAsia="Arial"/>
          <w:color w:val="000000"/>
          <w:sz w:val="28"/>
        </w:rPr>
        <w:t>Prim v. Stein</w:t>
      </w:r>
    </w:p>
    <w:p w:rsidR="00022B47" w:rsidRDefault="00000000">
      <w:pPr>
        <w:pStyle w:val="Normal49"/>
        <w:widowControl w:val="0"/>
        <w:spacing w:before="120" w:line="260" w:lineRule="atLeast"/>
        <w:jc w:val="center"/>
      </w:pPr>
      <w:r>
        <w:rPr>
          <w:rFonts w:ascii="Arial" w:eastAsia="Arial" w:hAnsi="Arial" w:cs="Arial"/>
          <w:color w:val="000000"/>
          <w:sz w:val="20"/>
        </w:rPr>
        <w:t>United States Court of Appeals for the Fifth Circuit</w:t>
      </w:r>
    </w:p>
    <w:p w:rsidR="00022B47" w:rsidRDefault="00000000">
      <w:pPr>
        <w:pStyle w:val="Normal49"/>
        <w:widowControl w:val="0"/>
        <w:spacing w:before="120" w:line="260" w:lineRule="atLeast"/>
        <w:jc w:val="center"/>
      </w:pPr>
      <w:r>
        <w:rPr>
          <w:rFonts w:ascii="Arial" w:eastAsia="Arial" w:hAnsi="Arial" w:cs="Arial"/>
          <w:color w:val="000000"/>
          <w:sz w:val="20"/>
        </w:rPr>
        <w:t>July 27, 2021, Filed</w:t>
      </w:r>
    </w:p>
    <w:p w:rsidR="00022B47" w:rsidRDefault="00000000">
      <w:pPr>
        <w:pStyle w:val="Normal49"/>
        <w:widowControl w:val="0"/>
        <w:spacing w:before="120" w:line="260" w:lineRule="atLeast"/>
        <w:jc w:val="center"/>
        <w:sectPr w:rsidR="00022B47">
          <w:type w:val="continuous"/>
          <w:pgSz w:w="12240" w:h="15840"/>
          <w:pgMar w:top="840" w:right="1000" w:bottom="840" w:left="1000" w:header="400" w:footer="400" w:gutter="0"/>
          <w:cols w:space="240"/>
        </w:sectPr>
      </w:pPr>
      <w:r>
        <w:rPr>
          <w:rFonts w:ascii="Arial" w:eastAsia="Arial" w:hAnsi="Arial" w:cs="Arial"/>
          <w:color w:val="000000"/>
          <w:sz w:val="20"/>
        </w:rPr>
        <w:t>No. 20-20387</w:t>
      </w:r>
    </w:p>
    <w:p w:rsidR="00022B47" w:rsidRDefault="00022B47">
      <w:pPr>
        <w:pStyle w:val="Normal49"/>
        <w:widowControl w:val="0"/>
        <w:spacing w:line="240" w:lineRule="atLeast"/>
        <w:jc w:val="both"/>
      </w:pPr>
      <w:bookmarkStart w:id="7323" w:name="Bookmark_50"/>
      <w:bookmarkEnd w:id="7323"/>
    </w:p>
    <w:p w:rsidR="00022B47" w:rsidRDefault="00000000">
      <w:pPr>
        <w:pStyle w:val="Normal49"/>
        <w:widowControl w:val="0"/>
        <w:spacing w:before="200" w:line="240" w:lineRule="atLeast"/>
      </w:pPr>
      <w:bookmarkStart w:id="7324" w:name="Reporter_48"/>
      <w:bookmarkEnd w:id="7324"/>
      <w:r>
        <w:rPr>
          <w:rFonts w:ascii="Arial" w:eastAsia="Arial" w:hAnsi="Arial" w:cs="Arial"/>
          <w:b/>
          <w:color w:val="000000"/>
          <w:sz w:val="18"/>
        </w:rPr>
        <w:t>Reporter</w:t>
      </w:r>
    </w:p>
    <w:p w:rsidR="00022B47" w:rsidRDefault="00000000">
      <w:pPr>
        <w:pStyle w:val="Normal49"/>
        <w:widowControl w:val="0"/>
        <w:spacing w:line="240" w:lineRule="atLeast"/>
        <w:sectPr w:rsidR="00022B47">
          <w:type w:val="continuous"/>
          <w:pgSz w:w="12240" w:h="15840"/>
          <w:pgMar w:top="840" w:right="1000" w:bottom="840" w:left="1000" w:header="400" w:footer="400" w:gutter="0"/>
          <w:cols w:space="240"/>
        </w:sectPr>
      </w:pPr>
      <w:r>
        <w:rPr>
          <w:rFonts w:ascii="Arial" w:eastAsia="Arial" w:hAnsi="Arial" w:cs="Arial"/>
          <w:color w:val="000000"/>
          <w:sz w:val="18"/>
        </w:rPr>
        <w:t>6 F.4th 584 *; 2021 U.S. App. LEXIS 22273 **</w:t>
      </w:r>
    </w:p>
    <w:p w:rsidR="00022B47" w:rsidRDefault="00000000">
      <w:pPr>
        <w:pStyle w:val="Normal49"/>
        <w:widowControl w:val="0"/>
        <w:spacing w:before="120" w:line="260" w:lineRule="atLeast"/>
      </w:pPr>
      <w:r>
        <w:rPr>
          <w:rFonts w:ascii="Arial" w:eastAsia="Arial" w:hAnsi="Arial" w:cs="Arial"/>
          <w:color w:val="000000"/>
          <w:sz w:val="20"/>
        </w:rPr>
        <w:t>JANET PRIM; ERIC PRIM, Plaintiffs—Appellants, versus DEPUTY STEIN; LIEUTENANT WEBB; DETECTIVE TERRELL; JOHN HARSHAW; MONTGOMERY COUNTY, TEXAS; THE CENTER FOR THE PERFORMING ARTS AT THE WOODLANDS; LIVE NATION WORLDWIDE, INCORPORATED, Defendants—Appellees.</w:t>
      </w:r>
    </w:p>
    <w:p w:rsidR="00022B47" w:rsidRDefault="00000000">
      <w:pPr>
        <w:pStyle w:val="Normal49"/>
        <w:widowControl w:val="0"/>
        <w:spacing w:before="240" w:line="260" w:lineRule="atLeast"/>
        <w:jc w:val="both"/>
      </w:pPr>
      <w:bookmarkStart w:id="7325" w:name="Prior_History_48"/>
      <w:bookmarkEnd w:id="7325"/>
      <w:r>
        <w:rPr>
          <w:rFonts w:ascii="Arial" w:eastAsia="Arial" w:hAnsi="Arial" w:cs="Arial"/>
          <w:b/>
          <w:color w:val="000000"/>
          <w:sz w:val="20"/>
        </w:rPr>
        <w:t>Prior History:</w:t>
      </w:r>
      <w:r>
        <w:rPr>
          <w:rFonts w:ascii="Arial" w:eastAsia="Arial" w:hAnsi="Arial" w:cs="Arial"/>
          <w:color w:val="000000"/>
          <w:sz w:val="20"/>
        </w:rPr>
        <w:t> </w:t>
      </w:r>
      <w:bookmarkStart w:id="7326" w:name="Bookmark_para_1_48"/>
      <w:bookmarkEnd w:id="7326"/>
      <w:r>
        <w:rPr>
          <w:rFonts w:ascii="Arial" w:eastAsia="Arial" w:hAnsi="Arial" w:cs="Arial"/>
          <w:color w:val="000000"/>
          <w:sz w:val="20"/>
        </w:rPr>
        <w:t> [**1] Appeal from the United States District Court for the Southern District of Texas. USDC No. 4:18-CV-1774.</w:t>
      </w:r>
    </w:p>
    <w:p w:rsidR="00022B47" w:rsidRDefault="00000000">
      <w:pPr>
        <w:pStyle w:val="Normal49"/>
        <w:widowControl w:val="0"/>
        <w:spacing w:before="120" w:line="260" w:lineRule="atLeast"/>
      </w:pPr>
      <w:r>
        <w:rPr>
          <w:rFonts w:ascii="Arial" w:eastAsia="Arial" w:hAnsi="Arial" w:cs="Arial"/>
          <w:color w:val="000000"/>
          <w:sz w:val="20"/>
        </w:rPr>
        <w:t>Prim v. Montgomery Cty., 2020 U.S. Dist. LEXIS 113228, 2020 WL 3498875 (S.D. Tex., June 29, 2020)</w:t>
      </w:r>
    </w:p>
    <w:p w:rsidR="00022B47" w:rsidRDefault="00000000">
      <w:pPr>
        <w:pStyle w:val="Normal49"/>
        <w:widowControl w:val="0"/>
        <w:spacing w:before="240" w:line="260" w:lineRule="atLeast"/>
      </w:pPr>
      <w:bookmarkStart w:id="7327" w:name="Counsel_48"/>
      <w:bookmarkEnd w:id="7327"/>
      <w:r>
        <w:rPr>
          <w:rFonts w:ascii="Arial" w:eastAsia="Arial" w:hAnsi="Arial" w:cs="Arial"/>
          <w:b/>
          <w:color w:val="000000"/>
          <w:sz w:val="20"/>
        </w:rPr>
        <w:t>Counsel:</w:t>
      </w:r>
      <w:r>
        <w:rPr>
          <w:rFonts w:ascii="Arial" w:eastAsia="Arial" w:hAnsi="Arial" w:cs="Arial"/>
          <w:color w:val="000000"/>
          <w:sz w:val="20"/>
        </w:rPr>
        <w:t> For Janet Prim, Eric Prim, Plaintiffs - Appellants: Randall Lee Kallinen, Esq., Law Office of Randall L. Kallinen, P.L.L.C., Houston, TX.</w:t>
      </w:r>
    </w:p>
    <w:p w:rsidR="00022B47" w:rsidRDefault="00000000">
      <w:pPr>
        <w:pStyle w:val="Normal49"/>
        <w:widowControl w:val="0"/>
        <w:spacing w:before="120" w:line="260" w:lineRule="atLeast"/>
      </w:pPr>
      <w:r>
        <w:rPr>
          <w:rFonts w:ascii="Arial" w:eastAsia="Arial" w:hAnsi="Arial" w:cs="Arial"/>
          <w:color w:val="000000"/>
          <w:sz w:val="20"/>
        </w:rPr>
        <w:t>For Deputy Stein, Lieutenant Webb, Detective Terrell, Montgomery County, Texas, Defendants - Appellees: Daniel Dale Plake, Adam Anderson, Attorney, Benjamin Devane Griffin, County Attorney's Office for the County of Montgomery, Conroe, TX.</w:t>
      </w:r>
    </w:p>
    <w:p w:rsidR="00022B47" w:rsidRDefault="00000000">
      <w:pPr>
        <w:pStyle w:val="Normal49"/>
        <w:widowControl w:val="0"/>
        <w:spacing w:before="120" w:line="260" w:lineRule="atLeast"/>
      </w:pPr>
      <w:r>
        <w:rPr>
          <w:rFonts w:ascii="Arial" w:eastAsia="Arial" w:hAnsi="Arial" w:cs="Arial"/>
          <w:color w:val="000000"/>
          <w:sz w:val="20"/>
        </w:rPr>
        <w:t>For John Harshaw, Center for the Performing Arts at the Woodlands, Live Nation Worldwide, Incorporated, Defendants - Appellees: Shira R. Yoshor, Angeles Garcia Cassin, Greenberg Traurig, L.L.P., Houston, TX.</w:t>
      </w:r>
    </w:p>
    <w:p w:rsidR="00022B47" w:rsidRDefault="00000000">
      <w:pPr>
        <w:pStyle w:val="Normal49"/>
        <w:widowControl w:val="0"/>
        <w:spacing w:before="240" w:line="260" w:lineRule="atLeast"/>
      </w:pPr>
      <w:bookmarkStart w:id="7328" w:name="Judges_48"/>
      <w:bookmarkEnd w:id="7328"/>
      <w:r>
        <w:rPr>
          <w:rFonts w:ascii="Arial" w:eastAsia="Arial" w:hAnsi="Arial" w:cs="Arial"/>
          <w:b/>
          <w:color w:val="000000"/>
          <w:sz w:val="20"/>
        </w:rPr>
        <w:t>Judges:</w:t>
      </w:r>
      <w:r>
        <w:rPr>
          <w:rFonts w:ascii="Arial" w:eastAsia="Arial" w:hAnsi="Arial" w:cs="Arial"/>
          <w:color w:val="000000"/>
          <w:sz w:val="20"/>
        </w:rPr>
        <w:t> Before HIGGINBOTHAM, STEWART, and WILSON, Circuit Judges.</w:t>
      </w:r>
    </w:p>
    <w:p w:rsidR="00022B47" w:rsidRDefault="00000000">
      <w:pPr>
        <w:pStyle w:val="Normal49"/>
        <w:widowControl w:val="0"/>
        <w:spacing w:before="240" w:line="260" w:lineRule="atLeast"/>
      </w:pPr>
      <w:bookmarkStart w:id="7329" w:name="Opinion_by_24"/>
      <w:bookmarkEnd w:id="7329"/>
      <w:r>
        <w:rPr>
          <w:rFonts w:ascii="Arial" w:eastAsia="Arial" w:hAnsi="Arial" w:cs="Arial"/>
          <w:b/>
          <w:color w:val="000000"/>
          <w:sz w:val="20"/>
        </w:rPr>
        <w:t>Opinion by:</w:t>
      </w:r>
      <w:r>
        <w:rPr>
          <w:rFonts w:ascii="Arial" w:eastAsia="Arial" w:hAnsi="Arial" w:cs="Arial"/>
          <w:color w:val="000000"/>
          <w:sz w:val="20"/>
        </w:rPr>
        <w:t> CARL E. STEWART</w:t>
      </w:r>
    </w:p>
    <w:p w:rsidR="00022B47" w:rsidRDefault="00000000">
      <w:pPr>
        <w:pStyle w:val="Normal49"/>
        <w:keepNext/>
        <w:widowControl w:val="0"/>
        <w:spacing w:before="240" w:line="340" w:lineRule="atLeast"/>
      </w:pPr>
      <w:bookmarkStart w:id="7330" w:name="Opinion_48"/>
      <w:bookmarkEnd w:id="7330"/>
      <w:r>
        <w:rPr>
          <w:rFonts w:ascii="Arial" w:eastAsia="Arial" w:hAnsi="Arial" w:cs="Arial"/>
          <w:b/>
          <w:color w:val="000000"/>
          <w:sz w:val="28"/>
        </w:rPr>
        <w:t>Opinion</w:t>
      </w:r>
    </w:p>
    <w:p w:rsidR="00022B47" w:rsidRDefault="0025213E">
      <w:pPr>
        <w:pStyle w:val="Normal49"/>
        <w:spacing w:line="60" w:lineRule="exact"/>
      </w:pPr>
      <w:r>
        <w:rPr>
          <w:noProof/>
        </w:rPr>
        <mc:AlternateContent>
          <mc:Choice Requires="wps">
            <w:drawing>
              <wp:anchor distT="0" distB="0" distL="114300" distR="114300" simplePos="0" relativeHeight="251762688" behindDoc="0" locked="0" layoutInCell="1" allowOverlap="1">
                <wp:simplePos x="0" y="0"/>
                <wp:positionH relativeFrom="column">
                  <wp:posOffset>0</wp:posOffset>
                </wp:positionH>
                <wp:positionV relativeFrom="paragraph">
                  <wp:posOffset>25400</wp:posOffset>
                </wp:positionV>
                <wp:extent cx="3187700" cy="0"/>
                <wp:effectExtent l="19050" t="15875" r="12700" b="12700"/>
                <wp:wrapTopAndBottom/>
                <wp:docPr id="545676031"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BE4CB5" id="Line 104"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rsidR="00022B47" w:rsidRDefault="00022B47">
      <w:pPr>
        <w:pStyle w:val="Normal49"/>
      </w:pPr>
    </w:p>
    <w:p w:rsidR="00022B47" w:rsidRDefault="00000000">
      <w:pPr>
        <w:pStyle w:val="Normal49"/>
        <w:widowControl w:val="0"/>
        <w:spacing w:before="200" w:line="260" w:lineRule="atLeast"/>
        <w:jc w:val="both"/>
      </w:pPr>
      <w:bookmarkStart w:id="7331" w:name="Bookmark_para_2_48"/>
      <w:bookmarkEnd w:id="7331"/>
      <w:r>
        <w:rPr>
          <w:rFonts w:ascii="Arial" w:eastAsia="Arial" w:hAnsi="Arial" w:cs="Arial"/>
          <w:color w:val="000000"/>
          <w:sz w:val="20"/>
        </w:rPr>
        <w:t xml:space="preserve"> [*588]  </w:t>
      </w:r>
      <w:r>
        <w:rPr>
          <w:rFonts w:ascii="Arial" w:eastAsia="Arial" w:hAnsi="Arial" w:cs="Arial"/>
          <w:smallCaps/>
          <w:color w:val="000000"/>
          <w:sz w:val="20"/>
        </w:rPr>
        <w:t>Carl E. Stewart</w:t>
      </w:r>
      <w:r>
        <w:rPr>
          <w:rFonts w:ascii="Arial" w:eastAsia="Arial" w:hAnsi="Arial" w:cs="Arial"/>
          <w:color w:val="000000"/>
          <w:sz w:val="20"/>
        </w:rPr>
        <w:t xml:space="preserve">, </w:t>
      </w:r>
      <w:r>
        <w:rPr>
          <w:rFonts w:ascii="Arial" w:eastAsia="Arial" w:hAnsi="Arial" w:cs="Arial"/>
          <w:i/>
          <w:color w:val="000000"/>
          <w:sz w:val="20"/>
        </w:rPr>
        <w:t>Circuit Judge</w:t>
      </w:r>
      <w:r>
        <w:rPr>
          <w:rFonts w:ascii="Arial" w:eastAsia="Arial" w:hAnsi="Arial" w:cs="Arial"/>
          <w:color w:val="000000"/>
          <w:sz w:val="20"/>
        </w:rPr>
        <w:t>:</w:t>
      </w:r>
    </w:p>
    <w:p w:rsidR="00022B47" w:rsidRDefault="00000000">
      <w:pPr>
        <w:pStyle w:val="Normal49"/>
        <w:widowControl w:val="0"/>
        <w:spacing w:before="200" w:line="260" w:lineRule="atLeast"/>
        <w:jc w:val="both"/>
      </w:pPr>
      <w:bookmarkStart w:id="7332" w:name="Bookmark_para_3_48"/>
      <w:bookmarkEnd w:id="7332"/>
      <w:r>
        <w:rPr>
          <w:rFonts w:ascii="Arial" w:eastAsia="Arial" w:hAnsi="Arial" w:cs="Arial"/>
          <w:color w:val="000000"/>
          <w:sz w:val="20"/>
        </w:rPr>
        <w:t xml:space="preserve">Eric and Janet Prim ("the Prims") were arrested for public intoxication while attending a concert in The Woodlands, Texas. </w:t>
      </w:r>
      <w:bookmarkStart w:id="7333" w:name="Bookmark_I63830VT28T4T10010000400"/>
      <w:bookmarkEnd w:id="7333"/>
      <w:r>
        <w:rPr>
          <w:rFonts w:ascii="Arial" w:eastAsia="Arial" w:hAnsi="Arial" w:cs="Arial"/>
          <w:color w:val="000000"/>
          <w:sz w:val="20"/>
        </w:rPr>
        <w:t>They sued the concert venue as well as Montgomery County ("the County") and several Montgomery County officers for violations of federal law. The district court granted summary judgment in favor of the Defendants. We AFFIRM in part and REVERSE and REMAND in part.</w:t>
      </w:r>
    </w:p>
    <w:p w:rsidR="00022B47" w:rsidRDefault="00000000">
      <w:pPr>
        <w:pStyle w:val="Normal49"/>
        <w:widowControl w:val="0"/>
        <w:spacing w:before="240" w:line="260" w:lineRule="atLeast"/>
      </w:pPr>
      <w:r>
        <w:br/>
      </w:r>
      <w:r>
        <w:rPr>
          <w:rFonts w:ascii="Arial" w:eastAsia="Arial" w:hAnsi="Arial" w:cs="Arial"/>
          <w:b/>
          <w:color w:val="000000"/>
          <w:sz w:val="20"/>
        </w:rPr>
        <w:t xml:space="preserve">I. </w:t>
      </w:r>
      <w:r>
        <w:rPr>
          <w:rFonts w:ascii="Arial" w:eastAsia="Arial" w:hAnsi="Arial" w:cs="Arial"/>
          <w:b/>
          <w:smallCaps/>
          <w:color w:val="000000"/>
          <w:sz w:val="20"/>
        </w:rPr>
        <w:t>Factual and Procedural</w:t>
      </w:r>
      <w:r>
        <w:rPr>
          <w:rFonts w:ascii="Arial" w:eastAsia="Arial" w:hAnsi="Arial" w:cs="Arial"/>
          <w:smallCaps/>
          <w:color w:val="000000"/>
          <w:sz w:val="20"/>
        </w:rPr>
        <w:t> [**2] </w:t>
      </w:r>
      <w:r>
        <w:rPr>
          <w:rFonts w:ascii="Arial" w:eastAsia="Arial" w:hAnsi="Arial" w:cs="Arial"/>
          <w:b/>
          <w:smallCaps/>
          <w:color w:val="000000"/>
          <w:sz w:val="20"/>
        </w:rPr>
        <w:t xml:space="preserve"> History</w:t>
      </w:r>
      <w:r>
        <w:rPr>
          <w:rFonts w:ascii="Arial" w:eastAsia="Arial" w:hAnsi="Arial" w:cs="Arial"/>
          <w:vertAlign w:val="superscript"/>
        </w:rPr>
        <w:footnoteReference w:customMarkFollows="1" w:id="234"/>
        <w:t>1</w:t>
      </w:r>
    </w:p>
    <w:p w:rsidR="00022B47" w:rsidRDefault="00000000">
      <w:pPr>
        <w:pStyle w:val="Normal49"/>
        <w:widowControl w:val="0"/>
        <w:spacing w:before="200" w:line="260" w:lineRule="atLeast"/>
        <w:jc w:val="both"/>
      </w:pPr>
      <w:bookmarkStart w:id="7337" w:name="Bookmark_para_4_48"/>
      <w:bookmarkEnd w:id="7337"/>
      <w:r>
        <w:rPr>
          <w:rFonts w:ascii="Arial" w:eastAsia="Arial" w:hAnsi="Arial" w:cs="Arial"/>
          <w:color w:val="000000"/>
          <w:sz w:val="20"/>
        </w:rPr>
        <w:t>On the evening of June 17, 2018, the Prims attended a 7pm concert at the Cynthia Woods Mitchell Pavilion ("the Pavilion") in The Woodlands, Texas.</w:t>
      </w:r>
      <w:r>
        <w:rPr>
          <w:rFonts w:ascii="Arial" w:eastAsia="Arial" w:hAnsi="Arial" w:cs="Arial"/>
          <w:vertAlign w:val="superscript"/>
        </w:rPr>
        <w:footnoteReference w:customMarkFollows="1" w:id="235"/>
        <w:t>2</w:t>
      </w:r>
      <w:r>
        <w:rPr>
          <w:rFonts w:ascii="Arial" w:eastAsia="Arial" w:hAnsi="Arial" w:cs="Arial"/>
          <w:color w:val="000000"/>
          <w:sz w:val="20"/>
        </w:rPr>
        <w:t xml:space="preserve"> Live Nation  [*589]  Worldwide Incorporated produces and promotes the Pavilion's events.</w:t>
      </w:r>
    </w:p>
    <w:p w:rsidR="00022B47" w:rsidRDefault="00000000">
      <w:pPr>
        <w:pStyle w:val="Normal49"/>
        <w:widowControl w:val="0"/>
        <w:spacing w:before="200" w:line="260" w:lineRule="atLeast"/>
        <w:jc w:val="both"/>
      </w:pPr>
      <w:bookmarkStart w:id="7339" w:name="Bookmark_para_5_48"/>
      <w:bookmarkEnd w:id="7339"/>
      <w:r>
        <w:rPr>
          <w:rFonts w:ascii="Arial" w:eastAsia="Arial" w:hAnsi="Arial" w:cs="Arial"/>
          <w:color w:val="000000"/>
          <w:sz w:val="20"/>
        </w:rPr>
        <w:t>Before the concert,</w:t>
      </w:r>
      <w:r>
        <w:rPr>
          <w:rFonts w:ascii="Arial" w:eastAsia="Arial" w:hAnsi="Arial" w:cs="Arial"/>
          <w:vertAlign w:val="superscript"/>
        </w:rPr>
        <w:footnoteReference w:customMarkFollows="1" w:id="236"/>
        <w:t>3</w:t>
      </w:r>
      <w:r>
        <w:rPr>
          <w:rFonts w:ascii="Arial" w:eastAsia="Arial" w:hAnsi="Arial" w:cs="Arial"/>
          <w:color w:val="000000"/>
          <w:sz w:val="20"/>
        </w:rPr>
        <w:t xml:space="preserve"> the Prims had dinner and consumed approximately three glasses of wine each. At the concert, the Prims each consumed an additional two glasses of wine between 7:15pm and 10pm. As the Prims were leaving the concert, Janet was "stumbling, unstable, [and] holding onto things." John Harshaw, a Pavilion employee, noticed Janet's stumbling and came over to offer his assistance. Harshaw used his radio to call for a wheelchair for Janet.</w:t>
      </w:r>
    </w:p>
    <w:p w:rsidR="00022B47" w:rsidRDefault="00000000">
      <w:pPr>
        <w:pStyle w:val="Normal49"/>
        <w:widowControl w:val="0"/>
        <w:spacing w:before="200" w:line="260" w:lineRule="atLeast"/>
        <w:jc w:val="both"/>
      </w:pPr>
      <w:bookmarkStart w:id="7341" w:name="Bookmark_para_6_48"/>
      <w:bookmarkEnd w:id="7341"/>
      <w:r>
        <w:rPr>
          <w:rFonts w:ascii="Arial" w:eastAsia="Arial" w:hAnsi="Arial" w:cs="Arial"/>
          <w:color w:val="000000"/>
          <w:sz w:val="20"/>
        </w:rPr>
        <w:t>Harshaw escorted the Prims to the Pavilion's security office. Eric continued to talk with Harshaw, and Harshaw smelled alcohol on Eric's breath. Eric also spoke with Deputy Stein, who had been working traffic at the Pavilion and was called to help with the Prims. Deputy Stein saw Eric sway and noticed that Eric had difficulty standing, had bloodshot eyes, and slurred speech. Eric told Deputy Stein that he had been drinking both before and during the concert. Deputy Stein administered a horizontal gaze nystagmus [**3]  test to Eric, and Eric failed it twice because he could not hold his head still.</w:t>
      </w:r>
    </w:p>
    <w:p w:rsidR="00022B47" w:rsidRDefault="00000000">
      <w:pPr>
        <w:pStyle w:val="Normal49"/>
        <w:widowControl w:val="0"/>
        <w:spacing w:before="200" w:line="260" w:lineRule="atLeast"/>
        <w:jc w:val="both"/>
      </w:pPr>
      <w:bookmarkStart w:id="7342" w:name="Bookmark_para_7_48"/>
      <w:bookmarkEnd w:id="7342"/>
      <w:r>
        <w:rPr>
          <w:rFonts w:ascii="Arial" w:eastAsia="Arial" w:hAnsi="Arial" w:cs="Arial"/>
          <w:color w:val="000000"/>
          <w:sz w:val="20"/>
        </w:rPr>
        <w:t>Janet suffers from multiple sclerosis ("MS"), and her symptoms include stumbling, inability to recall, and vision loss. Once at the security office, Janet was evaluated by Charles Tatum, a medic. Tatum involved police after suspecting that Janet was drunk to ensure that Janet did not attempt to drive herself home. Tatum called Lieutenant Webb, who spoke with Janet and observed that Janet had red eyes, trouble answering questions, and had admitted to drinking. Janet was unable to hold a conversation with Lieutenant Webb and was unable to stand on her own.</w:t>
      </w:r>
    </w:p>
    <w:p w:rsidR="00022B47" w:rsidRDefault="00000000">
      <w:pPr>
        <w:pStyle w:val="Normal49"/>
        <w:widowControl w:val="0"/>
        <w:spacing w:before="200" w:line="260" w:lineRule="atLeast"/>
        <w:jc w:val="both"/>
      </w:pPr>
      <w:bookmarkStart w:id="7343" w:name="Bookmark_para_8_47"/>
      <w:bookmarkEnd w:id="7343"/>
      <w:r>
        <w:rPr>
          <w:rFonts w:ascii="Arial" w:eastAsia="Arial" w:hAnsi="Arial" w:cs="Arial"/>
          <w:color w:val="000000"/>
          <w:sz w:val="20"/>
        </w:rPr>
        <w:t>The Prims insisted on walking home since they "lived on the other side of the golf course." To walk home, the Prims would have had to cross two intersections (including a busy parkway) in the dark. Both Prims were stumbling, had red eyes, slurred speech, and other indicators of intoxication. Rather than permit them to walk home in their condition, the officers tried to find the Prims a ride home. The officers asked Eric to provide information so that the officers could call someone to pick the Prims up. Eric did not have a cell phone on him at the time and [**4]  said he did not know the numbers of anyone the officers could call. Unable to find the Prims a ride home, Deputy Stein arrested them for public intoxication. The charges against the Prims were ultimately dismissed.</w:t>
      </w:r>
    </w:p>
    <w:p w:rsidR="00022B47" w:rsidRDefault="00000000">
      <w:pPr>
        <w:pStyle w:val="Normal49"/>
        <w:widowControl w:val="0"/>
        <w:spacing w:before="200" w:line="260" w:lineRule="atLeast"/>
        <w:jc w:val="both"/>
      </w:pPr>
      <w:bookmarkStart w:id="7344" w:name="Bookmark_para_9_46"/>
      <w:bookmarkEnd w:id="7344"/>
      <w:r>
        <w:rPr>
          <w:rFonts w:ascii="Arial" w:eastAsia="Arial" w:hAnsi="Arial" w:cs="Arial"/>
          <w:color w:val="000000"/>
          <w:sz w:val="20"/>
        </w:rPr>
        <w:t>On May 30, 2018, Janet and Eric filed a lawsuit in the Southern District of Texas. They asserted 42 U.S.C. § 1983 claims against the County and Deputy Stein, Lieutenant Webb, and Detective Terrell for alleged violations of the Fourth Amendment. They alleged that the County and the Pavilion Defendants violated their rights under the Americans with Disabilities Act ("ADA") and Rehabilitation Act ("Rehab Act"). They also asserted false imprisonment, assault, negligence, gross negligence, and intentional infliction of emotional distress</w:t>
      </w:r>
      <w:r>
        <w:rPr>
          <w:rFonts w:ascii="Arial" w:eastAsia="Arial" w:hAnsi="Arial" w:cs="Arial"/>
          <w:vertAlign w:val="superscript"/>
        </w:rPr>
        <w:footnoteReference w:customMarkFollows="1" w:id="237"/>
        <w:t>4</w:t>
      </w:r>
      <w:r>
        <w:rPr>
          <w:rFonts w:ascii="Arial" w:eastAsia="Arial" w:hAnsi="Arial" w:cs="Arial"/>
          <w:color w:val="000000"/>
          <w:sz w:val="20"/>
        </w:rPr>
        <w:t xml:space="preserve"> claims against the Pavilion Defendants.</w:t>
      </w:r>
    </w:p>
    <w:p w:rsidR="00022B47" w:rsidRDefault="00000000">
      <w:pPr>
        <w:pStyle w:val="Normal49"/>
        <w:widowControl w:val="0"/>
        <w:spacing w:before="200" w:line="260" w:lineRule="atLeast"/>
        <w:jc w:val="both"/>
      </w:pPr>
      <w:bookmarkStart w:id="7348" w:name="Bookmark_para_10_45"/>
      <w:bookmarkEnd w:id="7348"/>
      <w:r>
        <w:rPr>
          <w:rFonts w:ascii="Arial" w:eastAsia="Arial" w:hAnsi="Arial" w:cs="Arial"/>
          <w:color w:val="000000"/>
          <w:sz w:val="20"/>
        </w:rPr>
        <w:t>In March 2019, the Pavilion Defendants moved for summary judgment. The district court granted their motion. In July 2019, the County and the officers moved for  [*590]  summary judgment. The district court granted the motion. This appeal follows.</w:t>
      </w:r>
    </w:p>
    <w:p w:rsidR="00022B47" w:rsidRDefault="00000000">
      <w:pPr>
        <w:pStyle w:val="Normal49"/>
        <w:widowControl w:val="0"/>
        <w:spacing w:before="240" w:line="260" w:lineRule="atLeast"/>
      </w:pPr>
      <w:r>
        <w:br/>
      </w:r>
      <w:r>
        <w:rPr>
          <w:rFonts w:ascii="Arial" w:eastAsia="Arial" w:hAnsi="Arial" w:cs="Arial"/>
          <w:b/>
          <w:color w:val="000000"/>
          <w:sz w:val="20"/>
        </w:rPr>
        <w:t xml:space="preserve">II. </w:t>
      </w:r>
      <w:r>
        <w:rPr>
          <w:rFonts w:ascii="Arial" w:eastAsia="Arial" w:hAnsi="Arial" w:cs="Arial"/>
          <w:b/>
          <w:smallCaps/>
          <w:color w:val="000000"/>
          <w:sz w:val="20"/>
        </w:rPr>
        <w:t>Standard of Review</w:t>
      </w:r>
    </w:p>
    <w:p w:rsidR="00022B47" w:rsidRDefault="00000000">
      <w:pPr>
        <w:pStyle w:val="Normal49"/>
        <w:widowControl w:val="0"/>
        <w:spacing w:before="200" w:line="260" w:lineRule="atLeast"/>
        <w:jc w:val="both"/>
      </w:pPr>
      <w:bookmarkStart w:id="7349" w:name="Bookmark_para_11_43"/>
      <w:bookmarkStart w:id="7350" w:name="Bookmark_I63893HX2SF7VW0010000400"/>
      <w:bookmarkStart w:id="7351" w:name="Bookmark_I63893HX2SF7VW0030000400"/>
      <w:bookmarkStart w:id="7352" w:name="Bookmark_LNHNREFclscc1_41"/>
      <w:bookmarkEnd w:id="7349"/>
      <w:bookmarkEnd w:id="7350"/>
      <w:bookmarkEnd w:id="7351"/>
      <w:bookmarkEnd w:id="7352"/>
      <w:r>
        <w:rPr>
          <w:rFonts w:ascii="Arial" w:eastAsia="Arial" w:hAnsi="Arial" w:cs="Arial"/>
          <w:color w:val="000000"/>
          <w:sz w:val="20"/>
        </w:rPr>
        <w:t xml:space="preserve">We review a district court's grant of summary judgment de novo. </w:t>
      </w:r>
      <w:bookmarkStart w:id="7353" w:name="Bookmark_I63893HW2N1RGR0050000400"/>
      <w:bookmarkEnd w:id="7353"/>
      <w:r>
        <w:rPr>
          <w:rFonts w:ascii="Arial" w:eastAsia="Arial" w:hAnsi="Arial" w:cs="Arial"/>
          <w:i/>
          <w:color w:val="000000"/>
          <w:sz w:val="20"/>
        </w:rPr>
        <w:t>Poole v. City of Shreveport</w:t>
      </w:r>
      <w:r>
        <w:rPr>
          <w:rFonts w:ascii="Arial" w:eastAsia="Arial" w:hAnsi="Arial" w:cs="Arial"/>
          <w:color w:val="000000"/>
          <w:sz w:val="20"/>
        </w:rPr>
        <w:t xml:space="preserve">, 691 F.3d 624, 627 (5th Cir. 2012). "The court shall grant summary judgment if the movant shows that there is no genuine dispute as to any material fact and the movant is entitled to judgment as a matter [**5]  of law." </w:t>
      </w:r>
      <w:r>
        <w:rPr>
          <w:rFonts w:ascii="Arial" w:eastAsia="Arial" w:hAnsi="Arial" w:cs="Arial"/>
          <w:smallCaps/>
          <w:color w:val="000000"/>
          <w:sz w:val="20"/>
        </w:rPr>
        <w:t>Fed. R. Civ. P.</w:t>
      </w:r>
      <w:r>
        <w:rPr>
          <w:rFonts w:ascii="Arial" w:eastAsia="Arial" w:hAnsi="Arial" w:cs="Arial"/>
          <w:color w:val="000000"/>
          <w:sz w:val="20"/>
        </w:rPr>
        <w:t xml:space="preserve"> 56(a). "A fact is 'material' if its resolution in favor of one party might affect the outcome of the lawsuit under governing law." </w:t>
      </w:r>
      <w:bookmarkStart w:id="7354" w:name="Bookmark_I63893HX2SF7VW0020000400"/>
      <w:bookmarkEnd w:id="7354"/>
      <w:r>
        <w:rPr>
          <w:rFonts w:ascii="Arial" w:eastAsia="Arial" w:hAnsi="Arial" w:cs="Arial"/>
          <w:i/>
          <w:color w:val="000000"/>
          <w:sz w:val="20"/>
        </w:rPr>
        <w:t>Hamilton v. Segue Software Inc.</w:t>
      </w:r>
      <w:r>
        <w:rPr>
          <w:rFonts w:ascii="Arial" w:eastAsia="Arial" w:hAnsi="Arial" w:cs="Arial"/>
          <w:color w:val="000000"/>
          <w:sz w:val="20"/>
        </w:rPr>
        <w:t xml:space="preserve">, 232 F.3d 473, 477 (5th Cir. 2000) (citing </w:t>
      </w:r>
      <w:bookmarkStart w:id="7355" w:name="Bookmark_I63893HX2SF7VW0040000400"/>
      <w:bookmarkEnd w:id="7355"/>
      <w:r>
        <w:rPr>
          <w:rFonts w:ascii="Arial" w:eastAsia="Arial" w:hAnsi="Arial" w:cs="Arial"/>
          <w:i/>
          <w:color w:val="000000"/>
          <w:sz w:val="20"/>
        </w:rPr>
        <w:t>Anderson v. Liberty Lobby, Inc.</w:t>
      </w:r>
      <w:r>
        <w:rPr>
          <w:rFonts w:ascii="Arial" w:eastAsia="Arial" w:hAnsi="Arial" w:cs="Arial"/>
          <w:color w:val="000000"/>
          <w:sz w:val="20"/>
        </w:rPr>
        <w:t xml:space="preserve">, 477 U.S. 242, 248, 106 S. Ct. 2505, 91 L. Ed. 2d 202 (1986)). "An issue is 'genuine' if the evidence is sufficient for a reasonable jury to return a verdict for the nonmoving party." </w:t>
      </w:r>
      <w:r>
        <w:rPr>
          <w:rFonts w:ascii="Arial" w:eastAsia="Arial" w:hAnsi="Arial" w:cs="Arial"/>
          <w:i/>
          <w:color w:val="000000"/>
          <w:sz w:val="20"/>
        </w:rPr>
        <w:t>Id.</w:t>
      </w:r>
    </w:p>
    <w:p w:rsidR="00022B47" w:rsidRDefault="00000000">
      <w:pPr>
        <w:pStyle w:val="Normal49"/>
        <w:widowControl w:val="0"/>
        <w:spacing w:before="240" w:line="260" w:lineRule="atLeast"/>
      </w:pPr>
      <w:r>
        <w:br/>
      </w:r>
      <w:r>
        <w:rPr>
          <w:rFonts w:ascii="Arial" w:eastAsia="Arial" w:hAnsi="Arial" w:cs="Arial"/>
          <w:b/>
          <w:color w:val="000000"/>
          <w:sz w:val="20"/>
        </w:rPr>
        <w:t xml:space="preserve">III. </w:t>
      </w:r>
      <w:r>
        <w:rPr>
          <w:rFonts w:ascii="Arial" w:eastAsia="Arial" w:hAnsi="Arial" w:cs="Arial"/>
          <w:b/>
          <w:smallCaps/>
          <w:color w:val="000000"/>
          <w:sz w:val="20"/>
        </w:rPr>
        <w:t>Discussion</w:t>
      </w:r>
    </w:p>
    <w:p w:rsidR="00022B47" w:rsidRDefault="00000000">
      <w:pPr>
        <w:pStyle w:val="Normal49"/>
        <w:widowControl w:val="0"/>
        <w:spacing w:before="200" w:line="260" w:lineRule="atLeast"/>
        <w:jc w:val="both"/>
      </w:pPr>
      <w:bookmarkStart w:id="7356" w:name="Bookmark_para_12_42"/>
      <w:bookmarkEnd w:id="7356"/>
      <w:r>
        <w:rPr>
          <w:rFonts w:ascii="Arial" w:eastAsia="Arial" w:hAnsi="Arial" w:cs="Arial"/>
          <w:color w:val="000000"/>
          <w:sz w:val="20"/>
        </w:rPr>
        <w:t>The Prims maintain that the district court erroneously granted summary judgment in favor of the Pavilion Defendants, Montgomery County, and the Montgomery County officers.</w:t>
      </w:r>
    </w:p>
    <w:p w:rsidR="00022B47" w:rsidRDefault="00000000">
      <w:pPr>
        <w:pStyle w:val="Normal49"/>
        <w:widowControl w:val="0"/>
        <w:spacing w:before="240" w:line="260" w:lineRule="atLeast"/>
      </w:pPr>
      <w:r>
        <w:br/>
      </w:r>
      <w:r>
        <w:rPr>
          <w:rFonts w:ascii="Arial" w:eastAsia="Arial" w:hAnsi="Arial" w:cs="Arial"/>
          <w:i/>
          <w:color w:val="000000"/>
          <w:sz w:val="20"/>
        </w:rPr>
        <w:t>A. Pavilion Defendants</w:t>
      </w:r>
    </w:p>
    <w:p w:rsidR="00022B47" w:rsidRDefault="00000000">
      <w:pPr>
        <w:pStyle w:val="Normal49"/>
        <w:widowControl w:val="0"/>
        <w:spacing w:before="200" w:line="260" w:lineRule="atLeast"/>
        <w:jc w:val="both"/>
      </w:pPr>
      <w:bookmarkStart w:id="7357" w:name="Bookmark_para_13_42"/>
      <w:bookmarkEnd w:id="7357"/>
      <w:r>
        <w:rPr>
          <w:rFonts w:ascii="Arial" w:eastAsia="Arial" w:hAnsi="Arial" w:cs="Arial"/>
          <w:color w:val="000000"/>
          <w:sz w:val="20"/>
        </w:rPr>
        <w:t>The Prims argue that they were assaulted, falsely imprisoned, and harmed by the Pavilion Defendants' negligence and that the district court erred by granting the Pavilion Defendants' motion for summary judgment. We agree with the district court on most claims, but we disagree about Eric Prim's assault claim.</w:t>
      </w:r>
    </w:p>
    <w:p w:rsidR="00022B47" w:rsidRDefault="00000000">
      <w:pPr>
        <w:pStyle w:val="Normal49"/>
        <w:widowControl w:val="0"/>
        <w:spacing w:before="240" w:line="260" w:lineRule="atLeast"/>
      </w:pPr>
      <w:r>
        <w:br/>
      </w:r>
      <w:r>
        <w:rPr>
          <w:rFonts w:ascii="Arial" w:eastAsia="Arial" w:hAnsi="Arial" w:cs="Arial"/>
          <w:i/>
          <w:color w:val="000000"/>
          <w:sz w:val="20"/>
        </w:rPr>
        <w:t>1. Assault</w:t>
      </w:r>
    </w:p>
    <w:p w:rsidR="00022B47" w:rsidRDefault="00000000">
      <w:pPr>
        <w:pStyle w:val="Normal49"/>
        <w:widowControl w:val="0"/>
        <w:spacing w:before="200" w:line="260" w:lineRule="atLeast"/>
        <w:jc w:val="both"/>
      </w:pPr>
      <w:bookmarkStart w:id="7358" w:name="Bookmark_para_14_42"/>
      <w:bookmarkEnd w:id="7358"/>
      <w:r>
        <w:rPr>
          <w:rFonts w:ascii="Arial" w:eastAsia="Arial" w:hAnsi="Arial" w:cs="Arial"/>
          <w:color w:val="000000"/>
          <w:sz w:val="20"/>
        </w:rPr>
        <w:t>Both Eric and Janet Prim contend that they were assaulted by the Pavilion Defendants. Janet claims that she was assaulted when she was forced into a wheelchair by an unknown individual. Eric says that Harshaw assaulted him by grabbing his arm while they walked to the Pavilion's security office. The district court disagreed, granting summary judgment in favor of the Pavilion Defendants. We agree that [**6]  Janet's claim fails. Eric's claim, however, raises a genuine factual dispute that should be resolved by a factfinder.</w:t>
      </w:r>
    </w:p>
    <w:p w:rsidR="00022B47" w:rsidRDefault="00000000">
      <w:pPr>
        <w:pStyle w:val="Normal49"/>
        <w:widowControl w:val="0"/>
        <w:spacing w:before="200" w:line="260" w:lineRule="atLeast"/>
        <w:jc w:val="both"/>
      </w:pPr>
      <w:bookmarkStart w:id="7359" w:name="Bookmark_para_15_40"/>
      <w:bookmarkStart w:id="7360" w:name="Bookmark_I63893HY28T4430020000400"/>
      <w:bookmarkStart w:id="7361" w:name="Bookmark_LNHNREFclscc2_41"/>
      <w:bookmarkEnd w:id="7359"/>
      <w:bookmarkEnd w:id="7360"/>
      <w:bookmarkEnd w:id="7361"/>
      <w:r>
        <w:rPr>
          <w:rFonts w:ascii="Arial" w:eastAsia="Arial" w:hAnsi="Arial" w:cs="Arial"/>
          <w:color w:val="000000"/>
          <w:sz w:val="20"/>
        </w:rPr>
        <w:t xml:space="preserve">"A person commits an assault if he intentionally or knowingly causes physical contact with another when the person knows or should reasonably believe that the other will regard the contact as offensive or provocative." </w:t>
      </w:r>
      <w:bookmarkStart w:id="7362" w:name="Bookmark_I63893HY28T4430010000400"/>
      <w:bookmarkEnd w:id="7362"/>
      <w:r>
        <w:rPr>
          <w:rFonts w:ascii="Arial" w:eastAsia="Arial" w:hAnsi="Arial" w:cs="Arial"/>
          <w:i/>
          <w:color w:val="000000"/>
          <w:sz w:val="20"/>
        </w:rPr>
        <w:t>Umana v. Kroger Texas, L.P.</w:t>
      </w:r>
      <w:r>
        <w:rPr>
          <w:rFonts w:ascii="Arial" w:eastAsia="Arial" w:hAnsi="Arial" w:cs="Arial"/>
          <w:color w:val="000000"/>
          <w:sz w:val="20"/>
        </w:rPr>
        <w:t>, 239 S.W.3d 434, 436 (Tex. App—Dallas 2007, no pet.).</w:t>
      </w:r>
    </w:p>
    <w:p w:rsidR="00022B47" w:rsidRDefault="00000000">
      <w:pPr>
        <w:pStyle w:val="Normal49"/>
        <w:widowControl w:val="0"/>
        <w:spacing w:before="200" w:line="260" w:lineRule="atLeast"/>
        <w:jc w:val="both"/>
      </w:pPr>
      <w:bookmarkStart w:id="7363" w:name="Bookmark_para_16_40"/>
      <w:bookmarkEnd w:id="7363"/>
      <w:r>
        <w:rPr>
          <w:rFonts w:ascii="Arial" w:eastAsia="Arial" w:hAnsi="Arial" w:cs="Arial"/>
          <w:color w:val="000000"/>
          <w:sz w:val="20"/>
        </w:rPr>
        <w:t>Though Janet claims that she was assaulted, Janet's deposition offers conflicting testimony about her experience getting into the wheelchair. Janet testified that someone "forced [her] into a wheelchair." In the next few lines, she said that "[she's] not saying [she] objected to the wheelchair." She also stated that she was "very happy to see the wheelchair, because, without Eric to hold onto, [she] would have been on the ground."</w:t>
      </w:r>
    </w:p>
    <w:p w:rsidR="00022B47" w:rsidRDefault="00000000">
      <w:pPr>
        <w:pStyle w:val="Normal49"/>
        <w:widowControl w:val="0"/>
        <w:spacing w:before="200" w:line="260" w:lineRule="atLeast"/>
        <w:jc w:val="both"/>
      </w:pPr>
      <w:bookmarkStart w:id="7364" w:name="Bookmark_para_17_39"/>
      <w:bookmarkEnd w:id="7364"/>
      <w:r>
        <w:rPr>
          <w:rFonts w:ascii="Arial" w:eastAsia="Arial" w:hAnsi="Arial" w:cs="Arial"/>
          <w:color w:val="000000"/>
          <w:sz w:val="20"/>
        </w:rPr>
        <w:t>Janet's own testimony undercuts the idea that she was assaulted. Moreover, Janet has not presented evidence that a Pavilion employee assaulted her because she cannot identify who purportedly forced her into the wheelchair. Thus, we agree with the district court's dismissal of Janet's claim.</w:t>
      </w:r>
    </w:p>
    <w:p w:rsidR="00022B47" w:rsidRDefault="00000000">
      <w:pPr>
        <w:pStyle w:val="Normal49"/>
        <w:widowControl w:val="0"/>
        <w:spacing w:before="200" w:line="260" w:lineRule="atLeast"/>
        <w:jc w:val="both"/>
      </w:pPr>
      <w:bookmarkStart w:id="7365" w:name="Bookmark_para_18_38"/>
      <w:bookmarkEnd w:id="7365"/>
      <w:r>
        <w:rPr>
          <w:rFonts w:ascii="Arial" w:eastAsia="Arial" w:hAnsi="Arial" w:cs="Arial"/>
          <w:color w:val="000000"/>
          <w:sz w:val="20"/>
        </w:rPr>
        <w:t>Eric's assault claim is a different story. Eric argues that Harshaw grabbed his arm while Eric, Janet, and Harshaw traveled to the Pavilion's [**7]  security office. Eric says that Harshaw grabbed his arm, that he experienced pain, and that he told Harshaw that he was in pain. Harshaw does not dispute that he grabbed Eric, but  [*591]  he claims that he was justified in doing so because Eric pushed him. Eric denies pushing Harshaw.</w:t>
      </w:r>
    </w:p>
    <w:p w:rsidR="00022B47" w:rsidRDefault="00000000">
      <w:pPr>
        <w:pStyle w:val="Normal49"/>
        <w:widowControl w:val="0"/>
        <w:spacing w:before="200" w:line="260" w:lineRule="atLeast"/>
        <w:jc w:val="both"/>
      </w:pPr>
      <w:bookmarkStart w:id="7366" w:name="Bookmark_para_19_37"/>
      <w:bookmarkStart w:id="7367" w:name="Bookmark_I63893HY28T4430040000400"/>
      <w:bookmarkEnd w:id="7366"/>
      <w:bookmarkEnd w:id="7367"/>
      <w:r>
        <w:rPr>
          <w:rFonts w:ascii="Arial" w:eastAsia="Arial" w:hAnsi="Arial" w:cs="Arial"/>
          <w:color w:val="000000"/>
          <w:sz w:val="20"/>
        </w:rPr>
        <w:t xml:space="preserve">Moreover, Harshaw argues that he grabbed Eric for less than a minute and that he let go when Eric told him that he was in pain. Harshaw responds by saying that Eric impliedly consented because Eric did not immediately tell him that his contact was offensive or provocative. </w:t>
      </w:r>
      <w:bookmarkStart w:id="7368" w:name="Bookmark_LNHNREFclscc3_41"/>
      <w:bookmarkEnd w:id="7368"/>
      <w:r>
        <w:rPr>
          <w:rFonts w:ascii="Arial" w:eastAsia="Arial" w:hAnsi="Arial" w:cs="Arial"/>
          <w:color w:val="000000"/>
          <w:sz w:val="20"/>
        </w:rPr>
        <w:t xml:space="preserve">Even so, "[t]he issue of consent as a defense is an issue of fact to be determined by a jury." </w:t>
      </w:r>
      <w:bookmarkStart w:id="7369" w:name="Bookmark_I63893HY28T4430030000400"/>
      <w:bookmarkEnd w:id="7369"/>
      <w:r>
        <w:rPr>
          <w:rFonts w:ascii="Arial" w:eastAsia="Arial" w:hAnsi="Arial" w:cs="Arial"/>
          <w:i/>
          <w:color w:val="000000"/>
          <w:sz w:val="20"/>
        </w:rPr>
        <w:t>Allen v. State</w:t>
      </w:r>
      <w:r>
        <w:rPr>
          <w:rFonts w:ascii="Arial" w:eastAsia="Arial" w:hAnsi="Arial" w:cs="Arial"/>
          <w:color w:val="000000"/>
          <w:sz w:val="20"/>
        </w:rPr>
        <w:t>, 273 S.W.3d 689, 693 (Tex. App—Houston [1st Dist.] 2008, no pet.).</w:t>
      </w:r>
    </w:p>
    <w:p w:rsidR="00022B47" w:rsidRDefault="00000000">
      <w:pPr>
        <w:pStyle w:val="Normal49"/>
        <w:widowControl w:val="0"/>
        <w:spacing w:before="200" w:line="260" w:lineRule="atLeast"/>
        <w:jc w:val="both"/>
      </w:pPr>
      <w:bookmarkStart w:id="7370" w:name="Bookmark_para_20_37"/>
      <w:bookmarkStart w:id="7371" w:name="Bookmark_I22Y9R6FC3700003SGG0000F"/>
      <w:bookmarkStart w:id="7372" w:name="Bookmark_I63893HY2N1RH00010000400"/>
      <w:bookmarkEnd w:id="7370"/>
      <w:bookmarkEnd w:id="7371"/>
      <w:bookmarkEnd w:id="7372"/>
      <w:r>
        <w:rPr>
          <w:rFonts w:ascii="Arial" w:eastAsia="Arial" w:hAnsi="Arial" w:cs="Arial"/>
          <w:color w:val="000000"/>
          <w:sz w:val="20"/>
        </w:rPr>
        <w:t xml:space="preserve">Since both parties acknowledge that Harshaw grabbed Eric, our analysis turns on whether a reasonable person could deem the contact offensive or provocative. Harshaw argues that the contact was so brief that no reasonable juror could find it offensive, and he cites </w:t>
      </w:r>
      <w:bookmarkStart w:id="7373" w:name="Bookmark_I63893HY28T4430050000400"/>
      <w:bookmarkEnd w:id="7373"/>
      <w:r>
        <w:rPr>
          <w:rFonts w:ascii="Arial" w:eastAsia="Arial" w:hAnsi="Arial" w:cs="Arial"/>
          <w:i/>
          <w:color w:val="000000"/>
          <w:sz w:val="20"/>
        </w:rPr>
        <w:t>Picard v. City of Dallas</w:t>
      </w:r>
      <w:r>
        <w:rPr>
          <w:rFonts w:ascii="Arial" w:eastAsia="Arial" w:hAnsi="Arial" w:cs="Arial"/>
          <w:color w:val="000000"/>
          <w:sz w:val="20"/>
        </w:rPr>
        <w:t xml:space="preserve">, 3:10-CV-634-K, 2011 U.S. Dist. LEXIS 95535, 2011 WL 3758806, at *9 (N.D. Tex. Aug. 25, 2011), </w:t>
      </w:r>
      <w:r>
        <w:rPr>
          <w:rFonts w:ascii="Arial" w:eastAsia="Arial" w:hAnsi="Arial" w:cs="Arial"/>
          <w:i/>
          <w:color w:val="000000"/>
          <w:sz w:val="20"/>
        </w:rPr>
        <w:t>aff'd</w:t>
      </w:r>
      <w:r>
        <w:rPr>
          <w:rFonts w:ascii="Arial" w:eastAsia="Arial" w:hAnsi="Arial" w:cs="Arial"/>
          <w:color w:val="000000"/>
          <w:sz w:val="20"/>
        </w:rPr>
        <w:t xml:space="preserve">, 467 F. App'x 327 (5th Cir. 2012). In </w:t>
      </w:r>
      <w:r>
        <w:rPr>
          <w:rFonts w:ascii="Arial" w:eastAsia="Arial" w:hAnsi="Arial" w:cs="Arial"/>
          <w:i/>
          <w:color w:val="000000"/>
          <w:sz w:val="20"/>
        </w:rPr>
        <w:t>Picard</w:t>
      </w:r>
      <w:r>
        <w:rPr>
          <w:rFonts w:ascii="Arial" w:eastAsia="Arial" w:hAnsi="Arial" w:cs="Arial"/>
          <w:color w:val="000000"/>
          <w:sz w:val="20"/>
        </w:rPr>
        <w:t xml:space="preserve">, the district court granted summary judgment against a plaintiff who accused her co-worker of assaulting her by touching her back and shoulders because there was no evidence that the co-worker knew that his contact was offensive. [**8]  </w:t>
      </w:r>
      <w:r>
        <w:rPr>
          <w:rFonts w:ascii="Arial" w:eastAsia="Arial" w:hAnsi="Arial" w:cs="Arial"/>
          <w:i/>
          <w:color w:val="000000"/>
          <w:sz w:val="20"/>
        </w:rPr>
        <w:t>Id.</w:t>
      </w:r>
      <w:r>
        <w:rPr>
          <w:rFonts w:ascii="Arial" w:eastAsia="Arial" w:hAnsi="Arial" w:cs="Arial"/>
          <w:color w:val="000000"/>
          <w:sz w:val="20"/>
        </w:rPr>
        <w:t xml:space="preserve"> Here, however, a reasonable juror could conclude that Harshaw's contact was offensive. By Harshaw's own account, he grabbed Eric after Eric shoved him. It is not inconceivable that Harshaw grabbed Eric in a manner or a degree that a reasonable person could find offensive. While Harshaw's contact may have ultimately been inoffensive, it is difficult to conclude as much as a matter of law.</w:t>
      </w:r>
    </w:p>
    <w:p w:rsidR="00022B47" w:rsidRDefault="00000000">
      <w:pPr>
        <w:pStyle w:val="Normal49"/>
        <w:widowControl w:val="0"/>
        <w:spacing w:before="200" w:line="260" w:lineRule="atLeast"/>
        <w:jc w:val="both"/>
      </w:pPr>
      <w:bookmarkStart w:id="7374" w:name="Bookmark_para_21_36"/>
      <w:bookmarkStart w:id="7375" w:name="Bookmark_I22Y9R6F7BP00003SGG0000D"/>
      <w:bookmarkStart w:id="7376" w:name="Bookmark_I63893HY2N1RH00030000400"/>
      <w:bookmarkStart w:id="7377" w:name="Bookmark_I63893HY2N1RH00050000400"/>
      <w:bookmarkEnd w:id="7374"/>
      <w:bookmarkEnd w:id="7375"/>
      <w:bookmarkEnd w:id="7376"/>
      <w:bookmarkEnd w:id="7377"/>
      <w:r>
        <w:rPr>
          <w:rFonts w:ascii="Arial" w:eastAsia="Arial" w:hAnsi="Arial" w:cs="Arial"/>
          <w:color w:val="000000"/>
          <w:sz w:val="20"/>
        </w:rPr>
        <w:t xml:space="preserve">Harshaw additionally relies on </w:t>
      </w:r>
      <w:bookmarkStart w:id="7378" w:name="Bookmark_I63893HY2N1RH00020000400"/>
      <w:bookmarkEnd w:id="7378"/>
      <w:r>
        <w:rPr>
          <w:rFonts w:ascii="Arial" w:eastAsia="Arial" w:hAnsi="Arial" w:cs="Arial"/>
          <w:i/>
          <w:color w:val="000000"/>
          <w:sz w:val="20"/>
        </w:rPr>
        <w:t>Schroeder v. Lufthansa German Airlines</w:t>
      </w:r>
      <w:r>
        <w:rPr>
          <w:rFonts w:ascii="Arial" w:eastAsia="Arial" w:hAnsi="Arial" w:cs="Arial"/>
          <w:color w:val="000000"/>
          <w:sz w:val="20"/>
        </w:rPr>
        <w:t xml:space="preserve">, 875 F.2d 613 (7th Cir. 1989), but that case is also distinguishable. In </w:t>
      </w:r>
      <w:r>
        <w:rPr>
          <w:rFonts w:ascii="Arial" w:eastAsia="Arial" w:hAnsi="Arial" w:cs="Arial"/>
          <w:i/>
          <w:color w:val="000000"/>
          <w:sz w:val="20"/>
        </w:rPr>
        <w:t>Schroeder</w:t>
      </w:r>
      <w:r>
        <w:rPr>
          <w:rFonts w:ascii="Arial" w:eastAsia="Arial" w:hAnsi="Arial" w:cs="Arial"/>
          <w:color w:val="000000"/>
          <w:sz w:val="20"/>
        </w:rPr>
        <w:t xml:space="preserve">, the court granted summary judgment on a battery claim where a flight attendant took the plaintiff by the arm and led her to the cockpit. </w:t>
      </w:r>
      <w:bookmarkStart w:id="7379" w:name="Bookmark_I63893HY2N1RH00040000400"/>
      <w:bookmarkEnd w:id="7379"/>
      <w:r>
        <w:rPr>
          <w:rFonts w:ascii="Arial" w:eastAsia="Arial" w:hAnsi="Arial" w:cs="Arial"/>
          <w:i/>
          <w:color w:val="000000"/>
          <w:sz w:val="20"/>
        </w:rPr>
        <w:t>Id.</w:t>
      </w:r>
      <w:r>
        <w:rPr>
          <w:rFonts w:ascii="Arial" w:eastAsia="Arial" w:hAnsi="Arial" w:cs="Arial"/>
          <w:color w:val="000000"/>
          <w:sz w:val="20"/>
        </w:rPr>
        <w:t xml:space="preserve"> at 622. In affirming the summary judgment, the Seventh Circuit noted that the plaintiff voluntarily walked to the cockpit with the flight attendant and failed to indicate that she was harmed or offended by the flight attendant's alleged touching. </w:t>
      </w:r>
      <w:r>
        <w:rPr>
          <w:rFonts w:ascii="Arial" w:eastAsia="Arial" w:hAnsi="Arial" w:cs="Arial"/>
          <w:i/>
          <w:color w:val="000000"/>
          <w:sz w:val="20"/>
        </w:rPr>
        <w:t>Id.</w:t>
      </w:r>
      <w:r>
        <w:rPr>
          <w:rFonts w:ascii="Arial" w:eastAsia="Arial" w:hAnsi="Arial" w:cs="Arial"/>
          <w:color w:val="000000"/>
          <w:sz w:val="20"/>
        </w:rPr>
        <w:t xml:space="preserve"> Unlike the plaintiff's silence in </w:t>
      </w:r>
      <w:r>
        <w:rPr>
          <w:rFonts w:ascii="Arial" w:eastAsia="Arial" w:hAnsi="Arial" w:cs="Arial"/>
          <w:i/>
          <w:color w:val="000000"/>
          <w:sz w:val="20"/>
        </w:rPr>
        <w:t>Schroeder</w:t>
      </w:r>
      <w:r>
        <w:rPr>
          <w:rFonts w:ascii="Arial" w:eastAsia="Arial" w:hAnsi="Arial" w:cs="Arial"/>
          <w:color w:val="000000"/>
          <w:sz w:val="20"/>
        </w:rPr>
        <w:t>, Eric told Harshaw that it hurt when he grabbed him.</w:t>
      </w:r>
    </w:p>
    <w:p w:rsidR="00022B47" w:rsidRDefault="00000000">
      <w:pPr>
        <w:pStyle w:val="Normal49"/>
        <w:widowControl w:val="0"/>
        <w:spacing w:before="200" w:line="260" w:lineRule="atLeast"/>
        <w:jc w:val="both"/>
      </w:pPr>
      <w:bookmarkStart w:id="7380" w:name="Bookmark_para_22_35"/>
      <w:bookmarkEnd w:id="7380"/>
      <w:r>
        <w:rPr>
          <w:rFonts w:ascii="Arial" w:eastAsia="Arial" w:hAnsi="Arial" w:cs="Arial"/>
          <w:color w:val="000000"/>
          <w:sz w:val="20"/>
        </w:rPr>
        <w:t xml:space="preserve">Harshaw's final response to Eric's assault claim is that Eric has failed to present evidence of damages. The Prims sought actual damages for assault. </w:t>
      </w:r>
      <w:bookmarkStart w:id="7381" w:name="Bookmark_I63893HY2D6N290020000400"/>
      <w:bookmarkEnd w:id="7381"/>
      <w:r>
        <w:rPr>
          <w:rFonts w:ascii="Arial" w:eastAsia="Arial" w:hAnsi="Arial" w:cs="Arial"/>
          <w:color w:val="000000"/>
          <w:sz w:val="20"/>
        </w:rPr>
        <w:t xml:space="preserve">Harshaw insists that summary judgment was appropriate because the Prims failed to prove how [**9]  the assault caused their damages. </w:t>
      </w:r>
      <w:bookmarkStart w:id="7382" w:name="Bookmark_LNHNREFclscc4_41"/>
      <w:bookmarkEnd w:id="7382"/>
      <w:r>
        <w:rPr>
          <w:rFonts w:ascii="Arial" w:eastAsia="Arial" w:hAnsi="Arial" w:cs="Arial"/>
          <w:color w:val="000000"/>
          <w:sz w:val="20"/>
        </w:rPr>
        <w:t xml:space="preserve">Texas law does not require the Prims to prove physical or personal injury to sustain an assault claim. </w:t>
      </w:r>
      <w:r>
        <w:rPr>
          <w:rFonts w:ascii="Arial" w:eastAsia="Arial" w:hAnsi="Arial" w:cs="Arial"/>
          <w:i/>
          <w:color w:val="000000"/>
          <w:sz w:val="20"/>
        </w:rPr>
        <w:t xml:space="preserve">See </w:t>
      </w:r>
      <w:bookmarkStart w:id="7383" w:name="Bookmark_I63893HY2D6N290010000400"/>
      <w:bookmarkEnd w:id="7383"/>
      <w:r>
        <w:rPr>
          <w:rFonts w:ascii="Arial" w:eastAsia="Arial" w:hAnsi="Arial" w:cs="Arial"/>
          <w:i/>
          <w:color w:val="000000"/>
          <w:sz w:val="20"/>
        </w:rPr>
        <w:t>Sanchez v. Striever</w:t>
      </w:r>
      <w:r>
        <w:rPr>
          <w:rFonts w:ascii="Arial" w:eastAsia="Arial" w:hAnsi="Arial" w:cs="Arial"/>
          <w:color w:val="000000"/>
          <w:sz w:val="20"/>
        </w:rPr>
        <w:t xml:space="preserve">, 614 S.W.3d 233, 240 (Tex. App.—Houston [14th Dist.] 2020, no pet.). "As offensive physical contact is the gravamen of the claim, the defendant is liable for contacts that are offensive and provocative regardless whether they cause physical harm." </w:t>
      </w:r>
      <w:r>
        <w:rPr>
          <w:rFonts w:ascii="Arial" w:eastAsia="Arial" w:hAnsi="Arial" w:cs="Arial"/>
          <w:i/>
          <w:color w:val="000000"/>
          <w:sz w:val="20"/>
        </w:rPr>
        <w:t>Id.</w:t>
      </w:r>
      <w:r>
        <w:rPr>
          <w:rFonts w:ascii="Arial" w:eastAsia="Arial" w:hAnsi="Arial" w:cs="Arial"/>
          <w:color w:val="000000"/>
          <w:sz w:val="20"/>
        </w:rPr>
        <w:t xml:space="preserve"> Eric is thus not required to prove damages to survive summary judgment on his assault claim.</w:t>
      </w:r>
    </w:p>
    <w:p w:rsidR="00022B47" w:rsidRDefault="00000000">
      <w:pPr>
        <w:pStyle w:val="Normal49"/>
        <w:widowControl w:val="0"/>
        <w:spacing w:before="200" w:line="260" w:lineRule="atLeast"/>
        <w:jc w:val="both"/>
      </w:pPr>
      <w:bookmarkStart w:id="7384" w:name="Bookmark_para_23_33"/>
      <w:bookmarkEnd w:id="7384"/>
      <w:r>
        <w:rPr>
          <w:rFonts w:ascii="Arial" w:eastAsia="Arial" w:hAnsi="Arial" w:cs="Arial"/>
          <w:color w:val="000000"/>
          <w:sz w:val="20"/>
        </w:rPr>
        <w:t>Since Harshaw grabbed Eric and a reasonable person could find that contact offensive, we reverse the district court's summary judgment on Eric's assault claim. We affirm the summary judgment on Janet's assault claim.</w:t>
      </w:r>
    </w:p>
    <w:p w:rsidR="00022B47" w:rsidRDefault="00000000">
      <w:pPr>
        <w:pStyle w:val="Normal49"/>
        <w:widowControl w:val="0"/>
        <w:spacing w:before="240" w:line="260" w:lineRule="atLeast"/>
      </w:pPr>
      <w:r>
        <w:br/>
      </w:r>
      <w:r>
        <w:rPr>
          <w:rFonts w:ascii="Arial" w:eastAsia="Arial" w:hAnsi="Arial" w:cs="Arial"/>
          <w:i/>
          <w:color w:val="000000"/>
          <w:sz w:val="20"/>
        </w:rPr>
        <w:t>2. False Imprisonment</w:t>
      </w:r>
    </w:p>
    <w:p w:rsidR="00022B47" w:rsidRDefault="00000000">
      <w:pPr>
        <w:pStyle w:val="Normal49"/>
        <w:widowControl w:val="0"/>
        <w:spacing w:before="200" w:line="260" w:lineRule="atLeast"/>
        <w:jc w:val="both"/>
      </w:pPr>
      <w:bookmarkStart w:id="7385" w:name="Bookmark_para_24_31"/>
      <w:bookmarkEnd w:id="7385"/>
      <w:r>
        <w:rPr>
          <w:rFonts w:ascii="Arial" w:eastAsia="Arial" w:hAnsi="Arial" w:cs="Arial"/>
          <w:color w:val="000000"/>
          <w:sz w:val="20"/>
        </w:rPr>
        <w:t>The Prims contend that Harshaw falsely imprisoned them when he escorted them to the security office and lacked "legal authority or valid reasons to arrest or detain Eric or Janet." The Pavilion Defendants respond by pointing to the lack of evidence that Harshaw detained the Prims  [*592]  or otherwise instigated their detention by officers.</w:t>
      </w:r>
    </w:p>
    <w:p w:rsidR="00022B47" w:rsidRDefault="00000000">
      <w:pPr>
        <w:pStyle w:val="Normal49"/>
        <w:widowControl w:val="0"/>
        <w:spacing w:before="200" w:line="260" w:lineRule="atLeast"/>
        <w:jc w:val="both"/>
      </w:pPr>
      <w:bookmarkStart w:id="7386" w:name="Bookmark_para_25_30"/>
      <w:bookmarkStart w:id="7387" w:name="Bookmark_I63893HY2D6N290040000400"/>
      <w:bookmarkStart w:id="7388" w:name="Bookmark_I63893J028T4470030000400"/>
      <w:bookmarkStart w:id="7389" w:name="Bookmark_I63893J02D6N2C0020000400"/>
      <w:bookmarkStart w:id="7390" w:name="Bookmark_LNHNREFclscc5_40"/>
      <w:bookmarkEnd w:id="7386"/>
      <w:bookmarkEnd w:id="7387"/>
      <w:bookmarkEnd w:id="7388"/>
      <w:bookmarkEnd w:id="7389"/>
      <w:bookmarkEnd w:id="7390"/>
      <w:r>
        <w:rPr>
          <w:rFonts w:ascii="Arial" w:eastAsia="Arial" w:hAnsi="Arial" w:cs="Arial"/>
          <w:color w:val="000000"/>
          <w:sz w:val="20"/>
        </w:rPr>
        <w:t xml:space="preserve">"The essential elements of false imprisonment are: (1) willful detention; (2) without consent; and (3) without authority of law." </w:t>
      </w:r>
      <w:bookmarkStart w:id="7391" w:name="Bookmark_I63893HY2D6N290030000400"/>
      <w:bookmarkEnd w:id="7391"/>
      <w:r>
        <w:rPr>
          <w:rFonts w:ascii="Arial" w:eastAsia="Arial" w:hAnsi="Arial" w:cs="Arial"/>
          <w:i/>
          <w:color w:val="000000"/>
          <w:sz w:val="20"/>
        </w:rPr>
        <w:t>Wal-Mart Stores, Inc. v. Rodriguez</w:t>
      </w:r>
      <w:r>
        <w:rPr>
          <w:rFonts w:ascii="Arial" w:eastAsia="Arial" w:hAnsi="Arial" w:cs="Arial"/>
          <w:color w:val="000000"/>
          <w:sz w:val="20"/>
        </w:rPr>
        <w:t xml:space="preserve">, 92 S.W.3d 502, 506 (Tex. 2002) (quoting </w:t>
      </w:r>
      <w:bookmarkStart w:id="7392" w:name="Bookmark_I63893HY2D6N290050000400"/>
      <w:bookmarkEnd w:id="7392"/>
      <w:r>
        <w:rPr>
          <w:rFonts w:ascii="Arial" w:eastAsia="Arial" w:hAnsi="Arial" w:cs="Arial"/>
          <w:i/>
          <w:color w:val="000000"/>
          <w:sz w:val="20"/>
        </w:rPr>
        <w:t>Sears, Roebuck &amp; Co. v. Castillo</w:t>
      </w:r>
      <w:r>
        <w:rPr>
          <w:rFonts w:ascii="Arial" w:eastAsia="Arial" w:hAnsi="Arial" w:cs="Arial"/>
          <w:color w:val="000000"/>
          <w:sz w:val="20"/>
        </w:rPr>
        <w:t xml:space="preserve">, 693 S.W.2d 374, 375 (Tex. 1985)). "[L]iability for false imprisonment extends beyond those who willfully [**10]  participate in detaining the complaining party to those who request or direct the detention." </w:t>
      </w:r>
      <w:bookmarkStart w:id="7393" w:name="Bookmark_I63893J028T4470020000400"/>
      <w:bookmarkEnd w:id="7393"/>
      <w:r>
        <w:rPr>
          <w:rFonts w:ascii="Arial" w:eastAsia="Arial" w:hAnsi="Arial" w:cs="Arial"/>
          <w:i/>
          <w:color w:val="000000"/>
          <w:sz w:val="20"/>
        </w:rPr>
        <w:t>Id.</w:t>
      </w:r>
      <w:r>
        <w:rPr>
          <w:rFonts w:ascii="Arial" w:eastAsia="Arial" w:hAnsi="Arial" w:cs="Arial"/>
          <w:color w:val="000000"/>
          <w:sz w:val="20"/>
        </w:rPr>
        <w:t xml:space="preserve"> at 507 (citing </w:t>
      </w:r>
      <w:bookmarkStart w:id="7394" w:name="Bookmark_I63893J028T4470040000400"/>
      <w:bookmarkEnd w:id="7394"/>
      <w:r>
        <w:rPr>
          <w:rFonts w:ascii="Arial" w:eastAsia="Arial" w:hAnsi="Arial" w:cs="Arial"/>
          <w:i/>
          <w:color w:val="000000"/>
          <w:sz w:val="20"/>
        </w:rPr>
        <w:t>Joske v. Irvine</w:t>
      </w:r>
      <w:r>
        <w:rPr>
          <w:rFonts w:ascii="Arial" w:eastAsia="Arial" w:hAnsi="Arial" w:cs="Arial"/>
          <w:color w:val="000000"/>
          <w:sz w:val="20"/>
        </w:rPr>
        <w:t xml:space="preserve">, 91 Tex. 574, 44 S.W. 1059, 1063 (Tex. 1898)). "False imprisonment's first element may thus be satisfied by conduct that is intended to cause one to be detained, and in fact causes the detention, even when the actor does not participate in the detention." </w:t>
      </w:r>
      <w:r>
        <w:rPr>
          <w:rFonts w:ascii="Arial" w:eastAsia="Arial" w:hAnsi="Arial" w:cs="Arial"/>
          <w:i/>
          <w:color w:val="000000"/>
          <w:sz w:val="20"/>
        </w:rPr>
        <w:t>Id.</w:t>
      </w:r>
      <w:r>
        <w:rPr>
          <w:rFonts w:ascii="Arial" w:eastAsia="Arial" w:hAnsi="Arial" w:cs="Arial"/>
          <w:color w:val="000000"/>
          <w:sz w:val="20"/>
        </w:rPr>
        <w:t xml:space="preserve"> "[M]erely reporting a crime and the suspected criminal to law enforcement authorities does not constitute procurement of criminal proceedings when the authorities exercise discretion in deciding whether to prosecute." </w:t>
      </w:r>
      <w:bookmarkStart w:id="7395" w:name="Bookmark_I63893J02D6N2C0010000400"/>
      <w:bookmarkEnd w:id="7395"/>
      <w:r>
        <w:rPr>
          <w:rFonts w:ascii="Arial" w:eastAsia="Arial" w:hAnsi="Arial" w:cs="Arial"/>
          <w:i/>
          <w:color w:val="000000"/>
          <w:sz w:val="20"/>
        </w:rPr>
        <w:t>Id.</w:t>
      </w:r>
      <w:r>
        <w:rPr>
          <w:rFonts w:ascii="Arial" w:eastAsia="Arial" w:hAnsi="Arial" w:cs="Arial"/>
          <w:color w:val="000000"/>
          <w:sz w:val="20"/>
        </w:rPr>
        <w:t xml:space="preserve"> at 509.</w:t>
      </w:r>
    </w:p>
    <w:p w:rsidR="00022B47" w:rsidRDefault="00000000">
      <w:pPr>
        <w:pStyle w:val="Normal49"/>
        <w:widowControl w:val="0"/>
        <w:spacing w:before="200" w:line="260" w:lineRule="atLeast"/>
        <w:jc w:val="both"/>
      </w:pPr>
      <w:bookmarkStart w:id="7396" w:name="Bookmark_para_26_28"/>
      <w:bookmarkEnd w:id="7396"/>
      <w:r>
        <w:rPr>
          <w:rFonts w:ascii="Arial" w:eastAsia="Arial" w:hAnsi="Arial" w:cs="Arial"/>
          <w:color w:val="000000"/>
          <w:sz w:val="20"/>
        </w:rPr>
        <w:t>There is no genuine factual dispute about whether Harshaw personally detained the Prims by escorting them to the security office. The Prims did not present evidence that Harshaw forced them to go the security office or that Harshaw detained them once they arrived at the office.</w:t>
      </w:r>
    </w:p>
    <w:p w:rsidR="00022B47" w:rsidRDefault="00000000">
      <w:pPr>
        <w:pStyle w:val="Normal49"/>
        <w:widowControl w:val="0"/>
        <w:spacing w:before="200" w:line="260" w:lineRule="atLeast"/>
        <w:jc w:val="both"/>
      </w:pPr>
      <w:bookmarkStart w:id="7397" w:name="Bookmark_para_27_26"/>
      <w:bookmarkEnd w:id="7397"/>
      <w:r>
        <w:rPr>
          <w:rFonts w:ascii="Arial" w:eastAsia="Arial" w:hAnsi="Arial" w:cs="Arial"/>
          <w:color w:val="000000"/>
          <w:sz w:val="20"/>
        </w:rPr>
        <w:t>There is no factual dispute about Harshaw's alleged role in instigating the Prims' detention by the police. Though Harshaw told the officers that the Prims need to be arrested, there is no evidence that the officers acted at Harshaw's request or that the Prims otherwise would not have been arrested. For example, Lieutenant Webb testified in her deposition that she conducted an independent [**11]  analysis of Janet and made the decision to arrest Janet herself. We affirm the summary judgment on the Prims' false imprisonment claim.</w:t>
      </w:r>
    </w:p>
    <w:p w:rsidR="00022B47" w:rsidRDefault="00000000">
      <w:pPr>
        <w:pStyle w:val="Normal49"/>
        <w:widowControl w:val="0"/>
        <w:spacing w:before="240" w:line="260" w:lineRule="atLeast"/>
      </w:pPr>
      <w:r>
        <w:br/>
      </w:r>
      <w:r>
        <w:rPr>
          <w:rFonts w:ascii="Arial" w:eastAsia="Arial" w:hAnsi="Arial" w:cs="Arial"/>
          <w:i/>
          <w:color w:val="000000"/>
          <w:sz w:val="20"/>
        </w:rPr>
        <w:t>3. Negligence</w:t>
      </w:r>
    </w:p>
    <w:p w:rsidR="00022B47" w:rsidRDefault="00000000">
      <w:pPr>
        <w:pStyle w:val="Normal49"/>
        <w:widowControl w:val="0"/>
        <w:spacing w:before="200" w:line="260" w:lineRule="atLeast"/>
        <w:jc w:val="both"/>
      </w:pPr>
      <w:bookmarkStart w:id="7398" w:name="Bookmark_para_28_26"/>
      <w:bookmarkEnd w:id="7398"/>
      <w:r>
        <w:rPr>
          <w:rFonts w:ascii="Arial" w:eastAsia="Arial" w:hAnsi="Arial" w:cs="Arial"/>
          <w:color w:val="000000"/>
          <w:sz w:val="20"/>
        </w:rPr>
        <w:t>The Prims next argue that the Pavilion is liable for the negligent supervision and training of Harshaw. The Pavilion Defendants disagree, arguing that the Prims did not present evidence of negligent supervision. We agree.</w:t>
      </w:r>
    </w:p>
    <w:p w:rsidR="00022B47" w:rsidRDefault="00000000">
      <w:pPr>
        <w:pStyle w:val="Normal49"/>
        <w:widowControl w:val="0"/>
        <w:spacing w:before="200" w:line="260" w:lineRule="atLeast"/>
        <w:jc w:val="both"/>
      </w:pPr>
      <w:bookmarkStart w:id="7399" w:name="Bookmark_para_29_23"/>
      <w:bookmarkStart w:id="7400" w:name="Bookmark_I63893J02D6N2C0040000400"/>
      <w:bookmarkStart w:id="7401" w:name="Bookmark_LNHNREFclscc6_34"/>
      <w:bookmarkEnd w:id="7399"/>
      <w:bookmarkEnd w:id="7400"/>
      <w:bookmarkEnd w:id="7401"/>
      <w:r>
        <w:rPr>
          <w:rFonts w:ascii="Arial" w:eastAsia="Arial" w:hAnsi="Arial" w:cs="Arial"/>
          <w:color w:val="000000"/>
          <w:sz w:val="20"/>
        </w:rPr>
        <w:t xml:space="preserve">To prevail on a negligent-supervision claim against an employer, the plaintiff must prove that the employer owed him a duty to supervise its employees, that the employer breached that duty, and that the breach proximately caused the plaintiff's injuries. </w:t>
      </w:r>
      <w:r>
        <w:rPr>
          <w:rFonts w:ascii="Arial" w:eastAsia="Arial" w:hAnsi="Arial" w:cs="Arial"/>
          <w:i/>
          <w:color w:val="000000"/>
          <w:sz w:val="20"/>
        </w:rPr>
        <w:t xml:space="preserve">See </w:t>
      </w:r>
      <w:bookmarkStart w:id="7402" w:name="Bookmark_I63893J02D6N2C0030000400"/>
      <w:bookmarkEnd w:id="7402"/>
      <w:r>
        <w:rPr>
          <w:rFonts w:ascii="Arial" w:eastAsia="Arial" w:hAnsi="Arial" w:cs="Arial"/>
          <w:i/>
          <w:color w:val="000000"/>
          <w:sz w:val="20"/>
        </w:rPr>
        <w:t>Knight v. City Streets, L.L.C.</w:t>
      </w:r>
      <w:r>
        <w:rPr>
          <w:rFonts w:ascii="Arial" w:eastAsia="Arial" w:hAnsi="Arial" w:cs="Arial"/>
          <w:color w:val="000000"/>
          <w:sz w:val="20"/>
        </w:rPr>
        <w:t>, 167 S.W.3d 580, 584 (Tex. App.—Houston [14th Dist.] 2005, no pet.). Even if we assume that the Pavilion owed the Prims the duty to supervise Harshaw, there is no evidence that the Pavilion breached that duty. Harshaw approached the Prims after he noticed Janet's stumbling, called for a wheelchair for Janet, and escorted them to the security office. Even if Harshaw committed a tort against the Prims, the Prims have failed to demonstrate how the Pavilion was negligent in its supervision of Harshaw. We affirm the summary judgment on this issue.</w:t>
      </w:r>
    </w:p>
    <w:p w:rsidR="00022B47" w:rsidRDefault="00000000">
      <w:pPr>
        <w:pStyle w:val="Normal49"/>
        <w:widowControl w:val="0"/>
        <w:spacing w:before="240" w:line="260" w:lineRule="atLeast"/>
      </w:pPr>
      <w:r>
        <w:br/>
      </w:r>
      <w:r>
        <w:rPr>
          <w:rFonts w:ascii="Arial" w:eastAsia="Arial" w:hAnsi="Arial" w:cs="Arial"/>
          <w:i/>
          <w:color w:val="000000"/>
          <w:sz w:val="20"/>
        </w:rPr>
        <w:t>4. Respondeat Superior</w:t>
      </w:r>
    </w:p>
    <w:p w:rsidR="00022B47" w:rsidRDefault="00000000">
      <w:pPr>
        <w:pStyle w:val="Normal49"/>
        <w:widowControl w:val="0"/>
        <w:spacing w:before="200" w:line="260" w:lineRule="atLeast"/>
        <w:jc w:val="both"/>
      </w:pPr>
      <w:bookmarkStart w:id="7403" w:name="Bookmark_para_30_22"/>
      <w:bookmarkStart w:id="7404" w:name="Bookmark_I63893J028T4490010000400"/>
      <w:bookmarkEnd w:id="7403"/>
      <w:bookmarkEnd w:id="7404"/>
      <w:r>
        <w:rPr>
          <w:rFonts w:ascii="Arial" w:eastAsia="Arial" w:hAnsi="Arial" w:cs="Arial"/>
          <w:color w:val="000000"/>
          <w:sz w:val="20"/>
        </w:rPr>
        <w:t xml:space="preserve">Next, the Prims assert that the Pavilion is liable for Harshaw's actions [**12]  through respondeat superior. </w:t>
      </w:r>
      <w:bookmarkStart w:id="7405" w:name="Bookmark_LNHNREFclscc7_33"/>
      <w:bookmarkEnd w:id="7405"/>
      <w:r>
        <w:rPr>
          <w:rFonts w:ascii="Arial" w:eastAsia="Arial" w:hAnsi="Arial" w:cs="Arial"/>
          <w:color w:val="000000"/>
          <w:sz w:val="20"/>
        </w:rPr>
        <w:t xml:space="preserve">"To hold an employer liable for the actions of its employee, a claimant must prove (1) an agency relationship existed between the employee [] and the employer []; (2) the employee committed a tort; and (3) the tort was in the course and scope of the employee's authority." </w:t>
      </w:r>
      <w:bookmarkStart w:id="7406" w:name="Bookmark_I63893J02D6N2C0050000400"/>
      <w:bookmarkEnd w:id="7406"/>
      <w:r>
        <w:rPr>
          <w:rFonts w:ascii="Arial" w:eastAsia="Arial" w:hAnsi="Arial" w:cs="Arial"/>
          <w:i/>
          <w:color w:val="000000"/>
          <w:sz w:val="20"/>
        </w:rPr>
        <w:t>Id.</w:t>
      </w:r>
      <w:r>
        <w:rPr>
          <w:rFonts w:ascii="Arial" w:eastAsia="Arial" w:hAnsi="Arial" w:cs="Arial"/>
          <w:color w:val="000000"/>
          <w:sz w:val="20"/>
        </w:rPr>
        <w:t xml:space="preserve"> at 582-83 (citing </w:t>
      </w:r>
      <w:bookmarkStart w:id="7407" w:name="Bookmark_I63893J028T4490020000400"/>
      <w:bookmarkEnd w:id="7407"/>
      <w:r>
        <w:rPr>
          <w:rFonts w:ascii="Arial" w:eastAsia="Arial" w:hAnsi="Arial" w:cs="Arial"/>
          <w:i/>
          <w:color w:val="000000"/>
          <w:sz w:val="20"/>
        </w:rPr>
        <w:t>Baptist Memorial Hosp. Sys. v. Sampson</w:t>
      </w:r>
      <w:r>
        <w:rPr>
          <w:rFonts w:ascii="Arial" w:eastAsia="Arial" w:hAnsi="Arial" w:cs="Arial"/>
          <w:color w:val="000000"/>
          <w:sz w:val="20"/>
        </w:rPr>
        <w:t>, 969 S.W.2d 945, 947 (Tex. 1998)).</w:t>
      </w:r>
    </w:p>
    <w:p w:rsidR="00022B47" w:rsidRDefault="00000000">
      <w:pPr>
        <w:pStyle w:val="Normal49"/>
        <w:widowControl w:val="0"/>
        <w:spacing w:before="200" w:line="260" w:lineRule="atLeast"/>
        <w:jc w:val="both"/>
      </w:pPr>
      <w:bookmarkStart w:id="7408" w:name="Bookmark_para_31_22"/>
      <w:bookmarkEnd w:id="7408"/>
      <w:r>
        <w:rPr>
          <w:rFonts w:ascii="Arial" w:eastAsia="Arial" w:hAnsi="Arial" w:cs="Arial"/>
          <w:color w:val="000000"/>
          <w:sz w:val="20"/>
        </w:rPr>
        <w:t> [*593]  There is a genuine factual dispute on Eric Prim's assault claim. Because Harshaw was an employee of the Pavilion, whether Harshaw is liable for assault—and if so, whether he was acting within the scope of his employment with the Pavilion—present genuine factual disputes as to this claim against the Pavilion. We thus reverse and remand this issue to the district court.</w:t>
      </w:r>
    </w:p>
    <w:p w:rsidR="00022B47" w:rsidRDefault="00000000">
      <w:pPr>
        <w:pStyle w:val="Normal49"/>
        <w:widowControl w:val="0"/>
        <w:spacing w:before="240" w:line="260" w:lineRule="atLeast"/>
      </w:pPr>
      <w:r>
        <w:br/>
      </w:r>
      <w:r>
        <w:rPr>
          <w:rFonts w:ascii="Arial" w:eastAsia="Arial" w:hAnsi="Arial" w:cs="Arial"/>
          <w:i/>
          <w:color w:val="000000"/>
          <w:sz w:val="20"/>
        </w:rPr>
        <w:t>B. Montgomery County Officers' Qualified Immunity Defense</w:t>
      </w:r>
    </w:p>
    <w:p w:rsidR="00022B47" w:rsidRDefault="00000000">
      <w:pPr>
        <w:pStyle w:val="Normal49"/>
        <w:widowControl w:val="0"/>
        <w:spacing w:before="200" w:line="260" w:lineRule="atLeast"/>
        <w:jc w:val="both"/>
      </w:pPr>
      <w:bookmarkStart w:id="7409" w:name="Bookmark_para_32_22"/>
      <w:bookmarkEnd w:id="7409"/>
      <w:r>
        <w:rPr>
          <w:rFonts w:ascii="Arial" w:eastAsia="Arial" w:hAnsi="Arial" w:cs="Arial"/>
          <w:color w:val="000000"/>
          <w:sz w:val="20"/>
        </w:rPr>
        <w:t>The Prims alleged that the Montgomery County officers violated the Fourth Amendment by arresting them without probable cause. The officers moved for summary judgment based on qualified immunity, and the district court granted the motion. We agree that the officers are entitled to qualified immunity.</w:t>
      </w:r>
    </w:p>
    <w:p w:rsidR="00022B47" w:rsidRDefault="00000000">
      <w:pPr>
        <w:pStyle w:val="Normal49"/>
        <w:widowControl w:val="0"/>
        <w:spacing w:before="200" w:line="260" w:lineRule="atLeast"/>
        <w:jc w:val="both"/>
      </w:pPr>
      <w:bookmarkStart w:id="7410" w:name="Bookmark_para_33_21"/>
      <w:bookmarkStart w:id="7411" w:name="Bookmark_I63893J028T4490050000400"/>
      <w:bookmarkStart w:id="7412" w:name="Bookmark_LNHNREFclscc8_30"/>
      <w:bookmarkEnd w:id="7410"/>
      <w:bookmarkEnd w:id="7411"/>
      <w:bookmarkEnd w:id="7412"/>
      <w:r>
        <w:rPr>
          <w:rFonts w:ascii="Arial" w:eastAsia="Arial" w:hAnsi="Arial" w:cs="Arial"/>
          <w:color w:val="000000"/>
          <w:sz w:val="20"/>
        </w:rPr>
        <w:t xml:space="preserve">"A warrantless arrest must be based on 'probable cause.' Probable cause exists when the totality of facts and circumstances within a police officer's knowledge at the moment of [**13]  arrest are sufficient for a reasonable person to conclude that the suspect had committed or was committing an offense." </w:t>
      </w:r>
      <w:bookmarkStart w:id="7413" w:name="Bookmark_I63893J028T4490040000400"/>
      <w:bookmarkEnd w:id="7413"/>
      <w:r>
        <w:rPr>
          <w:rFonts w:ascii="Arial" w:eastAsia="Arial" w:hAnsi="Arial" w:cs="Arial"/>
          <w:i/>
          <w:color w:val="000000"/>
          <w:sz w:val="20"/>
        </w:rPr>
        <w:t>Resendiz v. Miller</w:t>
      </w:r>
      <w:r>
        <w:rPr>
          <w:rFonts w:ascii="Arial" w:eastAsia="Arial" w:hAnsi="Arial" w:cs="Arial"/>
          <w:color w:val="000000"/>
          <w:sz w:val="20"/>
        </w:rPr>
        <w:t>, 203 F.3d 902, 903 (5th Cir. 2000).</w:t>
      </w:r>
    </w:p>
    <w:p w:rsidR="00022B47" w:rsidRDefault="00000000">
      <w:pPr>
        <w:pStyle w:val="Normal49"/>
        <w:widowControl w:val="0"/>
        <w:spacing w:before="200" w:line="260" w:lineRule="atLeast"/>
        <w:jc w:val="both"/>
      </w:pPr>
      <w:bookmarkStart w:id="7414" w:name="Bookmark_para_34_21"/>
      <w:bookmarkStart w:id="7415" w:name="Bookmark_I63893J12N1RH70020000400"/>
      <w:bookmarkStart w:id="7416" w:name="Bookmark_LNHNREFclscc9_26"/>
      <w:bookmarkEnd w:id="7414"/>
      <w:bookmarkEnd w:id="7415"/>
      <w:bookmarkEnd w:id="7416"/>
      <w:r>
        <w:rPr>
          <w:rFonts w:ascii="Arial" w:eastAsia="Arial" w:hAnsi="Arial" w:cs="Arial"/>
          <w:color w:val="000000"/>
          <w:sz w:val="20"/>
        </w:rPr>
        <w:t xml:space="preserve">Even if the officers lacked probable cause for the Prims' arrests, "[q]ualified immunity protects government officials 'from liability for civil damages insofar as their conduct does not violate clearly established statutory or constitutional rights of which a reasonable person would have known.'" </w:t>
      </w:r>
      <w:bookmarkStart w:id="7417" w:name="Bookmark_I63893J12N1RH70010000400"/>
      <w:bookmarkEnd w:id="7417"/>
      <w:r>
        <w:rPr>
          <w:rFonts w:ascii="Arial" w:eastAsia="Arial" w:hAnsi="Arial" w:cs="Arial"/>
          <w:i/>
          <w:color w:val="000000"/>
          <w:sz w:val="20"/>
        </w:rPr>
        <w:t>Osborne v. Harris Cnty, Tex.</w:t>
      </w:r>
      <w:r>
        <w:rPr>
          <w:rFonts w:ascii="Arial" w:eastAsia="Arial" w:hAnsi="Arial" w:cs="Arial"/>
          <w:color w:val="000000"/>
          <w:sz w:val="20"/>
        </w:rPr>
        <w:t xml:space="preserve">, 97 F.Supp.3d 911, 923 (S.D. Tex. 2015) (quoting </w:t>
      </w:r>
      <w:bookmarkStart w:id="7418" w:name="Bookmark_I63893J12N1RH70030000400"/>
      <w:bookmarkEnd w:id="7418"/>
      <w:r>
        <w:rPr>
          <w:rFonts w:ascii="Arial" w:eastAsia="Arial" w:hAnsi="Arial" w:cs="Arial"/>
          <w:i/>
          <w:color w:val="000000"/>
          <w:sz w:val="20"/>
        </w:rPr>
        <w:t>Harlow v. Fitzgerald</w:t>
      </w:r>
      <w:r>
        <w:rPr>
          <w:rFonts w:ascii="Arial" w:eastAsia="Arial" w:hAnsi="Arial" w:cs="Arial"/>
          <w:color w:val="000000"/>
          <w:sz w:val="20"/>
        </w:rPr>
        <w:t>, 457 U.S. 800, 818, 102 S. Ct. 2727, 73 L. Ed. 2d 396 (1982)).</w:t>
      </w:r>
    </w:p>
    <w:p w:rsidR="00022B47" w:rsidRDefault="00000000">
      <w:pPr>
        <w:pStyle w:val="Normal49"/>
        <w:widowControl w:val="0"/>
        <w:spacing w:before="200" w:line="260" w:lineRule="atLeast"/>
        <w:jc w:val="both"/>
      </w:pPr>
      <w:bookmarkStart w:id="7419" w:name="Bookmark_para_35_21"/>
      <w:bookmarkStart w:id="7420" w:name="Bookmark_I63893J12N1RHB0010000400"/>
      <w:bookmarkStart w:id="7421" w:name="Bookmark_LNHNREFclscc10_23"/>
      <w:bookmarkEnd w:id="7419"/>
      <w:bookmarkEnd w:id="7420"/>
      <w:bookmarkEnd w:id="7421"/>
      <w:r>
        <w:rPr>
          <w:rFonts w:ascii="Arial" w:eastAsia="Arial" w:hAnsi="Arial" w:cs="Arial"/>
          <w:color w:val="000000"/>
          <w:sz w:val="20"/>
        </w:rPr>
        <w:t xml:space="preserve">The Prims were arrested for public intoxication under Texas Penal Code section 49.02(a), which prohibits "appear[ing] in a public place while intoxicated to the degree that the person may endanger the person or another." Eric had difficulty standing, bloodshot eyes, and slurred speech. He admitted to drinking throughout the night and twice failed the nystagmus test. Though the Prims' expert's report concludes that they were not intoxicated because of the timing of their alcohol and food consumption, this does not resolve the question at hand—whether officers could </w:t>
      </w:r>
      <w:r>
        <w:rPr>
          <w:rFonts w:ascii="Arial" w:eastAsia="Arial" w:hAnsi="Arial" w:cs="Arial"/>
          <w:i/>
          <w:color w:val="000000"/>
          <w:sz w:val="20"/>
        </w:rPr>
        <w:t>reasonably infer</w:t>
      </w:r>
      <w:r>
        <w:rPr>
          <w:rFonts w:ascii="Arial" w:eastAsia="Arial" w:hAnsi="Arial" w:cs="Arial"/>
          <w:color w:val="000000"/>
          <w:sz w:val="20"/>
        </w:rPr>
        <w:t xml:space="preserve"> that the Prims were intoxicated based on the totality of the circumstances. </w:t>
      </w:r>
      <w:r>
        <w:rPr>
          <w:rFonts w:ascii="Arial" w:eastAsia="Arial" w:hAnsi="Arial" w:cs="Arial"/>
          <w:i/>
          <w:color w:val="000000"/>
          <w:sz w:val="20"/>
        </w:rPr>
        <w:t xml:space="preserve">See </w:t>
      </w:r>
      <w:bookmarkStart w:id="7422" w:name="Bookmark_I63893J12N1RH70050000400"/>
      <w:bookmarkEnd w:id="7422"/>
      <w:r>
        <w:rPr>
          <w:rFonts w:ascii="Arial" w:eastAsia="Arial" w:hAnsi="Arial" w:cs="Arial"/>
          <w:i/>
          <w:color w:val="000000"/>
          <w:sz w:val="20"/>
        </w:rPr>
        <w:t>Dist. of Columbia v. Wesby</w:t>
      </w:r>
      <w:r>
        <w:rPr>
          <w:rFonts w:ascii="Arial" w:eastAsia="Arial" w:hAnsi="Arial" w:cs="Arial"/>
          <w:color w:val="000000"/>
          <w:sz w:val="20"/>
        </w:rPr>
        <w:t>, 138 S. Ct. 577, 586, 199 L. Ed. 2d 453 (2018). Since Eric exhibited symptoms of intoxication and failed the nystagmus test, the officers reasonably inferred that Eric was intoxicated. [**14] </w:t>
      </w:r>
    </w:p>
    <w:p w:rsidR="00022B47" w:rsidRDefault="00000000">
      <w:pPr>
        <w:pStyle w:val="Normal49"/>
        <w:widowControl w:val="0"/>
        <w:spacing w:before="200" w:line="260" w:lineRule="atLeast"/>
        <w:jc w:val="both"/>
      </w:pPr>
      <w:bookmarkStart w:id="7423" w:name="Bookmark_para_36_21"/>
      <w:bookmarkStart w:id="7424" w:name="Bookmark_I63893J12N1RHB0030000400"/>
      <w:bookmarkEnd w:id="7423"/>
      <w:bookmarkEnd w:id="7424"/>
      <w:r>
        <w:rPr>
          <w:rFonts w:ascii="Arial" w:eastAsia="Arial" w:hAnsi="Arial" w:cs="Arial"/>
          <w:color w:val="000000"/>
          <w:sz w:val="20"/>
        </w:rPr>
        <w:t xml:space="preserve">But section 49.02 requires more than mere intoxication. The officers also needed reason to think that Eric was a danger to himself, though "[t]he danger need not be immediate." </w:t>
      </w:r>
      <w:bookmarkStart w:id="7425" w:name="Bookmark_I63893J12N1RHB0020000400"/>
      <w:bookmarkEnd w:id="7425"/>
      <w:r>
        <w:rPr>
          <w:rFonts w:ascii="Arial" w:eastAsia="Arial" w:hAnsi="Arial" w:cs="Arial"/>
          <w:i/>
          <w:color w:val="000000"/>
          <w:sz w:val="20"/>
        </w:rPr>
        <w:t>Gallagher v. State</w:t>
      </w:r>
      <w:r>
        <w:rPr>
          <w:rFonts w:ascii="Arial" w:eastAsia="Arial" w:hAnsi="Arial" w:cs="Arial"/>
          <w:color w:val="000000"/>
          <w:sz w:val="20"/>
        </w:rPr>
        <w:t>, 778 S.W.2d 153, 154 (Tex. App.—Houston [1st Dist.] 1989, no pet.). Though Eric claims that there was no reason to think he was a danger to himself or others, his deposition testimony dooms his argument. The Prims insisted on walking the "mile [or] mile and a half" back to their home, across Woodlands Parkway and several other intersections. Given their apparent intoxication, inability to stand without assistance, and the length and path of their route home, the officers reasonably concluded that the Prims posed a danger to themselves or others.</w:t>
      </w:r>
    </w:p>
    <w:p w:rsidR="00022B47" w:rsidRDefault="00000000">
      <w:pPr>
        <w:pStyle w:val="Normal49"/>
        <w:widowControl w:val="0"/>
        <w:spacing w:before="200" w:line="260" w:lineRule="atLeast"/>
        <w:jc w:val="both"/>
      </w:pPr>
      <w:bookmarkStart w:id="7426" w:name="Bookmark_para_37_18"/>
      <w:bookmarkStart w:id="7427" w:name="Bookmark_I63893J12N1RHB0050000400"/>
      <w:bookmarkStart w:id="7428" w:name="Bookmark_I63893J228T44G0020000400"/>
      <w:bookmarkEnd w:id="7426"/>
      <w:bookmarkEnd w:id="7427"/>
      <w:bookmarkEnd w:id="7428"/>
      <w:r>
        <w:rPr>
          <w:rFonts w:ascii="Arial" w:eastAsia="Arial" w:hAnsi="Arial" w:cs="Arial"/>
          <w:color w:val="000000"/>
          <w:sz w:val="20"/>
        </w:rPr>
        <w:t xml:space="preserve">As to Janet, the Prims argue that the officers lacked probable cause because Janet's stumbling, red eyes, and inability to stand were caused by her MS. Even if Janet is correct that her MS caused her to appear intoxicated (rather  [*594]  than the alcohol that she admittedly consumed), the officers are still shielded by qualified immunity. </w:t>
      </w:r>
      <w:bookmarkStart w:id="7429" w:name="Bookmark_LNHNREFclscc11_17"/>
      <w:bookmarkEnd w:id="7429"/>
      <w:r>
        <w:rPr>
          <w:rFonts w:ascii="Arial" w:eastAsia="Arial" w:hAnsi="Arial" w:cs="Arial"/>
          <w:color w:val="000000"/>
          <w:sz w:val="20"/>
        </w:rPr>
        <w:t xml:space="preserve">Janet appeared intoxicated, and "probable cause does not require officers to rule out a suspect's innocent explanation for suspicious facts." </w:t>
      </w:r>
      <w:bookmarkStart w:id="7430" w:name="Bookmark_I63893J12N1RHB0040000400"/>
      <w:bookmarkEnd w:id="7430"/>
      <w:r>
        <w:rPr>
          <w:rFonts w:ascii="Arial" w:eastAsia="Arial" w:hAnsi="Arial" w:cs="Arial"/>
          <w:i/>
          <w:color w:val="000000"/>
          <w:sz w:val="20"/>
        </w:rPr>
        <w:t>Wesby</w:t>
      </w:r>
      <w:r>
        <w:rPr>
          <w:rFonts w:ascii="Arial" w:eastAsia="Arial" w:hAnsi="Arial" w:cs="Arial"/>
          <w:color w:val="000000"/>
          <w:sz w:val="20"/>
        </w:rPr>
        <w:t xml:space="preserve">, 138 S. Ct. at 588. On review, we only ask "whether a reasonable officer could conclude—considering [**15]  all of the surrounding circumstances, including the plausibility of the explanation itself—that there was a ??substantial chance of criminal activity.'" </w:t>
      </w:r>
      <w:bookmarkStart w:id="7431" w:name="Bookmark_I63893J228T44G0010000400"/>
      <w:bookmarkEnd w:id="7431"/>
      <w:r>
        <w:rPr>
          <w:rFonts w:ascii="Arial" w:eastAsia="Arial" w:hAnsi="Arial" w:cs="Arial"/>
          <w:i/>
          <w:color w:val="000000"/>
          <w:sz w:val="20"/>
        </w:rPr>
        <w:t>Id.</w:t>
      </w:r>
      <w:r>
        <w:rPr>
          <w:rFonts w:ascii="Arial" w:eastAsia="Arial" w:hAnsi="Arial" w:cs="Arial"/>
          <w:color w:val="000000"/>
          <w:sz w:val="20"/>
        </w:rPr>
        <w:t xml:space="preserve"> at 588 (quoting </w:t>
      </w:r>
      <w:bookmarkStart w:id="7432" w:name="Bookmark_I63893J228T44G0030000400"/>
      <w:bookmarkEnd w:id="7432"/>
      <w:r>
        <w:rPr>
          <w:rFonts w:ascii="Arial" w:eastAsia="Arial" w:hAnsi="Arial" w:cs="Arial"/>
          <w:i/>
          <w:color w:val="000000"/>
          <w:sz w:val="20"/>
        </w:rPr>
        <w:t>Illinois v. Gates</w:t>
      </w:r>
      <w:r>
        <w:rPr>
          <w:rFonts w:ascii="Arial" w:eastAsia="Arial" w:hAnsi="Arial" w:cs="Arial"/>
          <w:color w:val="000000"/>
          <w:sz w:val="20"/>
        </w:rPr>
        <w:t>, 462 U.S. 213, 243 n.13, 103 S. Ct. 2317, 76 L. Ed. 2d 527 (1983)).</w:t>
      </w:r>
    </w:p>
    <w:p w:rsidR="00022B47" w:rsidRDefault="00000000">
      <w:pPr>
        <w:pStyle w:val="Normal49"/>
        <w:widowControl w:val="0"/>
        <w:spacing w:before="200" w:line="260" w:lineRule="atLeast"/>
        <w:jc w:val="both"/>
      </w:pPr>
      <w:bookmarkStart w:id="7433" w:name="Bookmark_para_38_18"/>
      <w:bookmarkEnd w:id="7433"/>
      <w:r>
        <w:rPr>
          <w:rFonts w:ascii="Arial" w:eastAsia="Arial" w:hAnsi="Arial" w:cs="Arial"/>
          <w:color w:val="000000"/>
          <w:sz w:val="20"/>
        </w:rPr>
        <w:t>The officers observed Janet stumbling and unable to stand without assistance. She admitted to drinking on the night of the concert. A reasonable officer could have concluded that Janet was intoxicated and that she posed a danger to herself or others if she tried to walk home with Eric. The officers had probable cause to arrest Janet. We thus affirm the summary judgment in favor of the County and its officers.</w:t>
      </w:r>
    </w:p>
    <w:p w:rsidR="00022B47" w:rsidRDefault="00000000">
      <w:pPr>
        <w:pStyle w:val="Normal49"/>
        <w:widowControl w:val="0"/>
        <w:spacing w:before="240" w:line="260" w:lineRule="atLeast"/>
      </w:pPr>
      <w:r>
        <w:br/>
      </w:r>
      <w:r>
        <w:rPr>
          <w:rFonts w:ascii="Arial" w:eastAsia="Arial" w:hAnsi="Arial" w:cs="Arial"/>
          <w:i/>
          <w:color w:val="000000"/>
          <w:sz w:val="20"/>
        </w:rPr>
        <w:t>C. ADA and Rehab Act Claims</w:t>
      </w:r>
    </w:p>
    <w:p w:rsidR="00022B47" w:rsidRDefault="00000000">
      <w:pPr>
        <w:pStyle w:val="Normal49"/>
        <w:widowControl w:val="0"/>
        <w:spacing w:before="200" w:line="260" w:lineRule="atLeast"/>
        <w:jc w:val="both"/>
      </w:pPr>
      <w:bookmarkStart w:id="7434" w:name="Bookmark_para_39_15"/>
      <w:bookmarkEnd w:id="7434"/>
      <w:r>
        <w:rPr>
          <w:rFonts w:ascii="Arial" w:eastAsia="Arial" w:hAnsi="Arial" w:cs="Arial"/>
          <w:color w:val="000000"/>
          <w:sz w:val="20"/>
        </w:rPr>
        <w:t>Janet asserted ADA and Rehab Act claims against the County, the Pavilion, and Live Nation.</w:t>
      </w:r>
      <w:r>
        <w:rPr>
          <w:rFonts w:ascii="Arial" w:eastAsia="Arial" w:hAnsi="Arial" w:cs="Arial"/>
          <w:vertAlign w:val="superscript"/>
        </w:rPr>
        <w:footnoteReference w:customMarkFollows="1" w:id="238"/>
        <w:t>5</w:t>
      </w:r>
      <w:r>
        <w:rPr>
          <w:rFonts w:ascii="Arial" w:eastAsia="Arial" w:hAnsi="Arial" w:cs="Arial"/>
          <w:color w:val="000000"/>
          <w:sz w:val="20"/>
        </w:rPr>
        <w:t xml:space="preserve"> The district court granted summary judgment on each of the Prims' claims. We agree with the district court.</w:t>
      </w:r>
    </w:p>
    <w:p w:rsidR="00022B47" w:rsidRDefault="00000000">
      <w:pPr>
        <w:pStyle w:val="Normal49"/>
        <w:widowControl w:val="0"/>
        <w:spacing w:before="240" w:line="260" w:lineRule="atLeast"/>
      </w:pPr>
      <w:r>
        <w:br/>
      </w:r>
      <w:r>
        <w:rPr>
          <w:rFonts w:ascii="Arial" w:eastAsia="Arial" w:hAnsi="Arial" w:cs="Arial"/>
          <w:i/>
          <w:color w:val="000000"/>
          <w:sz w:val="20"/>
        </w:rPr>
        <w:t>1. Title II of the ADA</w:t>
      </w:r>
    </w:p>
    <w:p w:rsidR="00022B47" w:rsidRDefault="00000000">
      <w:pPr>
        <w:pStyle w:val="Normal49"/>
        <w:widowControl w:val="0"/>
        <w:spacing w:before="200" w:line="260" w:lineRule="atLeast"/>
        <w:jc w:val="both"/>
      </w:pPr>
      <w:bookmarkStart w:id="7436" w:name="Bookmark_para_40_15"/>
      <w:bookmarkEnd w:id="7436"/>
      <w:r>
        <w:rPr>
          <w:rFonts w:ascii="Arial" w:eastAsia="Arial" w:hAnsi="Arial" w:cs="Arial"/>
          <w:color w:val="000000"/>
          <w:sz w:val="20"/>
        </w:rPr>
        <w:t xml:space="preserve">Janet argues that both the County and the Pavilion violated Janet's rights under Title II of the Americans with Disabilities Act. </w:t>
      </w:r>
      <w:bookmarkStart w:id="7437" w:name="Bookmark_LNHNREFclscc12_15"/>
      <w:bookmarkEnd w:id="7437"/>
      <w:r>
        <w:rPr>
          <w:rFonts w:ascii="Arial" w:eastAsia="Arial" w:hAnsi="Arial" w:cs="Arial"/>
          <w:color w:val="000000"/>
          <w:sz w:val="20"/>
        </w:rPr>
        <w:t xml:space="preserve">That section provides that "no qualified individual with a disability shall, by </w:t>
      </w:r>
      <w:r>
        <w:rPr>
          <w:rFonts w:ascii="Arial" w:eastAsia="Arial" w:hAnsi="Arial" w:cs="Arial"/>
          <w:i/>
          <w:color w:val="000000"/>
          <w:sz w:val="20"/>
        </w:rPr>
        <w:t>reason of such disability</w:t>
      </w:r>
      <w:r>
        <w:rPr>
          <w:rFonts w:ascii="Arial" w:eastAsia="Arial" w:hAnsi="Arial" w:cs="Arial"/>
          <w:color w:val="000000"/>
          <w:sz w:val="20"/>
        </w:rPr>
        <w:t xml:space="preserve">, be excluded from participation in or be denied the benefits of the services, programs, or activities </w:t>
      </w:r>
      <w:r>
        <w:rPr>
          <w:rFonts w:ascii="Arial" w:eastAsia="Arial" w:hAnsi="Arial" w:cs="Arial"/>
          <w:i/>
          <w:color w:val="000000"/>
          <w:sz w:val="20"/>
        </w:rPr>
        <w:t>of a public entity</w:t>
      </w:r>
      <w:r>
        <w:rPr>
          <w:rFonts w:ascii="Arial" w:eastAsia="Arial" w:hAnsi="Arial" w:cs="Arial"/>
          <w:color w:val="000000"/>
          <w:sz w:val="20"/>
        </w:rPr>
        <w:t xml:space="preserve"> or be subjected to discrimination by any such entity." 42 U.S.C. § 12132 (emphasis [**16]  added). A public entity is a state or local government, agency or department of a state or local government, and select railroad and commuter authorities. </w:t>
      </w:r>
      <w:r>
        <w:rPr>
          <w:rFonts w:ascii="Arial" w:eastAsia="Arial" w:hAnsi="Arial" w:cs="Arial"/>
          <w:i/>
          <w:color w:val="000000"/>
          <w:sz w:val="20"/>
        </w:rPr>
        <w:t>Id.</w:t>
      </w:r>
      <w:r>
        <w:rPr>
          <w:rFonts w:ascii="Arial" w:eastAsia="Arial" w:hAnsi="Arial" w:cs="Arial"/>
          <w:color w:val="000000"/>
          <w:sz w:val="20"/>
        </w:rPr>
        <w:t xml:space="preserve"> at § 12131.</w:t>
      </w:r>
    </w:p>
    <w:p w:rsidR="00022B47" w:rsidRDefault="00000000">
      <w:pPr>
        <w:pStyle w:val="Normal49"/>
        <w:widowControl w:val="0"/>
        <w:spacing w:before="200" w:line="260" w:lineRule="atLeast"/>
        <w:jc w:val="both"/>
      </w:pPr>
      <w:bookmarkStart w:id="7438" w:name="Bookmark_para_41_14"/>
      <w:bookmarkEnd w:id="7438"/>
      <w:r>
        <w:rPr>
          <w:rFonts w:ascii="Arial" w:eastAsia="Arial" w:hAnsi="Arial" w:cs="Arial"/>
          <w:color w:val="000000"/>
          <w:sz w:val="20"/>
        </w:rPr>
        <w:t xml:space="preserve">Both claims are deficient. </w:t>
      </w:r>
      <w:bookmarkStart w:id="7439" w:name="Bookmark_I63893J22D6N2K0010000400"/>
      <w:bookmarkEnd w:id="7439"/>
      <w:r>
        <w:rPr>
          <w:rFonts w:ascii="Arial" w:eastAsia="Arial" w:hAnsi="Arial" w:cs="Arial"/>
          <w:color w:val="000000"/>
          <w:sz w:val="20"/>
        </w:rPr>
        <w:t xml:space="preserve">Janet's Title II claim against the Pavilion fails because the Pavilion is a private entity, not a public entity within the meaning of the ADA. Nor is it a railroad or commuter authority. As for Janet's claim that the County violated Title II by not giving its officers proper training, the County persuasively notes that there is no evidence that Janet was discriminated against "by reason of her disability." There is also no evidence that Janet was denied a reasonable modification in accessing the County's benefits or services. </w:t>
      </w:r>
      <w:bookmarkStart w:id="7440" w:name="Bookmark_I63893J228T44G0050000400"/>
      <w:bookmarkEnd w:id="7440"/>
      <w:r>
        <w:rPr>
          <w:rFonts w:ascii="Arial" w:eastAsia="Arial" w:hAnsi="Arial" w:cs="Arial"/>
          <w:i/>
          <w:color w:val="000000"/>
          <w:sz w:val="20"/>
        </w:rPr>
        <w:t>Frame v. City of Arlington</w:t>
      </w:r>
      <w:r>
        <w:rPr>
          <w:rFonts w:ascii="Arial" w:eastAsia="Arial" w:hAnsi="Arial" w:cs="Arial"/>
          <w:color w:val="000000"/>
          <w:sz w:val="20"/>
        </w:rPr>
        <w:t>, 657 F.3d 215, 231 (5th Cir. 2011) (explaining that Title II may require reasonable modifications). Because there is no evidence that Janet faced discrimination because of her MS diagnosis, we affirm the district court's judgment.</w:t>
      </w:r>
    </w:p>
    <w:p w:rsidR="00022B47" w:rsidRDefault="00000000">
      <w:pPr>
        <w:pStyle w:val="Normal49"/>
        <w:widowControl w:val="0"/>
        <w:spacing w:before="240" w:line="260" w:lineRule="atLeast"/>
      </w:pPr>
      <w:r>
        <w:br/>
      </w:r>
      <w:r>
        <w:rPr>
          <w:rFonts w:ascii="Arial" w:eastAsia="Arial" w:hAnsi="Arial" w:cs="Arial"/>
          <w:i/>
          <w:color w:val="000000"/>
          <w:sz w:val="20"/>
        </w:rPr>
        <w:t>2. Rehab Act Claims</w:t>
      </w:r>
    </w:p>
    <w:p w:rsidR="00022B47" w:rsidRDefault="00000000">
      <w:pPr>
        <w:pStyle w:val="Normal49"/>
        <w:widowControl w:val="0"/>
        <w:spacing w:before="200" w:line="260" w:lineRule="atLeast"/>
        <w:jc w:val="both"/>
      </w:pPr>
      <w:bookmarkStart w:id="7441" w:name="Bookmark_para_42_13"/>
      <w:bookmarkEnd w:id="7441"/>
      <w:r>
        <w:rPr>
          <w:rFonts w:ascii="Arial" w:eastAsia="Arial" w:hAnsi="Arial" w:cs="Arial"/>
          <w:color w:val="000000"/>
          <w:sz w:val="20"/>
        </w:rPr>
        <w:t>Janet also lodges Rehab Act claims against both the Pavilion and the County, to no avail. We agree with the district court's grant of summary judgment.</w:t>
      </w:r>
    </w:p>
    <w:p w:rsidR="00022B47" w:rsidRDefault="00000000">
      <w:pPr>
        <w:pStyle w:val="Normal49"/>
        <w:widowControl w:val="0"/>
        <w:spacing w:before="200" w:line="260" w:lineRule="atLeast"/>
        <w:ind w:left="400"/>
        <w:jc w:val="both"/>
      </w:pPr>
      <w:bookmarkStart w:id="7442" w:name="Bookmark_para_43_13"/>
      <w:bookmarkStart w:id="7443" w:name="Bookmark_LNHNREFclscc13_13"/>
      <w:bookmarkEnd w:id="7442"/>
      <w:bookmarkEnd w:id="7443"/>
      <w:r>
        <w:rPr>
          <w:rFonts w:ascii="Arial" w:eastAsia="Arial" w:hAnsi="Arial" w:cs="Arial"/>
          <w:color w:val="000000"/>
          <w:sz w:val="20"/>
        </w:rPr>
        <w:t xml:space="preserve">No otherwise qualified individual with a disability in the United States . . . shall, solely by reason of her or [**17]  his disability, be excluded from the participation in, be denied the benefits of, or be subjected to discrimination under any program or activity </w:t>
      </w:r>
      <w:r>
        <w:rPr>
          <w:rFonts w:ascii="Arial" w:eastAsia="Arial" w:hAnsi="Arial" w:cs="Arial"/>
          <w:i/>
          <w:color w:val="000000"/>
          <w:sz w:val="20"/>
        </w:rPr>
        <w:t>receiving Federal financial assistance</w:t>
      </w:r>
      <w:r>
        <w:rPr>
          <w:rFonts w:ascii="Arial" w:eastAsia="Arial" w:hAnsi="Arial" w:cs="Arial"/>
          <w:color w:val="000000"/>
          <w:sz w:val="20"/>
        </w:rPr>
        <w:t xml:space="preserve"> or under any program or activity  [*595]  conducted by any Executive agency or by the United States Postal Service.</w:t>
      </w:r>
    </w:p>
    <w:p w:rsidR="00022B47" w:rsidRDefault="00000000">
      <w:pPr>
        <w:pStyle w:val="Normal49"/>
        <w:widowControl w:val="0"/>
        <w:spacing w:line="260" w:lineRule="atLeast"/>
        <w:jc w:val="both"/>
      </w:pPr>
      <w:r>
        <w:rPr>
          <w:rFonts w:ascii="Arial" w:eastAsia="Arial" w:hAnsi="Arial" w:cs="Arial"/>
          <w:color w:val="000000"/>
          <w:sz w:val="20"/>
        </w:rPr>
        <w:t>29 U.S.C. § 794 (emphasis added).</w:t>
      </w:r>
    </w:p>
    <w:p w:rsidR="00022B47" w:rsidRDefault="00000000">
      <w:pPr>
        <w:pStyle w:val="Normal49"/>
        <w:widowControl w:val="0"/>
        <w:spacing w:before="200" w:line="260" w:lineRule="atLeast"/>
        <w:jc w:val="both"/>
      </w:pPr>
      <w:bookmarkStart w:id="7444" w:name="Bookmark_para_44_13"/>
      <w:bookmarkEnd w:id="7444"/>
      <w:r>
        <w:rPr>
          <w:rFonts w:ascii="Arial" w:eastAsia="Arial" w:hAnsi="Arial" w:cs="Arial"/>
          <w:color w:val="000000"/>
          <w:sz w:val="20"/>
        </w:rPr>
        <w:t xml:space="preserve">Again, the Pavilion does not fit within the statute's definitions. The Pavilion is a private, non-profit entity and it does not receive federal financial assistance. It is not amenable to suit under the Rehab Act. On the other hand, the County's operations do fit within the statute's definition of program or activity. </w:t>
      </w:r>
      <w:r>
        <w:rPr>
          <w:rFonts w:ascii="Arial" w:eastAsia="Arial" w:hAnsi="Arial" w:cs="Arial"/>
          <w:i/>
          <w:color w:val="000000"/>
          <w:sz w:val="20"/>
        </w:rPr>
        <w:t>See id.</w:t>
      </w:r>
      <w:r>
        <w:rPr>
          <w:rFonts w:ascii="Arial" w:eastAsia="Arial" w:hAnsi="Arial" w:cs="Arial"/>
          <w:color w:val="000000"/>
          <w:sz w:val="20"/>
        </w:rPr>
        <w:t xml:space="preserve"> at § 794(b). Still, Janet has failed to prove that she was denied participation or benefits based on her disability. We affirm the district court.</w:t>
      </w:r>
    </w:p>
    <w:p w:rsidR="00022B47" w:rsidRDefault="00000000">
      <w:pPr>
        <w:pStyle w:val="Normal49"/>
        <w:widowControl w:val="0"/>
        <w:spacing w:before="240" w:line="260" w:lineRule="atLeast"/>
      </w:pPr>
      <w:r>
        <w:br/>
      </w:r>
      <w:r>
        <w:rPr>
          <w:rFonts w:ascii="Arial" w:eastAsia="Arial" w:hAnsi="Arial" w:cs="Arial"/>
          <w:i/>
          <w:color w:val="000000"/>
          <w:sz w:val="20"/>
        </w:rPr>
        <w:t>3. Title III of the ADA</w:t>
      </w:r>
    </w:p>
    <w:p w:rsidR="00022B47" w:rsidRDefault="00000000">
      <w:pPr>
        <w:pStyle w:val="Normal49"/>
        <w:widowControl w:val="0"/>
        <w:spacing w:before="200" w:line="260" w:lineRule="atLeast"/>
        <w:jc w:val="both"/>
      </w:pPr>
      <w:bookmarkStart w:id="7445" w:name="Bookmark_para_45_13"/>
      <w:bookmarkEnd w:id="7445"/>
      <w:r>
        <w:rPr>
          <w:rFonts w:ascii="Arial" w:eastAsia="Arial" w:hAnsi="Arial" w:cs="Arial"/>
          <w:color w:val="000000"/>
          <w:sz w:val="20"/>
        </w:rPr>
        <w:t>Janet also asserts Title III claims against the Pavilion. Though the Pavilion is amenable to suit under Title III, Janet has failed to present a genuine factual dispute. We agree with the district court's grant of summary judgment.</w:t>
      </w:r>
    </w:p>
    <w:p w:rsidR="00022B47" w:rsidRDefault="00000000">
      <w:pPr>
        <w:pStyle w:val="Normal49"/>
        <w:widowControl w:val="0"/>
        <w:spacing w:before="200" w:line="260" w:lineRule="atLeast"/>
        <w:jc w:val="both"/>
      </w:pPr>
      <w:bookmarkStart w:id="7446" w:name="Bookmark_para_46_13"/>
      <w:bookmarkStart w:id="7447" w:name="Bookmark_LNHNREFclscc14_10"/>
      <w:bookmarkEnd w:id="7446"/>
      <w:bookmarkEnd w:id="7447"/>
      <w:r>
        <w:rPr>
          <w:rFonts w:ascii="Arial" w:eastAsia="Arial" w:hAnsi="Arial" w:cs="Arial"/>
          <w:color w:val="000000"/>
          <w:sz w:val="20"/>
        </w:rPr>
        <w:t>Title III of the ADA prohibits "discriminat[ion] . . . on the basis of disability in the full and equal enjoyment of the goods, services, facilities, privileges, advantages, [**18]  or accommodations of any place of public accommodation by any person who owns, leases (or leases to), or operates a place of public accommodation." 42 U.S.C. § 12182. Janet has not demonstrated that she was discriminated against based on her disability, so her claims fail.</w:t>
      </w:r>
    </w:p>
    <w:p w:rsidR="00022B47" w:rsidRDefault="00000000">
      <w:pPr>
        <w:pStyle w:val="Normal49"/>
        <w:widowControl w:val="0"/>
        <w:spacing w:before="200" w:line="260" w:lineRule="atLeast"/>
        <w:jc w:val="both"/>
      </w:pPr>
      <w:bookmarkStart w:id="7448" w:name="Bookmark_para_47_12"/>
      <w:bookmarkEnd w:id="7448"/>
      <w:r>
        <w:rPr>
          <w:rFonts w:ascii="Arial" w:eastAsia="Arial" w:hAnsi="Arial" w:cs="Arial"/>
          <w:color w:val="000000"/>
          <w:sz w:val="20"/>
        </w:rPr>
        <w:t xml:space="preserve">Janet specifically points to two claims under Title III, an architectural barrier claim and a policy modification claim. As for her architectural barrier claim, Janet must have presented some record evidence that (1) the Pavilion has a barrier and (2) the removal of the barrier is readily achievable. </w:t>
      </w:r>
      <w:r>
        <w:rPr>
          <w:rFonts w:ascii="Arial" w:eastAsia="Arial" w:hAnsi="Arial" w:cs="Arial"/>
          <w:i/>
          <w:color w:val="000000"/>
          <w:sz w:val="20"/>
        </w:rPr>
        <w:t>See</w:t>
      </w:r>
      <w:r>
        <w:rPr>
          <w:rFonts w:ascii="Arial" w:eastAsia="Arial" w:hAnsi="Arial" w:cs="Arial"/>
          <w:color w:val="000000"/>
          <w:sz w:val="20"/>
        </w:rPr>
        <w:t xml:space="preserve"> 42 U.S.C. § 12182(b)(2)(A)(iv). Even if Janet is correct that various features</w:t>
      </w:r>
      <w:r>
        <w:rPr>
          <w:rFonts w:ascii="Arial" w:eastAsia="Arial" w:hAnsi="Arial" w:cs="Arial"/>
          <w:vertAlign w:val="superscript"/>
        </w:rPr>
        <w:footnoteReference w:customMarkFollows="1" w:id="239"/>
        <w:t>6</w:t>
      </w:r>
      <w:r>
        <w:rPr>
          <w:rFonts w:ascii="Arial" w:eastAsia="Arial" w:hAnsi="Arial" w:cs="Arial"/>
          <w:color w:val="000000"/>
          <w:sz w:val="20"/>
        </w:rPr>
        <w:t xml:space="preserve"> of the Pavilion create a barrier of some sort, she did not present evidence that the barrier's removal was readily achievable.</w:t>
      </w:r>
    </w:p>
    <w:p w:rsidR="00022B47" w:rsidRDefault="00000000">
      <w:pPr>
        <w:pStyle w:val="Normal49"/>
        <w:widowControl w:val="0"/>
        <w:spacing w:before="200" w:line="260" w:lineRule="atLeast"/>
        <w:jc w:val="both"/>
      </w:pPr>
      <w:bookmarkStart w:id="7450" w:name="Bookmark_para_48_12"/>
      <w:bookmarkStart w:id="7451" w:name="Bookmark_I63893J22D6N2K0030000400"/>
      <w:bookmarkEnd w:id="7450"/>
      <w:bookmarkEnd w:id="7451"/>
      <w:r>
        <w:rPr>
          <w:rFonts w:ascii="Arial" w:eastAsia="Arial" w:hAnsi="Arial" w:cs="Arial"/>
          <w:color w:val="000000"/>
          <w:sz w:val="20"/>
        </w:rPr>
        <w:t xml:space="preserve">To the extent that Janet also asserts a claim that the Pavilion failed to implement a policy modification under Title III, she has failed to identify a policy, practice, or procedure to modify. </w:t>
      </w:r>
      <w:r>
        <w:rPr>
          <w:rFonts w:ascii="Arial" w:eastAsia="Arial" w:hAnsi="Arial" w:cs="Arial"/>
          <w:i/>
          <w:color w:val="000000"/>
          <w:sz w:val="20"/>
        </w:rPr>
        <w:t>See id.</w:t>
      </w:r>
      <w:r>
        <w:rPr>
          <w:rFonts w:ascii="Arial" w:eastAsia="Arial" w:hAnsi="Arial" w:cs="Arial"/>
          <w:color w:val="000000"/>
          <w:sz w:val="20"/>
        </w:rPr>
        <w:t xml:space="preserve"> at § 12182(b)(2)(A)(ii). Moreover, there is no evidence "that a modification was requested and that the requested modification is reasonable." </w:t>
      </w:r>
      <w:bookmarkStart w:id="7452" w:name="Bookmark_I63893J22D6N2K0020000400"/>
      <w:bookmarkEnd w:id="7452"/>
      <w:r>
        <w:rPr>
          <w:rFonts w:ascii="Arial" w:eastAsia="Arial" w:hAnsi="Arial" w:cs="Arial"/>
          <w:i/>
          <w:color w:val="000000"/>
          <w:sz w:val="20"/>
        </w:rPr>
        <w:t>Johnson v. Gambrinus Co./Spoetzl Brewery</w:t>
      </w:r>
      <w:r>
        <w:rPr>
          <w:rFonts w:ascii="Arial" w:eastAsia="Arial" w:hAnsi="Arial" w:cs="Arial"/>
          <w:color w:val="000000"/>
          <w:sz w:val="20"/>
        </w:rPr>
        <w:t>, 116 F.3d 1052, 1059 (5th Cir. 1997). We thus affirm the district court.</w:t>
      </w:r>
    </w:p>
    <w:p w:rsidR="00022B47" w:rsidRDefault="00000000">
      <w:pPr>
        <w:pStyle w:val="Normal49"/>
        <w:widowControl w:val="0"/>
        <w:spacing w:before="240" w:line="260" w:lineRule="atLeast"/>
      </w:pPr>
      <w:r>
        <w:br/>
      </w:r>
      <w:r>
        <w:rPr>
          <w:rFonts w:ascii="Arial" w:eastAsia="Arial" w:hAnsi="Arial" w:cs="Arial"/>
          <w:b/>
          <w:color w:val="000000"/>
          <w:sz w:val="20"/>
        </w:rPr>
        <w:t xml:space="preserve">IV. </w:t>
      </w:r>
      <w:r>
        <w:rPr>
          <w:rFonts w:ascii="Arial" w:eastAsia="Arial" w:hAnsi="Arial" w:cs="Arial"/>
          <w:b/>
          <w:smallCaps/>
          <w:color w:val="000000"/>
          <w:sz w:val="20"/>
        </w:rPr>
        <w:t>Conclusion</w:t>
      </w:r>
    </w:p>
    <w:p w:rsidR="00022B47" w:rsidRDefault="00000000">
      <w:pPr>
        <w:pStyle w:val="Normal49"/>
        <w:widowControl w:val="0"/>
        <w:spacing w:before="200" w:line="260" w:lineRule="atLeast"/>
        <w:jc w:val="both"/>
      </w:pPr>
      <w:bookmarkStart w:id="7453" w:name="Bookmark_para_49_12"/>
      <w:bookmarkEnd w:id="7453"/>
      <w:r>
        <w:rPr>
          <w:rFonts w:ascii="Arial" w:eastAsia="Arial" w:hAnsi="Arial" w:cs="Arial"/>
          <w:color w:val="000000"/>
          <w:sz w:val="20"/>
        </w:rPr>
        <w:t>For the aforementioned reasons, the district court's judgment is AFFIRMED in part and REVERSED [**19]  and REMANDED in part.</w:t>
      </w:r>
    </w:p>
    <w:p w:rsidR="00022B47" w:rsidRDefault="00022B47">
      <w:pPr>
        <w:pStyle w:val="Normal49"/>
      </w:pPr>
    </w:p>
    <w:p w:rsidR="00022B47" w:rsidRDefault="00000000">
      <w:pPr>
        <w:pStyle w:val="Normal49"/>
        <w:ind w:left="200"/>
      </w:pPr>
      <w:r>
        <w:br/>
      </w:r>
      <w:r w:rsidR="0025213E">
        <w:rPr>
          <w:noProof/>
        </w:rPr>
        <mc:AlternateContent>
          <mc:Choice Requires="wps">
            <w:drawing>
              <wp:anchor distT="0" distB="0" distL="114300" distR="114300" simplePos="0" relativeHeight="251763712" behindDoc="0" locked="0" layoutInCell="1" allowOverlap="1">
                <wp:simplePos x="0" y="0"/>
                <wp:positionH relativeFrom="column">
                  <wp:posOffset>0</wp:posOffset>
                </wp:positionH>
                <wp:positionV relativeFrom="paragraph">
                  <wp:posOffset>127000</wp:posOffset>
                </wp:positionV>
                <wp:extent cx="6502400" cy="0"/>
                <wp:effectExtent l="9525" t="12700" r="12700" b="6350"/>
                <wp:wrapNone/>
                <wp:docPr id="320436403"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E3DF64" id="Line 105"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sectPr w:rsidR="00022B47">
      <w:type w:val="continuous"/>
      <w:pgSz w:w="12240" w:h="15840"/>
      <w:pgMar w:top="840" w:right="1000" w:bottom="840" w:left="1000" w:header="400" w:footer="400"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832EE" w:rsidRDefault="007832EE">
      <w:r>
        <w:separator/>
      </w:r>
    </w:p>
  </w:endnote>
  <w:endnote w:type="continuationSeparator" w:id="0">
    <w:p w:rsidR="007832EE" w:rsidRDefault="00783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0"/>
          </w:pPr>
        </w:p>
      </w:tc>
      <w:tc>
        <w:tcPr>
          <w:tcW w:w="4880" w:type="dxa"/>
          <w:tcMar>
            <w:top w:w="200" w:type="dxa"/>
          </w:tcMar>
          <w:vAlign w:val="center"/>
        </w:tcPr>
        <w:p w:rsidR="00022B47" w:rsidRDefault="00022B47">
          <w:pPr>
            <w:pStyle w:val="Normal0"/>
            <w:jc w:val="center"/>
          </w:pPr>
        </w:p>
      </w:tc>
      <w:tc>
        <w:tcPr>
          <w:tcW w:w="2600" w:type="dxa"/>
          <w:tcMar>
            <w:top w:w="200" w:type="dxa"/>
          </w:tcMar>
          <w:vAlign w:val="center"/>
        </w:tcPr>
        <w:p w:rsidR="00022B47" w:rsidRDefault="00022B47">
          <w:pPr>
            <w:pStyle w:val="Normal0"/>
          </w:pP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0"/>
      <w:spacing w:before="20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1"/>
          </w:pPr>
        </w:p>
      </w:tc>
      <w:tc>
        <w:tcPr>
          <w:tcW w:w="4880" w:type="dxa"/>
          <w:tcMar>
            <w:top w:w="200" w:type="dxa"/>
          </w:tcMar>
          <w:vAlign w:val="center"/>
        </w:tcPr>
        <w:p w:rsidR="00022B47" w:rsidRDefault="00022B47">
          <w:pPr>
            <w:pStyle w:val="Normal1"/>
            <w:jc w:val="center"/>
          </w:pPr>
        </w:p>
      </w:tc>
      <w:tc>
        <w:tcPr>
          <w:tcW w:w="2600" w:type="dxa"/>
          <w:tcMar>
            <w:top w:w="200" w:type="dxa"/>
          </w:tcMar>
          <w:vAlign w:val="center"/>
        </w:tcPr>
        <w:p w:rsidR="00022B47" w:rsidRDefault="00022B47">
          <w:pPr>
            <w:pStyle w:val="Normal1"/>
          </w:pPr>
        </w:p>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
      <w:spacing w:before="200"/>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2"/>
          </w:pPr>
        </w:p>
      </w:tc>
      <w:tc>
        <w:tcPr>
          <w:tcW w:w="4880" w:type="dxa"/>
          <w:tcMar>
            <w:top w:w="200" w:type="dxa"/>
          </w:tcMar>
          <w:vAlign w:val="center"/>
        </w:tcPr>
        <w:p w:rsidR="00022B47" w:rsidRDefault="00022B47">
          <w:pPr>
            <w:pStyle w:val="Normal2"/>
            <w:jc w:val="center"/>
          </w:pPr>
        </w:p>
      </w:tc>
      <w:tc>
        <w:tcPr>
          <w:tcW w:w="2600" w:type="dxa"/>
          <w:tcMar>
            <w:top w:w="200" w:type="dxa"/>
          </w:tcMar>
          <w:vAlign w:val="center"/>
        </w:tcPr>
        <w:p w:rsidR="00022B47" w:rsidRDefault="00022B47">
          <w:pPr>
            <w:pStyle w:val="Normal2"/>
          </w:pPr>
        </w:p>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
      <w:spacing w:before="200"/>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3"/>
          </w:pPr>
        </w:p>
      </w:tc>
      <w:tc>
        <w:tcPr>
          <w:tcW w:w="4880" w:type="dxa"/>
          <w:tcMar>
            <w:top w:w="200" w:type="dxa"/>
          </w:tcMar>
          <w:vAlign w:val="center"/>
        </w:tcPr>
        <w:p w:rsidR="00022B47" w:rsidRDefault="00022B47">
          <w:pPr>
            <w:pStyle w:val="Normal3"/>
            <w:jc w:val="center"/>
          </w:pPr>
        </w:p>
      </w:tc>
      <w:tc>
        <w:tcPr>
          <w:tcW w:w="2600" w:type="dxa"/>
          <w:tcMar>
            <w:top w:w="200" w:type="dxa"/>
          </w:tcMar>
          <w:vAlign w:val="center"/>
        </w:tcPr>
        <w:p w:rsidR="00022B47" w:rsidRDefault="00022B47">
          <w:pPr>
            <w:pStyle w:val="Normal3"/>
          </w:pPr>
        </w:p>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
      <w:spacing w:before="200"/>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4"/>
          </w:pPr>
        </w:p>
      </w:tc>
      <w:tc>
        <w:tcPr>
          <w:tcW w:w="4880" w:type="dxa"/>
          <w:tcMar>
            <w:top w:w="200" w:type="dxa"/>
          </w:tcMar>
          <w:vAlign w:val="center"/>
        </w:tcPr>
        <w:p w:rsidR="00022B47" w:rsidRDefault="00022B47">
          <w:pPr>
            <w:pStyle w:val="Normal4"/>
            <w:jc w:val="center"/>
          </w:pPr>
        </w:p>
      </w:tc>
      <w:tc>
        <w:tcPr>
          <w:tcW w:w="2600" w:type="dxa"/>
          <w:tcMar>
            <w:top w:w="200" w:type="dxa"/>
          </w:tcMar>
          <w:vAlign w:val="center"/>
        </w:tcPr>
        <w:p w:rsidR="00022B47" w:rsidRDefault="00022B47">
          <w:pPr>
            <w:pStyle w:val="Normal4"/>
          </w:pPr>
        </w:p>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
      <w:spacing w:before="200"/>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5"/>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5"/>
          </w:pPr>
        </w:p>
      </w:tc>
      <w:tc>
        <w:tcPr>
          <w:tcW w:w="4880" w:type="dxa"/>
          <w:tcMar>
            <w:top w:w="200" w:type="dxa"/>
          </w:tcMar>
          <w:vAlign w:val="center"/>
        </w:tcPr>
        <w:p w:rsidR="00022B47" w:rsidRDefault="00022B47">
          <w:pPr>
            <w:pStyle w:val="Normal5"/>
            <w:jc w:val="center"/>
          </w:pPr>
        </w:p>
      </w:tc>
      <w:tc>
        <w:tcPr>
          <w:tcW w:w="2600" w:type="dxa"/>
          <w:tcMar>
            <w:top w:w="200" w:type="dxa"/>
          </w:tcMar>
          <w:vAlign w:val="center"/>
        </w:tcPr>
        <w:p w:rsidR="00022B47" w:rsidRDefault="00022B47">
          <w:pPr>
            <w:pStyle w:val="Normal5"/>
          </w:pPr>
        </w:p>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5"/>
      <w:spacing w:before="200"/>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6"/>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6"/>
          </w:pPr>
        </w:p>
      </w:tc>
      <w:tc>
        <w:tcPr>
          <w:tcW w:w="4880" w:type="dxa"/>
          <w:tcMar>
            <w:top w:w="200" w:type="dxa"/>
          </w:tcMar>
          <w:vAlign w:val="center"/>
        </w:tcPr>
        <w:p w:rsidR="00022B47" w:rsidRDefault="00022B47">
          <w:pPr>
            <w:pStyle w:val="Normal6"/>
            <w:jc w:val="center"/>
          </w:pPr>
        </w:p>
      </w:tc>
      <w:tc>
        <w:tcPr>
          <w:tcW w:w="2600" w:type="dxa"/>
          <w:tcMar>
            <w:top w:w="200" w:type="dxa"/>
          </w:tcMar>
          <w:vAlign w:val="center"/>
        </w:tcPr>
        <w:p w:rsidR="00022B47" w:rsidRDefault="00022B47">
          <w:pPr>
            <w:pStyle w:val="Normal6"/>
          </w:pPr>
        </w:p>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6"/>
      <w:spacing w:before="200"/>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7"/>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7"/>
          </w:pPr>
        </w:p>
      </w:tc>
      <w:tc>
        <w:tcPr>
          <w:tcW w:w="4880" w:type="dxa"/>
          <w:tcMar>
            <w:top w:w="200" w:type="dxa"/>
          </w:tcMar>
          <w:vAlign w:val="center"/>
        </w:tcPr>
        <w:p w:rsidR="00022B47" w:rsidRDefault="00022B47">
          <w:pPr>
            <w:pStyle w:val="Normal7"/>
            <w:jc w:val="center"/>
          </w:pPr>
        </w:p>
      </w:tc>
      <w:tc>
        <w:tcPr>
          <w:tcW w:w="2600" w:type="dxa"/>
          <w:tcMar>
            <w:top w:w="200" w:type="dxa"/>
          </w:tcMar>
          <w:vAlign w:val="center"/>
        </w:tcPr>
        <w:p w:rsidR="00022B47" w:rsidRDefault="00022B47">
          <w:pPr>
            <w:pStyle w:val="Normal7"/>
          </w:pPr>
        </w:p>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7"/>
      <w:spacing w:before="200"/>
      <w:jc w:val="cen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8"/>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8"/>
          </w:pPr>
        </w:p>
      </w:tc>
      <w:tc>
        <w:tcPr>
          <w:tcW w:w="4880" w:type="dxa"/>
          <w:tcMar>
            <w:top w:w="200" w:type="dxa"/>
          </w:tcMar>
          <w:vAlign w:val="center"/>
        </w:tcPr>
        <w:p w:rsidR="00022B47" w:rsidRDefault="00022B47">
          <w:pPr>
            <w:pStyle w:val="Normal8"/>
            <w:jc w:val="center"/>
          </w:pPr>
        </w:p>
      </w:tc>
      <w:tc>
        <w:tcPr>
          <w:tcW w:w="2600" w:type="dxa"/>
          <w:tcMar>
            <w:top w:w="200" w:type="dxa"/>
          </w:tcMar>
          <w:vAlign w:val="center"/>
        </w:tcPr>
        <w:p w:rsidR="00022B47" w:rsidRDefault="00022B47">
          <w:pPr>
            <w:pStyle w:val="Normal8"/>
          </w:pPr>
        </w:p>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8"/>
      <w:spacing w:before="200"/>
      <w:jc w:val="cen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9"/>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9"/>
          </w:pPr>
        </w:p>
      </w:tc>
      <w:tc>
        <w:tcPr>
          <w:tcW w:w="4880" w:type="dxa"/>
          <w:tcMar>
            <w:top w:w="200" w:type="dxa"/>
          </w:tcMar>
          <w:vAlign w:val="center"/>
        </w:tcPr>
        <w:p w:rsidR="00022B47" w:rsidRDefault="00022B47">
          <w:pPr>
            <w:pStyle w:val="Normal9"/>
            <w:jc w:val="center"/>
          </w:pPr>
        </w:p>
      </w:tc>
      <w:tc>
        <w:tcPr>
          <w:tcW w:w="2600" w:type="dxa"/>
          <w:tcMar>
            <w:top w:w="200" w:type="dxa"/>
          </w:tcMar>
          <w:vAlign w:val="center"/>
        </w:tcPr>
        <w:p w:rsidR="00022B47" w:rsidRDefault="00022B47">
          <w:pPr>
            <w:pStyle w:val="Normal9"/>
          </w:pPr>
        </w:p>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9"/>
      <w:spacing w:before="200"/>
      <w:jc w:val="cen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0"/>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10"/>
          </w:pPr>
        </w:p>
      </w:tc>
      <w:tc>
        <w:tcPr>
          <w:tcW w:w="4880" w:type="dxa"/>
          <w:tcMar>
            <w:top w:w="200" w:type="dxa"/>
          </w:tcMar>
          <w:vAlign w:val="center"/>
        </w:tcPr>
        <w:p w:rsidR="00022B47" w:rsidRDefault="00022B47">
          <w:pPr>
            <w:pStyle w:val="Normal10"/>
            <w:jc w:val="center"/>
          </w:pPr>
        </w:p>
      </w:tc>
      <w:tc>
        <w:tcPr>
          <w:tcW w:w="2600" w:type="dxa"/>
          <w:tcMar>
            <w:top w:w="200" w:type="dxa"/>
          </w:tcMar>
          <w:vAlign w:val="center"/>
        </w:tcPr>
        <w:p w:rsidR="00022B47" w:rsidRDefault="00022B47">
          <w:pPr>
            <w:pStyle w:val="Normal10"/>
          </w:pPr>
        </w:p>
      </w:tc>
    </w:tr>
  </w:tbl>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0"/>
      <w:spacing w:before="200"/>
      <w:jc w:val="cen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1"/>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11"/>
          </w:pPr>
        </w:p>
      </w:tc>
      <w:tc>
        <w:tcPr>
          <w:tcW w:w="4880" w:type="dxa"/>
          <w:tcMar>
            <w:top w:w="200" w:type="dxa"/>
          </w:tcMar>
          <w:vAlign w:val="center"/>
        </w:tcPr>
        <w:p w:rsidR="00022B47" w:rsidRDefault="00022B47">
          <w:pPr>
            <w:pStyle w:val="Normal11"/>
            <w:jc w:val="center"/>
          </w:pPr>
        </w:p>
      </w:tc>
      <w:tc>
        <w:tcPr>
          <w:tcW w:w="2600" w:type="dxa"/>
          <w:tcMar>
            <w:top w:w="200" w:type="dxa"/>
          </w:tcMar>
          <w:vAlign w:val="center"/>
        </w:tcPr>
        <w:p w:rsidR="00022B47" w:rsidRDefault="00022B47">
          <w:pPr>
            <w:pStyle w:val="Normal11"/>
          </w:pPr>
        </w:p>
      </w:tc>
    </w:tr>
  </w:tbl>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1"/>
      <w:spacing w:before="200"/>
      <w:jc w:val="cen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2"/>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12"/>
          </w:pPr>
        </w:p>
      </w:tc>
      <w:tc>
        <w:tcPr>
          <w:tcW w:w="4880" w:type="dxa"/>
          <w:tcMar>
            <w:top w:w="200" w:type="dxa"/>
          </w:tcMar>
          <w:vAlign w:val="center"/>
        </w:tcPr>
        <w:p w:rsidR="00022B47" w:rsidRDefault="00022B47">
          <w:pPr>
            <w:pStyle w:val="Normal12"/>
            <w:jc w:val="center"/>
          </w:pPr>
        </w:p>
      </w:tc>
      <w:tc>
        <w:tcPr>
          <w:tcW w:w="2600" w:type="dxa"/>
          <w:tcMar>
            <w:top w:w="200" w:type="dxa"/>
          </w:tcMar>
          <w:vAlign w:val="center"/>
        </w:tcPr>
        <w:p w:rsidR="00022B47" w:rsidRDefault="00022B47">
          <w:pPr>
            <w:pStyle w:val="Normal12"/>
          </w:pPr>
        </w:p>
      </w:tc>
    </w:tr>
  </w:tbl>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2"/>
      <w:spacing w:before="200"/>
      <w:jc w:val="cen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3"/>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13"/>
          </w:pPr>
        </w:p>
      </w:tc>
      <w:tc>
        <w:tcPr>
          <w:tcW w:w="4880" w:type="dxa"/>
          <w:tcMar>
            <w:top w:w="200" w:type="dxa"/>
          </w:tcMar>
          <w:vAlign w:val="center"/>
        </w:tcPr>
        <w:p w:rsidR="00022B47" w:rsidRDefault="00022B47">
          <w:pPr>
            <w:pStyle w:val="Normal13"/>
            <w:jc w:val="center"/>
          </w:pPr>
        </w:p>
      </w:tc>
      <w:tc>
        <w:tcPr>
          <w:tcW w:w="2600" w:type="dxa"/>
          <w:tcMar>
            <w:top w:w="200" w:type="dxa"/>
          </w:tcMar>
          <w:vAlign w:val="center"/>
        </w:tcPr>
        <w:p w:rsidR="00022B47" w:rsidRDefault="00022B47">
          <w:pPr>
            <w:pStyle w:val="Normal13"/>
          </w:pPr>
        </w:p>
      </w:tc>
    </w:tr>
  </w:tbl>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3"/>
      <w:spacing w:before="200"/>
      <w:jc w:val="cen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4"/>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14"/>
          </w:pPr>
        </w:p>
      </w:tc>
      <w:tc>
        <w:tcPr>
          <w:tcW w:w="4880" w:type="dxa"/>
          <w:tcMar>
            <w:top w:w="200" w:type="dxa"/>
          </w:tcMar>
          <w:vAlign w:val="center"/>
        </w:tcPr>
        <w:p w:rsidR="00022B47" w:rsidRDefault="00022B47">
          <w:pPr>
            <w:pStyle w:val="Normal14"/>
            <w:jc w:val="center"/>
          </w:pPr>
        </w:p>
      </w:tc>
      <w:tc>
        <w:tcPr>
          <w:tcW w:w="2600" w:type="dxa"/>
          <w:tcMar>
            <w:top w:w="200" w:type="dxa"/>
          </w:tcMar>
          <w:vAlign w:val="center"/>
        </w:tcPr>
        <w:p w:rsidR="00022B47" w:rsidRDefault="00022B47">
          <w:pPr>
            <w:pStyle w:val="Normal14"/>
          </w:pPr>
        </w:p>
      </w:tc>
    </w:tr>
  </w:tbl>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4"/>
      <w:spacing w:before="200"/>
      <w:jc w:val="cente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5"/>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15"/>
          </w:pPr>
        </w:p>
      </w:tc>
      <w:tc>
        <w:tcPr>
          <w:tcW w:w="4880" w:type="dxa"/>
          <w:tcMar>
            <w:top w:w="200" w:type="dxa"/>
          </w:tcMar>
          <w:vAlign w:val="center"/>
        </w:tcPr>
        <w:p w:rsidR="00022B47" w:rsidRDefault="00022B47">
          <w:pPr>
            <w:pStyle w:val="Normal15"/>
            <w:jc w:val="center"/>
          </w:pPr>
        </w:p>
      </w:tc>
      <w:tc>
        <w:tcPr>
          <w:tcW w:w="2600" w:type="dxa"/>
          <w:tcMar>
            <w:top w:w="200" w:type="dxa"/>
          </w:tcMar>
          <w:vAlign w:val="center"/>
        </w:tcPr>
        <w:p w:rsidR="00022B47" w:rsidRDefault="00022B47">
          <w:pPr>
            <w:pStyle w:val="Normal15"/>
          </w:pPr>
        </w:p>
      </w:tc>
    </w:tr>
  </w:tbl>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5"/>
      <w:spacing w:before="200"/>
      <w:jc w:val="cente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6"/>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16"/>
          </w:pPr>
        </w:p>
      </w:tc>
      <w:tc>
        <w:tcPr>
          <w:tcW w:w="4880" w:type="dxa"/>
          <w:tcMar>
            <w:top w:w="200" w:type="dxa"/>
          </w:tcMar>
          <w:vAlign w:val="center"/>
        </w:tcPr>
        <w:p w:rsidR="00022B47" w:rsidRDefault="00022B47">
          <w:pPr>
            <w:pStyle w:val="Normal16"/>
            <w:jc w:val="center"/>
          </w:pPr>
        </w:p>
      </w:tc>
      <w:tc>
        <w:tcPr>
          <w:tcW w:w="2600" w:type="dxa"/>
          <w:tcMar>
            <w:top w:w="200" w:type="dxa"/>
          </w:tcMar>
          <w:vAlign w:val="center"/>
        </w:tcPr>
        <w:p w:rsidR="00022B47" w:rsidRDefault="00022B47">
          <w:pPr>
            <w:pStyle w:val="Normal16"/>
          </w:pPr>
        </w:p>
      </w:tc>
    </w:tr>
  </w:tbl>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6"/>
      <w:spacing w:before="200"/>
      <w:jc w:val="cente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7"/>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17"/>
          </w:pPr>
        </w:p>
      </w:tc>
      <w:tc>
        <w:tcPr>
          <w:tcW w:w="4880" w:type="dxa"/>
          <w:tcMar>
            <w:top w:w="200" w:type="dxa"/>
          </w:tcMar>
          <w:vAlign w:val="center"/>
        </w:tcPr>
        <w:p w:rsidR="00022B47" w:rsidRDefault="00022B47">
          <w:pPr>
            <w:pStyle w:val="Normal17"/>
            <w:jc w:val="center"/>
          </w:pPr>
        </w:p>
      </w:tc>
      <w:tc>
        <w:tcPr>
          <w:tcW w:w="2600" w:type="dxa"/>
          <w:tcMar>
            <w:top w:w="200" w:type="dxa"/>
          </w:tcMar>
          <w:vAlign w:val="center"/>
        </w:tcPr>
        <w:p w:rsidR="00022B47" w:rsidRDefault="00022B47">
          <w:pPr>
            <w:pStyle w:val="Normal17"/>
          </w:pPr>
        </w:p>
      </w:tc>
    </w:tr>
  </w:tbl>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7"/>
      <w:spacing w:before="200"/>
      <w:jc w:val="cente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8"/>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18"/>
          </w:pPr>
        </w:p>
      </w:tc>
      <w:tc>
        <w:tcPr>
          <w:tcW w:w="4880" w:type="dxa"/>
          <w:tcMar>
            <w:top w:w="200" w:type="dxa"/>
          </w:tcMar>
          <w:vAlign w:val="center"/>
        </w:tcPr>
        <w:p w:rsidR="00022B47" w:rsidRDefault="00022B47">
          <w:pPr>
            <w:pStyle w:val="Normal18"/>
            <w:jc w:val="center"/>
          </w:pPr>
        </w:p>
      </w:tc>
      <w:tc>
        <w:tcPr>
          <w:tcW w:w="2600" w:type="dxa"/>
          <w:tcMar>
            <w:top w:w="200" w:type="dxa"/>
          </w:tcMar>
          <w:vAlign w:val="center"/>
        </w:tcPr>
        <w:p w:rsidR="00022B47" w:rsidRDefault="00022B47">
          <w:pPr>
            <w:pStyle w:val="Normal18"/>
          </w:pPr>
        </w:p>
      </w:tc>
    </w:tr>
  </w:tbl>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8"/>
      <w:spacing w:before="200"/>
      <w:jc w:val="cente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9"/>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19"/>
          </w:pPr>
        </w:p>
      </w:tc>
      <w:tc>
        <w:tcPr>
          <w:tcW w:w="4880" w:type="dxa"/>
          <w:tcMar>
            <w:top w:w="200" w:type="dxa"/>
          </w:tcMar>
          <w:vAlign w:val="center"/>
        </w:tcPr>
        <w:p w:rsidR="00022B47" w:rsidRDefault="00022B47">
          <w:pPr>
            <w:pStyle w:val="Normal19"/>
            <w:jc w:val="center"/>
          </w:pPr>
        </w:p>
      </w:tc>
      <w:tc>
        <w:tcPr>
          <w:tcW w:w="2600" w:type="dxa"/>
          <w:tcMar>
            <w:top w:w="200" w:type="dxa"/>
          </w:tcMar>
          <w:vAlign w:val="center"/>
        </w:tcPr>
        <w:p w:rsidR="00022B47" w:rsidRDefault="00022B47">
          <w:pPr>
            <w:pStyle w:val="Normal19"/>
          </w:pPr>
        </w:p>
      </w:tc>
    </w:tr>
  </w:tbl>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9"/>
      <w:spacing w:before="200"/>
      <w:jc w:val="cente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20"/>
          </w:pPr>
        </w:p>
      </w:tc>
      <w:tc>
        <w:tcPr>
          <w:tcW w:w="4880" w:type="dxa"/>
          <w:tcMar>
            <w:top w:w="200" w:type="dxa"/>
          </w:tcMar>
          <w:vAlign w:val="center"/>
        </w:tcPr>
        <w:p w:rsidR="00022B47" w:rsidRDefault="00022B47">
          <w:pPr>
            <w:pStyle w:val="Normal20"/>
            <w:jc w:val="center"/>
          </w:pPr>
        </w:p>
      </w:tc>
      <w:tc>
        <w:tcPr>
          <w:tcW w:w="2600" w:type="dxa"/>
          <w:tcMar>
            <w:top w:w="200" w:type="dxa"/>
          </w:tcMar>
          <w:vAlign w:val="center"/>
        </w:tcPr>
        <w:p w:rsidR="00022B47" w:rsidRDefault="00022B47">
          <w:pPr>
            <w:pStyle w:val="Normal20"/>
          </w:pPr>
        </w:p>
      </w:tc>
    </w:tr>
  </w:tbl>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0"/>
      <w:spacing w:before="200"/>
      <w:jc w:val="cente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1"/>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21"/>
          </w:pPr>
        </w:p>
      </w:tc>
      <w:tc>
        <w:tcPr>
          <w:tcW w:w="4880" w:type="dxa"/>
          <w:tcMar>
            <w:top w:w="200" w:type="dxa"/>
          </w:tcMar>
          <w:vAlign w:val="center"/>
        </w:tcPr>
        <w:p w:rsidR="00022B47" w:rsidRDefault="00022B47">
          <w:pPr>
            <w:pStyle w:val="Normal21"/>
            <w:jc w:val="center"/>
          </w:pPr>
        </w:p>
      </w:tc>
      <w:tc>
        <w:tcPr>
          <w:tcW w:w="2600" w:type="dxa"/>
          <w:tcMar>
            <w:top w:w="200" w:type="dxa"/>
          </w:tcMar>
          <w:vAlign w:val="center"/>
        </w:tcPr>
        <w:p w:rsidR="00022B47" w:rsidRDefault="00022B47">
          <w:pPr>
            <w:pStyle w:val="Normal21"/>
          </w:pPr>
        </w:p>
      </w:tc>
    </w:tr>
  </w:tbl>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1"/>
      <w:spacing w:before="200"/>
      <w:jc w:val="cente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2"/>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22"/>
          </w:pPr>
        </w:p>
      </w:tc>
      <w:tc>
        <w:tcPr>
          <w:tcW w:w="4880" w:type="dxa"/>
          <w:tcMar>
            <w:top w:w="200" w:type="dxa"/>
          </w:tcMar>
          <w:vAlign w:val="center"/>
        </w:tcPr>
        <w:p w:rsidR="00022B47" w:rsidRDefault="00022B47">
          <w:pPr>
            <w:pStyle w:val="Normal22"/>
            <w:jc w:val="center"/>
          </w:pPr>
        </w:p>
      </w:tc>
      <w:tc>
        <w:tcPr>
          <w:tcW w:w="2600" w:type="dxa"/>
          <w:tcMar>
            <w:top w:w="200" w:type="dxa"/>
          </w:tcMar>
          <w:vAlign w:val="center"/>
        </w:tcPr>
        <w:p w:rsidR="00022B47" w:rsidRDefault="00022B47">
          <w:pPr>
            <w:pStyle w:val="Normal22"/>
          </w:pPr>
        </w:p>
      </w:tc>
    </w:tr>
  </w:tbl>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2"/>
      <w:spacing w:before="200"/>
      <w:jc w:val="cente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3"/>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23"/>
          </w:pPr>
        </w:p>
      </w:tc>
      <w:tc>
        <w:tcPr>
          <w:tcW w:w="4880" w:type="dxa"/>
          <w:tcMar>
            <w:top w:w="200" w:type="dxa"/>
          </w:tcMar>
          <w:vAlign w:val="center"/>
        </w:tcPr>
        <w:p w:rsidR="00022B47" w:rsidRDefault="00022B47">
          <w:pPr>
            <w:pStyle w:val="Normal23"/>
            <w:jc w:val="center"/>
          </w:pPr>
        </w:p>
      </w:tc>
      <w:tc>
        <w:tcPr>
          <w:tcW w:w="2600" w:type="dxa"/>
          <w:tcMar>
            <w:top w:w="200" w:type="dxa"/>
          </w:tcMar>
          <w:vAlign w:val="center"/>
        </w:tcPr>
        <w:p w:rsidR="00022B47" w:rsidRDefault="00022B47">
          <w:pPr>
            <w:pStyle w:val="Normal23"/>
          </w:pPr>
        </w:p>
      </w:tc>
    </w:tr>
  </w:tbl>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3"/>
      <w:spacing w:before="200"/>
      <w:jc w:val="center"/>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4"/>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24"/>
          </w:pPr>
        </w:p>
      </w:tc>
      <w:tc>
        <w:tcPr>
          <w:tcW w:w="4880" w:type="dxa"/>
          <w:tcMar>
            <w:top w:w="200" w:type="dxa"/>
          </w:tcMar>
          <w:vAlign w:val="center"/>
        </w:tcPr>
        <w:p w:rsidR="00022B47" w:rsidRDefault="00022B47">
          <w:pPr>
            <w:pStyle w:val="Normal24"/>
            <w:jc w:val="center"/>
          </w:pPr>
        </w:p>
      </w:tc>
      <w:tc>
        <w:tcPr>
          <w:tcW w:w="2600" w:type="dxa"/>
          <w:tcMar>
            <w:top w:w="200" w:type="dxa"/>
          </w:tcMar>
          <w:vAlign w:val="center"/>
        </w:tcPr>
        <w:p w:rsidR="00022B47" w:rsidRDefault="00022B47">
          <w:pPr>
            <w:pStyle w:val="Normal24"/>
          </w:pPr>
        </w:p>
      </w:tc>
    </w:tr>
  </w:tbl>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4"/>
      <w:spacing w:before="200"/>
      <w:jc w:val="center"/>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5"/>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25"/>
          </w:pPr>
        </w:p>
      </w:tc>
      <w:tc>
        <w:tcPr>
          <w:tcW w:w="4880" w:type="dxa"/>
          <w:tcMar>
            <w:top w:w="200" w:type="dxa"/>
          </w:tcMar>
          <w:vAlign w:val="center"/>
        </w:tcPr>
        <w:p w:rsidR="00022B47" w:rsidRDefault="00022B47">
          <w:pPr>
            <w:pStyle w:val="Normal25"/>
            <w:jc w:val="center"/>
          </w:pPr>
        </w:p>
      </w:tc>
      <w:tc>
        <w:tcPr>
          <w:tcW w:w="2600" w:type="dxa"/>
          <w:tcMar>
            <w:top w:w="200" w:type="dxa"/>
          </w:tcMar>
          <w:vAlign w:val="center"/>
        </w:tcPr>
        <w:p w:rsidR="00022B47" w:rsidRDefault="00022B47">
          <w:pPr>
            <w:pStyle w:val="Normal25"/>
          </w:pPr>
        </w:p>
      </w:tc>
    </w:tr>
  </w:tbl>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5"/>
      <w:spacing w:before="200"/>
      <w:jc w:val="cente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6"/>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26"/>
          </w:pPr>
        </w:p>
      </w:tc>
      <w:tc>
        <w:tcPr>
          <w:tcW w:w="4880" w:type="dxa"/>
          <w:tcMar>
            <w:top w:w="200" w:type="dxa"/>
          </w:tcMar>
          <w:vAlign w:val="center"/>
        </w:tcPr>
        <w:p w:rsidR="00022B47" w:rsidRDefault="00022B47">
          <w:pPr>
            <w:pStyle w:val="Normal26"/>
            <w:jc w:val="center"/>
          </w:pPr>
        </w:p>
      </w:tc>
      <w:tc>
        <w:tcPr>
          <w:tcW w:w="2600" w:type="dxa"/>
          <w:tcMar>
            <w:top w:w="200" w:type="dxa"/>
          </w:tcMar>
          <w:vAlign w:val="center"/>
        </w:tcPr>
        <w:p w:rsidR="00022B47" w:rsidRDefault="00022B47">
          <w:pPr>
            <w:pStyle w:val="Normal26"/>
          </w:pPr>
        </w:p>
      </w:tc>
    </w:tr>
  </w:tbl>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6"/>
      <w:spacing w:before="200"/>
      <w:jc w:val="center"/>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7"/>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27"/>
          </w:pPr>
        </w:p>
      </w:tc>
      <w:tc>
        <w:tcPr>
          <w:tcW w:w="4880" w:type="dxa"/>
          <w:tcMar>
            <w:top w:w="200" w:type="dxa"/>
          </w:tcMar>
          <w:vAlign w:val="center"/>
        </w:tcPr>
        <w:p w:rsidR="00022B47" w:rsidRDefault="00022B47">
          <w:pPr>
            <w:pStyle w:val="Normal27"/>
            <w:jc w:val="center"/>
          </w:pPr>
        </w:p>
      </w:tc>
      <w:tc>
        <w:tcPr>
          <w:tcW w:w="2600" w:type="dxa"/>
          <w:tcMar>
            <w:top w:w="200" w:type="dxa"/>
          </w:tcMar>
          <w:vAlign w:val="center"/>
        </w:tcPr>
        <w:p w:rsidR="00022B47" w:rsidRDefault="00022B47">
          <w:pPr>
            <w:pStyle w:val="Normal27"/>
          </w:pPr>
        </w:p>
      </w:tc>
    </w:tr>
  </w:tbl>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7"/>
      <w:spacing w:before="200"/>
      <w:jc w:val="center"/>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8"/>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28"/>
          </w:pPr>
        </w:p>
      </w:tc>
      <w:tc>
        <w:tcPr>
          <w:tcW w:w="4880" w:type="dxa"/>
          <w:tcMar>
            <w:top w:w="200" w:type="dxa"/>
          </w:tcMar>
          <w:vAlign w:val="center"/>
        </w:tcPr>
        <w:p w:rsidR="00022B47" w:rsidRDefault="00022B47">
          <w:pPr>
            <w:pStyle w:val="Normal28"/>
            <w:jc w:val="center"/>
          </w:pPr>
        </w:p>
      </w:tc>
      <w:tc>
        <w:tcPr>
          <w:tcW w:w="2600" w:type="dxa"/>
          <w:tcMar>
            <w:top w:w="200" w:type="dxa"/>
          </w:tcMar>
          <w:vAlign w:val="center"/>
        </w:tcPr>
        <w:p w:rsidR="00022B47" w:rsidRDefault="00022B47">
          <w:pPr>
            <w:pStyle w:val="Normal28"/>
          </w:pPr>
        </w:p>
      </w:tc>
    </w:tr>
  </w:tbl>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8"/>
      <w:spacing w:before="200"/>
      <w:jc w:val="center"/>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9"/>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29"/>
          </w:pPr>
        </w:p>
      </w:tc>
      <w:tc>
        <w:tcPr>
          <w:tcW w:w="4880" w:type="dxa"/>
          <w:tcMar>
            <w:top w:w="200" w:type="dxa"/>
          </w:tcMar>
          <w:vAlign w:val="center"/>
        </w:tcPr>
        <w:p w:rsidR="00022B47" w:rsidRDefault="00022B47">
          <w:pPr>
            <w:pStyle w:val="Normal29"/>
            <w:jc w:val="center"/>
          </w:pPr>
        </w:p>
      </w:tc>
      <w:tc>
        <w:tcPr>
          <w:tcW w:w="2600" w:type="dxa"/>
          <w:tcMar>
            <w:top w:w="200" w:type="dxa"/>
          </w:tcMar>
          <w:vAlign w:val="center"/>
        </w:tcPr>
        <w:p w:rsidR="00022B47" w:rsidRDefault="00022B47">
          <w:pPr>
            <w:pStyle w:val="Normal29"/>
          </w:pPr>
        </w:p>
      </w:tc>
    </w:tr>
  </w:tbl>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9"/>
      <w:spacing w:before="200"/>
      <w:jc w:val="center"/>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30"/>
          </w:pPr>
        </w:p>
      </w:tc>
      <w:tc>
        <w:tcPr>
          <w:tcW w:w="4880" w:type="dxa"/>
          <w:tcMar>
            <w:top w:w="200" w:type="dxa"/>
          </w:tcMar>
          <w:vAlign w:val="center"/>
        </w:tcPr>
        <w:p w:rsidR="00022B47" w:rsidRDefault="00022B47">
          <w:pPr>
            <w:pStyle w:val="Normal30"/>
            <w:jc w:val="center"/>
          </w:pPr>
        </w:p>
      </w:tc>
      <w:tc>
        <w:tcPr>
          <w:tcW w:w="2600" w:type="dxa"/>
          <w:tcMar>
            <w:top w:w="200" w:type="dxa"/>
          </w:tcMar>
          <w:vAlign w:val="center"/>
        </w:tcPr>
        <w:p w:rsidR="00022B47" w:rsidRDefault="00022B47">
          <w:pPr>
            <w:pStyle w:val="Normal30"/>
          </w:pPr>
        </w:p>
      </w:tc>
    </w:tr>
  </w:tbl>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0"/>
      <w:spacing w:before="200"/>
      <w:jc w:val="center"/>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1"/>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31"/>
          </w:pPr>
        </w:p>
      </w:tc>
      <w:tc>
        <w:tcPr>
          <w:tcW w:w="4880" w:type="dxa"/>
          <w:tcMar>
            <w:top w:w="200" w:type="dxa"/>
          </w:tcMar>
          <w:vAlign w:val="center"/>
        </w:tcPr>
        <w:p w:rsidR="00022B47" w:rsidRDefault="00022B47">
          <w:pPr>
            <w:pStyle w:val="Normal31"/>
            <w:jc w:val="center"/>
          </w:pPr>
        </w:p>
      </w:tc>
      <w:tc>
        <w:tcPr>
          <w:tcW w:w="2600" w:type="dxa"/>
          <w:tcMar>
            <w:top w:w="200" w:type="dxa"/>
          </w:tcMar>
          <w:vAlign w:val="center"/>
        </w:tcPr>
        <w:p w:rsidR="00022B47" w:rsidRDefault="00022B47">
          <w:pPr>
            <w:pStyle w:val="Normal31"/>
          </w:pPr>
        </w:p>
      </w:tc>
    </w:tr>
  </w:tbl>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1"/>
      <w:spacing w:before="200"/>
      <w:jc w:val="center"/>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2"/>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32"/>
          </w:pPr>
        </w:p>
      </w:tc>
      <w:tc>
        <w:tcPr>
          <w:tcW w:w="4880" w:type="dxa"/>
          <w:tcMar>
            <w:top w:w="200" w:type="dxa"/>
          </w:tcMar>
          <w:vAlign w:val="center"/>
        </w:tcPr>
        <w:p w:rsidR="00022B47" w:rsidRDefault="00022B47">
          <w:pPr>
            <w:pStyle w:val="Normal32"/>
            <w:jc w:val="center"/>
          </w:pPr>
        </w:p>
      </w:tc>
      <w:tc>
        <w:tcPr>
          <w:tcW w:w="2600" w:type="dxa"/>
          <w:tcMar>
            <w:top w:w="200" w:type="dxa"/>
          </w:tcMar>
          <w:vAlign w:val="center"/>
        </w:tcPr>
        <w:p w:rsidR="00022B47" w:rsidRDefault="00022B47">
          <w:pPr>
            <w:pStyle w:val="Normal32"/>
          </w:pPr>
        </w:p>
      </w:tc>
    </w:tr>
  </w:tbl>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2"/>
      <w:spacing w:before="200"/>
      <w:jc w:val="center"/>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3"/>
    </w:pP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33"/>
          </w:pPr>
        </w:p>
      </w:tc>
      <w:tc>
        <w:tcPr>
          <w:tcW w:w="4880" w:type="dxa"/>
          <w:tcMar>
            <w:top w:w="200" w:type="dxa"/>
          </w:tcMar>
          <w:vAlign w:val="center"/>
        </w:tcPr>
        <w:p w:rsidR="00022B47" w:rsidRDefault="00022B47">
          <w:pPr>
            <w:pStyle w:val="Normal33"/>
            <w:jc w:val="center"/>
          </w:pPr>
        </w:p>
      </w:tc>
      <w:tc>
        <w:tcPr>
          <w:tcW w:w="2600" w:type="dxa"/>
          <w:tcMar>
            <w:top w:w="200" w:type="dxa"/>
          </w:tcMar>
          <w:vAlign w:val="center"/>
        </w:tcPr>
        <w:p w:rsidR="00022B47" w:rsidRDefault="00022B47">
          <w:pPr>
            <w:pStyle w:val="Normal33"/>
          </w:pPr>
        </w:p>
      </w:tc>
    </w:tr>
  </w:tbl>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3"/>
      <w:spacing w:before="200"/>
      <w:jc w:val="center"/>
    </w:pP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4"/>
    </w:pP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34"/>
          </w:pPr>
        </w:p>
      </w:tc>
      <w:tc>
        <w:tcPr>
          <w:tcW w:w="4880" w:type="dxa"/>
          <w:tcMar>
            <w:top w:w="200" w:type="dxa"/>
          </w:tcMar>
          <w:vAlign w:val="center"/>
        </w:tcPr>
        <w:p w:rsidR="00022B47" w:rsidRDefault="00022B47">
          <w:pPr>
            <w:pStyle w:val="Normal34"/>
            <w:jc w:val="center"/>
          </w:pPr>
        </w:p>
      </w:tc>
      <w:tc>
        <w:tcPr>
          <w:tcW w:w="2600" w:type="dxa"/>
          <w:tcMar>
            <w:top w:w="200" w:type="dxa"/>
          </w:tcMar>
          <w:vAlign w:val="center"/>
        </w:tcPr>
        <w:p w:rsidR="00022B47" w:rsidRDefault="00022B47">
          <w:pPr>
            <w:pStyle w:val="Normal34"/>
          </w:pPr>
        </w:p>
      </w:tc>
    </w:tr>
  </w:tbl>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4"/>
      <w:spacing w:before="200"/>
      <w:jc w:val="center"/>
    </w:pP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5"/>
    </w:pP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35"/>
          </w:pPr>
        </w:p>
      </w:tc>
      <w:tc>
        <w:tcPr>
          <w:tcW w:w="4880" w:type="dxa"/>
          <w:tcMar>
            <w:top w:w="200" w:type="dxa"/>
          </w:tcMar>
          <w:vAlign w:val="center"/>
        </w:tcPr>
        <w:p w:rsidR="00022B47" w:rsidRDefault="00022B47">
          <w:pPr>
            <w:pStyle w:val="Normal35"/>
            <w:jc w:val="center"/>
          </w:pPr>
        </w:p>
      </w:tc>
      <w:tc>
        <w:tcPr>
          <w:tcW w:w="2600" w:type="dxa"/>
          <w:tcMar>
            <w:top w:w="200" w:type="dxa"/>
          </w:tcMar>
          <w:vAlign w:val="center"/>
        </w:tcPr>
        <w:p w:rsidR="00022B47" w:rsidRDefault="00022B47">
          <w:pPr>
            <w:pStyle w:val="Normal35"/>
          </w:pPr>
        </w:p>
      </w:tc>
    </w:tr>
  </w:tbl>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5"/>
      <w:spacing w:before="200"/>
      <w:jc w:val="center"/>
    </w:pP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6"/>
    </w:pP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36"/>
          </w:pPr>
        </w:p>
      </w:tc>
      <w:tc>
        <w:tcPr>
          <w:tcW w:w="4880" w:type="dxa"/>
          <w:tcMar>
            <w:top w:w="200" w:type="dxa"/>
          </w:tcMar>
          <w:vAlign w:val="center"/>
        </w:tcPr>
        <w:p w:rsidR="00022B47" w:rsidRDefault="00022B47">
          <w:pPr>
            <w:pStyle w:val="Normal36"/>
            <w:jc w:val="center"/>
          </w:pPr>
        </w:p>
      </w:tc>
      <w:tc>
        <w:tcPr>
          <w:tcW w:w="2600" w:type="dxa"/>
          <w:tcMar>
            <w:top w:w="200" w:type="dxa"/>
          </w:tcMar>
          <w:vAlign w:val="center"/>
        </w:tcPr>
        <w:p w:rsidR="00022B47" w:rsidRDefault="00022B47">
          <w:pPr>
            <w:pStyle w:val="Normal36"/>
          </w:pPr>
        </w:p>
      </w:tc>
    </w:tr>
  </w:tbl>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6"/>
      <w:spacing w:before="200"/>
      <w:jc w:val="center"/>
    </w:pP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7"/>
    </w:pP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37"/>
          </w:pPr>
        </w:p>
      </w:tc>
      <w:tc>
        <w:tcPr>
          <w:tcW w:w="4880" w:type="dxa"/>
          <w:tcMar>
            <w:top w:w="200" w:type="dxa"/>
          </w:tcMar>
          <w:vAlign w:val="center"/>
        </w:tcPr>
        <w:p w:rsidR="00022B47" w:rsidRDefault="00022B47">
          <w:pPr>
            <w:pStyle w:val="Normal37"/>
            <w:jc w:val="center"/>
          </w:pPr>
        </w:p>
      </w:tc>
      <w:tc>
        <w:tcPr>
          <w:tcW w:w="2600" w:type="dxa"/>
          <w:tcMar>
            <w:top w:w="200" w:type="dxa"/>
          </w:tcMar>
          <w:vAlign w:val="center"/>
        </w:tcPr>
        <w:p w:rsidR="00022B47" w:rsidRDefault="00022B47">
          <w:pPr>
            <w:pStyle w:val="Normal37"/>
          </w:pPr>
        </w:p>
      </w:tc>
    </w:tr>
  </w:tbl>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7"/>
      <w:spacing w:before="200"/>
      <w:jc w:val="center"/>
    </w:pP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8"/>
    </w:pP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38"/>
          </w:pPr>
        </w:p>
      </w:tc>
      <w:tc>
        <w:tcPr>
          <w:tcW w:w="4880" w:type="dxa"/>
          <w:tcMar>
            <w:top w:w="200" w:type="dxa"/>
          </w:tcMar>
          <w:vAlign w:val="center"/>
        </w:tcPr>
        <w:p w:rsidR="00022B47" w:rsidRDefault="00022B47">
          <w:pPr>
            <w:pStyle w:val="Normal38"/>
            <w:jc w:val="center"/>
          </w:pPr>
        </w:p>
      </w:tc>
      <w:tc>
        <w:tcPr>
          <w:tcW w:w="2600" w:type="dxa"/>
          <w:tcMar>
            <w:top w:w="200" w:type="dxa"/>
          </w:tcMar>
          <w:vAlign w:val="center"/>
        </w:tcPr>
        <w:p w:rsidR="00022B47" w:rsidRDefault="00022B47">
          <w:pPr>
            <w:pStyle w:val="Normal38"/>
          </w:pPr>
        </w:p>
      </w:tc>
    </w:tr>
  </w:tbl>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8"/>
      <w:spacing w:before="200"/>
      <w:jc w:val="center"/>
    </w:pP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9"/>
    </w:pP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39"/>
          </w:pPr>
        </w:p>
      </w:tc>
      <w:tc>
        <w:tcPr>
          <w:tcW w:w="4880" w:type="dxa"/>
          <w:tcMar>
            <w:top w:w="200" w:type="dxa"/>
          </w:tcMar>
          <w:vAlign w:val="center"/>
        </w:tcPr>
        <w:p w:rsidR="00022B47" w:rsidRDefault="00022B47">
          <w:pPr>
            <w:pStyle w:val="Normal39"/>
            <w:jc w:val="center"/>
          </w:pPr>
        </w:p>
      </w:tc>
      <w:tc>
        <w:tcPr>
          <w:tcW w:w="2600" w:type="dxa"/>
          <w:tcMar>
            <w:top w:w="200" w:type="dxa"/>
          </w:tcMar>
          <w:vAlign w:val="center"/>
        </w:tcPr>
        <w:p w:rsidR="00022B47" w:rsidRDefault="00022B47">
          <w:pPr>
            <w:pStyle w:val="Normal39"/>
          </w:pPr>
        </w:p>
      </w:tc>
    </w:tr>
  </w:tbl>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9"/>
      <w:spacing w:before="200"/>
      <w:jc w:val="center"/>
    </w:pP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0"/>
    </w:pP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40"/>
          </w:pPr>
        </w:p>
      </w:tc>
      <w:tc>
        <w:tcPr>
          <w:tcW w:w="4880" w:type="dxa"/>
          <w:tcMar>
            <w:top w:w="200" w:type="dxa"/>
          </w:tcMar>
          <w:vAlign w:val="center"/>
        </w:tcPr>
        <w:p w:rsidR="00022B47" w:rsidRDefault="00022B47">
          <w:pPr>
            <w:pStyle w:val="Normal40"/>
            <w:jc w:val="center"/>
          </w:pPr>
        </w:p>
      </w:tc>
      <w:tc>
        <w:tcPr>
          <w:tcW w:w="2600" w:type="dxa"/>
          <w:tcMar>
            <w:top w:w="200" w:type="dxa"/>
          </w:tcMar>
          <w:vAlign w:val="center"/>
        </w:tcPr>
        <w:p w:rsidR="00022B47" w:rsidRDefault="00022B47">
          <w:pPr>
            <w:pStyle w:val="Normal40"/>
          </w:pPr>
        </w:p>
      </w:tc>
    </w:tr>
  </w:tbl>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0"/>
      <w:spacing w:before="200"/>
      <w:jc w:val="center"/>
    </w:pP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1"/>
    </w:pP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41"/>
          </w:pPr>
        </w:p>
      </w:tc>
      <w:tc>
        <w:tcPr>
          <w:tcW w:w="4880" w:type="dxa"/>
          <w:tcMar>
            <w:top w:w="200" w:type="dxa"/>
          </w:tcMar>
          <w:vAlign w:val="center"/>
        </w:tcPr>
        <w:p w:rsidR="00022B47" w:rsidRDefault="00022B47">
          <w:pPr>
            <w:pStyle w:val="Normal41"/>
            <w:jc w:val="center"/>
          </w:pPr>
        </w:p>
      </w:tc>
      <w:tc>
        <w:tcPr>
          <w:tcW w:w="2600" w:type="dxa"/>
          <w:tcMar>
            <w:top w:w="200" w:type="dxa"/>
          </w:tcMar>
          <w:vAlign w:val="center"/>
        </w:tcPr>
        <w:p w:rsidR="00022B47" w:rsidRDefault="00022B47">
          <w:pPr>
            <w:pStyle w:val="Normal41"/>
          </w:pPr>
        </w:p>
      </w:tc>
    </w:tr>
  </w:tbl>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1"/>
      <w:spacing w:before="200"/>
      <w:jc w:val="center"/>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2"/>
    </w:pP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42"/>
          </w:pPr>
        </w:p>
      </w:tc>
      <w:tc>
        <w:tcPr>
          <w:tcW w:w="4880" w:type="dxa"/>
          <w:tcMar>
            <w:top w:w="200" w:type="dxa"/>
          </w:tcMar>
          <w:vAlign w:val="center"/>
        </w:tcPr>
        <w:p w:rsidR="00022B47" w:rsidRDefault="00022B47">
          <w:pPr>
            <w:pStyle w:val="Normal42"/>
            <w:jc w:val="center"/>
          </w:pPr>
        </w:p>
      </w:tc>
      <w:tc>
        <w:tcPr>
          <w:tcW w:w="2600" w:type="dxa"/>
          <w:tcMar>
            <w:top w:w="200" w:type="dxa"/>
          </w:tcMar>
          <w:vAlign w:val="center"/>
        </w:tcPr>
        <w:p w:rsidR="00022B47" w:rsidRDefault="00022B47">
          <w:pPr>
            <w:pStyle w:val="Normal42"/>
          </w:pPr>
        </w:p>
      </w:tc>
    </w:tr>
  </w:tbl>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2"/>
      <w:spacing w:before="200"/>
      <w:jc w:val="center"/>
    </w:pP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3"/>
    </w:pP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43"/>
          </w:pPr>
        </w:p>
      </w:tc>
      <w:tc>
        <w:tcPr>
          <w:tcW w:w="4880" w:type="dxa"/>
          <w:tcMar>
            <w:top w:w="200" w:type="dxa"/>
          </w:tcMar>
          <w:vAlign w:val="center"/>
        </w:tcPr>
        <w:p w:rsidR="00022B47" w:rsidRDefault="00022B47">
          <w:pPr>
            <w:pStyle w:val="Normal43"/>
            <w:jc w:val="center"/>
          </w:pPr>
        </w:p>
      </w:tc>
      <w:tc>
        <w:tcPr>
          <w:tcW w:w="2600" w:type="dxa"/>
          <w:tcMar>
            <w:top w:w="200" w:type="dxa"/>
          </w:tcMar>
          <w:vAlign w:val="center"/>
        </w:tcPr>
        <w:p w:rsidR="00022B47" w:rsidRDefault="00022B47">
          <w:pPr>
            <w:pStyle w:val="Normal43"/>
          </w:pPr>
        </w:p>
      </w:tc>
    </w:tr>
  </w:tbl>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3"/>
      <w:spacing w:before="200"/>
      <w:jc w:val="center"/>
    </w:pP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4"/>
    </w:pP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44"/>
          </w:pPr>
        </w:p>
      </w:tc>
      <w:tc>
        <w:tcPr>
          <w:tcW w:w="4880" w:type="dxa"/>
          <w:tcMar>
            <w:top w:w="200" w:type="dxa"/>
          </w:tcMar>
          <w:vAlign w:val="center"/>
        </w:tcPr>
        <w:p w:rsidR="00022B47" w:rsidRDefault="00022B47">
          <w:pPr>
            <w:pStyle w:val="Normal44"/>
            <w:jc w:val="center"/>
          </w:pPr>
        </w:p>
      </w:tc>
      <w:tc>
        <w:tcPr>
          <w:tcW w:w="2600" w:type="dxa"/>
          <w:tcMar>
            <w:top w:w="200" w:type="dxa"/>
          </w:tcMar>
          <w:vAlign w:val="center"/>
        </w:tcPr>
        <w:p w:rsidR="00022B47" w:rsidRDefault="00022B47">
          <w:pPr>
            <w:pStyle w:val="Normal44"/>
          </w:pPr>
        </w:p>
      </w:tc>
    </w:tr>
  </w:tbl>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4"/>
      <w:spacing w:before="200"/>
      <w:jc w:val="center"/>
    </w:pP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5"/>
    </w:pP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45"/>
          </w:pPr>
        </w:p>
      </w:tc>
      <w:tc>
        <w:tcPr>
          <w:tcW w:w="4880" w:type="dxa"/>
          <w:tcMar>
            <w:top w:w="200" w:type="dxa"/>
          </w:tcMar>
          <w:vAlign w:val="center"/>
        </w:tcPr>
        <w:p w:rsidR="00022B47" w:rsidRDefault="00022B47">
          <w:pPr>
            <w:pStyle w:val="Normal45"/>
            <w:jc w:val="center"/>
          </w:pPr>
        </w:p>
      </w:tc>
      <w:tc>
        <w:tcPr>
          <w:tcW w:w="2600" w:type="dxa"/>
          <w:tcMar>
            <w:top w:w="200" w:type="dxa"/>
          </w:tcMar>
          <w:vAlign w:val="center"/>
        </w:tcPr>
        <w:p w:rsidR="00022B47" w:rsidRDefault="00022B47">
          <w:pPr>
            <w:pStyle w:val="Normal45"/>
          </w:pPr>
        </w:p>
      </w:tc>
    </w:tr>
  </w:tbl>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5"/>
      <w:spacing w:before="200"/>
      <w:jc w:val="center"/>
    </w:pP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6"/>
    </w:pP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46"/>
          </w:pPr>
        </w:p>
      </w:tc>
      <w:tc>
        <w:tcPr>
          <w:tcW w:w="4880" w:type="dxa"/>
          <w:tcMar>
            <w:top w:w="200" w:type="dxa"/>
          </w:tcMar>
          <w:vAlign w:val="center"/>
        </w:tcPr>
        <w:p w:rsidR="00022B47" w:rsidRDefault="00022B47">
          <w:pPr>
            <w:pStyle w:val="Normal46"/>
            <w:jc w:val="center"/>
          </w:pPr>
        </w:p>
      </w:tc>
      <w:tc>
        <w:tcPr>
          <w:tcW w:w="2600" w:type="dxa"/>
          <w:tcMar>
            <w:top w:w="200" w:type="dxa"/>
          </w:tcMar>
          <w:vAlign w:val="center"/>
        </w:tcPr>
        <w:p w:rsidR="00022B47" w:rsidRDefault="00022B47">
          <w:pPr>
            <w:pStyle w:val="Normal46"/>
          </w:pPr>
        </w:p>
      </w:tc>
    </w:tr>
  </w:tbl>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6"/>
      <w:spacing w:before="200"/>
      <w:jc w:val="center"/>
    </w:pP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7"/>
    </w:pP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47"/>
          </w:pPr>
        </w:p>
      </w:tc>
      <w:tc>
        <w:tcPr>
          <w:tcW w:w="4880" w:type="dxa"/>
          <w:tcMar>
            <w:top w:w="200" w:type="dxa"/>
          </w:tcMar>
          <w:vAlign w:val="center"/>
        </w:tcPr>
        <w:p w:rsidR="00022B47" w:rsidRDefault="00022B47">
          <w:pPr>
            <w:pStyle w:val="Normal47"/>
            <w:jc w:val="center"/>
          </w:pPr>
        </w:p>
      </w:tc>
      <w:tc>
        <w:tcPr>
          <w:tcW w:w="2600" w:type="dxa"/>
          <w:tcMar>
            <w:top w:w="200" w:type="dxa"/>
          </w:tcMar>
          <w:vAlign w:val="center"/>
        </w:tcPr>
        <w:p w:rsidR="00022B47" w:rsidRDefault="00022B47">
          <w:pPr>
            <w:pStyle w:val="Normal47"/>
          </w:pPr>
        </w:p>
      </w:tc>
    </w:tr>
  </w:tbl>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7"/>
      <w:spacing w:before="200"/>
      <w:jc w:val="center"/>
    </w:pP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8"/>
    </w:pP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48"/>
          </w:pPr>
        </w:p>
      </w:tc>
      <w:tc>
        <w:tcPr>
          <w:tcW w:w="4880" w:type="dxa"/>
          <w:tcMar>
            <w:top w:w="200" w:type="dxa"/>
          </w:tcMar>
          <w:vAlign w:val="center"/>
        </w:tcPr>
        <w:p w:rsidR="00022B47" w:rsidRDefault="00022B47">
          <w:pPr>
            <w:pStyle w:val="Normal48"/>
            <w:jc w:val="center"/>
          </w:pPr>
        </w:p>
      </w:tc>
      <w:tc>
        <w:tcPr>
          <w:tcW w:w="2600" w:type="dxa"/>
          <w:tcMar>
            <w:top w:w="200" w:type="dxa"/>
          </w:tcMar>
          <w:vAlign w:val="center"/>
        </w:tcPr>
        <w:p w:rsidR="00022B47" w:rsidRDefault="00022B47">
          <w:pPr>
            <w:pStyle w:val="Normal48"/>
          </w:pPr>
        </w:p>
      </w:tc>
    </w:tr>
  </w:tbl>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8"/>
      <w:spacing w:before="200"/>
      <w:jc w:val="center"/>
    </w:pP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9"/>
    </w:pP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22B47">
      <w:trPr>
        <w:jc w:val="center"/>
      </w:trPr>
      <w:tc>
        <w:tcPr>
          <w:tcW w:w="2600" w:type="dxa"/>
          <w:tcMar>
            <w:top w:w="200" w:type="dxa"/>
          </w:tcMar>
          <w:vAlign w:val="center"/>
        </w:tcPr>
        <w:p w:rsidR="00022B47" w:rsidRDefault="00022B47">
          <w:pPr>
            <w:pStyle w:val="Normal49"/>
          </w:pPr>
        </w:p>
      </w:tc>
      <w:tc>
        <w:tcPr>
          <w:tcW w:w="4880" w:type="dxa"/>
          <w:tcMar>
            <w:top w:w="200" w:type="dxa"/>
          </w:tcMar>
          <w:vAlign w:val="center"/>
        </w:tcPr>
        <w:p w:rsidR="00022B47" w:rsidRDefault="00022B47">
          <w:pPr>
            <w:pStyle w:val="Normal49"/>
            <w:jc w:val="center"/>
          </w:pPr>
        </w:p>
      </w:tc>
      <w:tc>
        <w:tcPr>
          <w:tcW w:w="2600" w:type="dxa"/>
          <w:tcMar>
            <w:top w:w="200" w:type="dxa"/>
          </w:tcMar>
          <w:vAlign w:val="center"/>
        </w:tcPr>
        <w:p w:rsidR="00022B47" w:rsidRDefault="00022B47">
          <w:pPr>
            <w:pStyle w:val="Normal49"/>
          </w:pPr>
        </w:p>
      </w:tc>
    </w:tr>
  </w:tbl>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9"/>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832EE" w:rsidRDefault="007832EE">
      <w:r>
        <w:separator/>
      </w:r>
    </w:p>
  </w:footnote>
  <w:footnote w:type="continuationSeparator" w:id="0">
    <w:p w:rsidR="007832EE" w:rsidRDefault="007832EE">
      <w:r>
        <w:continuationSeparator/>
      </w:r>
    </w:p>
  </w:footnote>
  <w:footnote w:id="1">
    <w:p w:rsidR="00022B47" w:rsidRDefault="00000000">
      <w:pPr>
        <w:pStyle w:val="Normal0"/>
        <w:widowControl w:val="0"/>
        <w:spacing w:before="120" w:line="240" w:lineRule="atLeast"/>
        <w:jc w:val="both"/>
      </w:pPr>
      <w:r>
        <w:rPr>
          <w:rFonts w:ascii="Arial" w:eastAsia="Arial" w:hAnsi="Arial" w:cs="Arial"/>
          <w:color w:val="000000"/>
          <w:sz w:val="18"/>
          <w:vertAlign w:val="superscript"/>
        </w:rPr>
        <w:t>1 </w:t>
      </w:r>
      <w:bookmarkStart w:id="44" w:name="Bookmark_fnpara_1"/>
      <w:bookmarkEnd w:id="44"/>
      <w:r>
        <w:rPr>
          <w:rFonts w:ascii="Arial" w:eastAsia="Arial" w:hAnsi="Arial" w:cs="Arial"/>
          <w:color w:val="000000"/>
          <w:sz w:val="18"/>
        </w:rPr>
        <w:t>Florida law provides immunity for medical facilities in decisions about staff membership and clinical privileges for doctors "absent intentional fraud." Fla. Stat. § 395.0191(7).</w:t>
      </w:r>
    </w:p>
  </w:footnote>
  <w:footnote w:id="2">
    <w:p w:rsidR="00022B47" w:rsidRDefault="00000000">
      <w:pPr>
        <w:pStyle w:val="Normal1"/>
        <w:widowControl w:val="0"/>
        <w:spacing w:before="120" w:line="240" w:lineRule="atLeast"/>
        <w:jc w:val="both"/>
      </w:pPr>
      <w:r>
        <w:rPr>
          <w:rFonts w:ascii="Arial" w:eastAsia="Arial" w:hAnsi="Arial" w:cs="Arial"/>
          <w:color w:val="000000"/>
          <w:sz w:val="18"/>
          <w:vertAlign w:val="superscript"/>
        </w:rPr>
        <w:t>1 </w:t>
      </w:r>
      <w:bookmarkStart w:id="65" w:name="Bookmark_fnpara_1_0"/>
      <w:bookmarkEnd w:id="65"/>
      <w:r>
        <w:rPr>
          <w:rFonts w:ascii="Arial" w:eastAsia="Arial" w:hAnsi="Arial" w:cs="Arial"/>
          <w:color w:val="000000"/>
          <w:sz w:val="18"/>
        </w:rPr>
        <w:t>Hall stayed in three different units during his detention. Hall's first living unit was a single-occupancy cell in the Jail's administrative segregation wing, while his other two units were "open bunk beds" or "open barracks."</w:t>
      </w:r>
    </w:p>
  </w:footnote>
  <w:footnote w:id="3">
    <w:p w:rsidR="00022B47" w:rsidRDefault="00000000">
      <w:pPr>
        <w:pStyle w:val="Normal1"/>
        <w:widowControl w:val="0"/>
        <w:spacing w:before="200" w:line="240" w:lineRule="atLeast"/>
        <w:jc w:val="both"/>
      </w:pPr>
      <w:r>
        <w:rPr>
          <w:rFonts w:ascii="Arial" w:eastAsia="Arial" w:hAnsi="Arial" w:cs="Arial"/>
          <w:color w:val="000000"/>
          <w:sz w:val="18"/>
          <w:vertAlign w:val="superscript"/>
        </w:rPr>
        <w:t>2 </w:t>
      </w:r>
      <w:bookmarkStart w:id="72" w:name="Bookmark_fnpara_2"/>
      <w:bookmarkStart w:id="73" w:name="Bookmark_I68YT8B128T3W90040000400"/>
      <w:bookmarkEnd w:id="72"/>
      <w:bookmarkEnd w:id="73"/>
      <w:r>
        <w:rPr>
          <w:rFonts w:ascii="Arial" w:eastAsia="Arial" w:hAnsi="Arial" w:cs="Arial"/>
          <w:color w:val="000000"/>
          <w:sz w:val="18"/>
        </w:rPr>
        <w:t xml:space="preserve">Hall brought his deliberate indifference and conditions-of-confinement claims under the Eighth and Fourteenth Amendments. But because Hall was detained at the Jail pretrial, these constitutional claims are properly asserted under only the Fourteenth Amendment. </w:t>
      </w:r>
      <w:r>
        <w:rPr>
          <w:rFonts w:ascii="Arial" w:eastAsia="Arial" w:hAnsi="Arial" w:cs="Arial"/>
          <w:color w:val="000000"/>
          <w:sz w:val="18"/>
          <w:u w:val="single"/>
        </w:rPr>
        <w:t xml:space="preserve">Accord </w:t>
      </w:r>
      <w:bookmarkStart w:id="74" w:name="Bookmark_I68YT8B128T3W90030000400"/>
      <w:bookmarkEnd w:id="74"/>
      <w:r>
        <w:rPr>
          <w:rFonts w:ascii="Arial" w:eastAsia="Arial" w:hAnsi="Arial" w:cs="Arial"/>
          <w:color w:val="000000"/>
          <w:sz w:val="18"/>
          <w:u w:val="single"/>
        </w:rPr>
        <w:t>Stearns v. Inmate Servs. Corp.</w:t>
      </w:r>
      <w:r>
        <w:rPr>
          <w:rFonts w:ascii="Arial" w:eastAsia="Arial" w:hAnsi="Arial" w:cs="Arial"/>
          <w:color w:val="000000"/>
          <w:sz w:val="18"/>
        </w:rPr>
        <w:t xml:space="preserve">, 957 F.3d 902, 906 (8th Cir. 2020) (analyzing the plaintiff's conditions-of-confinement claim "under the Fourteenth Amendment's Due Process Clause rather than the Eighth Amendment" because the plaintiff was "a pretrial detainee"); </w:t>
      </w:r>
      <w:bookmarkStart w:id="75" w:name="Bookmark_I68YT8B128T3W90050000400"/>
      <w:bookmarkEnd w:id="75"/>
      <w:r>
        <w:rPr>
          <w:rFonts w:ascii="Arial" w:eastAsia="Arial" w:hAnsi="Arial" w:cs="Arial"/>
          <w:color w:val="000000"/>
          <w:sz w:val="18"/>
          <w:u w:val="single"/>
        </w:rPr>
        <w:t>Johnson v. Leonard</w:t>
      </w:r>
      <w:r>
        <w:rPr>
          <w:rFonts w:ascii="Arial" w:eastAsia="Arial" w:hAnsi="Arial" w:cs="Arial"/>
          <w:color w:val="000000"/>
          <w:sz w:val="18"/>
        </w:rPr>
        <w:t>, 929 F.3d 569, 575 (8th Cir. 2019) (analyzing the pretrial detainee plaintiff's medical care claim under the Fourteenth Amendment).</w:t>
      </w:r>
    </w:p>
  </w:footnote>
  <w:footnote w:id="4">
    <w:p w:rsidR="00022B47" w:rsidRDefault="00000000">
      <w:pPr>
        <w:pStyle w:val="Normal1"/>
        <w:widowControl w:val="0"/>
        <w:spacing w:before="120" w:line="240" w:lineRule="atLeast"/>
        <w:jc w:val="both"/>
      </w:pPr>
      <w:r>
        <w:rPr>
          <w:rFonts w:ascii="Arial" w:eastAsia="Arial" w:hAnsi="Arial" w:cs="Arial"/>
          <w:color w:val="000000"/>
          <w:sz w:val="18"/>
          <w:vertAlign w:val="superscript"/>
        </w:rPr>
        <w:t>3 </w:t>
      </w:r>
      <w:bookmarkStart w:id="185" w:name="Bookmark_fnpara_3"/>
      <w:bookmarkEnd w:id="185"/>
      <w:r>
        <w:rPr>
          <w:rFonts w:ascii="Arial" w:eastAsia="Arial" w:hAnsi="Arial" w:cs="Arial"/>
          <w:color w:val="000000"/>
          <w:sz w:val="18"/>
        </w:rPr>
        <w:t>Although Hall wore a diaper and may not have used or needed a toilet for his bowel movements, Hall clarified at oral argument that the toilet is "a platform by which he can clean his soiled diaper" and cleanse himself.</w:t>
      </w:r>
    </w:p>
  </w:footnote>
  <w:footnote w:id="5">
    <w:p w:rsidR="00022B47" w:rsidRDefault="00000000">
      <w:pPr>
        <w:pStyle w:val="Normal1"/>
        <w:widowControl w:val="0"/>
        <w:spacing w:before="200" w:line="240" w:lineRule="atLeast"/>
        <w:jc w:val="both"/>
      </w:pPr>
      <w:r>
        <w:rPr>
          <w:rFonts w:ascii="Arial" w:eastAsia="Arial" w:hAnsi="Arial" w:cs="Arial"/>
          <w:color w:val="000000"/>
          <w:sz w:val="18"/>
          <w:vertAlign w:val="superscript"/>
        </w:rPr>
        <w:t>4 </w:t>
      </w:r>
      <w:bookmarkStart w:id="186" w:name="Bookmark_fnpara_4"/>
      <w:bookmarkStart w:id="187" w:name="Bookmark_I68YT8B82SF7SN0030000400"/>
      <w:bookmarkStart w:id="188" w:name="Bookmark_I68YT8B82SF7SN0050000400"/>
      <w:bookmarkEnd w:id="186"/>
      <w:bookmarkEnd w:id="187"/>
      <w:bookmarkEnd w:id="188"/>
      <w:r>
        <w:rPr>
          <w:rFonts w:ascii="Arial" w:eastAsia="Arial" w:hAnsi="Arial" w:cs="Arial"/>
          <w:color w:val="000000"/>
          <w:sz w:val="18"/>
        </w:rPr>
        <w:t xml:space="preserve">As to Hall's argument that the Jail discriminated against him because it failed to accommodate his need for handicap-accessible showers, Hall did not raise a disability discrimination claim regarding access to showers in his complaint, </w:t>
      </w:r>
      <w:r>
        <w:rPr>
          <w:rFonts w:ascii="Arial" w:eastAsia="Arial" w:hAnsi="Arial" w:cs="Arial"/>
          <w:color w:val="000000"/>
          <w:sz w:val="18"/>
          <w:u w:val="single"/>
        </w:rPr>
        <w:t xml:space="preserve">see </w:t>
      </w:r>
      <w:bookmarkStart w:id="189" w:name="Bookmark_I68YT8B82SF7SN0020000400"/>
      <w:bookmarkEnd w:id="189"/>
      <w:r>
        <w:rPr>
          <w:rFonts w:ascii="Arial" w:eastAsia="Arial" w:hAnsi="Arial" w:cs="Arial"/>
          <w:color w:val="000000"/>
          <w:sz w:val="18"/>
          <w:u w:val="single"/>
        </w:rPr>
        <w:t>N. States Power Co. v. Fed. Transit Admin.</w:t>
      </w:r>
      <w:r>
        <w:rPr>
          <w:rFonts w:ascii="Arial" w:eastAsia="Arial" w:hAnsi="Arial" w:cs="Arial"/>
          <w:color w:val="000000"/>
          <w:sz w:val="18"/>
        </w:rPr>
        <w:t>, 358 F.3d 1050, 1057 (8th Cir. 2004) (</w:t>
      </w:r>
      <w:bookmarkStart w:id="190" w:name="Bookmark_LNHNREFclscc12"/>
      <w:bookmarkEnd w:id="190"/>
      <w:r>
        <w:rPr>
          <w:rFonts w:ascii="Arial" w:eastAsia="Arial" w:hAnsi="Arial" w:cs="Arial"/>
          <w:color w:val="000000"/>
          <w:sz w:val="18"/>
        </w:rPr>
        <w:t xml:space="preserve">explaining that parties are not "entitle[d] . . . to manufacture claims, which were not pled, late into the litigation for the purpose of avoiding summary judgment"), nor did he develop such an argument under the ADA before the district court at summary judgment. </w:t>
      </w:r>
      <w:r>
        <w:rPr>
          <w:rFonts w:ascii="Arial" w:eastAsia="Arial" w:hAnsi="Arial" w:cs="Arial"/>
          <w:color w:val="000000"/>
          <w:sz w:val="18"/>
          <w:u w:val="single"/>
        </w:rPr>
        <w:t xml:space="preserve">See </w:t>
      </w:r>
      <w:bookmarkStart w:id="191" w:name="Bookmark_I68YT8B82SF7SN0040000400"/>
      <w:bookmarkEnd w:id="191"/>
      <w:r>
        <w:rPr>
          <w:rFonts w:ascii="Arial" w:eastAsia="Arial" w:hAnsi="Arial" w:cs="Arial"/>
          <w:color w:val="000000"/>
          <w:sz w:val="18"/>
          <w:u w:val="single"/>
        </w:rPr>
        <w:t>Cole v. Int'l Union, United Auto., Aerospace &amp; Agric. Implement Workers of Am.</w:t>
      </w:r>
      <w:r>
        <w:rPr>
          <w:rFonts w:ascii="Arial" w:eastAsia="Arial" w:hAnsi="Arial" w:cs="Arial"/>
          <w:color w:val="000000"/>
          <w:sz w:val="18"/>
        </w:rPr>
        <w:t>, 533 F.3d 932, 936 (8th Cir. 2008) ("[A] party cannot assert arguments that were not presented to the district court in opposing summary judgment in an appeal contesting an adverse grant of summary judgment."). As a result, the accessibility of the Jail's showers is not properly before us.</w:t>
      </w:r>
    </w:p>
  </w:footnote>
  <w:footnote w:id="6">
    <w:p w:rsidR="00022B47" w:rsidRDefault="00000000">
      <w:pPr>
        <w:pStyle w:val="Normal1"/>
        <w:widowControl w:val="0"/>
        <w:spacing w:before="120" w:line="240" w:lineRule="atLeast"/>
        <w:jc w:val="both"/>
      </w:pPr>
      <w:r>
        <w:rPr>
          <w:rFonts w:ascii="Arial" w:eastAsia="Arial" w:hAnsi="Arial" w:cs="Arial"/>
          <w:color w:val="000000"/>
          <w:sz w:val="18"/>
          <w:vertAlign w:val="superscript"/>
        </w:rPr>
        <w:t>5 </w:t>
      </w:r>
      <w:bookmarkStart w:id="223" w:name="Bookmark_fnpara_5"/>
      <w:bookmarkEnd w:id="223"/>
      <w:r>
        <w:rPr>
          <w:rFonts w:ascii="Arial" w:eastAsia="Arial" w:hAnsi="Arial" w:cs="Arial"/>
          <w:color w:val="000000"/>
          <w:sz w:val="18"/>
        </w:rPr>
        <w:t>We express no opinion on whether the accommodations sought by Hall were reasonable or even available. These are questions that the district court may evaluate on remand.</w:t>
      </w:r>
    </w:p>
  </w:footnote>
  <w:footnote w:id="7">
    <w:p w:rsidR="00022B47" w:rsidRDefault="00000000">
      <w:pPr>
        <w:pStyle w:val="Normal2"/>
        <w:widowControl w:val="0"/>
        <w:spacing w:before="200" w:line="240" w:lineRule="atLeast"/>
        <w:jc w:val="both"/>
      </w:pPr>
      <w:r>
        <w:rPr>
          <w:rFonts w:ascii="Arial" w:eastAsia="Arial" w:hAnsi="Arial" w:cs="Arial"/>
          <w:color w:val="000000"/>
          <w:sz w:val="18"/>
          <w:vertAlign w:val="superscript"/>
        </w:rPr>
        <w:t>1 </w:t>
      </w:r>
      <w:bookmarkStart w:id="356" w:name="Bookmark_fnpara_1_1"/>
      <w:bookmarkStart w:id="357" w:name="Bookmark_I68VKRDT2N1R6D0040000400"/>
      <w:bookmarkStart w:id="358" w:name="Bookmark_I68VKRDT2N1R6D0030000400"/>
      <w:bookmarkEnd w:id="356"/>
      <w:bookmarkEnd w:id="357"/>
      <w:bookmarkEnd w:id="358"/>
      <w:r>
        <w:rPr>
          <w:rFonts w:ascii="Arial" w:eastAsia="Arial" w:hAnsi="Arial" w:cs="Arial"/>
          <w:i/>
          <w:color w:val="000000"/>
          <w:sz w:val="18"/>
        </w:rPr>
        <w:t>Regan</w:t>
      </w:r>
      <w:r>
        <w:rPr>
          <w:rFonts w:ascii="Arial" w:eastAsia="Arial" w:hAnsi="Arial" w:cs="Arial"/>
          <w:color w:val="000000"/>
          <w:sz w:val="18"/>
        </w:rPr>
        <w:t xml:space="preserve"> and </w:t>
      </w:r>
      <w:bookmarkStart w:id="359" w:name="Bookmark_I68VKRDT2N1R6D0050000400"/>
      <w:bookmarkEnd w:id="359"/>
      <w:r>
        <w:rPr>
          <w:rFonts w:ascii="Arial" w:eastAsia="Arial" w:hAnsi="Arial" w:cs="Arial"/>
          <w:i/>
          <w:color w:val="000000"/>
          <w:sz w:val="18"/>
        </w:rPr>
        <w:t>Unrein</w:t>
      </w:r>
      <w:bookmarkStart w:id="360" w:name="Bookmark_I68VKRDT28T3WW0050000400"/>
      <w:bookmarkEnd w:id="360"/>
      <w:r>
        <w:rPr>
          <w:rFonts w:ascii="Arial" w:eastAsia="Arial" w:hAnsi="Arial" w:cs="Arial"/>
          <w:color w:val="000000"/>
          <w:sz w:val="18"/>
        </w:rPr>
        <w:t xml:space="preserve"> both cited a non-precedential Ninth Circuit decision, </w:t>
      </w:r>
      <w:bookmarkStart w:id="361" w:name="Bookmark_I68VKRDT28T3WW0020000400"/>
      <w:bookmarkEnd w:id="361"/>
      <w:r>
        <w:rPr>
          <w:rFonts w:ascii="Arial" w:eastAsia="Arial" w:hAnsi="Arial" w:cs="Arial"/>
          <w:i/>
          <w:color w:val="000000"/>
          <w:sz w:val="18"/>
        </w:rPr>
        <w:t>Robinson v. Bodman</w:t>
      </w:r>
      <w:r>
        <w:rPr>
          <w:rFonts w:ascii="Arial" w:eastAsia="Arial" w:hAnsi="Arial" w:cs="Arial"/>
          <w:color w:val="000000"/>
          <w:sz w:val="18"/>
        </w:rPr>
        <w:t xml:space="preserve">, 333 F. App'x 205 (9th Cir. 2009), in which the employer refused plaintiff's requested accommodation of being allowed to work from home full-time. </w:t>
      </w:r>
      <w:bookmarkStart w:id="362" w:name="Bookmark_I68VKRDT28T3WW0050000400_2"/>
      <w:bookmarkStart w:id="363" w:name="Bookmark_I68VKRDT2N1R6F0020000400"/>
      <w:bookmarkEnd w:id="362"/>
      <w:bookmarkEnd w:id="363"/>
      <w:r>
        <w:rPr>
          <w:rFonts w:ascii="Arial" w:eastAsia="Arial" w:hAnsi="Arial" w:cs="Arial"/>
          <w:color w:val="000000"/>
          <w:sz w:val="18"/>
        </w:rPr>
        <w:t xml:space="preserve">Plaintiff's work from home had not been satisfactory. </w:t>
      </w:r>
      <w:bookmarkStart w:id="364" w:name="Bookmark_I68VKRDT2N1R6F0040000400"/>
      <w:bookmarkStart w:id="365" w:name="Bookmark_I68VKRDT28T3WW0040000400"/>
      <w:bookmarkEnd w:id="364"/>
      <w:bookmarkEnd w:id="365"/>
      <w:r>
        <w:rPr>
          <w:rFonts w:ascii="Arial" w:eastAsia="Arial" w:hAnsi="Arial" w:cs="Arial"/>
          <w:i/>
          <w:color w:val="000000"/>
          <w:sz w:val="18"/>
        </w:rPr>
        <w:t>Id.</w:t>
      </w:r>
      <w:r>
        <w:rPr>
          <w:rFonts w:ascii="Arial" w:eastAsia="Arial" w:hAnsi="Arial" w:cs="Arial"/>
          <w:color w:val="000000"/>
          <w:sz w:val="18"/>
        </w:rPr>
        <w:t xml:space="preserve"> at 208. </w:t>
      </w:r>
      <w:bookmarkStart w:id="366" w:name="Bookmark_I68VKRDT2N1R6F0040000400_2"/>
      <w:bookmarkStart w:id="367" w:name="Bookmark_I68VKRDT2N1R6F0020000400_2"/>
      <w:bookmarkEnd w:id="366"/>
      <w:bookmarkEnd w:id="367"/>
      <w:r>
        <w:rPr>
          <w:rFonts w:ascii="Arial" w:eastAsia="Arial" w:hAnsi="Arial" w:cs="Arial"/>
          <w:color w:val="000000"/>
          <w:sz w:val="18"/>
        </w:rPr>
        <w:t xml:space="preserve">The Ninth Circuit also said the employer was not required to accommodate the plaintiff's transportation problems: "the employer is not required to eliminate barriers outside the workplace that make it more difficult for the employee to get to and from work (unless the employer makes such accommodations for its employees who do not have disabilities, which the [the employer] does not)." </w:t>
      </w:r>
      <w:r>
        <w:rPr>
          <w:rFonts w:ascii="Arial" w:eastAsia="Arial" w:hAnsi="Arial" w:cs="Arial"/>
          <w:i/>
          <w:color w:val="000000"/>
          <w:sz w:val="18"/>
        </w:rPr>
        <w:t>Id.</w:t>
      </w:r>
      <w:r>
        <w:rPr>
          <w:rFonts w:ascii="Arial" w:eastAsia="Arial" w:hAnsi="Arial" w:cs="Arial"/>
          <w:color w:val="000000"/>
          <w:sz w:val="18"/>
        </w:rPr>
        <w:t xml:space="preserve">, citing </w:t>
      </w:r>
      <w:bookmarkStart w:id="368" w:name="Bookmark_I68VKRDT2N1R6F0010000400"/>
      <w:bookmarkEnd w:id="368"/>
      <w:r>
        <w:rPr>
          <w:rFonts w:ascii="Arial" w:eastAsia="Arial" w:hAnsi="Arial" w:cs="Arial"/>
          <w:i/>
          <w:color w:val="000000"/>
          <w:sz w:val="18"/>
        </w:rPr>
        <w:t>Salmon v. Dade Cty. Sch. Bd.</w:t>
      </w:r>
      <w:r>
        <w:rPr>
          <w:rFonts w:ascii="Arial" w:eastAsia="Arial" w:hAnsi="Arial" w:cs="Arial"/>
          <w:color w:val="000000"/>
          <w:sz w:val="18"/>
        </w:rPr>
        <w:t xml:space="preserve">, 4 F. Supp. 2d 1157, 1163 (S.D. Fla. 1998), an opinion by Judge Gold granting summary judgment that has been cited frequently in cases on accommodation requests involving commuting and work schedules. </w:t>
      </w:r>
      <w:bookmarkStart w:id="369" w:name="Bookmark_I68VKRDT2N1R6F0040000400_3"/>
      <w:bookmarkStart w:id="370" w:name="Bookmark_I68VKRDT2N1R6F0030000400"/>
      <w:bookmarkEnd w:id="369"/>
      <w:bookmarkEnd w:id="370"/>
      <w:r>
        <w:rPr>
          <w:rFonts w:ascii="Arial" w:eastAsia="Arial" w:hAnsi="Arial" w:cs="Arial"/>
          <w:i/>
          <w:color w:val="000000"/>
          <w:sz w:val="18"/>
        </w:rPr>
        <w:t>Robinson</w:t>
      </w:r>
      <w:r>
        <w:rPr>
          <w:rFonts w:ascii="Arial" w:eastAsia="Arial" w:hAnsi="Arial" w:cs="Arial"/>
          <w:color w:val="000000"/>
          <w:sz w:val="18"/>
        </w:rPr>
        <w:t xml:space="preserve"> is not precedential and is easily distinguishable from this case on its facts.</w:t>
      </w:r>
    </w:p>
  </w:footnote>
  <w:footnote w:id="8">
    <w:p w:rsidR="00022B47" w:rsidRDefault="00000000">
      <w:pPr>
        <w:pStyle w:val="Normal2"/>
        <w:widowControl w:val="0"/>
        <w:spacing w:before="200" w:line="240" w:lineRule="atLeast"/>
        <w:jc w:val="both"/>
      </w:pPr>
      <w:r>
        <w:rPr>
          <w:rFonts w:ascii="Arial" w:eastAsia="Arial" w:hAnsi="Arial" w:cs="Arial"/>
          <w:color w:val="000000"/>
          <w:sz w:val="18"/>
          <w:vertAlign w:val="superscript"/>
        </w:rPr>
        <w:t>2 </w:t>
      </w:r>
      <w:bookmarkStart w:id="471" w:name="Bookmark_fnpara_2_0"/>
      <w:bookmarkEnd w:id="471"/>
      <w:r>
        <w:rPr>
          <w:rFonts w:ascii="Arial" w:eastAsia="Arial" w:hAnsi="Arial" w:cs="Arial"/>
          <w:color w:val="000000"/>
          <w:sz w:val="18"/>
        </w:rPr>
        <w:t xml:space="preserve">We acknowledge some tension among our ADA and Rehabilitation Act cases regarding whether a disabled employee may be entitled to a reasonable accommodation even if his disability does not affect an essential function of the job. Compare </w:t>
      </w:r>
      <w:bookmarkStart w:id="472" w:name="Bookmark_I68VKRDX2SF7SF0040000400"/>
      <w:bookmarkEnd w:id="472"/>
      <w:r>
        <w:rPr>
          <w:rFonts w:ascii="Arial" w:eastAsia="Arial" w:hAnsi="Arial" w:cs="Arial"/>
          <w:i/>
          <w:color w:val="000000"/>
          <w:sz w:val="18"/>
        </w:rPr>
        <w:t>Brumfield</w:t>
      </w:r>
      <w:r>
        <w:rPr>
          <w:rFonts w:ascii="Arial" w:eastAsia="Arial" w:hAnsi="Arial" w:cs="Arial"/>
          <w:color w:val="000000"/>
          <w:sz w:val="18"/>
        </w:rPr>
        <w:t xml:space="preserve">, 735 F.3d at 632-33 (answering no), with </w:t>
      </w:r>
      <w:bookmarkStart w:id="473" w:name="Bookmark_I68VKRDX28T3XH0010000400"/>
      <w:bookmarkEnd w:id="473"/>
      <w:r>
        <w:rPr>
          <w:rFonts w:ascii="Arial" w:eastAsia="Arial" w:hAnsi="Arial" w:cs="Arial"/>
          <w:i/>
          <w:color w:val="000000"/>
          <w:sz w:val="18"/>
        </w:rPr>
        <w:t>McWright v. Alexander</w:t>
      </w:r>
      <w:r>
        <w:rPr>
          <w:rFonts w:ascii="Arial" w:eastAsia="Arial" w:hAnsi="Arial" w:cs="Arial"/>
          <w:color w:val="000000"/>
          <w:sz w:val="18"/>
        </w:rPr>
        <w:t xml:space="preserve">, 982 F.2d 222, 227 (7th Cir. 1992) (answering yes), and </w:t>
      </w:r>
      <w:bookmarkStart w:id="474" w:name="Bookmark_I68VKRDX28T3XH0030000400"/>
      <w:bookmarkEnd w:id="474"/>
      <w:r>
        <w:rPr>
          <w:rFonts w:ascii="Arial" w:eastAsia="Arial" w:hAnsi="Arial" w:cs="Arial"/>
          <w:i/>
          <w:color w:val="000000"/>
          <w:sz w:val="18"/>
        </w:rPr>
        <w:t>Fedro v. Reno</w:t>
      </w:r>
      <w:r>
        <w:rPr>
          <w:rFonts w:ascii="Arial" w:eastAsia="Arial" w:hAnsi="Arial" w:cs="Arial"/>
          <w:color w:val="000000"/>
          <w:sz w:val="18"/>
        </w:rPr>
        <w:t>, 21 F.3d 1391, 1395-96 (7th Cir. 1994) (answering yes). Because Kimmons' impairment could have affected the essential job function of workplace attendance, we do not try to resolve this tension here.</w:t>
      </w:r>
    </w:p>
  </w:footnote>
  <w:footnote w:id="9">
    <w:p w:rsidR="00022B47" w:rsidRDefault="00000000">
      <w:pPr>
        <w:pStyle w:val="Normal3"/>
        <w:widowControl w:val="0"/>
        <w:spacing w:before="200" w:line="240" w:lineRule="atLeast"/>
        <w:jc w:val="both"/>
      </w:pPr>
      <w:r>
        <w:rPr>
          <w:rFonts w:ascii="Arial" w:eastAsia="Arial" w:hAnsi="Arial" w:cs="Arial"/>
          <w:color w:val="000000"/>
          <w:sz w:val="18"/>
          <w:vertAlign w:val="superscript"/>
        </w:rPr>
        <w:t>* </w:t>
      </w:r>
      <w:bookmarkStart w:id="491" w:name="Bookmark_fnpara_1_2"/>
      <w:bookmarkEnd w:id="491"/>
      <w:r>
        <w:rPr>
          <w:rFonts w:ascii="Arial" w:eastAsia="Arial" w:hAnsi="Arial" w:cs="Arial"/>
          <w:color w:val="000000"/>
          <w:sz w:val="18"/>
        </w:rPr>
        <w:t xml:space="preserve">This opinion is not designated for publication. </w:t>
      </w:r>
      <w:r>
        <w:rPr>
          <w:rFonts w:ascii="Arial" w:eastAsia="Arial" w:hAnsi="Arial" w:cs="Arial"/>
          <w:i/>
          <w:color w:val="000000"/>
          <w:sz w:val="18"/>
        </w:rPr>
        <w:t>See</w:t>
      </w:r>
      <w:r>
        <w:rPr>
          <w:rFonts w:ascii="Arial" w:eastAsia="Arial" w:hAnsi="Arial" w:cs="Arial"/>
          <w:color w:val="000000"/>
          <w:sz w:val="18"/>
        </w:rPr>
        <w:t xml:space="preserve"> </w:t>
      </w:r>
      <w:r>
        <w:rPr>
          <w:rFonts w:ascii="Arial" w:eastAsia="Arial" w:hAnsi="Arial" w:cs="Arial"/>
          <w:smallCaps/>
          <w:color w:val="000000"/>
          <w:sz w:val="18"/>
        </w:rPr>
        <w:t>5th Cir. R.</w:t>
      </w:r>
      <w:r>
        <w:rPr>
          <w:rFonts w:ascii="Arial" w:eastAsia="Arial" w:hAnsi="Arial" w:cs="Arial"/>
          <w:color w:val="000000"/>
          <w:sz w:val="18"/>
        </w:rPr>
        <w:t xml:space="preserve"> 47.5.</w:t>
      </w:r>
    </w:p>
  </w:footnote>
  <w:footnote w:id="10">
    <w:p w:rsidR="00022B47" w:rsidRDefault="00000000">
      <w:pPr>
        <w:pStyle w:val="Normal3"/>
        <w:widowControl w:val="0"/>
        <w:spacing w:before="120" w:line="240" w:lineRule="atLeast"/>
        <w:jc w:val="both"/>
      </w:pPr>
      <w:r>
        <w:rPr>
          <w:rFonts w:ascii="Arial" w:eastAsia="Arial" w:hAnsi="Arial" w:cs="Arial"/>
          <w:color w:val="000000"/>
          <w:sz w:val="18"/>
          <w:vertAlign w:val="superscript"/>
        </w:rPr>
        <w:t>1 </w:t>
      </w:r>
      <w:bookmarkStart w:id="502" w:name="Bookmark_fnpara_2_1"/>
      <w:bookmarkEnd w:id="502"/>
      <w:r>
        <w:rPr>
          <w:rFonts w:ascii="Arial" w:eastAsia="Arial" w:hAnsi="Arial" w:cs="Arial"/>
          <w:color w:val="000000"/>
          <w:sz w:val="18"/>
        </w:rPr>
        <w:t>Garcia never amended his failure-to-train claims against Rowe and Hood.</w:t>
      </w:r>
    </w:p>
  </w:footnote>
  <w:footnote w:id="11">
    <w:p w:rsidR="00022B47" w:rsidRDefault="00000000">
      <w:pPr>
        <w:pStyle w:val="Normal3"/>
        <w:widowControl w:val="0"/>
        <w:spacing w:before="120" w:line="240" w:lineRule="atLeast"/>
        <w:jc w:val="both"/>
      </w:pPr>
      <w:r>
        <w:rPr>
          <w:rFonts w:ascii="Arial" w:eastAsia="Arial" w:hAnsi="Arial" w:cs="Arial"/>
          <w:color w:val="000000"/>
          <w:sz w:val="18"/>
          <w:vertAlign w:val="superscript"/>
        </w:rPr>
        <w:t>2 </w:t>
      </w:r>
      <w:bookmarkStart w:id="506" w:name="Bookmark_fnpara_3_0"/>
      <w:bookmarkEnd w:id="506"/>
      <w:r>
        <w:rPr>
          <w:rFonts w:ascii="Arial" w:eastAsia="Arial" w:hAnsi="Arial" w:cs="Arial"/>
          <w:color w:val="000000"/>
          <w:sz w:val="18"/>
        </w:rPr>
        <w:t>Garcia does not appeal the district court's summary judgment for the City, instead choosing only to pursue his claim against the County.</w:t>
      </w:r>
    </w:p>
  </w:footnote>
  <w:footnote w:id="12">
    <w:p w:rsidR="00022B47" w:rsidRDefault="00000000">
      <w:pPr>
        <w:pStyle w:val="Normal3"/>
        <w:widowControl w:val="0"/>
        <w:spacing w:before="120" w:line="240" w:lineRule="atLeast"/>
        <w:jc w:val="both"/>
      </w:pPr>
      <w:r>
        <w:rPr>
          <w:rFonts w:ascii="Arial" w:eastAsia="Arial" w:hAnsi="Arial" w:cs="Arial"/>
          <w:color w:val="000000"/>
          <w:sz w:val="18"/>
          <w:vertAlign w:val="superscript"/>
        </w:rPr>
        <w:t>3 </w:t>
      </w:r>
      <w:bookmarkStart w:id="537" w:name="Bookmark_fnpara_4_0"/>
      <w:bookmarkEnd w:id="537"/>
      <w:r>
        <w:rPr>
          <w:rFonts w:ascii="Arial" w:eastAsia="Arial" w:hAnsi="Arial" w:cs="Arial"/>
          <w:color w:val="000000"/>
          <w:sz w:val="18"/>
        </w:rPr>
        <w:t>Garcia does not appeal the district court's dismissal of Ybarra and Monzingo.</w:t>
      </w:r>
    </w:p>
  </w:footnote>
  <w:footnote w:id="13">
    <w:p w:rsidR="00022B47" w:rsidRDefault="00000000">
      <w:pPr>
        <w:pStyle w:val="Normal3"/>
        <w:widowControl w:val="0"/>
        <w:spacing w:before="200" w:line="240" w:lineRule="atLeast"/>
        <w:jc w:val="both"/>
      </w:pPr>
      <w:r>
        <w:rPr>
          <w:rFonts w:ascii="Arial" w:eastAsia="Arial" w:hAnsi="Arial" w:cs="Arial"/>
          <w:color w:val="000000"/>
          <w:sz w:val="18"/>
          <w:vertAlign w:val="superscript"/>
        </w:rPr>
        <w:t>4 </w:t>
      </w:r>
      <w:bookmarkStart w:id="588" w:name="Bookmark_fnpara_5_0"/>
      <w:bookmarkStart w:id="589" w:name="Bookmark_I68SX06K2SF84S0040000400"/>
      <w:bookmarkEnd w:id="588"/>
      <w:bookmarkEnd w:id="589"/>
      <w:r>
        <w:rPr>
          <w:rFonts w:ascii="Arial" w:eastAsia="Arial" w:hAnsi="Arial" w:cs="Arial"/>
          <w:color w:val="000000"/>
          <w:sz w:val="18"/>
        </w:rPr>
        <w:t xml:space="preserve">Garcia sued Conklin and Ellison for false arrest at the district court, which granted them qualified immunity. He does not pursue this claim on appeal, so he has waived it. </w:t>
      </w:r>
      <w:r>
        <w:rPr>
          <w:rFonts w:ascii="Arial" w:eastAsia="Arial" w:hAnsi="Arial" w:cs="Arial"/>
          <w:i/>
          <w:color w:val="000000"/>
          <w:sz w:val="18"/>
        </w:rPr>
        <w:t xml:space="preserve">See </w:t>
      </w:r>
      <w:bookmarkStart w:id="590" w:name="Bookmark_I68SX06K2SF84S0030000400"/>
      <w:bookmarkEnd w:id="590"/>
      <w:r>
        <w:rPr>
          <w:rFonts w:ascii="Arial" w:eastAsia="Arial" w:hAnsi="Arial" w:cs="Arial"/>
          <w:i/>
          <w:color w:val="000000"/>
          <w:sz w:val="18"/>
        </w:rPr>
        <w:t>Roy</w:t>
      </w:r>
      <w:r>
        <w:rPr>
          <w:rFonts w:ascii="Arial" w:eastAsia="Arial" w:hAnsi="Arial" w:cs="Arial"/>
          <w:color w:val="000000"/>
          <w:sz w:val="18"/>
        </w:rPr>
        <w:t>, 950 F.3d at 251.</w:t>
      </w:r>
    </w:p>
  </w:footnote>
  <w:footnote w:id="14">
    <w:p w:rsidR="00022B47" w:rsidRDefault="00000000">
      <w:pPr>
        <w:pStyle w:val="Normal3"/>
        <w:widowControl w:val="0"/>
        <w:spacing w:before="200" w:line="240" w:lineRule="atLeast"/>
        <w:jc w:val="both"/>
      </w:pPr>
      <w:r>
        <w:rPr>
          <w:rFonts w:ascii="Arial" w:eastAsia="Arial" w:hAnsi="Arial" w:cs="Arial"/>
          <w:color w:val="000000"/>
          <w:sz w:val="18"/>
          <w:vertAlign w:val="superscript"/>
        </w:rPr>
        <w:t>5 </w:t>
      </w:r>
      <w:bookmarkStart w:id="597" w:name="Bookmark_fnpara_6"/>
      <w:bookmarkStart w:id="598" w:name="Bookmark_I68SX06K28T48V0050000400"/>
      <w:bookmarkStart w:id="599" w:name="Bookmark_I5MGJNXCY9Y00008SRH00008"/>
      <w:bookmarkStart w:id="600" w:name="Bookmark_I68SX06M2N1RKF0020000400"/>
      <w:bookmarkEnd w:id="597"/>
      <w:bookmarkEnd w:id="598"/>
      <w:bookmarkEnd w:id="599"/>
      <w:bookmarkEnd w:id="600"/>
      <w:r>
        <w:rPr>
          <w:rFonts w:ascii="Arial" w:eastAsia="Arial" w:hAnsi="Arial" w:cs="Arial"/>
          <w:color w:val="000000"/>
          <w:sz w:val="18"/>
        </w:rPr>
        <w:t xml:space="preserve">Much has been made about the subjective prong of the deliberate indifference analysis in this court. </w:t>
      </w:r>
      <w:r>
        <w:rPr>
          <w:rFonts w:ascii="Arial" w:eastAsia="Arial" w:hAnsi="Arial" w:cs="Arial"/>
          <w:i/>
          <w:color w:val="000000"/>
          <w:sz w:val="18"/>
        </w:rPr>
        <w:t xml:space="preserve">See, e.g., </w:t>
      </w:r>
      <w:bookmarkStart w:id="601" w:name="Bookmark_I68SX06K28T48V0040000400"/>
      <w:bookmarkEnd w:id="601"/>
      <w:r>
        <w:rPr>
          <w:rFonts w:ascii="Arial" w:eastAsia="Arial" w:hAnsi="Arial" w:cs="Arial"/>
          <w:i/>
          <w:color w:val="000000"/>
          <w:sz w:val="18"/>
        </w:rPr>
        <w:t>Garza</w:t>
      </w:r>
      <w:r>
        <w:rPr>
          <w:rFonts w:ascii="Arial" w:eastAsia="Arial" w:hAnsi="Arial" w:cs="Arial"/>
          <w:color w:val="000000"/>
          <w:sz w:val="18"/>
        </w:rPr>
        <w:t xml:space="preserve">, 922 F.3d at 636 (collecting cases on the subjective requirement). In </w:t>
      </w:r>
      <w:bookmarkStart w:id="602" w:name="Bookmark_I68SX06M2N1RKF0020000400_2"/>
      <w:bookmarkStart w:id="603" w:name="Bookmark_I68SX06K28T48V0050000400_2"/>
      <w:bookmarkStart w:id="604" w:name="Bookmark_I68SX06M2N1RKF0010000400"/>
      <w:bookmarkEnd w:id="602"/>
      <w:bookmarkEnd w:id="603"/>
      <w:bookmarkEnd w:id="604"/>
      <w:r>
        <w:rPr>
          <w:rFonts w:ascii="Arial" w:eastAsia="Arial" w:hAnsi="Arial" w:cs="Arial"/>
          <w:i/>
          <w:color w:val="000000"/>
          <w:sz w:val="18"/>
        </w:rPr>
        <w:t>Garza</w:t>
      </w:r>
      <w:r>
        <w:rPr>
          <w:rFonts w:ascii="Arial" w:eastAsia="Arial" w:hAnsi="Arial" w:cs="Arial"/>
          <w:color w:val="000000"/>
          <w:sz w:val="18"/>
        </w:rPr>
        <w:t xml:space="preserve">, we clarified that the subjective inquiry in a deliberate indifference analysis focuses on the </w:t>
      </w:r>
      <w:r>
        <w:rPr>
          <w:rFonts w:ascii="Arial" w:eastAsia="Arial" w:hAnsi="Arial" w:cs="Arial"/>
          <w:i/>
          <w:color w:val="000000"/>
          <w:sz w:val="18"/>
        </w:rPr>
        <w:t>knowledge</w:t>
      </w:r>
      <w:r>
        <w:rPr>
          <w:rFonts w:ascii="Arial" w:eastAsia="Arial" w:hAnsi="Arial" w:cs="Arial"/>
          <w:color w:val="000000"/>
          <w:sz w:val="18"/>
        </w:rPr>
        <w:t xml:space="preserve"> that a defendant has, not the defendant's intent to cause harm. Thus, we only analyze: (1) what Officers Conklin and Ellison knew when they arrested Garcia and (2) whether they consciously disregarded an excessive risk despite this knowledge.</w:t>
      </w:r>
    </w:p>
  </w:footnote>
  <w:footnote w:id="15">
    <w:p w:rsidR="00022B47" w:rsidRDefault="00000000">
      <w:pPr>
        <w:pStyle w:val="Normal3"/>
        <w:widowControl w:val="0"/>
        <w:spacing w:before="200" w:line="240" w:lineRule="atLeast"/>
        <w:jc w:val="both"/>
      </w:pPr>
      <w:r>
        <w:rPr>
          <w:rFonts w:ascii="Arial" w:eastAsia="Arial" w:hAnsi="Arial" w:cs="Arial"/>
          <w:color w:val="000000"/>
          <w:sz w:val="18"/>
          <w:vertAlign w:val="superscript"/>
        </w:rPr>
        <w:t>6 </w:t>
      </w:r>
      <w:bookmarkStart w:id="617" w:name="Bookmark_fnpara_7"/>
      <w:bookmarkStart w:id="618" w:name="Bookmark_LNHNREFclscc9_1"/>
      <w:bookmarkEnd w:id="617"/>
      <w:bookmarkEnd w:id="618"/>
      <w:r>
        <w:rPr>
          <w:rFonts w:ascii="Arial" w:eastAsia="Arial" w:hAnsi="Arial" w:cs="Arial"/>
          <w:i/>
          <w:color w:val="000000"/>
          <w:sz w:val="18"/>
        </w:rPr>
        <w:t xml:space="preserve">See </w:t>
      </w:r>
      <w:bookmarkStart w:id="619" w:name="Bookmark_I68SX06M2D6NSC0010000400"/>
      <w:bookmarkEnd w:id="619"/>
      <w:r>
        <w:rPr>
          <w:rFonts w:ascii="Arial" w:eastAsia="Arial" w:hAnsi="Arial" w:cs="Arial"/>
          <w:i/>
          <w:color w:val="000000"/>
          <w:sz w:val="18"/>
        </w:rPr>
        <w:t>Thompson</w:t>
      </w:r>
      <w:r>
        <w:rPr>
          <w:rFonts w:ascii="Arial" w:eastAsia="Arial" w:hAnsi="Arial" w:cs="Arial"/>
          <w:color w:val="000000"/>
          <w:sz w:val="18"/>
        </w:rPr>
        <w:t>, 245 F.3d at 459 (explaining that "deliberate indifference cannot be inferred merely from a negligent or even a grossly negligent response to a substantial risk of serious harm").</w:t>
      </w:r>
    </w:p>
  </w:footnote>
  <w:footnote w:id="16">
    <w:p w:rsidR="00022B47" w:rsidRDefault="00000000">
      <w:pPr>
        <w:pStyle w:val="Normal3"/>
        <w:widowControl w:val="0"/>
        <w:spacing w:before="200" w:line="240" w:lineRule="atLeast"/>
        <w:jc w:val="both"/>
      </w:pPr>
      <w:r>
        <w:rPr>
          <w:rFonts w:ascii="Arial" w:eastAsia="Arial" w:hAnsi="Arial" w:cs="Arial"/>
          <w:color w:val="000000"/>
          <w:sz w:val="18"/>
          <w:vertAlign w:val="superscript"/>
        </w:rPr>
        <w:t>7 </w:t>
      </w:r>
      <w:bookmarkStart w:id="668" w:name="Bookmark_fnpara_8"/>
      <w:bookmarkEnd w:id="668"/>
      <w:r>
        <w:rPr>
          <w:rFonts w:ascii="Arial" w:eastAsia="Arial" w:hAnsi="Arial" w:cs="Arial"/>
          <w:color w:val="000000"/>
          <w:sz w:val="18"/>
        </w:rPr>
        <w:t xml:space="preserve">Garcia advanced two more arguments in addition to conditions of confinement and violation of the ADA at the district court: An episodic-acts-or-omissions claim and a failure-to-train claim. </w:t>
      </w:r>
      <w:bookmarkStart w:id="669" w:name="Bookmark_I68SX06M2HM6RM0020000400"/>
      <w:bookmarkEnd w:id="669"/>
      <w:r>
        <w:rPr>
          <w:rFonts w:ascii="Arial" w:eastAsia="Arial" w:hAnsi="Arial" w:cs="Arial"/>
          <w:color w:val="000000"/>
          <w:sz w:val="18"/>
        </w:rPr>
        <w:t xml:space="preserve">He has expressly abandoned his episodic-acts-or-omissions claim. Also, he failed to brief his failure-to-train claim on appeal, so he has waived that argument. </w:t>
      </w:r>
      <w:r>
        <w:rPr>
          <w:rFonts w:ascii="Arial" w:eastAsia="Arial" w:hAnsi="Arial" w:cs="Arial"/>
          <w:i/>
          <w:color w:val="000000"/>
          <w:sz w:val="18"/>
        </w:rPr>
        <w:t xml:space="preserve">See </w:t>
      </w:r>
      <w:bookmarkStart w:id="670" w:name="Bookmark_I68SX06M2HM6RM0010000400"/>
      <w:bookmarkEnd w:id="670"/>
      <w:r>
        <w:rPr>
          <w:rFonts w:ascii="Arial" w:eastAsia="Arial" w:hAnsi="Arial" w:cs="Arial"/>
          <w:i/>
          <w:color w:val="000000"/>
          <w:sz w:val="18"/>
        </w:rPr>
        <w:t>Roy</w:t>
      </w:r>
      <w:r>
        <w:rPr>
          <w:rFonts w:ascii="Arial" w:eastAsia="Arial" w:hAnsi="Arial" w:cs="Arial"/>
          <w:color w:val="000000"/>
          <w:sz w:val="18"/>
        </w:rPr>
        <w:t>, 950 F.3d at 251.</w:t>
      </w:r>
    </w:p>
  </w:footnote>
  <w:footnote w:id="17">
    <w:p w:rsidR="00022B47" w:rsidRDefault="00000000">
      <w:pPr>
        <w:pStyle w:val="Normal3"/>
        <w:widowControl w:val="0"/>
        <w:spacing w:before="200" w:line="240" w:lineRule="atLeast"/>
        <w:jc w:val="both"/>
      </w:pPr>
      <w:r>
        <w:rPr>
          <w:rFonts w:ascii="Arial" w:eastAsia="Arial" w:hAnsi="Arial" w:cs="Arial"/>
          <w:color w:val="000000"/>
          <w:sz w:val="18"/>
          <w:vertAlign w:val="superscript"/>
        </w:rPr>
        <w:t>8 </w:t>
      </w:r>
      <w:bookmarkStart w:id="676" w:name="Bookmark_fnpara_9"/>
      <w:bookmarkEnd w:id="676"/>
      <w:r>
        <w:rPr>
          <w:rFonts w:ascii="Arial" w:eastAsia="Arial" w:hAnsi="Arial" w:cs="Arial"/>
          <w:color w:val="000000"/>
          <w:sz w:val="18"/>
        </w:rPr>
        <w:t xml:space="preserve">Appellees argue that this case is better characterized as an episodic-acts-or-omissions claim, contending that Garcia incorrectly directs our focus to conditions of confinement. </w:t>
      </w:r>
      <w:bookmarkStart w:id="677" w:name="Bookmark_I68SX06M2N1RKM0050000400"/>
      <w:bookmarkEnd w:id="677"/>
      <w:r>
        <w:rPr>
          <w:rFonts w:ascii="Arial" w:eastAsia="Arial" w:hAnsi="Arial" w:cs="Arial"/>
          <w:color w:val="000000"/>
          <w:sz w:val="18"/>
        </w:rPr>
        <w:t xml:space="preserve">We take no stance on which theory best characterizes Garcia's claims because he advanced both theories before the district court. </w:t>
      </w:r>
      <w:bookmarkStart w:id="678" w:name="Bookmark_LNHNREFclscc12_1"/>
      <w:bookmarkEnd w:id="678"/>
      <w:r>
        <w:rPr>
          <w:rFonts w:ascii="Arial" w:eastAsia="Arial" w:hAnsi="Arial" w:cs="Arial"/>
          <w:color w:val="000000"/>
          <w:sz w:val="18"/>
        </w:rPr>
        <w:t xml:space="preserve">His decision to only appeal one of those theories is entirely at his discretion. </w:t>
      </w:r>
      <w:r>
        <w:rPr>
          <w:rFonts w:ascii="Arial" w:eastAsia="Arial" w:hAnsi="Arial" w:cs="Arial"/>
          <w:i/>
          <w:color w:val="000000"/>
          <w:sz w:val="18"/>
        </w:rPr>
        <w:t xml:space="preserve">See </w:t>
      </w:r>
      <w:bookmarkStart w:id="679" w:name="Bookmark_I68SX06M2N1RKM0040000400"/>
      <w:bookmarkEnd w:id="679"/>
      <w:r>
        <w:rPr>
          <w:rFonts w:ascii="Arial" w:eastAsia="Arial" w:hAnsi="Arial" w:cs="Arial"/>
          <w:i/>
          <w:color w:val="000000"/>
          <w:sz w:val="18"/>
        </w:rPr>
        <w:t>Estate of Henson v. Wichita Cty.</w:t>
      </w:r>
      <w:r>
        <w:rPr>
          <w:rFonts w:ascii="Arial" w:eastAsia="Arial" w:hAnsi="Arial" w:cs="Arial"/>
          <w:color w:val="000000"/>
          <w:sz w:val="18"/>
        </w:rPr>
        <w:t>, 795 F.3d 456, 464 (5th Cir. 2015) ("[T]here is no rule barring a plaintiff from pleading both alternative theories, and a court may properly evaluate each separately.").</w:t>
      </w:r>
    </w:p>
  </w:footnote>
  <w:footnote w:id="18">
    <w:p w:rsidR="00022B47" w:rsidRDefault="00000000">
      <w:pPr>
        <w:pStyle w:val="Normal3"/>
        <w:widowControl w:val="0"/>
        <w:spacing w:before="200" w:line="240" w:lineRule="atLeast"/>
        <w:jc w:val="both"/>
      </w:pPr>
      <w:r>
        <w:rPr>
          <w:rFonts w:ascii="Arial" w:eastAsia="Arial" w:hAnsi="Arial" w:cs="Arial"/>
          <w:color w:val="000000"/>
          <w:sz w:val="18"/>
          <w:vertAlign w:val="superscript"/>
        </w:rPr>
        <w:t>9 </w:t>
      </w:r>
      <w:bookmarkStart w:id="747" w:name="Bookmark_fnpara_10"/>
      <w:bookmarkEnd w:id="747"/>
      <w:r>
        <w:rPr>
          <w:rFonts w:ascii="Arial" w:eastAsia="Arial" w:hAnsi="Arial" w:cs="Arial"/>
          <w:color w:val="000000"/>
          <w:sz w:val="18"/>
        </w:rPr>
        <w:t xml:space="preserve">Garcia cannot deny the officers' confusion because he relies on it at various times throughout his briefing on appeal. For example, his deliberate-indifference claims against numerous officers and the jailors hinge on the fact that these defendants made a deliberate choice to put someone </w:t>
      </w:r>
      <w:r>
        <w:rPr>
          <w:rFonts w:ascii="Arial" w:eastAsia="Arial" w:hAnsi="Arial" w:cs="Arial"/>
          <w:i/>
          <w:color w:val="000000"/>
          <w:sz w:val="18"/>
        </w:rPr>
        <w:t>either</w:t>
      </w:r>
      <w:r>
        <w:rPr>
          <w:rFonts w:ascii="Arial" w:eastAsia="Arial" w:hAnsi="Arial" w:cs="Arial"/>
          <w:color w:val="000000"/>
          <w:sz w:val="18"/>
        </w:rPr>
        <w:t xml:space="preserve"> suffering from a medical condition or intoxicated in a cell to detox for a lengthy period.</w:t>
      </w:r>
    </w:p>
  </w:footnote>
  <w:footnote w:id="19">
    <w:p w:rsidR="00022B47" w:rsidRDefault="00000000">
      <w:pPr>
        <w:pStyle w:val="Normal5"/>
        <w:widowControl w:val="0"/>
        <w:spacing w:before="200" w:line="240" w:lineRule="atLeast"/>
        <w:jc w:val="both"/>
      </w:pPr>
      <w:r>
        <w:rPr>
          <w:rFonts w:ascii="Arial" w:eastAsia="Arial" w:hAnsi="Arial" w:cs="Arial"/>
          <w:color w:val="000000"/>
          <w:sz w:val="18"/>
          <w:vertAlign w:val="superscript"/>
        </w:rPr>
        <w:t>1 </w:t>
      </w:r>
      <w:bookmarkStart w:id="856" w:name="Bookmark_fnpara_1_3"/>
      <w:bookmarkStart w:id="857" w:name="Bookmark_I68P4BD12SF8JM0020000400"/>
      <w:bookmarkEnd w:id="856"/>
      <w:bookmarkEnd w:id="857"/>
      <w:r>
        <w:rPr>
          <w:rFonts w:ascii="Arial" w:eastAsia="Arial" w:hAnsi="Arial" w:cs="Arial"/>
          <w:color w:val="000000"/>
          <w:sz w:val="18"/>
        </w:rPr>
        <w:t xml:space="preserve">The parties have generally stipulated to the facts as we relate them. Where they haven't, we recite the facts in the light most favorable to the nonmoving party, here, Campbell. </w:t>
      </w:r>
      <w:bookmarkStart w:id="858" w:name="Bookmark_I68P4BD12SF8JM0010000400"/>
      <w:bookmarkEnd w:id="858"/>
      <w:r>
        <w:rPr>
          <w:rFonts w:ascii="Arial" w:eastAsia="Arial" w:hAnsi="Arial" w:cs="Arial"/>
          <w:i/>
          <w:color w:val="000000"/>
          <w:sz w:val="18"/>
        </w:rPr>
        <w:t>St. Charles Foods, Inc. v. Am.'s Favorite Chicken Co.</w:t>
      </w:r>
      <w:r>
        <w:rPr>
          <w:rFonts w:ascii="Arial" w:eastAsia="Arial" w:hAnsi="Arial" w:cs="Arial"/>
          <w:color w:val="000000"/>
          <w:sz w:val="18"/>
        </w:rPr>
        <w:t>, 198 F.3d 815, 819 (11th Cir. 1999). Therefore, the actual facts may or may not be as stated.</w:t>
      </w:r>
    </w:p>
  </w:footnote>
  <w:footnote w:id="20">
    <w:p w:rsidR="00022B47" w:rsidRDefault="00000000">
      <w:pPr>
        <w:pStyle w:val="Normal5"/>
        <w:widowControl w:val="0"/>
        <w:spacing w:before="200" w:line="240" w:lineRule="atLeast"/>
        <w:jc w:val="both"/>
      </w:pPr>
      <w:r>
        <w:rPr>
          <w:rFonts w:ascii="Arial" w:eastAsia="Arial" w:hAnsi="Arial" w:cs="Arial"/>
          <w:color w:val="000000"/>
          <w:sz w:val="18"/>
          <w:vertAlign w:val="superscript"/>
        </w:rPr>
        <w:t>2 </w:t>
      </w:r>
      <w:bookmarkStart w:id="942" w:name="Bookmark_fnpara_2_2"/>
      <w:bookmarkEnd w:id="942"/>
      <w:r>
        <w:rPr>
          <w:rFonts w:ascii="Arial" w:eastAsia="Arial" w:hAnsi="Arial" w:cs="Arial"/>
          <w:color w:val="000000"/>
          <w:sz w:val="18"/>
        </w:rPr>
        <w:t xml:space="preserve">This section technically exempts Universal because Universal employs over 1,000 people and has full-time, in-house safety inspectors. </w:t>
      </w:r>
      <w:r>
        <w:rPr>
          <w:rFonts w:ascii="Arial" w:eastAsia="Arial" w:hAnsi="Arial" w:cs="Arial"/>
          <w:smallCaps/>
          <w:color w:val="000000"/>
          <w:sz w:val="18"/>
        </w:rPr>
        <w:t>Fla. Stat.</w:t>
      </w:r>
      <w:r>
        <w:rPr>
          <w:rFonts w:ascii="Arial" w:eastAsia="Arial" w:hAnsi="Arial" w:cs="Arial"/>
          <w:color w:val="000000"/>
          <w:sz w:val="18"/>
        </w:rPr>
        <w:t xml:space="preserve"> § 616.242(11)(a)(1). But Universal and all exempt entities still must file an affidavit stating that they have complied with the section's standards. </w:t>
      </w:r>
      <w:r>
        <w:rPr>
          <w:rFonts w:ascii="Arial" w:eastAsia="Arial" w:hAnsi="Arial" w:cs="Arial"/>
          <w:i/>
          <w:color w:val="000000"/>
          <w:sz w:val="18"/>
        </w:rPr>
        <w:t>Id.</w:t>
      </w:r>
    </w:p>
  </w:footnote>
  <w:footnote w:id="21">
    <w:p w:rsidR="00022B47" w:rsidRDefault="00000000">
      <w:pPr>
        <w:pStyle w:val="Normal5"/>
        <w:widowControl w:val="0"/>
        <w:spacing w:before="200" w:line="240" w:lineRule="atLeast"/>
        <w:jc w:val="both"/>
      </w:pPr>
      <w:r>
        <w:rPr>
          <w:rFonts w:ascii="Arial" w:eastAsia="Arial" w:hAnsi="Arial" w:cs="Arial"/>
          <w:color w:val="000000"/>
          <w:sz w:val="18"/>
          <w:vertAlign w:val="superscript"/>
        </w:rPr>
        <w:t>3 </w:t>
      </w:r>
      <w:bookmarkStart w:id="1001" w:name="Bookmark_fnpara_3_1"/>
      <w:bookmarkEnd w:id="1001"/>
      <w:r>
        <w:rPr>
          <w:rFonts w:ascii="Arial" w:eastAsia="Arial" w:hAnsi="Arial" w:cs="Arial"/>
          <w:color w:val="000000"/>
          <w:sz w:val="18"/>
        </w:rPr>
        <w:t xml:space="preserve">And as we've explained, Universal can't nullify the ADA by contract. For instance, if ProSlide offered to sell its waterslide to Universal only if Universal agreed to discriminate without a legitimate reason under the ADA against people with a disability, that contract would not insulate Universal from liability. </w:t>
      </w:r>
      <w:r>
        <w:rPr>
          <w:rFonts w:ascii="Arial" w:eastAsia="Arial" w:hAnsi="Arial" w:cs="Arial"/>
          <w:i/>
          <w:color w:val="000000"/>
          <w:sz w:val="18"/>
        </w:rPr>
        <w:t>See</w:t>
      </w:r>
      <w:r>
        <w:rPr>
          <w:rFonts w:ascii="Arial" w:eastAsia="Arial" w:hAnsi="Arial" w:cs="Arial"/>
          <w:color w:val="000000"/>
          <w:sz w:val="18"/>
        </w:rPr>
        <w:t xml:space="preserve"> 42 U.S.C. § 12182(b)(1)(D) (explaining that public accommodations cannot "directly or through contractual or other arrangements, utilize standards or criteria or methods of administration" that have the effect of discriminating on the basis of disability.").</w:t>
      </w:r>
    </w:p>
  </w:footnote>
  <w:footnote w:id="22">
    <w:p w:rsidR="00022B47" w:rsidRDefault="00000000">
      <w:pPr>
        <w:pStyle w:val="Normal6"/>
        <w:widowControl w:val="0"/>
        <w:spacing w:before="120" w:line="240" w:lineRule="atLeast"/>
        <w:jc w:val="both"/>
      </w:pPr>
      <w:r>
        <w:rPr>
          <w:rFonts w:ascii="Arial" w:eastAsia="Arial" w:hAnsi="Arial" w:cs="Arial"/>
          <w:color w:val="000000"/>
          <w:sz w:val="18"/>
          <w:vertAlign w:val="superscript"/>
        </w:rPr>
        <w:t>1 </w:t>
      </w:r>
      <w:bookmarkStart w:id="1019" w:name="Bookmark_fnpara_1_4"/>
      <w:bookmarkEnd w:id="1019"/>
      <w:r>
        <w:rPr>
          <w:rFonts w:ascii="Arial" w:eastAsia="Arial" w:hAnsi="Arial" w:cs="Arial"/>
          <w:color w:val="000000"/>
          <w:sz w:val="18"/>
        </w:rPr>
        <w:t>The Honorable Kristine G. Baker, United States District Judge for the Eastern District of Arkansas.</w:t>
      </w:r>
    </w:p>
  </w:footnote>
  <w:footnote w:id="23">
    <w:p w:rsidR="00022B47" w:rsidRDefault="00000000">
      <w:pPr>
        <w:pStyle w:val="Normal6"/>
        <w:widowControl w:val="0"/>
        <w:spacing w:before="200" w:line="240" w:lineRule="atLeast"/>
        <w:jc w:val="both"/>
      </w:pPr>
      <w:r>
        <w:rPr>
          <w:rFonts w:ascii="Arial" w:eastAsia="Arial" w:hAnsi="Arial" w:cs="Arial"/>
          <w:color w:val="000000"/>
          <w:sz w:val="18"/>
          <w:vertAlign w:val="superscript"/>
        </w:rPr>
        <w:t>2 </w:t>
      </w:r>
      <w:bookmarkStart w:id="1056" w:name="Bookmark_fnpara_2_3"/>
      <w:bookmarkEnd w:id="1056"/>
      <w:r>
        <w:rPr>
          <w:rFonts w:ascii="Arial" w:eastAsia="Arial" w:hAnsi="Arial" w:cs="Arial"/>
          <w:color w:val="000000"/>
          <w:sz w:val="18"/>
        </w:rPr>
        <w:t xml:space="preserve">The district court did not rule on Union Pacific's alternative defense that Union Pacific and the American Association of Railroads as </w:t>
      </w:r>
      <w:r>
        <w:rPr>
          <w:rFonts w:ascii="Arial" w:eastAsia="Arial" w:hAnsi="Arial" w:cs="Arial"/>
          <w:i/>
          <w:color w:val="000000"/>
          <w:sz w:val="18"/>
        </w:rPr>
        <w:t>amicus</w:t>
      </w:r>
      <w:r>
        <w:rPr>
          <w:rFonts w:ascii="Arial" w:eastAsia="Arial" w:hAnsi="Arial" w:cs="Arial"/>
          <w:color w:val="000000"/>
          <w:sz w:val="18"/>
        </w:rPr>
        <w:t xml:space="preserve"> argue on appeal -- that "allowing Atlas to ride in the tight quarters of a [freight train] cab is prohibited by federal railroad safety regulations." </w:t>
      </w:r>
      <w:r>
        <w:rPr>
          <w:rFonts w:ascii="Arial" w:eastAsia="Arial" w:hAnsi="Arial" w:cs="Arial"/>
          <w:color w:val="000000"/>
          <w:sz w:val="18"/>
          <w:u w:val="single"/>
        </w:rPr>
        <w:t>See</w:t>
      </w:r>
      <w:r>
        <w:rPr>
          <w:rFonts w:ascii="Arial" w:eastAsia="Arial" w:hAnsi="Arial" w:cs="Arial"/>
          <w:color w:val="000000"/>
          <w:sz w:val="18"/>
        </w:rPr>
        <w:t xml:space="preserve"> 49 C.F.R. § 229.119(c). As we are affirming on another ground, we decline to consider this complex question.</w:t>
      </w:r>
    </w:p>
  </w:footnote>
  <w:footnote w:id="24">
    <w:p w:rsidR="00022B47" w:rsidRDefault="00000000">
      <w:pPr>
        <w:pStyle w:val="Normal6"/>
        <w:widowControl w:val="0"/>
        <w:spacing w:before="120" w:line="240" w:lineRule="atLeast"/>
        <w:jc w:val="both"/>
      </w:pPr>
      <w:r>
        <w:rPr>
          <w:rFonts w:ascii="Arial" w:eastAsia="Arial" w:hAnsi="Arial" w:cs="Arial"/>
          <w:color w:val="000000"/>
          <w:sz w:val="18"/>
          <w:vertAlign w:val="superscript"/>
        </w:rPr>
        <w:t>3 </w:t>
      </w:r>
      <w:bookmarkStart w:id="1078" w:name="Bookmark_fnpara_3_2"/>
      <w:bookmarkEnd w:id="1078"/>
      <w:r>
        <w:rPr>
          <w:rFonts w:ascii="Arial" w:eastAsia="Arial" w:hAnsi="Arial" w:cs="Arial"/>
          <w:color w:val="000000"/>
          <w:sz w:val="18"/>
        </w:rPr>
        <w:t>https://www.eeoc.gov/laws/guidance/technical-assistance-manual-employm ent-provisions-title-i-americans-disabilities-act.</w:t>
      </w:r>
    </w:p>
  </w:footnote>
  <w:footnote w:id="25">
    <w:p w:rsidR="00022B47" w:rsidRDefault="00000000">
      <w:pPr>
        <w:pStyle w:val="Normal6"/>
        <w:widowControl w:val="0"/>
        <w:spacing w:before="200" w:line="240" w:lineRule="atLeast"/>
        <w:jc w:val="both"/>
      </w:pPr>
      <w:r>
        <w:rPr>
          <w:rFonts w:ascii="Arial" w:eastAsia="Arial" w:hAnsi="Arial" w:cs="Arial"/>
          <w:color w:val="000000"/>
          <w:sz w:val="18"/>
          <w:vertAlign w:val="superscript"/>
        </w:rPr>
        <w:t>4 </w:t>
      </w:r>
      <w:bookmarkStart w:id="1104" w:name="Bookmark_fnpara_4_1"/>
      <w:bookmarkEnd w:id="1104"/>
      <w:r>
        <w:rPr>
          <w:rFonts w:ascii="Arial" w:eastAsia="Arial" w:hAnsi="Arial" w:cs="Arial"/>
          <w:color w:val="000000"/>
          <w:sz w:val="18"/>
          <w:u w:val="single"/>
        </w:rPr>
        <w:t xml:space="preserve">Compare </w:t>
      </w:r>
      <w:bookmarkStart w:id="1105" w:name="Bookmark_I6897V0W2D6NN50010000400"/>
      <w:bookmarkEnd w:id="1105"/>
      <w:r>
        <w:rPr>
          <w:rFonts w:ascii="Arial" w:eastAsia="Arial" w:hAnsi="Arial" w:cs="Arial"/>
          <w:color w:val="000000"/>
          <w:sz w:val="18"/>
          <w:u w:val="single"/>
        </w:rPr>
        <w:t>Burnett v. Ocean Props., Ltd.</w:t>
      </w:r>
      <w:r>
        <w:rPr>
          <w:rFonts w:ascii="Arial" w:eastAsia="Arial" w:hAnsi="Arial" w:cs="Arial"/>
          <w:color w:val="000000"/>
          <w:sz w:val="18"/>
        </w:rPr>
        <w:t xml:space="preserve">, 987 F.3d 57, 68-69 (1st Cir. 2021), </w:t>
      </w:r>
      <w:bookmarkStart w:id="1106" w:name="Bookmark_I6897V0W2D6NN50030000400"/>
      <w:bookmarkEnd w:id="1106"/>
      <w:r>
        <w:rPr>
          <w:rFonts w:ascii="Arial" w:eastAsia="Arial" w:hAnsi="Arial" w:cs="Arial"/>
          <w:color w:val="000000"/>
          <w:sz w:val="18"/>
          <w:u w:val="single"/>
        </w:rPr>
        <w:t>Hill v. Assocs. for Renewal in Educ., Inc.</w:t>
      </w:r>
      <w:r>
        <w:rPr>
          <w:rFonts w:ascii="Arial" w:eastAsia="Arial" w:hAnsi="Arial" w:cs="Arial"/>
          <w:color w:val="000000"/>
          <w:sz w:val="18"/>
        </w:rPr>
        <w:t xml:space="preserve">, 897 F.3d 232, 239, 437 U.S. App. D.C. 379 (D.C. Cir. 2018), </w:t>
      </w:r>
      <w:bookmarkStart w:id="1107" w:name="Bookmark_I6897V0W2D6NN50050000400"/>
      <w:bookmarkEnd w:id="1107"/>
      <w:r>
        <w:rPr>
          <w:rFonts w:ascii="Arial" w:eastAsia="Arial" w:hAnsi="Arial" w:cs="Arial"/>
          <w:color w:val="000000"/>
          <w:sz w:val="18"/>
          <w:u w:val="single"/>
        </w:rPr>
        <w:t>Gleed v. AT &amp; T Mobility Servs., LLC</w:t>
      </w:r>
      <w:r>
        <w:rPr>
          <w:rFonts w:ascii="Arial" w:eastAsia="Arial" w:hAnsi="Arial" w:cs="Arial"/>
          <w:color w:val="000000"/>
          <w:sz w:val="18"/>
        </w:rPr>
        <w:t xml:space="preserve">, 613 F. App'x 535, 538-39 (6th Cir. 2015), </w:t>
      </w:r>
      <w:r>
        <w:rPr>
          <w:rFonts w:ascii="Arial" w:eastAsia="Arial" w:hAnsi="Arial" w:cs="Arial"/>
          <w:color w:val="000000"/>
          <w:sz w:val="18"/>
          <w:u w:val="single"/>
        </w:rPr>
        <w:t xml:space="preserve">and </w:t>
      </w:r>
      <w:bookmarkStart w:id="1108" w:name="Bookmark_I6897V0X2HM6840020000400"/>
      <w:bookmarkEnd w:id="1108"/>
      <w:r>
        <w:rPr>
          <w:rFonts w:ascii="Arial" w:eastAsia="Arial" w:hAnsi="Arial" w:cs="Arial"/>
          <w:color w:val="000000"/>
          <w:sz w:val="18"/>
          <w:u w:val="single"/>
        </w:rPr>
        <w:t>Feist v. Louisiana, Dep't of Just., Off. of the Att'y Gen.</w:t>
      </w:r>
      <w:r>
        <w:rPr>
          <w:rFonts w:ascii="Arial" w:eastAsia="Arial" w:hAnsi="Arial" w:cs="Arial"/>
          <w:color w:val="000000"/>
          <w:sz w:val="18"/>
        </w:rPr>
        <w:t xml:space="preserve">, 730 F.3d 450, 453 (5th Cir. 2013), </w:t>
      </w:r>
      <w:r>
        <w:rPr>
          <w:rFonts w:ascii="Arial" w:eastAsia="Arial" w:hAnsi="Arial" w:cs="Arial"/>
          <w:color w:val="000000"/>
          <w:sz w:val="18"/>
          <w:u w:val="single"/>
        </w:rPr>
        <w:t xml:space="preserve">with </w:t>
      </w:r>
      <w:bookmarkStart w:id="1109" w:name="Bookmark_I6897V0X2HM6840040000400"/>
      <w:bookmarkEnd w:id="1109"/>
      <w:r>
        <w:rPr>
          <w:rFonts w:ascii="Arial" w:eastAsia="Arial" w:hAnsi="Arial" w:cs="Arial"/>
          <w:color w:val="000000"/>
          <w:sz w:val="18"/>
          <w:u w:val="single"/>
        </w:rPr>
        <w:t>Brumfield v. City of Chicago</w:t>
      </w:r>
      <w:r>
        <w:rPr>
          <w:rFonts w:ascii="Arial" w:eastAsia="Arial" w:hAnsi="Arial" w:cs="Arial"/>
          <w:color w:val="000000"/>
          <w:sz w:val="18"/>
        </w:rPr>
        <w:t xml:space="preserve">, 735 F.3d 619 (7th Cir. 2013), </w:t>
      </w:r>
      <w:r>
        <w:rPr>
          <w:rFonts w:ascii="Arial" w:eastAsia="Arial" w:hAnsi="Arial" w:cs="Arial"/>
          <w:color w:val="000000"/>
          <w:sz w:val="18"/>
          <w:u w:val="single"/>
        </w:rPr>
        <w:t xml:space="preserve">and </w:t>
      </w:r>
      <w:bookmarkStart w:id="1110" w:name="Bookmark_I6897V0X2SF81R0010000400"/>
      <w:bookmarkEnd w:id="1110"/>
      <w:r>
        <w:rPr>
          <w:rFonts w:ascii="Arial" w:eastAsia="Arial" w:hAnsi="Arial" w:cs="Arial"/>
          <w:color w:val="000000"/>
          <w:sz w:val="18"/>
          <w:u w:val="single"/>
        </w:rPr>
        <w:t>Holly v. Clairson Indus., L.L.C.</w:t>
      </w:r>
      <w:r>
        <w:rPr>
          <w:rFonts w:ascii="Arial" w:eastAsia="Arial" w:hAnsi="Arial" w:cs="Arial"/>
          <w:color w:val="000000"/>
          <w:sz w:val="18"/>
        </w:rPr>
        <w:t xml:space="preserve">, 492 F.3d 1247 (11th Cir. 2007). </w:t>
      </w:r>
      <w:r>
        <w:rPr>
          <w:rFonts w:ascii="Arial" w:eastAsia="Arial" w:hAnsi="Arial" w:cs="Arial"/>
          <w:color w:val="000000"/>
          <w:sz w:val="18"/>
          <w:u w:val="single"/>
        </w:rPr>
        <w:t xml:space="preserve">See also </w:t>
      </w:r>
      <w:bookmarkStart w:id="1111" w:name="Bookmark_I6897V0X2SF81R0030000400"/>
      <w:bookmarkEnd w:id="1111"/>
      <w:r>
        <w:rPr>
          <w:rFonts w:ascii="Arial" w:eastAsia="Arial" w:hAnsi="Arial" w:cs="Arial"/>
          <w:color w:val="000000"/>
          <w:sz w:val="18"/>
          <w:u w:val="single"/>
        </w:rPr>
        <w:t>Nawrot v. CPC Int'l</w:t>
      </w:r>
      <w:r>
        <w:rPr>
          <w:rFonts w:ascii="Arial" w:eastAsia="Arial" w:hAnsi="Arial" w:cs="Arial"/>
          <w:color w:val="000000"/>
          <w:sz w:val="18"/>
        </w:rPr>
        <w:t xml:space="preserve">, 259 F. Supp. 2d 716, 726 (N.D. Ill. 2003); </w:t>
      </w:r>
      <w:bookmarkStart w:id="1112" w:name="Bookmark_I6897V0X2SF81R0050000400"/>
      <w:bookmarkEnd w:id="1112"/>
      <w:r>
        <w:rPr>
          <w:rFonts w:ascii="Arial" w:eastAsia="Arial" w:hAnsi="Arial" w:cs="Arial"/>
          <w:color w:val="000000"/>
          <w:sz w:val="18"/>
          <w:u w:val="single"/>
        </w:rPr>
        <w:t>Alonzo-Miranda</w:t>
      </w:r>
      <w:r>
        <w:rPr>
          <w:rFonts w:ascii="Arial" w:eastAsia="Arial" w:hAnsi="Arial" w:cs="Arial"/>
          <w:color w:val="000000"/>
          <w:sz w:val="18"/>
        </w:rPr>
        <w:t>, 2015 U.S. Dist. LEXIS 76028, 2015 WL 13768973 at *2 (W.D. Tex. June 11, 2015).</w:t>
      </w:r>
    </w:p>
  </w:footnote>
  <w:footnote w:id="26">
    <w:p w:rsidR="00022B47" w:rsidRDefault="00000000">
      <w:pPr>
        <w:pStyle w:val="Normal8"/>
        <w:widowControl w:val="0"/>
        <w:spacing w:before="120" w:line="240" w:lineRule="atLeast"/>
        <w:jc w:val="both"/>
      </w:pPr>
      <w:r>
        <w:rPr>
          <w:rFonts w:ascii="Arial" w:eastAsia="Arial" w:hAnsi="Arial" w:cs="Arial"/>
          <w:color w:val="000000"/>
          <w:sz w:val="18"/>
          <w:vertAlign w:val="superscript"/>
        </w:rPr>
        <w:t>1 </w:t>
      </w:r>
      <w:bookmarkStart w:id="1234" w:name="Bookmark_fnpara_1_5"/>
      <w:bookmarkEnd w:id="1234"/>
      <w:r>
        <w:rPr>
          <w:rFonts w:ascii="Arial" w:eastAsia="Arial" w:hAnsi="Arial" w:cs="Arial"/>
          <w:color w:val="000000"/>
          <w:sz w:val="18"/>
        </w:rPr>
        <w:t>As Clark recognizes, the OMV employee was almost certainly referring to steering hand controls to operate a motor vehicle, which is a potential license restriction that may be applied under OMV Policy 13.00.</w:t>
      </w:r>
    </w:p>
  </w:footnote>
  <w:footnote w:id="27">
    <w:p w:rsidR="00022B47" w:rsidRDefault="00000000">
      <w:pPr>
        <w:pStyle w:val="Normal8"/>
        <w:widowControl w:val="0"/>
        <w:spacing w:before="120" w:line="240" w:lineRule="atLeast"/>
        <w:jc w:val="both"/>
      </w:pPr>
      <w:r>
        <w:rPr>
          <w:rFonts w:ascii="Arial" w:eastAsia="Arial" w:hAnsi="Arial" w:cs="Arial"/>
          <w:color w:val="000000"/>
          <w:sz w:val="18"/>
          <w:vertAlign w:val="superscript"/>
        </w:rPr>
        <w:t>2 </w:t>
      </w:r>
      <w:bookmarkStart w:id="1241" w:name="Bookmark_fnpara_2_4"/>
      <w:bookmarkEnd w:id="1241"/>
      <w:r>
        <w:rPr>
          <w:rFonts w:ascii="Arial" w:eastAsia="Arial" w:hAnsi="Arial" w:cs="Arial"/>
          <w:color w:val="000000"/>
          <w:sz w:val="18"/>
        </w:rPr>
        <w:t>For ease of reference, we collectively refer to the defendants in this matter as "the State."</w:t>
      </w:r>
    </w:p>
  </w:footnote>
  <w:footnote w:id="28">
    <w:p w:rsidR="00022B47" w:rsidRDefault="00000000">
      <w:pPr>
        <w:pStyle w:val="Normal8"/>
        <w:widowControl w:val="0"/>
        <w:spacing w:before="200" w:line="240" w:lineRule="atLeast"/>
        <w:jc w:val="both"/>
      </w:pPr>
      <w:r>
        <w:rPr>
          <w:rFonts w:ascii="Arial" w:eastAsia="Arial" w:hAnsi="Arial" w:cs="Arial"/>
          <w:color w:val="000000"/>
          <w:sz w:val="18"/>
          <w:vertAlign w:val="superscript"/>
        </w:rPr>
        <w:t>3 </w:t>
      </w:r>
      <w:bookmarkStart w:id="1260" w:name="Bookmark_fnpara_3_3"/>
      <w:bookmarkEnd w:id="1260"/>
      <w:r>
        <w:rPr>
          <w:rFonts w:ascii="Arial" w:eastAsia="Arial" w:hAnsi="Arial" w:cs="Arial"/>
          <w:color w:val="000000"/>
          <w:sz w:val="18"/>
        </w:rPr>
        <w:t xml:space="preserve">The two statutes do have different causation requirements, though that distinction is not at issue here. </w:t>
      </w:r>
      <w:bookmarkStart w:id="1261" w:name="Bookmark_I67X5B0228T4HY0030000400"/>
      <w:bookmarkEnd w:id="1261"/>
      <w:r>
        <w:rPr>
          <w:rFonts w:ascii="Arial" w:eastAsia="Arial" w:hAnsi="Arial" w:cs="Arial"/>
          <w:i/>
          <w:color w:val="000000"/>
          <w:sz w:val="18"/>
        </w:rPr>
        <w:t>Cadena v. El Paso Cnty.</w:t>
      </w:r>
      <w:r>
        <w:rPr>
          <w:rFonts w:ascii="Arial" w:eastAsia="Arial" w:hAnsi="Arial" w:cs="Arial"/>
          <w:color w:val="000000"/>
          <w:sz w:val="18"/>
        </w:rPr>
        <w:t>, 946 F.3d 717, 723 n.1 (5th Cir. 2020).</w:t>
      </w:r>
    </w:p>
  </w:footnote>
  <w:footnote w:id="29">
    <w:p w:rsidR="00022B47" w:rsidRDefault="00000000">
      <w:pPr>
        <w:pStyle w:val="Normal8"/>
        <w:widowControl w:val="0"/>
        <w:spacing w:before="200" w:line="240" w:lineRule="atLeast"/>
        <w:jc w:val="both"/>
      </w:pPr>
      <w:r>
        <w:rPr>
          <w:rFonts w:ascii="Arial" w:eastAsia="Arial" w:hAnsi="Arial" w:cs="Arial"/>
          <w:color w:val="000000"/>
          <w:sz w:val="18"/>
          <w:vertAlign w:val="superscript"/>
        </w:rPr>
        <w:t>4 </w:t>
      </w:r>
      <w:bookmarkStart w:id="1268" w:name="Bookmark_fnpara_4_2"/>
      <w:bookmarkStart w:id="1269" w:name="Bookmark_I67X5B0328T4J10030000400"/>
      <w:bookmarkEnd w:id="1268"/>
      <w:bookmarkEnd w:id="1269"/>
      <w:r>
        <w:rPr>
          <w:rFonts w:ascii="Arial" w:eastAsia="Arial" w:hAnsi="Arial" w:cs="Arial"/>
          <w:color w:val="000000"/>
          <w:sz w:val="18"/>
        </w:rPr>
        <w:t xml:space="preserve">Other cases have focused on different regulations, also cited by the parties. For example, in </w:t>
      </w:r>
      <w:bookmarkStart w:id="1270" w:name="Bookmark_I67X5B0328T4J10020000400"/>
      <w:bookmarkEnd w:id="1270"/>
      <w:r>
        <w:rPr>
          <w:rFonts w:ascii="Arial" w:eastAsia="Arial" w:hAnsi="Arial" w:cs="Arial"/>
          <w:i/>
          <w:color w:val="000000"/>
          <w:sz w:val="18"/>
        </w:rPr>
        <w:t>Theriault v. Flynn</w:t>
      </w:r>
      <w:r>
        <w:rPr>
          <w:rFonts w:ascii="Arial" w:eastAsia="Arial" w:hAnsi="Arial" w:cs="Arial"/>
          <w:color w:val="000000"/>
          <w:sz w:val="18"/>
        </w:rPr>
        <w:t>, 162 F.3d 46 (1st Cir. 1998), our sister circuit held that asking a man with cerebral palsy, who was shaking when he filled out paperwork for his driver's license, to undergo a driving test before issuing the license, was not "discrimination" within the meaning of the ADA, so the court need not consider whether such discrimination was "necessary" within the meaning of another regulation, 28 C.F.R. § 35.130(b)(8). We reach a similar result here, though we find it more straightforward to resolve the issue in the instant case under § 35.130(h).</w:t>
      </w:r>
    </w:p>
  </w:footnote>
  <w:footnote w:id="30">
    <w:p w:rsidR="00022B47" w:rsidRDefault="00000000">
      <w:pPr>
        <w:pStyle w:val="Normal8"/>
        <w:widowControl w:val="0"/>
        <w:spacing w:before="120" w:line="240" w:lineRule="atLeast"/>
        <w:jc w:val="both"/>
      </w:pPr>
      <w:r>
        <w:rPr>
          <w:rFonts w:ascii="Arial" w:eastAsia="Arial" w:hAnsi="Arial" w:cs="Arial"/>
          <w:color w:val="000000"/>
          <w:sz w:val="18"/>
          <w:vertAlign w:val="superscript"/>
        </w:rPr>
        <w:t>5 </w:t>
      </w:r>
      <w:bookmarkStart w:id="1277" w:name="Bookmark_fnpara_5_1"/>
      <w:bookmarkEnd w:id="1277"/>
      <w:r>
        <w:rPr>
          <w:rFonts w:ascii="Arial" w:eastAsia="Arial" w:hAnsi="Arial" w:cs="Arial"/>
          <w:color w:val="000000"/>
          <w:sz w:val="18"/>
        </w:rPr>
        <w:t>The thrust of Clark's argument in her opening brief regarding disparate treatment focuses on the fact that Clark was asked to fill out the medical form at all simply because she was in a wheelchair.</w:t>
      </w:r>
    </w:p>
  </w:footnote>
  <w:footnote w:id="31">
    <w:p w:rsidR="00022B47" w:rsidRDefault="00000000">
      <w:pPr>
        <w:pStyle w:val="Normal8"/>
        <w:widowControl w:val="0"/>
        <w:spacing w:before="200" w:line="240" w:lineRule="atLeast"/>
        <w:jc w:val="both"/>
      </w:pPr>
      <w:r>
        <w:rPr>
          <w:rFonts w:ascii="Arial" w:eastAsia="Arial" w:hAnsi="Arial" w:cs="Arial"/>
          <w:color w:val="000000"/>
          <w:sz w:val="18"/>
          <w:vertAlign w:val="superscript"/>
        </w:rPr>
        <w:t>6 </w:t>
      </w:r>
      <w:bookmarkStart w:id="1284" w:name="Bookmark_fnpara_6_0"/>
      <w:bookmarkStart w:id="1285" w:name="Bookmark_I67X5B032N1R8G0050000400"/>
      <w:bookmarkEnd w:id="1284"/>
      <w:bookmarkEnd w:id="1285"/>
      <w:r>
        <w:rPr>
          <w:rFonts w:ascii="Arial" w:eastAsia="Arial" w:hAnsi="Arial" w:cs="Arial"/>
          <w:color w:val="000000"/>
          <w:sz w:val="18"/>
        </w:rPr>
        <w:t xml:space="preserve">Title II uses the term "reasonable modification" rather than "reasonable accommodation." These terms create identical standards and are used interchangeably. </w:t>
      </w:r>
      <w:r>
        <w:rPr>
          <w:rFonts w:ascii="Arial" w:eastAsia="Arial" w:hAnsi="Arial" w:cs="Arial"/>
          <w:i/>
          <w:color w:val="000000"/>
          <w:sz w:val="18"/>
        </w:rPr>
        <w:t xml:space="preserve">See </w:t>
      </w:r>
      <w:bookmarkStart w:id="1286" w:name="Bookmark_I67X5B032N1R8G0040000400"/>
      <w:bookmarkEnd w:id="1286"/>
      <w:r>
        <w:rPr>
          <w:rFonts w:ascii="Arial" w:eastAsia="Arial" w:hAnsi="Arial" w:cs="Arial"/>
          <w:i/>
          <w:color w:val="000000"/>
          <w:sz w:val="18"/>
        </w:rPr>
        <w:t>McGary v. City of Portland</w:t>
      </w:r>
      <w:r>
        <w:rPr>
          <w:rFonts w:ascii="Arial" w:eastAsia="Arial" w:hAnsi="Arial" w:cs="Arial"/>
          <w:color w:val="000000"/>
          <w:sz w:val="18"/>
        </w:rPr>
        <w:t>, 386 F.3d 1259, 1266 n.3 (9th Cir. 2004). In keeping with the language of the district court and much of the briefing, we use the term "accommodation."</w:t>
      </w:r>
    </w:p>
  </w:footnote>
  <w:footnote w:id="32">
    <w:p w:rsidR="00022B47" w:rsidRDefault="00000000">
      <w:pPr>
        <w:pStyle w:val="Normal8"/>
        <w:widowControl w:val="0"/>
        <w:spacing w:before="120" w:line="240" w:lineRule="atLeast"/>
        <w:jc w:val="both"/>
      </w:pPr>
      <w:r>
        <w:rPr>
          <w:rFonts w:ascii="Arial" w:eastAsia="Arial" w:hAnsi="Arial" w:cs="Arial"/>
          <w:color w:val="000000"/>
          <w:sz w:val="18"/>
          <w:vertAlign w:val="superscript"/>
        </w:rPr>
        <w:t>7 </w:t>
      </w:r>
      <w:bookmarkStart w:id="1296" w:name="Bookmark_fnpara_7_0"/>
      <w:bookmarkEnd w:id="1296"/>
      <w:r>
        <w:rPr>
          <w:rFonts w:ascii="Arial" w:eastAsia="Arial" w:hAnsi="Arial" w:cs="Arial"/>
          <w:color w:val="000000"/>
          <w:sz w:val="18"/>
        </w:rPr>
        <w:t>Moreover, it is difficult to see what burden Clark suffers from answering the additional questions she objects to. Clark would have already had to go to her doctor and pay a co-pay for him to fill out the portions of the form directly related to her POTS condition. And though Clark objects to the State keeping her sensitive medical information on its servers because they could theoretically be hacked in the future, that purported harm is far too speculative.</w:t>
      </w:r>
    </w:p>
  </w:footnote>
  <w:footnote w:id="33">
    <w:p w:rsidR="00022B47" w:rsidRDefault="00000000">
      <w:pPr>
        <w:pStyle w:val="Normal8"/>
        <w:widowControl w:val="0"/>
        <w:spacing w:before="200" w:line="240" w:lineRule="atLeast"/>
        <w:jc w:val="both"/>
      </w:pPr>
      <w:r>
        <w:rPr>
          <w:rFonts w:ascii="Arial" w:eastAsia="Arial" w:hAnsi="Arial" w:cs="Arial"/>
          <w:color w:val="000000"/>
          <w:sz w:val="18"/>
          <w:vertAlign w:val="superscript"/>
        </w:rPr>
        <w:t>8 </w:t>
      </w:r>
      <w:bookmarkStart w:id="1301" w:name="Bookmark_fnpara_8_0"/>
      <w:bookmarkStart w:id="1302" w:name="Bookmark_I67X5B042SF84T0010000400"/>
      <w:bookmarkEnd w:id="1301"/>
      <w:bookmarkEnd w:id="1302"/>
      <w:r>
        <w:rPr>
          <w:rFonts w:ascii="Arial" w:eastAsia="Arial" w:hAnsi="Arial" w:cs="Arial"/>
          <w:color w:val="000000"/>
          <w:sz w:val="18"/>
        </w:rPr>
        <w:t xml:space="preserve">Clark also faults the State for failing to engage in an "interactive process" to consider her purported accommodation request. </w:t>
      </w:r>
      <w:bookmarkStart w:id="1303" w:name="Bookmark_LNHNREFclscc9_5"/>
      <w:bookmarkEnd w:id="1303"/>
      <w:r>
        <w:rPr>
          <w:rFonts w:ascii="Arial" w:eastAsia="Arial" w:hAnsi="Arial" w:cs="Arial"/>
          <w:color w:val="000000"/>
          <w:sz w:val="18"/>
        </w:rPr>
        <w:t xml:space="preserve">But we have held that when "responsibility for the breakdown of the informal, interactive process" is traceable to the requester, no liability exists for failure to accommodate. </w:t>
      </w:r>
      <w:r>
        <w:rPr>
          <w:rFonts w:ascii="Arial" w:eastAsia="Arial" w:hAnsi="Arial" w:cs="Arial"/>
          <w:i/>
          <w:color w:val="000000"/>
          <w:sz w:val="18"/>
        </w:rPr>
        <w:t xml:space="preserve">See </w:t>
      </w:r>
      <w:bookmarkStart w:id="1304" w:name="Bookmark_I67X5B042N1R8R0050000400"/>
      <w:bookmarkEnd w:id="1304"/>
      <w:r>
        <w:rPr>
          <w:rFonts w:ascii="Arial" w:eastAsia="Arial" w:hAnsi="Arial" w:cs="Arial"/>
          <w:i/>
          <w:color w:val="000000"/>
          <w:sz w:val="18"/>
        </w:rPr>
        <w:t>Griffin v. United Parcel Serv., Inc.</w:t>
      </w:r>
      <w:r>
        <w:rPr>
          <w:rFonts w:ascii="Arial" w:eastAsia="Arial" w:hAnsi="Arial" w:cs="Arial"/>
          <w:color w:val="000000"/>
          <w:sz w:val="18"/>
        </w:rPr>
        <w:t>, 661 F.3d 216, 225 (5th Cir. 2011). The record provides good reason to think that Clark is responsible for the breakdown of any interactive process here. After describing the State's explanation for asking her to fill out the form as "bullshit or whatever," Clark readily admitted in her deposition that "it was just sort of an argument and then it ended" and that she "left the form there and stormed out."</w:t>
      </w:r>
    </w:p>
  </w:footnote>
  <w:footnote w:id="34">
    <w:p w:rsidR="00022B47" w:rsidRDefault="00000000">
      <w:pPr>
        <w:pStyle w:val="Normal9"/>
        <w:widowControl w:val="0"/>
        <w:spacing w:before="200" w:line="240" w:lineRule="atLeast"/>
        <w:jc w:val="both"/>
      </w:pPr>
      <w:r>
        <w:rPr>
          <w:rFonts w:ascii="Arial" w:eastAsia="Arial" w:hAnsi="Arial" w:cs="Arial"/>
          <w:color w:val="000000"/>
          <w:sz w:val="18"/>
          <w:vertAlign w:val="superscript"/>
        </w:rPr>
        <w:t>1 </w:t>
      </w:r>
      <w:bookmarkStart w:id="1337" w:name="Bookmark_fnpara_1_6"/>
      <w:bookmarkEnd w:id="1337"/>
      <w:r>
        <w:rPr>
          <w:rFonts w:ascii="Arial" w:eastAsia="Arial" w:hAnsi="Arial" w:cs="Arial"/>
          <w:color w:val="000000"/>
          <w:sz w:val="18"/>
        </w:rPr>
        <w:t xml:space="preserve">In her Complaint, Laufer recites subsection (1) of the Hotel Reservation Regulation in full. </w:t>
      </w:r>
      <w:r>
        <w:rPr>
          <w:rFonts w:ascii="Arial" w:eastAsia="Arial" w:hAnsi="Arial" w:cs="Arial"/>
          <w:i/>
          <w:color w:val="000000"/>
          <w:sz w:val="18"/>
        </w:rPr>
        <w:t>See</w:t>
      </w:r>
      <w:r>
        <w:rPr>
          <w:rFonts w:ascii="Arial" w:eastAsia="Arial" w:hAnsi="Arial" w:cs="Arial"/>
          <w:color w:val="000000"/>
          <w:sz w:val="18"/>
        </w:rPr>
        <w:t xml:space="preserve"> Complaint ¶ 7. Subsection (1) contains a total of five paragraphs and reads as follows:</w:t>
      </w:r>
    </w:p>
    <w:p w:rsidR="00022B47" w:rsidRDefault="00000000">
      <w:pPr>
        <w:pStyle w:val="Normal9"/>
        <w:widowControl w:val="0"/>
        <w:spacing w:before="120" w:line="240" w:lineRule="atLeast"/>
        <w:ind w:left="400"/>
        <w:jc w:val="both"/>
      </w:pPr>
      <w:bookmarkStart w:id="1338" w:name="Bookmark_para_9_8"/>
      <w:bookmarkEnd w:id="1338"/>
      <w:r>
        <w:rPr>
          <w:rFonts w:ascii="Arial" w:eastAsia="Arial" w:hAnsi="Arial" w:cs="Arial"/>
          <w:color w:val="000000"/>
          <w:sz w:val="18"/>
        </w:rPr>
        <w:t>Reservations made by places of lodging. A public accommodation that owns, leases (or leases to), or operates a place of lodging shall, with respect to reservations made by any means, including by telephone, in-person, or through a third party —</w:t>
      </w:r>
    </w:p>
    <w:p w:rsidR="00022B47" w:rsidRDefault="00000000">
      <w:pPr>
        <w:pStyle w:val="Normal9"/>
        <w:widowControl w:val="0"/>
        <w:spacing w:before="120" w:line="240" w:lineRule="atLeast"/>
        <w:ind w:left="400"/>
        <w:jc w:val="both"/>
      </w:pPr>
      <w:bookmarkStart w:id="1339" w:name="Bookmark_para_10_8"/>
      <w:bookmarkEnd w:id="1339"/>
      <w:r>
        <w:rPr>
          <w:rFonts w:ascii="Arial" w:eastAsia="Arial" w:hAnsi="Arial" w:cs="Arial"/>
          <w:color w:val="000000"/>
          <w:sz w:val="18"/>
        </w:rPr>
        <w:t>(i) Modify its policies, practices, or procedures to ensure that individuals with disabilities can make reservations for accessible guest rooms during the same hours and in the same manner as individuals who do not need accessible rooms;</w:t>
      </w:r>
    </w:p>
    <w:p w:rsidR="00022B47" w:rsidRDefault="00000000">
      <w:pPr>
        <w:pStyle w:val="Normal9"/>
        <w:widowControl w:val="0"/>
        <w:spacing w:before="120" w:line="240" w:lineRule="atLeast"/>
        <w:ind w:left="400"/>
        <w:jc w:val="both"/>
      </w:pPr>
      <w:bookmarkStart w:id="1340" w:name="Bookmark_para_11_8"/>
      <w:bookmarkEnd w:id="1340"/>
      <w:r>
        <w:rPr>
          <w:rFonts w:ascii="Arial" w:eastAsia="Arial" w:hAnsi="Arial" w:cs="Arial"/>
          <w:color w:val="000000"/>
          <w:sz w:val="18"/>
        </w:rPr>
        <w:t>(ii) Identify and describe accessible features in the hotels and guest rooms offered through its reservations service in enough detail to reasonably permit individuals with disabilities to assess independently whether a given hotel or guest room meets his or her accessibility needs;</w:t>
      </w:r>
    </w:p>
    <w:p w:rsidR="00022B47" w:rsidRDefault="00000000">
      <w:pPr>
        <w:pStyle w:val="Normal9"/>
        <w:widowControl w:val="0"/>
        <w:spacing w:before="200" w:line="240" w:lineRule="atLeast"/>
        <w:ind w:left="400"/>
        <w:jc w:val="both"/>
      </w:pPr>
      <w:bookmarkStart w:id="1341" w:name="Bookmark_para_12_8"/>
      <w:bookmarkEnd w:id="1341"/>
      <w:r>
        <w:rPr>
          <w:rFonts w:ascii="Arial" w:eastAsia="Arial" w:hAnsi="Arial" w:cs="Arial"/>
          <w:color w:val="000000"/>
          <w:sz w:val="18"/>
        </w:rPr>
        <w:t>(iii) Ensure that accessible guest rooms [**6]  are held for use by individuals with disabilities until all other guest rooms of that type have been rented and the accessible room requested is the only remaining room of that type;</w:t>
      </w:r>
    </w:p>
    <w:p w:rsidR="00022B47" w:rsidRDefault="00000000">
      <w:pPr>
        <w:pStyle w:val="Normal9"/>
        <w:widowControl w:val="0"/>
        <w:spacing w:before="120" w:line="240" w:lineRule="atLeast"/>
        <w:ind w:left="400"/>
        <w:jc w:val="both"/>
      </w:pPr>
      <w:bookmarkStart w:id="1342" w:name="Bookmark_para_13_8"/>
      <w:bookmarkEnd w:id="1342"/>
      <w:r>
        <w:rPr>
          <w:rFonts w:ascii="Arial" w:eastAsia="Arial" w:hAnsi="Arial" w:cs="Arial"/>
          <w:color w:val="000000"/>
          <w:sz w:val="18"/>
        </w:rPr>
        <w:t>(iv) Reserve, upon request, accessible guest rooms or specific types of guest rooms and ensure that the guest rooms requested are blocked and removed from all reservations systems; and</w:t>
      </w:r>
    </w:p>
    <w:p w:rsidR="00022B47" w:rsidRDefault="00000000">
      <w:pPr>
        <w:pStyle w:val="Normal9"/>
        <w:widowControl w:val="0"/>
        <w:spacing w:before="120" w:line="240" w:lineRule="atLeast"/>
        <w:ind w:left="400"/>
        <w:jc w:val="both"/>
      </w:pPr>
      <w:bookmarkStart w:id="1343" w:name="Bookmark_para_14_8"/>
      <w:bookmarkEnd w:id="1343"/>
      <w:r>
        <w:rPr>
          <w:rFonts w:ascii="Arial" w:eastAsia="Arial" w:hAnsi="Arial" w:cs="Arial"/>
          <w:color w:val="000000"/>
          <w:sz w:val="18"/>
        </w:rPr>
        <w:t>(v) Guarantee that the specific accessible guest room reserved through its reservations service is held for the reserving customer, regardless of whether a specific room is held in response to reservations made by others.</w:t>
      </w:r>
    </w:p>
    <w:p w:rsidR="00022B47" w:rsidRDefault="00000000">
      <w:pPr>
        <w:pStyle w:val="Normal9"/>
        <w:widowControl w:val="0"/>
        <w:spacing w:before="200" w:line="240" w:lineRule="atLeast"/>
        <w:jc w:val="both"/>
      </w:pPr>
      <w:r>
        <w:rPr>
          <w:rFonts w:ascii="Arial" w:eastAsia="Arial" w:hAnsi="Arial" w:cs="Arial"/>
          <w:i/>
          <w:color w:val="000000"/>
          <w:sz w:val="18"/>
        </w:rPr>
        <w:t>See</w:t>
      </w:r>
      <w:r>
        <w:rPr>
          <w:rFonts w:ascii="Arial" w:eastAsia="Arial" w:hAnsi="Arial" w:cs="Arial"/>
          <w:color w:val="000000"/>
          <w:sz w:val="18"/>
        </w:rPr>
        <w:t xml:space="preserve"> 28 C.F.R. § 36.302(e)(1). </w:t>
      </w:r>
      <w:bookmarkStart w:id="1344" w:name="Bookmark_LNHNREFclscc3_7"/>
      <w:bookmarkEnd w:id="1344"/>
      <w:r>
        <w:rPr>
          <w:rFonts w:ascii="Arial" w:eastAsia="Arial" w:hAnsi="Arial" w:cs="Arial"/>
          <w:color w:val="000000"/>
          <w:sz w:val="18"/>
        </w:rPr>
        <w:t xml:space="preserve">In its subsection (2), the Hotel Reservation Regulation identifies an exception to the requirements in paragraphs (iii), (iv), and (v) of subsection (1). </w:t>
      </w:r>
      <w:r>
        <w:rPr>
          <w:rFonts w:ascii="Arial" w:eastAsia="Arial" w:hAnsi="Arial" w:cs="Arial"/>
          <w:i/>
          <w:color w:val="000000"/>
          <w:sz w:val="18"/>
        </w:rPr>
        <w:t>Id.</w:t>
      </w:r>
      <w:r>
        <w:rPr>
          <w:rFonts w:ascii="Arial" w:eastAsia="Arial" w:hAnsi="Arial" w:cs="Arial"/>
          <w:color w:val="000000"/>
          <w:sz w:val="18"/>
        </w:rPr>
        <w:t xml:space="preserve"> § 36.302(e)(2). The last provision, subsection (3), specifies that the Hotel Reservation Regulation applies "to reservations made on or after March 15, 2012." </w:t>
      </w:r>
      <w:r>
        <w:rPr>
          <w:rFonts w:ascii="Arial" w:eastAsia="Arial" w:hAnsi="Arial" w:cs="Arial"/>
          <w:i/>
          <w:color w:val="000000"/>
          <w:sz w:val="18"/>
        </w:rPr>
        <w:t>Id.</w:t>
      </w:r>
      <w:r>
        <w:rPr>
          <w:rFonts w:ascii="Arial" w:eastAsia="Arial" w:hAnsi="Arial" w:cs="Arial"/>
          <w:color w:val="000000"/>
          <w:sz w:val="18"/>
        </w:rPr>
        <w:t xml:space="preserve"> § 36.302(e)(3).</w:t>
      </w:r>
    </w:p>
  </w:footnote>
  <w:footnote w:id="35">
    <w:p w:rsidR="00022B47" w:rsidRDefault="00000000">
      <w:pPr>
        <w:pStyle w:val="Normal9"/>
        <w:widowControl w:val="0"/>
        <w:spacing w:before="200" w:line="240" w:lineRule="atLeast"/>
        <w:jc w:val="both"/>
      </w:pPr>
      <w:r>
        <w:rPr>
          <w:rFonts w:ascii="Arial" w:eastAsia="Arial" w:hAnsi="Arial" w:cs="Arial"/>
          <w:color w:val="000000"/>
          <w:sz w:val="18"/>
          <w:vertAlign w:val="superscript"/>
        </w:rPr>
        <w:t>2 </w:t>
      </w:r>
      <w:bookmarkStart w:id="1404" w:name="Bookmark_fnpara_2_5"/>
      <w:bookmarkStart w:id="1405" w:name="Bookmark_I67K33W92N1PTP0040000400"/>
      <w:bookmarkStart w:id="1406" w:name="Bookmark_I1XXT3G25X0000081490003V"/>
      <w:bookmarkStart w:id="1407" w:name="Bookmark_I67K33W92HM6M50010000400"/>
      <w:bookmarkEnd w:id="1404"/>
      <w:bookmarkEnd w:id="1405"/>
      <w:bookmarkEnd w:id="1406"/>
      <w:bookmarkEnd w:id="1407"/>
      <w:r>
        <w:rPr>
          <w:rFonts w:ascii="Arial" w:eastAsia="Arial" w:hAnsi="Arial" w:cs="Arial"/>
          <w:color w:val="000000"/>
          <w:sz w:val="18"/>
        </w:rPr>
        <w:t xml:space="preserve">After determining that plaintiff Harty lacked Article III standing to sue, the Second Circuit relied on its </w:t>
      </w:r>
      <w:bookmarkStart w:id="1408" w:name="Bookmark_I67K33W92N1PTP0030000400"/>
      <w:bookmarkEnd w:id="1408"/>
      <w:r>
        <w:rPr>
          <w:rFonts w:ascii="Arial" w:eastAsia="Arial" w:hAnsi="Arial" w:cs="Arial"/>
          <w:i/>
          <w:color w:val="000000"/>
          <w:sz w:val="18"/>
        </w:rPr>
        <w:t>Harty</w:t>
      </w:r>
      <w:r>
        <w:rPr>
          <w:rFonts w:ascii="Arial" w:eastAsia="Arial" w:hAnsi="Arial" w:cs="Arial"/>
          <w:color w:val="000000"/>
          <w:sz w:val="18"/>
        </w:rPr>
        <w:t xml:space="preserve"> precedent to rule against Laufer by an unpublished decision in separate proceedings. </w:t>
      </w:r>
      <w:bookmarkStart w:id="1409" w:name="Bookmark_I1XXT3G36DR0000814900044"/>
      <w:bookmarkStart w:id="1410" w:name="Bookmark_I67K33W92HM6M50030000400"/>
      <w:bookmarkEnd w:id="1409"/>
      <w:bookmarkEnd w:id="1410"/>
      <w:r>
        <w:rPr>
          <w:rFonts w:ascii="Arial" w:eastAsia="Arial" w:hAnsi="Arial" w:cs="Arial"/>
          <w:i/>
          <w:color w:val="000000"/>
          <w:sz w:val="18"/>
        </w:rPr>
        <w:t xml:space="preserve">See </w:t>
      </w:r>
      <w:bookmarkStart w:id="1411" w:name="Bookmark_I67K33W92N1PTP0050000400"/>
      <w:bookmarkEnd w:id="1411"/>
      <w:r>
        <w:rPr>
          <w:rFonts w:ascii="Arial" w:eastAsia="Arial" w:hAnsi="Arial" w:cs="Arial"/>
          <w:i/>
          <w:color w:val="000000"/>
          <w:sz w:val="18"/>
        </w:rPr>
        <w:t>Laufer v. Ganesha Hosp. LLC</w:t>
      </w:r>
      <w:r>
        <w:rPr>
          <w:rFonts w:ascii="Arial" w:eastAsia="Arial" w:hAnsi="Arial" w:cs="Arial"/>
          <w:color w:val="000000"/>
          <w:sz w:val="18"/>
        </w:rPr>
        <w:t xml:space="preserve">, No. 21-995, 2022 U.S. App. LEXIS 18437. </w:t>
      </w:r>
      <w:bookmarkStart w:id="1412" w:name="Bookmark_I67K33W92HM6M50030000400_2"/>
      <w:bookmarkEnd w:id="1412"/>
      <w:r>
        <w:rPr>
          <w:rFonts w:ascii="Arial" w:eastAsia="Arial" w:hAnsi="Arial" w:cs="Arial"/>
          <w:color w:val="000000"/>
          <w:sz w:val="18"/>
        </w:rPr>
        <w:t xml:space="preserve">The D.C. Circuit has similarly concluded in an unpublished decision that Laufer could not pursue her ADA claims. </w:t>
      </w:r>
      <w:r>
        <w:rPr>
          <w:rFonts w:ascii="Arial" w:eastAsia="Arial" w:hAnsi="Arial" w:cs="Arial"/>
          <w:i/>
          <w:color w:val="000000"/>
          <w:sz w:val="18"/>
        </w:rPr>
        <w:t xml:space="preserve">See </w:t>
      </w:r>
      <w:bookmarkStart w:id="1413" w:name="Bookmark_I67K33W92HM6M50020000400"/>
      <w:bookmarkEnd w:id="1413"/>
      <w:r>
        <w:rPr>
          <w:rFonts w:ascii="Arial" w:eastAsia="Arial" w:hAnsi="Arial" w:cs="Arial"/>
          <w:i/>
          <w:color w:val="000000"/>
          <w:sz w:val="18"/>
        </w:rPr>
        <w:t>Laufer v. Alamac Inc.</w:t>
      </w:r>
      <w:r>
        <w:rPr>
          <w:rFonts w:ascii="Arial" w:eastAsia="Arial" w:hAnsi="Arial" w:cs="Arial"/>
          <w:color w:val="000000"/>
          <w:sz w:val="18"/>
        </w:rPr>
        <w:t>, No. 21-7056, 2021 U.S. App. LEXIS 27443 (D.C. Cir. Sept. 10, 2021).</w:t>
      </w:r>
    </w:p>
  </w:footnote>
  <w:footnote w:id="36">
    <w:p w:rsidR="00022B47" w:rsidRDefault="00000000">
      <w:pPr>
        <w:pStyle w:val="Normal9"/>
        <w:widowControl w:val="0"/>
        <w:spacing w:before="200" w:line="240" w:lineRule="atLeast"/>
        <w:jc w:val="both"/>
      </w:pPr>
      <w:r>
        <w:rPr>
          <w:rFonts w:ascii="Arial" w:eastAsia="Arial" w:hAnsi="Arial" w:cs="Arial"/>
          <w:color w:val="000000"/>
          <w:sz w:val="18"/>
          <w:vertAlign w:val="superscript"/>
        </w:rPr>
        <w:t>3 </w:t>
      </w:r>
      <w:bookmarkStart w:id="1426" w:name="Bookmark_fnpara_3_4"/>
      <w:bookmarkEnd w:id="1426"/>
      <w:r>
        <w:rPr>
          <w:rFonts w:ascii="Arial" w:eastAsia="Arial" w:hAnsi="Arial" w:cs="Arial"/>
          <w:color w:val="000000"/>
          <w:sz w:val="18"/>
        </w:rPr>
        <w:t xml:space="preserve">Unlike the First and Eleventh Circuit cases, Laufer has not admitted in this appeal that she had no intention or need to book a room at the defendant's (here, Naranda's) hotel when she discovered the alleged violations of the Hotel Reservation Regulation. In any event, Laufer does not challenge the district court's factual findings on appeal. </w:t>
      </w:r>
      <w:r>
        <w:rPr>
          <w:rFonts w:ascii="Arial" w:eastAsia="Arial" w:hAnsi="Arial" w:cs="Arial"/>
          <w:i/>
          <w:color w:val="000000"/>
          <w:sz w:val="18"/>
        </w:rPr>
        <w:t>See</w:t>
      </w:r>
      <w:r>
        <w:rPr>
          <w:rFonts w:ascii="Arial" w:eastAsia="Arial" w:hAnsi="Arial" w:cs="Arial"/>
          <w:color w:val="000000"/>
          <w:sz w:val="18"/>
        </w:rPr>
        <w:t xml:space="preserve"> Br. of Appellant 5 n.2 ("While [Laufer] submits that the [district court's] findings are arbitrary and capricious, [she] is confining this appeal to the [court's] legal interpretation that [an] intent to book a room is required.").</w:t>
      </w:r>
    </w:p>
  </w:footnote>
  <w:footnote w:id="37">
    <w:p w:rsidR="00022B47" w:rsidRDefault="00000000">
      <w:pPr>
        <w:pStyle w:val="Normal9"/>
        <w:widowControl w:val="0"/>
        <w:spacing w:before="200" w:line="240" w:lineRule="atLeast"/>
        <w:jc w:val="both"/>
      </w:pPr>
      <w:r>
        <w:rPr>
          <w:rFonts w:ascii="Arial" w:eastAsia="Arial" w:hAnsi="Arial" w:cs="Arial"/>
          <w:color w:val="000000"/>
          <w:sz w:val="18"/>
          <w:vertAlign w:val="superscript"/>
        </w:rPr>
        <w:t>4 </w:t>
      </w:r>
      <w:bookmarkStart w:id="1453" w:name="Bookmark_fnpara_4_3"/>
      <w:bookmarkStart w:id="1454" w:name="Bookmark_I67K33WC28T4GB0030000400"/>
      <w:bookmarkStart w:id="1455" w:name="Bookmark_I67K33WC28T4GB0050000400"/>
      <w:bookmarkEnd w:id="1453"/>
      <w:bookmarkEnd w:id="1454"/>
      <w:bookmarkEnd w:id="1455"/>
      <w:r>
        <w:rPr>
          <w:rFonts w:ascii="Arial" w:eastAsia="Arial" w:hAnsi="Arial" w:cs="Arial"/>
          <w:color w:val="000000"/>
          <w:sz w:val="18"/>
        </w:rPr>
        <w:t xml:space="preserve">At the same time the </w:t>
      </w:r>
      <w:bookmarkStart w:id="1456" w:name="Bookmark_I67K33WC28T4GB0020000400"/>
      <w:bookmarkEnd w:id="1456"/>
      <w:r>
        <w:rPr>
          <w:rFonts w:ascii="Arial" w:eastAsia="Arial" w:hAnsi="Arial" w:cs="Arial"/>
          <w:i/>
          <w:color w:val="000000"/>
          <w:sz w:val="18"/>
        </w:rPr>
        <w:t>Havens Realty</w:t>
      </w:r>
      <w:r>
        <w:rPr>
          <w:rFonts w:ascii="Arial" w:eastAsia="Arial" w:hAnsi="Arial" w:cs="Arial"/>
          <w:color w:val="000000"/>
          <w:sz w:val="18"/>
        </w:rPr>
        <w:t xml:space="preserve"> Court recognized the Black plaintiff's Article III standing to sue based on her allegation of an informational injury, the Court rejected the standing claim of a white plaintiff who had been acting as a tester in concert with the Black plaintiff. </w:t>
      </w:r>
      <w:bookmarkStart w:id="1457" w:name="Bookmark_I67K33WC2SF8V00020000400"/>
      <w:bookmarkEnd w:id="1457"/>
      <w:r>
        <w:rPr>
          <w:rFonts w:ascii="Arial" w:eastAsia="Arial" w:hAnsi="Arial" w:cs="Arial"/>
          <w:i/>
          <w:color w:val="000000"/>
          <w:sz w:val="18"/>
        </w:rPr>
        <w:t>See</w:t>
      </w:r>
      <w:r>
        <w:rPr>
          <w:rFonts w:ascii="Arial" w:eastAsia="Arial" w:hAnsi="Arial" w:cs="Arial"/>
          <w:color w:val="000000"/>
          <w:sz w:val="18"/>
        </w:rPr>
        <w:t xml:space="preserve"> </w:t>
      </w:r>
      <w:bookmarkStart w:id="1458" w:name="Bookmark_I67K33WC28T4GB0040000400"/>
      <w:bookmarkEnd w:id="1458"/>
      <w:r>
        <w:rPr>
          <w:rFonts w:ascii="Arial" w:eastAsia="Arial" w:hAnsi="Arial" w:cs="Arial"/>
          <w:color w:val="000000"/>
          <w:sz w:val="18"/>
        </w:rPr>
        <w:t xml:space="preserve">455 U.S. at 374-75. </w:t>
      </w:r>
      <w:bookmarkStart w:id="1459" w:name="Bookmark_I67K33WC2SF8V00020000400_2"/>
      <w:bookmarkEnd w:id="1459"/>
      <w:r>
        <w:rPr>
          <w:rFonts w:ascii="Arial" w:eastAsia="Arial" w:hAnsi="Arial" w:cs="Arial"/>
          <w:color w:val="000000"/>
          <w:sz w:val="18"/>
        </w:rPr>
        <w:t xml:space="preserve">That was because Havens Realty had truthfully told the white plaintiff that apartments were available to rent and thus caused him no informational injury. </w:t>
      </w:r>
      <w:bookmarkStart w:id="1460" w:name="Bookmark_I67K33WC2SF8V00010000400"/>
      <w:bookmarkEnd w:id="1460"/>
      <w:r>
        <w:rPr>
          <w:rFonts w:ascii="Arial" w:eastAsia="Arial" w:hAnsi="Arial" w:cs="Arial"/>
          <w:i/>
          <w:color w:val="000000"/>
          <w:sz w:val="18"/>
        </w:rPr>
        <w:t>Id.</w:t>
      </w:r>
      <w:r>
        <w:rPr>
          <w:rFonts w:ascii="Arial" w:eastAsia="Arial" w:hAnsi="Arial" w:cs="Arial"/>
          <w:color w:val="000000"/>
          <w:sz w:val="18"/>
        </w:rPr>
        <w:t xml:space="preserve"> at 375 (explaining that because the white plaintiff "alleged that on each occasion that he inquired he was informed that apartments </w:t>
      </w:r>
      <w:r>
        <w:rPr>
          <w:rFonts w:ascii="Arial" w:eastAsia="Arial" w:hAnsi="Arial" w:cs="Arial"/>
          <w:i/>
          <w:color w:val="000000"/>
          <w:sz w:val="18"/>
        </w:rPr>
        <w:t>were</w:t>
      </w:r>
      <w:r>
        <w:rPr>
          <w:rFonts w:ascii="Arial" w:eastAsia="Arial" w:hAnsi="Arial" w:cs="Arial"/>
          <w:color w:val="000000"/>
          <w:sz w:val="18"/>
        </w:rPr>
        <w:t xml:space="preserve"> available," he "alleged no injury to his statutory right to accurate information concerning the availability of housing").</w:t>
      </w:r>
    </w:p>
  </w:footnote>
  <w:footnote w:id="38">
    <w:p w:rsidR="00022B47" w:rsidRDefault="00000000">
      <w:pPr>
        <w:pStyle w:val="Normal9"/>
        <w:widowControl w:val="0"/>
        <w:spacing w:before="200" w:line="240" w:lineRule="atLeast"/>
        <w:jc w:val="both"/>
      </w:pPr>
      <w:r>
        <w:rPr>
          <w:rFonts w:ascii="Arial" w:eastAsia="Arial" w:hAnsi="Arial" w:cs="Arial"/>
          <w:color w:val="000000"/>
          <w:sz w:val="18"/>
          <w:vertAlign w:val="superscript"/>
        </w:rPr>
        <w:t>5 </w:t>
      </w:r>
      <w:bookmarkStart w:id="1625" w:name="Bookmark_fnpara_5_2"/>
      <w:bookmarkStart w:id="1626" w:name="Bookmark_I67K33WC28T4GM0050000400"/>
      <w:bookmarkEnd w:id="1625"/>
      <w:bookmarkEnd w:id="1626"/>
      <w:r>
        <w:rPr>
          <w:rFonts w:ascii="Arial" w:eastAsia="Arial" w:hAnsi="Arial" w:cs="Arial"/>
          <w:color w:val="000000"/>
          <w:sz w:val="18"/>
        </w:rPr>
        <w:t xml:space="preserve">We acknowledge that Naranda asserts in this appeal that Laufer has not satisfied the second and third </w:t>
      </w:r>
      <w:bookmarkStart w:id="1627" w:name="Bookmark_I67K33WC28T4GM0040000400"/>
      <w:bookmarkEnd w:id="1627"/>
      <w:r>
        <w:rPr>
          <w:rFonts w:ascii="Arial" w:eastAsia="Arial" w:hAnsi="Arial" w:cs="Arial"/>
          <w:i/>
          <w:color w:val="000000"/>
          <w:sz w:val="18"/>
        </w:rPr>
        <w:t>Lujan</w:t>
      </w:r>
      <w:bookmarkStart w:id="1628" w:name="Bookmark_I67K33WC2SF8V80020000400"/>
      <w:bookmarkEnd w:id="1628"/>
      <w:r>
        <w:rPr>
          <w:rFonts w:ascii="Arial" w:eastAsia="Arial" w:hAnsi="Arial" w:cs="Arial"/>
          <w:color w:val="000000"/>
          <w:sz w:val="18"/>
        </w:rPr>
        <w:t xml:space="preserve"> elements. In so doing, Naranda relies on theories it raised in the district court in support of its request for dismissal of the Complaint under Federal Rule of Civil Procedure 12(b)(6) for failure to state a claim upon which relief can be granted, and not with respect to its request under Rule 12(b)(1) for dismissal for lack of Article III standing to sue. The underlying theories include that Laufer has not shown that the lack of accessibility information on the hotel reservation websites at issue was the responsibility of Naranda, rather than the third-party websites' operators. </w:t>
      </w:r>
      <w:bookmarkStart w:id="1629" w:name="Bookmark_I67K33WC2SF8V80020000400_2"/>
      <w:bookmarkEnd w:id="1629"/>
      <w:r>
        <w:rPr>
          <w:rFonts w:ascii="Arial" w:eastAsia="Arial" w:hAnsi="Arial" w:cs="Arial"/>
          <w:color w:val="000000"/>
          <w:sz w:val="18"/>
        </w:rPr>
        <w:t xml:space="preserve">Naranda argues on appeal that Laufer therefore has not proven that her alleged informational injury was fairly traceable to Naranda (relevant to the second </w:t>
      </w:r>
      <w:bookmarkStart w:id="1630" w:name="Bookmark_I67K33WC2SF8V80020000400_3"/>
      <w:bookmarkStart w:id="1631" w:name="Bookmark_I67K33WC2SF8V80010000400"/>
      <w:bookmarkEnd w:id="1630"/>
      <w:bookmarkEnd w:id="1631"/>
      <w:r>
        <w:rPr>
          <w:rFonts w:ascii="Arial" w:eastAsia="Arial" w:hAnsi="Arial" w:cs="Arial"/>
          <w:i/>
          <w:color w:val="000000"/>
          <w:sz w:val="18"/>
        </w:rPr>
        <w:t>Lujan</w:t>
      </w:r>
      <w:bookmarkStart w:id="1632" w:name="Bookmark_I67K33WC2SF8V80040000400"/>
      <w:bookmarkEnd w:id="1632"/>
      <w:r>
        <w:rPr>
          <w:rFonts w:ascii="Arial" w:eastAsia="Arial" w:hAnsi="Arial" w:cs="Arial"/>
          <w:color w:val="000000"/>
          <w:sz w:val="18"/>
        </w:rPr>
        <w:t xml:space="preserve"> element) or that obtaining an injunction against Naranda would remedy any ADA violations (pertinent to the third). We decline to entertain those arguments because they were not presented to the district court. </w:t>
      </w:r>
      <w:r>
        <w:rPr>
          <w:rFonts w:ascii="Arial" w:eastAsia="Arial" w:hAnsi="Arial" w:cs="Arial"/>
          <w:i/>
          <w:color w:val="000000"/>
          <w:sz w:val="18"/>
        </w:rPr>
        <w:t xml:space="preserve">See </w:t>
      </w:r>
      <w:bookmarkStart w:id="1633" w:name="Bookmark_I67K33WC2SF8V80030000400"/>
      <w:bookmarkEnd w:id="1633"/>
      <w:r>
        <w:rPr>
          <w:rFonts w:ascii="Arial" w:eastAsia="Arial" w:hAnsi="Arial" w:cs="Arial"/>
          <w:i/>
          <w:color w:val="000000"/>
          <w:sz w:val="18"/>
        </w:rPr>
        <w:t>Volvo Constr. Equip. N. Am., Inc. CLM Equip. Co.</w:t>
      </w:r>
      <w:r>
        <w:rPr>
          <w:rFonts w:ascii="Arial" w:eastAsia="Arial" w:hAnsi="Arial" w:cs="Arial"/>
          <w:color w:val="000000"/>
          <w:sz w:val="18"/>
        </w:rPr>
        <w:t>, 386 F.3d 581, 603 (4th Cir. 2004) ("Absent exceptional circumstances, . . . we do not consider issues raised for the first time on appeal."). Nonetheless, the underlying theories may yet be germane to the colorability of Laufer's ADA claim, which the district court has not yet assessed and is free to consider on remand.</w:t>
      </w:r>
    </w:p>
  </w:footnote>
  <w:footnote w:id="39">
    <w:p w:rsidR="00022B47" w:rsidRDefault="00000000">
      <w:pPr>
        <w:pStyle w:val="Normal9"/>
        <w:widowControl w:val="0"/>
        <w:spacing w:before="200" w:line="240" w:lineRule="atLeast"/>
        <w:jc w:val="both"/>
      </w:pPr>
      <w:r>
        <w:rPr>
          <w:rFonts w:ascii="Arial" w:eastAsia="Arial" w:hAnsi="Arial" w:cs="Arial"/>
          <w:color w:val="000000"/>
          <w:sz w:val="18"/>
          <w:vertAlign w:val="superscript"/>
        </w:rPr>
        <w:t>6 </w:t>
      </w:r>
      <w:bookmarkStart w:id="1761" w:name="Bookmark_fnpara_6_1"/>
      <w:bookmarkStart w:id="1762" w:name="Bookmark_I67K33WG2SF7K00020000400"/>
      <w:bookmarkEnd w:id="1761"/>
      <w:bookmarkEnd w:id="1762"/>
      <w:r>
        <w:rPr>
          <w:rFonts w:ascii="Arial" w:eastAsia="Arial" w:hAnsi="Arial" w:cs="Arial"/>
          <w:color w:val="000000"/>
          <w:sz w:val="18"/>
        </w:rPr>
        <w:t xml:space="preserve">Notably, a four-Justice dissent in </w:t>
      </w:r>
      <w:bookmarkStart w:id="1763" w:name="Bookmark_I67K33WG2SF7K00010000400"/>
      <w:bookmarkEnd w:id="1763"/>
      <w:r>
        <w:rPr>
          <w:rFonts w:ascii="Arial" w:eastAsia="Arial" w:hAnsi="Arial" w:cs="Arial"/>
          <w:i/>
          <w:color w:val="000000"/>
          <w:sz w:val="18"/>
        </w:rPr>
        <w:t>TransUnion</w:t>
      </w:r>
      <w:r>
        <w:rPr>
          <w:rFonts w:ascii="Arial" w:eastAsia="Arial" w:hAnsi="Arial" w:cs="Arial"/>
          <w:color w:val="000000"/>
          <w:sz w:val="18"/>
        </w:rPr>
        <w:t xml:space="preserve"> took the position that the informational injury at issue therein was of the same type alleged in </w:t>
      </w:r>
      <w:bookmarkStart w:id="1764" w:name="Bookmark_I67K33WG2SF7K00030000400"/>
      <w:bookmarkEnd w:id="1764"/>
      <w:r>
        <w:rPr>
          <w:rFonts w:ascii="Arial" w:eastAsia="Arial" w:hAnsi="Arial" w:cs="Arial"/>
          <w:i/>
          <w:color w:val="000000"/>
          <w:sz w:val="18"/>
        </w:rPr>
        <w:t>Public Citizen</w:t>
      </w:r>
      <w:bookmarkStart w:id="1765" w:name="Bookmark_I67K33WG2N1PVR0030000400"/>
      <w:bookmarkEnd w:id="1765"/>
      <w:r>
        <w:rPr>
          <w:rFonts w:ascii="Arial" w:eastAsia="Arial" w:hAnsi="Arial" w:cs="Arial"/>
          <w:color w:val="000000"/>
          <w:sz w:val="18"/>
        </w:rPr>
        <w:t xml:space="preserve">, as well as in </w:t>
      </w:r>
      <w:bookmarkStart w:id="1766" w:name="Bookmark_I67K33WG2N1PVR0030000400_2"/>
      <w:bookmarkStart w:id="1767" w:name="Bookmark_I67K33WG2SF7K00020000400_2"/>
      <w:bookmarkStart w:id="1768" w:name="Bookmark_I67K33WG2SF7K00050000400"/>
      <w:bookmarkEnd w:id="1766"/>
      <w:bookmarkEnd w:id="1767"/>
      <w:bookmarkEnd w:id="1768"/>
      <w:r>
        <w:rPr>
          <w:rFonts w:ascii="Arial" w:eastAsia="Arial" w:hAnsi="Arial" w:cs="Arial"/>
          <w:i/>
          <w:color w:val="000000"/>
          <w:sz w:val="18"/>
        </w:rPr>
        <w:t>Havens Realty</w:t>
      </w:r>
      <w:bookmarkStart w:id="1769" w:name="Bookmark_I67K33WG2N1PVR0050000400"/>
      <w:bookmarkEnd w:id="1769"/>
      <w:r>
        <w:rPr>
          <w:rFonts w:ascii="Arial" w:eastAsia="Arial" w:hAnsi="Arial" w:cs="Arial"/>
          <w:color w:val="000000"/>
          <w:sz w:val="18"/>
        </w:rPr>
        <w:t xml:space="preserve">. </w:t>
      </w:r>
      <w:bookmarkStart w:id="1770" w:name="Bookmark_I67K33WG2HM6N60020000400"/>
      <w:bookmarkEnd w:id="1770"/>
      <w:r>
        <w:rPr>
          <w:rFonts w:ascii="Arial" w:eastAsia="Arial" w:hAnsi="Arial" w:cs="Arial"/>
          <w:i/>
          <w:color w:val="000000"/>
          <w:sz w:val="18"/>
        </w:rPr>
        <w:t xml:space="preserve">See </w:t>
      </w:r>
      <w:bookmarkStart w:id="1771" w:name="Bookmark_I67K33WG2N1PVR0020000400"/>
      <w:bookmarkEnd w:id="1771"/>
      <w:r>
        <w:rPr>
          <w:rFonts w:ascii="Arial" w:eastAsia="Arial" w:hAnsi="Arial" w:cs="Arial"/>
          <w:i/>
          <w:color w:val="000000"/>
          <w:sz w:val="18"/>
        </w:rPr>
        <w:t>TransUnion</w:t>
      </w:r>
      <w:r>
        <w:rPr>
          <w:rFonts w:ascii="Arial" w:eastAsia="Arial" w:hAnsi="Arial" w:cs="Arial"/>
          <w:color w:val="000000"/>
          <w:sz w:val="18"/>
        </w:rPr>
        <w:t xml:space="preserve">, 141 S. Ct. at 2221 (Thomas, J., dissenting). </w:t>
      </w:r>
      <w:bookmarkStart w:id="1772" w:name="Bookmark_I67K33WG2HM6N60020000400_2"/>
      <w:bookmarkStart w:id="1773" w:name="Bookmark_I67K33WG2N1PVR0050000400_2"/>
      <w:bookmarkEnd w:id="1772"/>
      <w:bookmarkEnd w:id="1773"/>
      <w:r>
        <w:rPr>
          <w:rFonts w:ascii="Arial" w:eastAsia="Arial" w:hAnsi="Arial" w:cs="Arial"/>
          <w:color w:val="000000"/>
          <w:sz w:val="18"/>
        </w:rPr>
        <w:t xml:space="preserve">In asserting that the plaintiffs thus possessed Article III standing to pursue the relevant claims, the dissent underscored that "this Court has recognized that the unlawful withholding of requested information causes 'a sufficiently distinct injury to provide standing to sue.'" </w:t>
      </w:r>
      <w:r>
        <w:rPr>
          <w:rFonts w:ascii="Arial" w:eastAsia="Arial" w:hAnsi="Arial" w:cs="Arial"/>
          <w:i/>
          <w:color w:val="000000"/>
          <w:sz w:val="18"/>
        </w:rPr>
        <w:t>Id.</w:t>
      </w:r>
      <w:r>
        <w:rPr>
          <w:rFonts w:ascii="Arial" w:eastAsia="Arial" w:hAnsi="Arial" w:cs="Arial"/>
          <w:color w:val="000000"/>
          <w:sz w:val="18"/>
        </w:rPr>
        <w:t xml:space="preserve"> (quoting </w:t>
      </w:r>
      <w:bookmarkStart w:id="1774" w:name="Bookmark_I67K33WG2N1PVR0040000400"/>
      <w:bookmarkEnd w:id="1774"/>
      <w:r>
        <w:rPr>
          <w:rFonts w:ascii="Arial" w:eastAsia="Arial" w:hAnsi="Arial" w:cs="Arial"/>
          <w:i/>
          <w:color w:val="000000"/>
          <w:sz w:val="18"/>
        </w:rPr>
        <w:t>Pub. Citizen</w:t>
      </w:r>
      <w:r>
        <w:rPr>
          <w:rFonts w:ascii="Arial" w:eastAsia="Arial" w:hAnsi="Arial" w:cs="Arial"/>
          <w:color w:val="000000"/>
          <w:sz w:val="18"/>
        </w:rPr>
        <w:t xml:space="preserve">, 491 U.S. at 449). Again, the issue was the applicability — and not the continuing vitality — of the </w:t>
      </w:r>
      <w:bookmarkStart w:id="1775" w:name="Bookmark_I67K33WG2HM6N60020000400_3"/>
      <w:bookmarkStart w:id="1776" w:name="Bookmark_I67K33WG2HM6N60010000400"/>
      <w:bookmarkEnd w:id="1775"/>
      <w:bookmarkEnd w:id="1776"/>
      <w:r>
        <w:rPr>
          <w:rFonts w:ascii="Arial" w:eastAsia="Arial" w:hAnsi="Arial" w:cs="Arial"/>
          <w:i/>
          <w:color w:val="000000"/>
          <w:sz w:val="18"/>
        </w:rPr>
        <w:t>Havens Realty</w:t>
      </w:r>
      <w:r>
        <w:rPr>
          <w:rFonts w:ascii="Arial" w:eastAsia="Arial" w:hAnsi="Arial" w:cs="Arial"/>
          <w:color w:val="000000"/>
          <w:sz w:val="18"/>
        </w:rPr>
        <w:t xml:space="preserve"> line of decisions.</w:t>
      </w:r>
    </w:p>
  </w:footnote>
  <w:footnote w:id="40">
    <w:p w:rsidR="00022B47" w:rsidRDefault="00000000">
      <w:pPr>
        <w:pStyle w:val="Normal9"/>
        <w:widowControl w:val="0"/>
        <w:spacing w:before="200" w:line="240" w:lineRule="atLeast"/>
        <w:jc w:val="both"/>
      </w:pPr>
      <w:r>
        <w:rPr>
          <w:rFonts w:ascii="Arial" w:eastAsia="Arial" w:hAnsi="Arial" w:cs="Arial"/>
          <w:color w:val="000000"/>
          <w:sz w:val="18"/>
          <w:vertAlign w:val="superscript"/>
        </w:rPr>
        <w:t>7 </w:t>
      </w:r>
      <w:bookmarkStart w:id="1902" w:name="Bookmark_fnpara_7_1"/>
      <w:bookmarkStart w:id="1903" w:name="Bookmark_I67K33WG2D6NNM0030000400"/>
      <w:bookmarkEnd w:id="1902"/>
      <w:bookmarkEnd w:id="1903"/>
      <w:r>
        <w:rPr>
          <w:rFonts w:ascii="Arial" w:eastAsia="Arial" w:hAnsi="Arial" w:cs="Arial"/>
          <w:color w:val="000000"/>
          <w:sz w:val="18"/>
        </w:rPr>
        <w:t xml:space="preserve">In its discussion of </w:t>
      </w:r>
      <w:bookmarkStart w:id="1904" w:name="Bookmark_I67K33WG2D6NNM0020000400"/>
      <w:bookmarkEnd w:id="1904"/>
      <w:r>
        <w:rPr>
          <w:rFonts w:ascii="Arial" w:eastAsia="Arial" w:hAnsi="Arial" w:cs="Arial"/>
          <w:i/>
          <w:color w:val="000000"/>
          <w:sz w:val="18"/>
        </w:rPr>
        <w:t>Public Citizen</w:t>
      </w:r>
      <w:r>
        <w:rPr>
          <w:rFonts w:ascii="Arial" w:eastAsia="Arial" w:hAnsi="Arial" w:cs="Arial"/>
          <w:color w:val="000000"/>
          <w:sz w:val="18"/>
        </w:rPr>
        <w:t xml:space="preserve"> and </w:t>
      </w:r>
      <w:bookmarkStart w:id="1905" w:name="Bookmark_I67K33WG2D6NNM0040000400"/>
      <w:bookmarkEnd w:id="1905"/>
      <w:r>
        <w:rPr>
          <w:rFonts w:ascii="Arial" w:eastAsia="Arial" w:hAnsi="Arial" w:cs="Arial"/>
          <w:i/>
          <w:color w:val="000000"/>
          <w:sz w:val="18"/>
        </w:rPr>
        <w:t>Akins</w:t>
      </w:r>
      <w:r>
        <w:rPr>
          <w:rFonts w:ascii="Arial" w:eastAsia="Arial" w:hAnsi="Arial" w:cs="Arial"/>
          <w:color w:val="000000"/>
          <w:sz w:val="18"/>
        </w:rPr>
        <w:t xml:space="preserve"> and their supposed use requirement, the Tenth Circuit invoked </w:t>
      </w:r>
      <w:bookmarkStart w:id="1906" w:name="Bookmark_I67K33WG2D6NNM0030000400_2"/>
      <w:bookmarkStart w:id="1907" w:name="Bookmark_I67K33WG28T4H90010000400"/>
      <w:bookmarkEnd w:id="1906"/>
      <w:bookmarkEnd w:id="1907"/>
      <w:r>
        <w:rPr>
          <w:rFonts w:ascii="Arial" w:eastAsia="Arial" w:hAnsi="Arial" w:cs="Arial"/>
          <w:i/>
          <w:color w:val="000000"/>
          <w:sz w:val="18"/>
        </w:rPr>
        <w:t>TransUnion</w:t>
      </w:r>
      <w:r>
        <w:rPr>
          <w:rFonts w:ascii="Arial" w:eastAsia="Arial" w:hAnsi="Arial" w:cs="Arial"/>
          <w:color w:val="000000"/>
          <w:sz w:val="18"/>
        </w:rPr>
        <w:t xml:space="preserve">'s rejection of the theory that the </w:t>
      </w:r>
      <w:bookmarkStart w:id="1908" w:name="Bookmark_I67K33WG28T4H90030000400"/>
      <w:bookmarkEnd w:id="1908"/>
      <w:r>
        <w:rPr>
          <w:rFonts w:ascii="Arial" w:eastAsia="Arial" w:hAnsi="Arial" w:cs="Arial"/>
          <w:i/>
          <w:color w:val="000000"/>
          <w:sz w:val="18"/>
        </w:rPr>
        <w:t>TransUnion</w:t>
      </w:r>
      <w:r>
        <w:rPr>
          <w:rFonts w:ascii="Arial" w:eastAsia="Arial" w:hAnsi="Arial" w:cs="Arial"/>
          <w:color w:val="000000"/>
          <w:sz w:val="18"/>
        </w:rPr>
        <w:t xml:space="preserve"> plaintiffs suffered a concrete informational injury under </w:t>
      </w:r>
      <w:bookmarkStart w:id="1909" w:name="Bookmark_I67K33WG28T4H90050000400"/>
      <w:bookmarkEnd w:id="1909"/>
      <w:r>
        <w:rPr>
          <w:rFonts w:ascii="Arial" w:eastAsia="Arial" w:hAnsi="Arial" w:cs="Arial"/>
          <w:i/>
          <w:color w:val="000000"/>
          <w:sz w:val="18"/>
        </w:rPr>
        <w:t>Public Citizen</w:t>
      </w:r>
      <w:bookmarkStart w:id="1910" w:name="Bookmark_I67K33WG2SF7K70050000400"/>
      <w:bookmarkEnd w:id="1910"/>
      <w:r>
        <w:rPr>
          <w:rFonts w:ascii="Arial" w:eastAsia="Arial" w:hAnsi="Arial" w:cs="Arial"/>
          <w:color w:val="000000"/>
          <w:sz w:val="18"/>
        </w:rPr>
        <w:t xml:space="preserve"> and </w:t>
      </w:r>
      <w:bookmarkStart w:id="1911" w:name="Bookmark_I67K33WG2SF7K70020000400"/>
      <w:bookmarkEnd w:id="1911"/>
      <w:r>
        <w:rPr>
          <w:rFonts w:ascii="Arial" w:eastAsia="Arial" w:hAnsi="Arial" w:cs="Arial"/>
          <w:i/>
          <w:color w:val="000000"/>
          <w:sz w:val="18"/>
        </w:rPr>
        <w:t>Akins</w:t>
      </w:r>
      <w:bookmarkStart w:id="1912" w:name="Bookmark_I67K33WG2N1PW00020000400"/>
      <w:bookmarkEnd w:id="1912"/>
      <w:r>
        <w:rPr>
          <w:rFonts w:ascii="Arial" w:eastAsia="Arial" w:hAnsi="Arial" w:cs="Arial"/>
          <w:color w:val="000000"/>
          <w:sz w:val="18"/>
        </w:rPr>
        <w:t xml:space="preserve">. </w:t>
      </w:r>
      <w:r>
        <w:rPr>
          <w:rFonts w:ascii="Arial" w:eastAsia="Arial" w:hAnsi="Arial" w:cs="Arial"/>
          <w:i/>
          <w:color w:val="000000"/>
          <w:sz w:val="18"/>
        </w:rPr>
        <w:t xml:space="preserve">See </w:t>
      </w:r>
      <w:bookmarkStart w:id="1913" w:name="Bookmark_I67K33WG2SF7K70040000400"/>
      <w:bookmarkEnd w:id="1913"/>
      <w:r>
        <w:rPr>
          <w:rFonts w:ascii="Arial" w:eastAsia="Arial" w:hAnsi="Arial" w:cs="Arial"/>
          <w:i/>
          <w:color w:val="000000"/>
          <w:sz w:val="18"/>
        </w:rPr>
        <w:t>Looper</w:t>
      </w:r>
      <w:r>
        <w:rPr>
          <w:rFonts w:ascii="Arial" w:eastAsia="Arial" w:hAnsi="Arial" w:cs="Arial"/>
          <w:color w:val="000000"/>
          <w:sz w:val="18"/>
        </w:rPr>
        <w:t xml:space="preserve">, 22 F.4th at 880-81. </w:t>
      </w:r>
      <w:bookmarkStart w:id="1914" w:name="Bookmark_I67K33WG2N1PW00020000400_2"/>
      <w:bookmarkStart w:id="1915" w:name="Bookmark_I67K33WG2HM6NG0030000400"/>
      <w:bookmarkEnd w:id="1914"/>
      <w:bookmarkEnd w:id="1915"/>
      <w:r>
        <w:rPr>
          <w:rFonts w:ascii="Arial" w:eastAsia="Arial" w:hAnsi="Arial" w:cs="Arial"/>
          <w:color w:val="000000"/>
          <w:sz w:val="18"/>
        </w:rPr>
        <w:t xml:space="preserve">The Tenth Circuit described </w:t>
      </w:r>
      <w:bookmarkStart w:id="1916" w:name="Bookmark_I67K33WG2HM6NG0030000400_2"/>
      <w:bookmarkStart w:id="1917" w:name="Bookmark_I67K33WG2N1PW00020000400_3"/>
      <w:bookmarkStart w:id="1918" w:name="Bookmark_I67K33WG2N1PW00010000400"/>
      <w:bookmarkEnd w:id="1916"/>
      <w:bookmarkEnd w:id="1917"/>
      <w:bookmarkEnd w:id="1918"/>
      <w:r>
        <w:rPr>
          <w:rFonts w:ascii="Arial" w:eastAsia="Arial" w:hAnsi="Arial" w:cs="Arial"/>
          <w:i/>
          <w:color w:val="000000"/>
          <w:sz w:val="18"/>
        </w:rPr>
        <w:t>TransUnion</w:t>
      </w:r>
      <w:r>
        <w:rPr>
          <w:rFonts w:ascii="Arial" w:eastAsia="Arial" w:hAnsi="Arial" w:cs="Arial"/>
          <w:color w:val="000000"/>
          <w:sz w:val="18"/>
        </w:rPr>
        <w:t xml:space="preserve"> as rejecting that theory "in part because 'the plaintiffs . . . identified no downstream consequences from failing to receive the required information.'" </w:t>
      </w:r>
      <w:bookmarkStart w:id="1919" w:name="Bookmark_I67K33WG2N1PW00030000400"/>
      <w:bookmarkEnd w:id="1919"/>
      <w:r>
        <w:rPr>
          <w:rFonts w:ascii="Arial" w:eastAsia="Arial" w:hAnsi="Arial" w:cs="Arial"/>
          <w:i/>
          <w:color w:val="000000"/>
          <w:sz w:val="18"/>
        </w:rPr>
        <w:t>Id.</w:t>
      </w:r>
      <w:r>
        <w:rPr>
          <w:rFonts w:ascii="Arial" w:eastAsia="Arial" w:hAnsi="Arial" w:cs="Arial"/>
          <w:color w:val="000000"/>
          <w:sz w:val="18"/>
        </w:rPr>
        <w:t xml:space="preserve"> at 881 (quoting </w:t>
      </w:r>
      <w:bookmarkStart w:id="1920" w:name="Bookmark_I67K33WG2N1PW00050000400"/>
      <w:bookmarkEnd w:id="1920"/>
      <w:r>
        <w:rPr>
          <w:rFonts w:ascii="Arial" w:eastAsia="Arial" w:hAnsi="Arial" w:cs="Arial"/>
          <w:i/>
          <w:color w:val="000000"/>
          <w:sz w:val="18"/>
        </w:rPr>
        <w:t>TransUnion</w:t>
      </w:r>
      <w:r>
        <w:rPr>
          <w:rFonts w:ascii="Arial" w:eastAsia="Arial" w:hAnsi="Arial" w:cs="Arial"/>
          <w:color w:val="000000"/>
          <w:sz w:val="18"/>
        </w:rPr>
        <w:t xml:space="preserve">, 141 S. Ct. at 2214). In so doing, the Tenth Circuit suggested that </w:t>
      </w:r>
      <w:bookmarkStart w:id="1921" w:name="Bookmark_I67K33WG2HM6NG0030000400_3"/>
      <w:bookmarkStart w:id="1922" w:name="Bookmark_I67K33WG2HM6NG0020000400"/>
      <w:bookmarkEnd w:id="1921"/>
      <w:bookmarkEnd w:id="1922"/>
      <w:r>
        <w:rPr>
          <w:rFonts w:ascii="Arial" w:eastAsia="Arial" w:hAnsi="Arial" w:cs="Arial"/>
          <w:i/>
          <w:color w:val="000000"/>
          <w:sz w:val="18"/>
        </w:rPr>
        <w:t>TransUnion</w:t>
      </w:r>
      <w:r>
        <w:rPr>
          <w:rFonts w:ascii="Arial" w:eastAsia="Arial" w:hAnsi="Arial" w:cs="Arial"/>
          <w:color w:val="000000"/>
          <w:sz w:val="18"/>
        </w:rPr>
        <w:t xml:space="preserve"> drew the "downstream consequences" requirement from </w:t>
      </w:r>
      <w:bookmarkStart w:id="1923" w:name="Bookmark_I67K33WG2HM6NG0040000400"/>
      <w:bookmarkEnd w:id="1923"/>
      <w:r>
        <w:rPr>
          <w:rFonts w:ascii="Arial" w:eastAsia="Arial" w:hAnsi="Arial" w:cs="Arial"/>
          <w:i/>
          <w:color w:val="000000"/>
          <w:sz w:val="18"/>
        </w:rPr>
        <w:t>Public Citizen</w:t>
      </w:r>
      <w:r>
        <w:rPr>
          <w:rFonts w:ascii="Arial" w:eastAsia="Arial" w:hAnsi="Arial" w:cs="Arial"/>
          <w:color w:val="000000"/>
          <w:sz w:val="18"/>
        </w:rPr>
        <w:t xml:space="preserve"> and </w:t>
      </w:r>
      <w:bookmarkStart w:id="1924" w:name="Bookmark_I67K33WH2D6NNN0010000400"/>
      <w:bookmarkEnd w:id="1924"/>
      <w:r>
        <w:rPr>
          <w:rFonts w:ascii="Arial" w:eastAsia="Arial" w:hAnsi="Arial" w:cs="Arial"/>
          <w:i/>
          <w:color w:val="000000"/>
          <w:sz w:val="18"/>
        </w:rPr>
        <w:t>Akins</w:t>
      </w:r>
      <w:r>
        <w:rPr>
          <w:rFonts w:ascii="Arial" w:eastAsia="Arial" w:hAnsi="Arial" w:cs="Arial"/>
          <w:color w:val="000000"/>
          <w:sz w:val="18"/>
        </w:rPr>
        <w:t xml:space="preserve">, and that </w:t>
      </w:r>
      <w:bookmarkStart w:id="1925" w:name="Bookmark_I67K33WH2D6NNN0030000400"/>
      <w:bookmarkEnd w:id="1925"/>
      <w:r>
        <w:rPr>
          <w:rFonts w:ascii="Arial" w:eastAsia="Arial" w:hAnsi="Arial" w:cs="Arial"/>
          <w:i/>
          <w:color w:val="000000"/>
          <w:sz w:val="18"/>
        </w:rPr>
        <w:t>TransUnion</w:t>
      </w:r>
      <w:r>
        <w:rPr>
          <w:rFonts w:ascii="Arial" w:eastAsia="Arial" w:hAnsi="Arial" w:cs="Arial"/>
          <w:color w:val="000000"/>
          <w:sz w:val="18"/>
        </w:rPr>
        <w:t xml:space="preserve"> thereby "shows why" the Tenth Circuit's reading of </w:t>
      </w:r>
      <w:bookmarkStart w:id="1926" w:name="Bookmark_I67K33WH2D6NNN0050000400"/>
      <w:bookmarkEnd w:id="1926"/>
      <w:r>
        <w:rPr>
          <w:rFonts w:ascii="Arial" w:eastAsia="Arial" w:hAnsi="Arial" w:cs="Arial"/>
          <w:i/>
          <w:color w:val="000000"/>
          <w:sz w:val="18"/>
        </w:rPr>
        <w:t>Public Citizen</w:t>
      </w:r>
      <w:bookmarkStart w:id="1927" w:name="Bookmark_I67K33WH28T4HB0050000400"/>
      <w:bookmarkEnd w:id="1927"/>
      <w:r>
        <w:rPr>
          <w:rFonts w:ascii="Arial" w:eastAsia="Arial" w:hAnsi="Arial" w:cs="Arial"/>
          <w:color w:val="000000"/>
          <w:sz w:val="18"/>
        </w:rPr>
        <w:t xml:space="preserve"> and </w:t>
      </w:r>
      <w:bookmarkStart w:id="1928" w:name="Bookmark_I67K33WH28T4HB0020000400"/>
      <w:bookmarkEnd w:id="1928"/>
      <w:r>
        <w:rPr>
          <w:rFonts w:ascii="Arial" w:eastAsia="Arial" w:hAnsi="Arial" w:cs="Arial"/>
          <w:i/>
          <w:color w:val="000000"/>
          <w:sz w:val="18"/>
        </w:rPr>
        <w:t>Akins</w:t>
      </w:r>
      <w:bookmarkStart w:id="1929" w:name="Bookmark_I67K33WH2SF7K80020000400"/>
      <w:bookmarkEnd w:id="1929"/>
      <w:r>
        <w:rPr>
          <w:rFonts w:ascii="Arial" w:eastAsia="Arial" w:hAnsi="Arial" w:cs="Arial"/>
          <w:color w:val="000000"/>
          <w:sz w:val="18"/>
        </w:rPr>
        <w:t xml:space="preserve"> was correct. </w:t>
      </w:r>
      <w:bookmarkStart w:id="1930" w:name="Bookmark_I67K33WH28T4HB0040000400"/>
      <w:bookmarkEnd w:id="1930"/>
      <w:r>
        <w:rPr>
          <w:rFonts w:ascii="Arial" w:eastAsia="Arial" w:hAnsi="Arial" w:cs="Arial"/>
          <w:i/>
          <w:color w:val="000000"/>
          <w:sz w:val="18"/>
        </w:rPr>
        <w:t>Id.</w:t>
      </w:r>
      <w:r>
        <w:rPr>
          <w:rFonts w:ascii="Arial" w:eastAsia="Arial" w:hAnsi="Arial" w:cs="Arial"/>
          <w:color w:val="000000"/>
          <w:sz w:val="18"/>
        </w:rPr>
        <w:t xml:space="preserve"> at 880-81. </w:t>
      </w:r>
      <w:bookmarkStart w:id="1931" w:name="Bookmark_I67K33WH2SF7K80020000400_2"/>
      <w:bookmarkEnd w:id="1931"/>
      <w:r>
        <w:rPr>
          <w:rFonts w:ascii="Arial" w:eastAsia="Arial" w:hAnsi="Arial" w:cs="Arial"/>
          <w:color w:val="000000"/>
          <w:sz w:val="18"/>
        </w:rPr>
        <w:t xml:space="preserve">Actually, however, </w:t>
      </w:r>
      <w:bookmarkStart w:id="1932" w:name="Bookmark_I67K33WH2SF7K80020000400_3"/>
      <w:bookmarkStart w:id="1933" w:name="Bookmark_I67K33WH2SF7K80010000400"/>
      <w:bookmarkEnd w:id="1932"/>
      <w:bookmarkEnd w:id="1933"/>
      <w:r>
        <w:rPr>
          <w:rFonts w:ascii="Arial" w:eastAsia="Arial" w:hAnsi="Arial" w:cs="Arial"/>
          <w:i/>
          <w:color w:val="000000"/>
          <w:sz w:val="18"/>
        </w:rPr>
        <w:t>TransUnion</w:t>
      </w:r>
      <w:r>
        <w:rPr>
          <w:rFonts w:ascii="Arial" w:eastAsia="Arial" w:hAnsi="Arial" w:cs="Arial"/>
          <w:color w:val="000000"/>
          <w:sz w:val="18"/>
        </w:rPr>
        <w:t xml:space="preserve"> did not draw the "downstream consequences" requirement from </w:t>
      </w:r>
      <w:bookmarkStart w:id="1934" w:name="Bookmark_I67K33WH2SF7K80030000400"/>
      <w:bookmarkEnd w:id="1934"/>
      <w:r>
        <w:rPr>
          <w:rFonts w:ascii="Arial" w:eastAsia="Arial" w:hAnsi="Arial" w:cs="Arial"/>
          <w:i/>
          <w:color w:val="000000"/>
          <w:sz w:val="18"/>
        </w:rPr>
        <w:t>Public Citizen</w:t>
      </w:r>
      <w:bookmarkStart w:id="1935" w:name="Bookmark_I67K33WH2N1PW10030000400"/>
      <w:bookmarkEnd w:id="1935"/>
      <w:r>
        <w:rPr>
          <w:rFonts w:ascii="Arial" w:eastAsia="Arial" w:hAnsi="Arial" w:cs="Arial"/>
          <w:color w:val="000000"/>
          <w:sz w:val="18"/>
        </w:rPr>
        <w:t xml:space="preserve"> and </w:t>
      </w:r>
      <w:bookmarkStart w:id="1936" w:name="Bookmark_I67K33WH2SF7K80050000400"/>
      <w:bookmarkEnd w:id="1936"/>
      <w:r>
        <w:rPr>
          <w:rFonts w:ascii="Arial" w:eastAsia="Arial" w:hAnsi="Arial" w:cs="Arial"/>
          <w:i/>
          <w:color w:val="000000"/>
          <w:sz w:val="18"/>
        </w:rPr>
        <w:t>Akins</w:t>
      </w:r>
      <w:r>
        <w:rPr>
          <w:rFonts w:ascii="Arial" w:eastAsia="Arial" w:hAnsi="Arial" w:cs="Arial"/>
          <w:color w:val="000000"/>
          <w:sz w:val="18"/>
        </w:rPr>
        <w:t xml:space="preserve">. Indeed, </w:t>
      </w:r>
      <w:bookmarkStart w:id="1937" w:name="Bookmark_I67K33WH2N1PW10030000400_2"/>
      <w:bookmarkStart w:id="1938" w:name="Bookmark_I67K33WH2N1PW10020000400"/>
      <w:bookmarkEnd w:id="1937"/>
      <w:bookmarkEnd w:id="1938"/>
      <w:r>
        <w:rPr>
          <w:rFonts w:ascii="Arial" w:eastAsia="Arial" w:hAnsi="Arial" w:cs="Arial"/>
          <w:i/>
          <w:color w:val="000000"/>
          <w:sz w:val="18"/>
        </w:rPr>
        <w:t>TransUnion</w:t>
      </w:r>
      <w:r>
        <w:rPr>
          <w:rFonts w:ascii="Arial" w:eastAsia="Arial" w:hAnsi="Arial" w:cs="Arial"/>
          <w:color w:val="000000"/>
          <w:sz w:val="18"/>
        </w:rPr>
        <w:t xml:space="preserve"> distinguished </w:t>
      </w:r>
      <w:bookmarkStart w:id="1939" w:name="Bookmark_I67K33WH2N1PW10040000400"/>
      <w:bookmarkEnd w:id="1939"/>
      <w:r>
        <w:rPr>
          <w:rFonts w:ascii="Arial" w:eastAsia="Arial" w:hAnsi="Arial" w:cs="Arial"/>
          <w:i/>
          <w:color w:val="000000"/>
          <w:sz w:val="18"/>
        </w:rPr>
        <w:t>Public Citizen</w:t>
      </w:r>
      <w:r>
        <w:rPr>
          <w:rFonts w:ascii="Arial" w:eastAsia="Arial" w:hAnsi="Arial" w:cs="Arial"/>
          <w:color w:val="000000"/>
          <w:sz w:val="18"/>
        </w:rPr>
        <w:t xml:space="preserve"> and </w:t>
      </w:r>
      <w:bookmarkStart w:id="1940" w:name="Bookmark_I67K33WH2HM6NH0010000400"/>
      <w:bookmarkEnd w:id="1940"/>
      <w:r>
        <w:rPr>
          <w:rFonts w:ascii="Arial" w:eastAsia="Arial" w:hAnsi="Arial" w:cs="Arial"/>
          <w:i/>
          <w:color w:val="000000"/>
          <w:sz w:val="18"/>
        </w:rPr>
        <w:t>Akins</w:t>
      </w:r>
      <w:r>
        <w:rPr>
          <w:rFonts w:ascii="Arial" w:eastAsia="Arial" w:hAnsi="Arial" w:cs="Arial"/>
          <w:color w:val="000000"/>
          <w:sz w:val="18"/>
        </w:rPr>
        <w:t xml:space="preserve">, and only thereafter discussed the need for "downstream consequences" without any further mention of </w:t>
      </w:r>
      <w:bookmarkStart w:id="1941" w:name="Bookmark_I67K33WH2HM6NH0030000400"/>
      <w:bookmarkEnd w:id="1941"/>
      <w:r>
        <w:rPr>
          <w:rFonts w:ascii="Arial" w:eastAsia="Arial" w:hAnsi="Arial" w:cs="Arial"/>
          <w:i/>
          <w:color w:val="000000"/>
          <w:sz w:val="18"/>
        </w:rPr>
        <w:t>Public Citizen</w:t>
      </w:r>
      <w:r>
        <w:rPr>
          <w:rFonts w:ascii="Arial" w:eastAsia="Arial" w:hAnsi="Arial" w:cs="Arial"/>
          <w:color w:val="000000"/>
          <w:sz w:val="18"/>
        </w:rPr>
        <w:t xml:space="preserve"> and </w:t>
      </w:r>
      <w:bookmarkStart w:id="1942" w:name="Bookmark_I67K33WH2HM6NH0050000400"/>
      <w:bookmarkEnd w:id="1942"/>
      <w:r>
        <w:rPr>
          <w:rFonts w:ascii="Arial" w:eastAsia="Arial" w:hAnsi="Arial" w:cs="Arial"/>
          <w:i/>
          <w:color w:val="000000"/>
          <w:sz w:val="18"/>
        </w:rPr>
        <w:t>Akins</w:t>
      </w:r>
      <w:r>
        <w:rPr>
          <w:rFonts w:ascii="Arial" w:eastAsia="Arial" w:hAnsi="Arial" w:cs="Arial"/>
          <w:color w:val="000000"/>
          <w:sz w:val="18"/>
        </w:rPr>
        <w:t xml:space="preserve"> at all. </w:t>
      </w:r>
      <w:r>
        <w:rPr>
          <w:rFonts w:ascii="Arial" w:eastAsia="Arial" w:hAnsi="Arial" w:cs="Arial"/>
          <w:i/>
          <w:color w:val="000000"/>
          <w:sz w:val="18"/>
        </w:rPr>
        <w:t xml:space="preserve">See </w:t>
      </w:r>
      <w:bookmarkStart w:id="1943" w:name="Bookmark_I67K33WH2D6NNP0020000400"/>
      <w:bookmarkEnd w:id="1943"/>
      <w:r>
        <w:rPr>
          <w:rFonts w:ascii="Arial" w:eastAsia="Arial" w:hAnsi="Arial" w:cs="Arial"/>
          <w:i/>
          <w:color w:val="000000"/>
          <w:sz w:val="18"/>
        </w:rPr>
        <w:t>TransUnion</w:t>
      </w:r>
      <w:r>
        <w:rPr>
          <w:rFonts w:ascii="Arial" w:eastAsia="Arial" w:hAnsi="Arial" w:cs="Arial"/>
          <w:color w:val="000000"/>
          <w:sz w:val="18"/>
        </w:rPr>
        <w:t>, 141 S. Ct. at 2214 (first specifying that "</w:t>
      </w:r>
      <w:bookmarkStart w:id="1944" w:name="Bookmark_I67K33WH2D6NNP0040000400"/>
      <w:bookmarkEnd w:id="1944"/>
      <w:r>
        <w:rPr>
          <w:rFonts w:ascii="Arial" w:eastAsia="Arial" w:hAnsi="Arial" w:cs="Arial"/>
          <w:i/>
          <w:color w:val="000000"/>
          <w:sz w:val="18"/>
        </w:rPr>
        <w:t>Akins</w:t>
      </w:r>
      <w:r>
        <w:rPr>
          <w:rFonts w:ascii="Arial" w:eastAsia="Arial" w:hAnsi="Arial" w:cs="Arial"/>
          <w:color w:val="000000"/>
          <w:sz w:val="18"/>
        </w:rPr>
        <w:t xml:space="preserve"> and </w:t>
      </w:r>
      <w:bookmarkStart w:id="1945" w:name="Bookmark_I67K33WH2SF7K90010000400"/>
      <w:bookmarkEnd w:id="1945"/>
      <w:r>
        <w:rPr>
          <w:rFonts w:ascii="Arial" w:eastAsia="Arial" w:hAnsi="Arial" w:cs="Arial"/>
          <w:i/>
          <w:color w:val="000000"/>
          <w:sz w:val="18"/>
        </w:rPr>
        <w:t>Public Citizen</w:t>
      </w:r>
      <w:r>
        <w:rPr>
          <w:rFonts w:ascii="Arial" w:eastAsia="Arial" w:hAnsi="Arial" w:cs="Arial"/>
          <w:color w:val="000000"/>
          <w:sz w:val="18"/>
        </w:rPr>
        <w:t xml:space="preserve"> do not control here," and only then explaining that "[m]oreover, the plaintiffs have identified no downstream consequences from failing to receive the required information" (internal quotation marks omitted)).</w:t>
      </w:r>
    </w:p>
  </w:footnote>
  <w:footnote w:id="41">
    <w:p w:rsidR="00022B47" w:rsidRDefault="00000000">
      <w:pPr>
        <w:pStyle w:val="Normal9"/>
        <w:widowControl w:val="0"/>
        <w:spacing w:before="200" w:line="240" w:lineRule="atLeast"/>
        <w:jc w:val="both"/>
      </w:pPr>
      <w:r>
        <w:rPr>
          <w:rFonts w:ascii="Arial" w:eastAsia="Arial" w:hAnsi="Arial" w:cs="Arial"/>
          <w:color w:val="000000"/>
          <w:sz w:val="18"/>
          <w:vertAlign w:val="superscript"/>
        </w:rPr>
        <w:t>8 </w:t>
      </w:r>
      <w:bookmarkStart w:id="1978" w:name="Bookmark_fnpara_8_1"/>
      <w:bookmarkStart w:id="1979" w:name="Bookmark_I67K33WH2SF7KB0050000400"/>
      <w:bookmarkStart w:id="1980" w:name="Bookmark_I67K33WH2SF7KD0010000400"/>
      <w:bookmarkEnd w:id="1978"/>
      <w:bookmarkEnd w:id="1979"/>
      <w:bookmarkEnd w:id="1980"/>
      <w:r>
        <w:rPr>
          <w:rFonts w:ascii="Arial" w:eastAsia="Arial" w:hAnsi="Arial" w:cs="Arial"/>
          <w:color w:val="000000"/>
          <w:sz w:val="18"/>
        </w:rPr>
        <w:t xml:space="preserve">Our </w:t>
      </w:r>
      <w:bookmarkStart w:id="1981" w:name="Bookmark_I67K33WH2SF7KB0040000400"/>
      <w:bookmarkEnd w:id="1981"/>
      <w:r>
        <w:rPr>
          <w:rFonts w:ascii="Arial" w:eastAsia="Arial" w:hAnsi="Arial" w:cs="Arial"/>
          <w:i/>
          <w:color w:val="000000"/>
          <w:sz w:val="18"/>
        </w:rPr>
        <w:t>Griffin</w:t>
      </w:r>
      <w:r>
        <w:rPr>
          <w:rFonts w:ascii="Arial" w:eastAsia="Arial" w:hAnsi="Arial" w:cs="Arial"/>
          <w:color w:val="000000"/>
          <w:sz w:val="18"/>
        </w:rPr>
        <w:t xml:space="preserve"> decision was also invoked by the Fifth Circuit in </w:t>
      </w:r>
      <w:bookmarkStart w:id="1982" w:name="Bookmark_I67K33WH28T4HG0010000400"/>
      <w:bookmarkEnd w:id="1982"/>
      <w:r>
        <w:rPr>
          <w:rFonts w:ascii="Arial" w:eastAsia="Arial" w:hAnsi="Arial" w:cs="Arial"/>
          <w:i/>
          <w:color w:val="000000"/>
          <w:sz w:val="18"/>
        </w:rPr>
        <w:t>Mann Hospitality</w:t>
      </w:r>
      <w:r>
        <w:rPr>
          <w:rFonts w:ascii="Arial" w:eastAsia="Arial" w:hAnsi="Arial" w:cs="Arial"/>
          <w:color w:val="000000"/>
          <w:sz w:val="18"/>
        </w:rPr>
        <w:t xml:space="preserve">, 996 F.3d at 273 &amp; n.4, and the Tenth Circuit in </w:t>
      </w:r>
      <w:bookmarkStart w:id="1983" w:name="Bookmark_I67K33WH28T4HG0030000400"/>
      <w:bookmarkEnd w:id="1983"/>
      <w:r>
        <w:rPr>
          <w:rFonts w:ascii="Arial" w:eastAsia="Arial" w:hAnsi="Arial" w:cs="Arial"/>
          <w:i/>
          <w:color w:val="000000"/>
          <w:sz w:val="18"/>
        </w:rPr>
        <w:t>Looper</w:t>
      </w:r>
      <w:r>
        <w:rPr>
          <w:rFonts w:ascii="Arial" w:eastAsia="Arial" w:hAnsi="Arial" w:cs="Arial"/>
          <w:color w:val="000000"/>
          <w:sz w:val="18"/>
        </w:rPr>
        <w:t xml:space="preserve">, 22 F.4th at 881 &amp; n.6. It was distinguished by the First Circuit in </w:t>
      </w:r>
      <w:bookmarkStart w:id="1984" w:name="Bookmark_I67K33WH28T4HG0050000400"/>
      <w:bookmarkEnd w:id="1984"/>
      <w:r>
        <w:rPr>
          <w:rFonts w:ascii="Arial" w:eastAsia="Arial" w:hAnsi="Arial" w:cs="Arial"/>
          <w:i/>
          <w:color w:val="000000"/>
          <w:sz w:val="18"/>
        </w:rPr>
        <w:t>Acheson Hotels</w:t>
      </w:r>
      <w:r>
        <w:rPr>
          <w:rFonts w:ascii="Arial" w:eastAsia="Arial" w:hAnsi="Arial" w:cs="Arial"/>
          <w:color w:val="000000"/>
          <w:sz w:val="18"/>
        </w:rPr>
        <w:t>, 50 F.4th at 272 n.5.</w:t>
      </w:r>
    </w:p>
  </w:footnote>
  <w:footnote w:id="42">
    <w:p w:rsidR="00022B47" w:rsidRDefault="00000000">
      <w:pPr>
        <w:pStyle w:val="Normal9"/>
        <w:widowControl w:val="0"/>
        <w:spacing w:before="200" w:line="240" w:lineRule="atLeast"/>
        <w:jc w:val="both"/>
      </w:pPr>
      <w:r>
        <w:rPr>
          <w:rFonts w:ascii="Arial" w:eastAsia="Arial" w:hAnsi="Arial" w:cs="Arial"/>
          <w:color w:val="000000"/>
          <w:sz w:val="18"/>
          <w:vertAlign w:val="superscript"/>
        </w:rPr>
        <w:t>9 </w:t>
      </w:r>
      <w:bookmarkStart w:id="2034" w:name="Bookmark_fnpara_9_0"/>
      <w:bookmarkStart w:id="2035" w:name="Bookmark_I67K33WH2N1PW70030000400"/>
      <w:bookmarkEnd w:id="2034"/>
      <w:bookmarkEnd w:id="2035"/>
      <w:r>
        <w:rPr>
          <w:rFonts w:ascii="Arial" w:eastAsia="Arial" w:hAnsi="Arial" w:cs="Arial"/>
          <w:color w:val="000000"/>
          <w:sz w:val="18"/>
        </w:rPr>
        <w:t xml:space="preserve">We note that the </w:t>
      </w:r>
      <w:bookmarkStart w:id="2036" w:name="Bookmark_I67K33WH2N1PW70020000400"/>
      <w:bookmarkEnd w:id="2036"/>
      <w:r>
        <w:rPr>
          <w:rFonts w:ascii="Arial" w:eastAsia="Arial" w:hAnsi="Arial" w:cs="Arial"/>
          <w:i/>
          <w:color w:val="000000"/>
          <w:sz w:val="18"/>
        </w:rPr>
        <w:t>Griffin</w:t>
      </w:r>
      <w:bookmarkStart w:id="2037" w:name="Bookmark_I67K33WH2HM6NP0020000400"/>
      <w:bookmarkEnd w:id="2037"/>
      <w:r>
        <w:rPr>
          <w:rFonts w:ascii="Arial" w:eastAsia="Arial" w:hAnsi="Arial" w:cs="Arial"/>
          <w:color w:val="000000"/>
          <w:sz w:val="18"/>
        </w:rPr>
        <w:t xml:space="preserve"> decision suggests that the </w:t>
      </w:r>
      <w:bookmarkStart w:id="2038" w:name="Bookmark_I67K33WH2N1PW70040000400"/>
      <w:bookmarkEnd w:id="2038"/>
      <w:r>
        <w:rPr>
          <w:rFonts w:ascii="Arial" w:eastAsia="Arial" w:hAnsi="Arial" w:cs="Arial"/>
          <w:i/>
          <w:color w:val="000000"/>
          <w:sz w:val="18"/>
        </w:rPr>
        <w:t>Akins</w:t>
      </w:r>
      <w:r>
        <w:rPr>
          <w:rFonts w:ascii="Arial" w:eastAsia="Arial" w:hAnsi="Arial" w:cs="Arial"/>
          <w:color w:val="000000"/>
          <w:sz w:val="18"/>
        </w:rPr>
        <w:t xml:space="preserve"> plaintiffs would not have possessed informational injury-based Article III standing to sue absent their allegation of a use for the information they sought. </w:t>
      </w:r>
      <w:bookmarkStart w:id="2039" w:name="Bookmark_I67K33WH2HM6NP0020000400_2"/>
      <w:bookmarkStart w:id="2040" w:name="Bookmark_I67K33WH2D6NNX0030000400"/>
      <w:bookmarkEnd w:id="2039"/>
      <w:bookmarkEnd w:id="2040"/>
      <w:r>
        <w:rPr>
          <w:rFonts w:ascii="Arial" w:eastAsia="Arial" w:hAnsi="Arial" w:cs="Arial"/>
          <w:i/>
          <w:color w:val="000000"/>
          <w:sz w:val="18"/>
        </w:rPr>
        <w:t xml:space="preserve">See </w:t>
      </w:r>
      <w:bookmarkStart w:id="2041" w:name="Bookmark_I67K33WH2HM6NP0010000400"/>
      <w:bookmarkEnd w:id="2041"/>
      <w:r>
        <w:rPr>
          <w:rFonts w:ascii="Arial" w:eastAsia="Arial" w:hAnsi="Arial" w:cs="Arial"/>
          <w:i/>
          <w:color w:val="000000"/>
          <w:sz w:val="18"/>
        </w:rPr>
        <w:t>Griffin</w:t>
      </w:r>
      <w:r>
        <w:rPr>
          <w:rFonts w:ascii="Arial" w:eastAsia="Arial" w:hAnsi="Arial" w:cs="Arial"/>
          <w:color w:val="000000"/>
          <w:sz w:val="18"/>
        </w:rPr>
        <w:t xml:space="preserve">, 912 F.3d at 654 (recounting that in </w:t>
      </w:r>
      <w:bookmarkStart w:id="2042" w:name="Bookmark_I67K33WH2D6NNX0030000400_2"/>
      <w:bookmarkStart w:id="2043" w:name="Bookmark_I67K33WH2HM6NP0020000400_3"/>
      <w:bookmarkStart w:id="2044" w:name="Bookmark_I67K33WH2HM6NP0030000400"/>
      <w:bookmarkEnd w:id="2042"/>
      <w:bookmarkEnd w:id="2043"/>
      <w:bookmarkEnd w:id="2044"/>
      <w:r>
        <w:rPr>
          <w:rFonts w:ascii="Arial" w:eastAsia="Arial" w:hAnsi="Arial" w:cs="Arial"/>
          <w:i/>
          <w:color w:val="000000"/>
          <w:sz w:val="18"/>
        </w:rPr>
        <w:t>Akins</w:t>
      </w:r>
      <w:r>
        <w:rPr>
          <w:rFonts w:ascii="Arial" w:eastAsia="Arial" w:hAnsi="Arial" w:cs="Arial"/>
          <w:color w:val="000000"/>
          <w:sz w:val="18"/>
        </w:rPr>
        <w:t xml:space="preserve">, "the Supreme Court explained that plaintiffs who sought information that would 'help them . . . evaluate candidates for public office' suffered a concrete injury when they failed to receive it" (alteration in original) (quoting </w:t>
      </w:r>
      <w:bookmarkStart w:id="2045" w:name="Bookmark_I67K33WH2HM6NP0050000400"/>
      <w:bookmarkEnd w:id="2045"/>
      <w:r>
        <w:rPr>
          <w:rFonts w:ascii="Arial" w:eastAsia="Arial" w:hAnsi="Arial" w:cs="Arial"/>
          <w:i/>
          <w:color w:val="000000"/>
          <w:sz w:val="18"/>
        </w:rPr>
        <w:t>Akins</w:t>
      </w:r>
      <w:r>
        <w:rPr>
          <w:rFonts w:ascii="Arial" w:eastAsia="Arial" w:hAnsi="Arial" w:cs="Arial"/>
          <w:color w:val="000000"/>
          <w:sz w:val="18"/>
        </w:rPr>
        <w:t xml:space="preserve">, 524 U.S. at 21)). </w:t>
      </w:r>
      <w:bookmarkStart w:id="2046" w:name="Bookmark_I67K33WH2SF7KH0010000400"/>
      <w:bookmarkEnd w:id="2046"/>
      <w:r>
        <w:rPr>
          <w:rFonts w:ascii="Arial" w:eastAsia="Arial" w:hAnsi="Arial" w:cs="Arial"/>
          <w:color w:val="000000"/>
          <w:sz w:val="18"/>
        </w:rPr>
        <w:t xml:space="preserve">Of course, the </w:t>
      </w:r>
      <w:bookmarkStart w:id="2047" w:name="Bookmark_I67K33WH2SF7KH0010000400_2"/>
      <w:bookmarkStart w:id="2048" w:name="Bookmark_I67K33WH2D6NNX0030000400_3"/>
      <w:bookmarkStart w:id="2049" w:name="Bookmark_I67K33WH2D6NNX0020000400"/>
      <w:bookmarkEnd w:id="2047"/>
      <w:bookmarkEnd w:id="2048"/>
      <w:bookmarkEnd w:id="2049"/>
      <w:r>
        <w:rPr>
          <w:rFonts w:ascii="Arial" w:eastAsia="Arial" w:hAnsi="Arial" w:cs="Arial"/>
          <w:i/>
          <w:color w:val="000000"/>
          <w:sz w:val="18"/>
        </w:rPr>
        <w:t>Akins</w:t>
      </w:r>
      <w:r>
        <w:rPr>
          <w:rFonts w:ascii="Arial" w:eastAsia="Arial" w:hAnsi="Arial" w:cs="Arial"/>
          <w:color w:val="000000"/>
          <w:sz w:val="18"/>
        </w:rPr>
        <w:t xml:space="preserve"> decision imposes no such use requirement, as it recognized that all that is needed for an injury in fact is a "fail[ure] to obtain information which must be publicly disclosed pursuant to a statute." </w:t>
      </w:r>
      <w:r>
        <w:rPr>
          <w:rFonts w:ascii="Arial" w:eastAsia="Arial" w:hAnsi="Arial" w:cs="Arial"/>
          <w:i/>
          <w:color w:val="000000"/>
          <w:sz w:val="18"/>
        </w:rPr>
        <w:t xml:space="preserve">See </w:t>
      </w:r>
      <w:bookmarkStart w:id="2050" w:name="Bookmark_I67K33WH2D6NNX0040000400"/>
      <w:bookmarkEnd w:id="2050"/>
      <w:r>
        <w:rPr>
          <w:rFonts w:ascii="Arial" w:eastAsia="Arial" w:hAnsi="Arial" w:cs="Arial"/>
          <w:i/>
          <w:color w:val="000000"/>
          <w:sz w:val="18"/>
        </w:rPr>
        <w:t>Akins</w:t>
      </w:r>
      <w:r>
        <w:rPr>
          <w:rFonts w:ascii="Arial" w:eastAsia="Arial" w:hAnsi="Arial" w:cs="Arial"/>
          <w:color w:val="000000"/>
          <w:sz w:val="18"/>
        </w:rPr>
        <w:t xml:space="preserve">, 524 U.S. at 21 (citing </w:t>
      </w:r>
      <w:bookmarkStart w:id="2051" w:name="Bookmark_I67K33WH28T4HK0010000400"/>
      <w:bookmarkEnd w:id="2051"/>
      <w:r>
        <w:rPr>
          <w:rFonts w:ascii="Arial" w:eastAsia="Arial" w:hAnsi="Arial" w:cs="Arial"/>
          <w:i/>
          <w:color w:val="000000"/>
          <w:sz w:val="18"/>
        </w:rPr>
        <w:t>Pub. Citizen</w:t>
      </w:r>
      <w:r>
        <w:rPr>
          <w:rFonts w:ascii="Arial" w:eastAsia="Arial" w:hAnsi="Arial" w:cs="Arial"/>
          <w:color w:val="000000"/>
          <w:sz w:val="18"/>
        </w:rPr>
        <w:t xml:space="preserve">, 491 U.S. at 449; </w:t>
      </w:r>
      <w:bookmarkStart w:id="2052" w:name="Bookmark_I67K33WH28T4HK0030000400"/>
      <w:bookmarkEnd w:id="2052"/>
      <w:r>
        <w:rPr>
          <w:rFonts w:ascii="Arial" w:eastAsia="Arial" w:hAnsi="Arial" w:cs="Arial"/>
          <w:i/>
          <w:color w:val="000000"/>
          <w:sz w:val="18"/>
        </w:rPr>
        <w:t>Havens Realty</w:t>
      </w:r>
      <w:r>
        <w:rPr>
          <w:rFonts w:ascii="Arial" w:eastAsia="Arial" w:hAnsi="Arial" w:cs="Arial"/>
          <w:color w:val="000000"/>
          <w:sz w:val="18"/>
        </w:rPr>
        <w:t xml:space="preserve">, 455 U.S. at 373-74). It was therefore enough for an injury in fact in </w:t>
      </w:r>
      <w:bookmarkStart w:id="2053" w:name="Bookmark_I67K33WH2SF7KH0010000400_3"/>
      <w:bookmarkStart w:id="2054" w:name="Bookmark_I67K33WH28T4HK0050000400"/>
      <w:bookmarkEnd w:id="2053"/>
      <w:bookmarkEnd w:id="2054"/>
      <w:r>
        <w:rPr>
          <w:rFonts w:ascii="Arial" w:eastAsia="Arial" w:hAnsi="Arial" w:cs="Arial"/>
          <w:i/>
          <w:color w:val="000000"/>
          <w:sz w:val="18"/>
        </w:rPr>
        <w:t>Akins</w:t>
      </w:r>
      <w:r>
        <w:rPr>
          <w:rFonts w:ascii="Arial" w:eastAsia="Arial" w:hAnsi="Arial" w:cs="Arial"/>
          <w:color w:val="000000"/>
          <w:sz w:val="18"/>
        </w:rPr>
        <w:t xml:space="preserve"> that the plaintiffs were unable "to obtain information . . . that, on [their] view of the law, [had to be made] public." </w:t>
      </w:r>
      <w:r>
        <w:rPr>
          <w:rFonts w:ascii="Arial" w:eastAsia="Arial" w:hAnsi="Arial" w:cs="Arial"/>
          <w:i/>
          <w:color w:val="000000"/>
          <w:sz w:val="18"/>
        </w:rPr>
        <w:t>Id.</w:t>
      </w:r>
    </w:p>
  </w:footnote>
  <w:footnote w:id="43">
    <w:p w:rsidR="00022B47" w:rsidRDefault="00000000">
      <w:pPr>
        <w:pStyle w:val="Normal11"/>
        <w:widowControl w:val="0"/>
        <w:spacing w:before="120" w:line="240" w:lineRule="atLeast"/>
        <w:jc w:val="both"/>
      </w:pPr>
      <w:r>
        <w:rPr>
          <w:rFonts w:ascii="Arial" w:eastAsia="Arial" w:hAnsi="Arial" w:cs="Arial"/>
          <w:color w:val="000000"/>
          <w:sz w:val="18"/>
          <w:vertAlign w:val="superscript"/>
        </w:rPr>
        <w:t>1 </w:t>
      </w:r>
      <w:bookmarkStart w:id="2175" w:name="Bookmark_fnpara_1_7"/>
      <w:bookmarkEnd w:id="2175"/>
      <w:r>
        <w:rPr>
          <w:rFonts w:ascii="Arial" w:eastAsia="Arial" w:hAnsi="Arial" w:cs="Arial"/>
          <w:color w:val="000000"/>
          <w:sz w:val="18"/>
        </w:rPr>
        <w:t>Tomlinson does not provide a date in his briefing for when he initially made the accommodation request. The court has not found anything in the record clearly establishing the date of the request, but the parties seemingly agree that he made it in July 2018.</w:t>
      </w:r>
    </w:p>
  </w:footnote>
  <w:footnote w:id="44">
    <w:p w:rsidR="00022B47" w:rsidRDefault="00000000">
      <w:pPr>
        <w:pStyle w:val="Normal11"/>
        <w:widowControl w:val="0"/>
        <w:spacing w:before="200" w:line="240" w:lineRule="atLeast"/>
        <w:jc w:val="both"/>
      </w:pPr>
      <w:r>
        <w:rPr>
          <w:rFonts w:ascii="Arial" w:eastAsia="Arial" w:hAnsi="Arial" w:cs="Arial"/>
          <w:color w:val="000000"/>
          <w:sz w:val="18"/>
          <w:vertAlign w:val="superscript"/>
        </w:rPr>
        <w:t>2 </w:t>
      </w:r>
      <w:bookmarkStart w:id="2296" w:name="Bookmark_fnpara_2_6"/>
      <w:bookmarkStart w:id="2297" w:name="Bookmark_I1XJF738145000079RS00005"/>
      <w:bookmarkStart w:id="2298" w:name="Bookmark_I67H902F2N1PRS0040000400"/>
      <w:bookmarkStart w:id="2299" w:name="Bookmark_I67H902F2N1PRS0030000400"/>
      <w:bookmarkEnd w:id="2296"/>
      <w:bookmarkEnd w:id="2297"/>
      <w:bookmarkEnd w:id="2298"/>
      <w:bookmarkEnd w:id="2299"/>
      <w:r>
        <w:rPr>
          <w:rFonts w:ascii="Arial" w:eastAsia="Arial" w:hAnsi="Arial" w:cs="Arial"/>
          <w:i/>
          <w:color w:val="000000"/>
          <w:sz w:val="18"/>
        </w:rPr>
        <w:t>Saroli</w:t>
      </w:r>
      <w:bookmarkStart w:id="2300" w:name="Bookmark_I67H902F2N1PRV0030000400"/>
      <w:bookmarkEnd w:id="2300"/>
      <w:r>
        <w:rPr>
          <w:rFonts w:ascii="Arial" w:eastAsia="Arial" w:hAnsi="Arial" w:cs="Arial"/>
          <w:color w:val="000000"/>
          <w:sz w:val="18"/>
        </w:rPr>
        <w:t xml:space="preserve"> analyzes constructive discharge as an adverse employment action under the FMLA rather than the ADA. </w:t>
      </w:r>
      <w:bookmarkStart w:id="2301" w:name="Bookmark_I67H902F2N1PRS0050000400"/>
      <w:bookmarkEnd w:id="2301"/>
      <w:r>
        <w:rPr>
          <w:rFonts w:ascii="Arial" w:eastAsia="Arial" w:hAnsi="Arial" w:cs="Arial"/>
          <w:color w:val="000000"/>
          <w:sz w:val="18"/>
        </w:rPr>
        <w:t>405 F.3d at 451. However, it is still instructive here because FMLA and ADA can be analyzed under the same framework</w:t>
      </w:r>
      <w:bookmarkStart w:id="2302" w:name="Bookmark_I67H902F2N1PRV0030000400_2"/>
      <w:bookmarkStart w:id="2303" w:name="Bookmark_I67H902F2N1PRS0040000400_2"/>
      <w:bookmarkEnd w:id="2302"/>
      <w:bookmarkEnd w:id="2303"/>
      <w:r>
        <w:rPr>
          <w:rFonts w:ascii="Arial" w:eastAsia="Arial" w:hAnsi="Arial" w:cs="Arial"/>
          <w:i/>
          <w:color w:val="000000"/>
          <w:sz w:val="18"/>
        </w:rPr>
        <w:t xml:space="preserve">. See </w:t>
      </w:r>
      <w:bookmarkStart w:id="2304" w:name="Bookmark_I67H902F2N1PRV0020000400"/>
      <w:bookmarkEnd w:id="2304"/>
      <w:r>
        <w:rPr>
          <w:rFonts w:ascii="Arial" w:eastAsia="Arial" w:hAnsi="Arial" w:cs="Arial"/>
          <w:i/>
          <w:color w:val="000000"/>
          <w:sz w:val="18"/>
        </w:rPr>
        <w:t>Buie v. Quad/Graphics, Inc.</w:t>
      </w:r>
      <w:r>
        <w:rPr>
          <w:rFonts w:ascii="Arial" w:eastAsia="Arial" w:hAnsi="Arial" w:cs="Arial"/>
          <w:color w:val="000000"/>
          <w:sz w:val="18"/>
        </w:rPr>
        <w:t xml:space="preserve">, 366 F.3d 496, 503 (7th Cir. 2004) ("We evaluate a claim of FMLA retaliation the same way that we would evaluate a claim of retaliation under other employment statutes, such as the ADA or Title VII"); </w:t>
      </w:r>
      <w:bookmarkStart w:id="2305" w:name="Bookmark_I67H902F2N1PRV0040000400"/>
      <w:bookmarkEnd w:id="2305"/>
      <w:r>
        <w:rPr>
          <w:rFonts w:ascii="Arial" w:eastAsia="Arial" w:hAnsi="Arial" w:cs="Arial"/>
          <w:i/>
          <w:color w:val="000000"/>
          <w:sz w:val="18"/>
        </w:rPr>
        <w:t>Crouch v. J C Penney Corp. Inc.</w:t>
      </w:r>
      <w:r>
        <w:rPr>
          <w:rFonts w:ascii="Arial" w:eastAsia="Arial" w:hAnsi="Arial" w:cs="Arial"/>
          <w:color w:val="000000"/>
          <w:sz w:val="18"/>
        </w:rPr>
        <w:t>, 337 F. App'x 399, 402 (5th Cir. 2009).</w:t>
      </w:r>
    </w:p>
  </w:footnote>
  <w:footnote w:id="45">
    <w:p w:rsidR="00022B47" w:rsidRDefault="00000000">
      <w:pPr>
        <w:pStyle w:val="Normal12"/>
        <w:widowControl w:val="0"/>
        <w:spacing w:before="200" w:line="240" w:lineRule="atLeast"/>
        <w:jc w:val="both"/>
      </w:pPr>
      <w:r>
        <w:rPr>
          <w:rFonts w:ascii="Arial" w:eastAsia="Arial" w:hAnsi="Arial" w:cs="Arial"/>
          <w:color w:val="000000"/>
          <w:sz w:val="18"/>
          <w:vertAlign w:val="superscript"/>
        </w:rPr>
        <w:t>1 </w:t>
      </w:r>
      <w:bookmarkStart w:id="2454" w:name="Bookmark_fnpara_1_8"/>
      <w:bookmarkEnd w:id="2454"/>
      <w:r>
        <w:rPr>
          <w:rFonts w:ascii="Arial" w:eastAsia="Arial" w:hAnsi="Arial" w:cs="Arial"/>
          <w:color w:val="000000"/>
          <w:sz w:val="18"/>
        </w:rPr>
        <w:t xml:space="preserve">Plaintiff rightly points out that the mere fact that "Appellees checked off the 'alteration type 2' box on New York City Department of Buildings [] forms which is for work not affecting 'use, egress or occupancy,'" cannot—by itself—insulate Defendants from a court's finding that an alteration in fact meets the threshold of being an "alteration" for purposes of 42 U.S.C. § 12183(a)(2). Pl. Br. 19. Contrary to Plaintiff's assertions, however, the District Court's conclusion rested principally on its evaluation of the exhibits and not on the municipal government's classification scheme. </w:t>
      </w:r>
      <w:r>
        <w:rPr>
          <w:rFonts w:ascii="Arial" w:eastAsia="Arial" w:hAnsi="Arial" w:cs="Arial"/>
          <w:i/>
          <w:color w:val="000000"/>
          <w:sz w:val="18"/>
        </w:rPr>
        <w:t>See</w:t>
      </w:r>
      <w:r>
        <w:rPr>
          <w:rFonts w:ascii="Arial" w:eastAsia="Arial" w:hAnsi="Arial" w:cs="Arial"/>
          <w:color w:val="000000"/>
          <w:sz w:val="18"/>
        </w:rPr>
        <w:t xml:space="preserve"> Special App'x 48.</w:t>
      </w:r>
    </w:p>
  </w:footnote>
  <w:footnote w:id="46">
    <w:p w:rsidR="00022B47" w:rsidRDefault="00000000">
      <w:pPr>
        <w:pStyle w:val="Normal13"/>
        <w:widowControl w:val="0"/>
        <w:spacing w:before="120" w:line="240" w:lineRule="atLeast"/>
        <w:jc w:val="both"/>
      </w:pPr>
      <w:r>
        <w:rPr>
          <w:rFonts w:ascii="Arial" w:eastAsia="Arial" w:hAnsi="Arial" w:cs="Arial"/>
          <w:color w:val="000000"/>
          <w:sz w:val="18"/>
          <w:vertAlign w:val="superscript"/>
        </w:rPr>
        <w:t>* </w:t>
      </w:r>
      <w:bookmarkStart w:id="2486" w:name="Bookmark_fnpara_1_9"/>
      <w:bookmarkEnd w:id="2486"/>
      <w:r>
        <w:rPr>
          <w:rFonts w:ascii="Arial" w:eastAsia="Arial" w:hAnsi="Arial" w:cs="Arial"/>
          <w:color w:val="000000"/>
          <w:sz w:val="18"/>
        </w:rPr>
        <w:t>Judge Haynes concurs in the judgment only.</w:t>
      </w:r>
    </w:p>
  </w:footnote>
  <w:footnote w:id="47">
    <w:p w:rsidR="00022B47" w:rsidRDefault="00000000">
      <w:pPr>
        <w:pStyle w:val="Normal13"/>
        <w:widowControl w:val="0"/>
        <w:spacing w:before="200" w:line="240" w:lineRule="atLeast"/>
        <w:jc w:val="both"/>
      </w:pPr>
      <w:r>
        <w:rPr>
          <w:rFonts w:ascii="Arial" w:eastAsia="Arial" w:hAnsi="Arial" w:cs="Arial"/>
          <w:color w:val="000000"/>
          <w:sz w:val="18"/>
          <w:vertAlign w:val="superscript"/>
        </w:rPr>
        <w:t>** </w:t>
      </w:r>
      <w:bookmarkStart w:id="2489" w:name="Bookmark_fnpara_2_7"/>
      <w:bookmarkEnd w:id="2489"/>
      <w:r>
        <w:rPr>
          <w:rFonts w:ascii="Arial" w:eastAsia="Arial" w:hAnsi="Arial" w:cs="Arial"/>
          <w:color w:val="000000"/>
          <w:sz w:val="18"/>
        </w:rPr>
        <w:t xml:space="preserve">This opinion is not designated for publication. </w:t>
      </w:r>
      <w:r>
        <w:rPr>
          <w:rFonts w:ascii="Arial" w:eastAsia="Arial" w:hAnsi="Arial" w:cs="Arial"/>
          <w:i/>
          <w:color w:val="000000"/>
          <w:sz w:val="18"/>
        </w:rPr>
        <w:t>See</w:t>
      </w:r>
      <w:r>
        <w:rPr>
          <w:rFonts w:ascii="Arial" w:eastAsia="Arial" w:hAnsi="Arial" w:cs="Arial"/>
          <w:color w:val="000000"/>
          <w:sz w:val="18"/>
        </w:rPr>
        <w:t xml:space="preserve"> </w:t>
      </w:r>
      <w:r>
        <w:rPr>
          <w:rFonts w:ascii="Arial" w:eastAsia="Arial" w:hAnsi="Arial" w:cs="Arial"/>
          <w:smallCaps/>
          <w:color w:val="000000"/>
          <w:sz w:val="18"/>
        </w:rPr>
        <w:t>5th Cir. R.</w:t>
      </w:r>
      <w:r>
        <w:rPr>
          <w:rFonts w:ascii="Arial" w:eastAsia="Arial" w:hAnsi="Arial" w:cs="Arial"/>
          <w:color w:val="000000"/>
          <w:sz w:val="18"/>
        </w:rPr>
        <w:t xml:space="preserve"> 47.5.</w:t>
      </w:r>
    </w:p>
  </w:footnote>
  <w:footnote w:id="48">
    <w:p w:rsidR="00022B47" w:rsidRDefault="00000000">
      <w:pPr>
        <w:pStyle w:val="Normal13"/>
        <w:widowControl w:val="0"/>
        <w:spacing w:before="200" w:line="240" w:lineRule="atLeast"/>
        <w:jc w:val="both"/>
      </w:pPr>
      <w:r>
        <w:rPr>
          <w:rFonts w:ascii="Arial" w:eastAsia="Arial" w:hAnsi="Arial" w:cs="Arial"/>
          <w:color w:val="000000"/>
          <w:sz w:val="18"/>
          <w:vertAlign w:val="superscript"/>
        </w:rPr>
        <w:t>1 </w:t>
      </w:r>
      <w:bookmarkStart w:id="2542" w:name="Bookmark_fnpara_3_5"/>
      <w:bookmarkEnd w:id="2542"/>
      <w:r>
        <w:rPr>
          <w:rFonts w:ascii="Arial" w:eastAsia="Arial" w:hAnsi="Arial" w:cs="Arial"/>
          <w:i/>
          <w:color w:val="000000"/>
          <w:sz w:val="18"/>
        </w:rPr>
        <w:t>See</w:t>
      </w:r>
      <w:r>
        <w:rPr>
          <w:rFonts w:ascii="Arial" w:eastAsia="Arial" w:hAnsi="Arial" w:cs="Arial"/>
          <w:color w:val="000000"/>
          <w:sz w:val="18"/>
        </w:rPr>
        <w:t xml:space="preserve"> EPFH, </w:t>
      </w:r>
      <w:r>
        <w:rPr>
          <w:rFonts w:ascii="Arial" w:eastAsia="Arial" w:hAnsi="Arial" w:cs="Arial"/>
          <w:i/>
          <w:color w:val="000000"/>
          <w:sz w:val="18"/>
        </w:rPr>
        <w:t>El Pasoans Fighting Hunger Food Bank's Response to COVID-19 (Coronavirus)</w:t>
      </w:r>
      <w:r>
        <w:rPr>
          <w:rFonts w:ascii="Arial" w:eastAsia="Arial" w:hAnsi="Arial" w:cs="Arial"/>
          <w:color w:val="000000"/>
          <w:sz w:val="18"/>
        </w:rPr>
        <w:t>, https://elpasoansfightinghunger.org/details/news/el-pasoans-fighting-hunger-food-banks-response-to-covid-19-coronavirus (last visited Nov. 21, 2022).</w:t>
      </w:r>
    </w:p>
  </w:footnote>
  <w:footnote w:id="49">
    <w:p w:rsidR="00022B47" w:rsidRDefault="00000000">
      <w:pPr>
        <w:pStyle w:val="Normal13"/>
        <w:widowControl w:val="0"/>
        <w:spacing w:before="120" w:line="240" w:lineRule="atLeast"/>
        <w:jc w:val="both"/>
      </w:pPr>
      <w:r>
        <w:rPr>
          <w:rFonts w:ascii="Arial" w:eastAsia="Arial" w:hAnsi="Arial" w:cs="Arial"/>
          <w:color w:val="000000"/>
          <w:sz w:val="18"/>
          <w:vertAlign w:val="superscript"/>
        </w:rPr>
        <w:t>2 </w:t>
      </w:r>
      <w:bookmarkStart w:id="2579" w:name="Bookmark_fnpara_4_4"/>
      <w:bookmarkEnd w:id="2579"/>
      <w:r>
        <w:rPr>
          <w:rFonts w:ascii="Arial" w:eastAsia="Arial" w:hAnsi="Arial" w:cs="Arial"/>
          <w:color w:val="000000"/>
          <w:sz w:val="18"/>
        </w:rPr>
        <w:t>Hernandez also challenges the district court's determination that Defendants were not required to provide Hernandez with a reasonable accommodation, in part, because "exempting [Hernandez] from [EPFH's] mask policy would pose a direct threat to the health and safety of others . . . due to the COVID-19 pandemic." We need not reach this issue as there is a sufficient basis to dismiss the Complaint regardless.</w:t>
      </w:r>
    </w:p>
  </w:footnote>
  <w:footnote w:id="50">
    <w:p w:rsidR="00022B47" w:rsidRDefault="00000000">
      <w:pPr>
        <w:pStyle w:val="Normal13"/>
        <w:widowControl w:val="0"/>
        <w:spacing w:before="120" w:line="240" w:lineRule="atLeast"/>
        <w:jc w:val="both"/>
      </w:pPr>
      <w:r>
        <w:rPr>
          <w:rFonts w:ascii="Arial" w:eastAsia="Arial" w:hAnsi="Arial" w:cs="Arial"/>
          <w:color w:val="000000"/>
          <w:sz w:val="18"/>
          <w:vertAlign w:val="superscript"/>
        </w:rPr>
        <w:t>3 </w:t>
      </w:r>
      <w:bookmarkStart w:id="2618" w:name="Bookmark_fnpara_5_3"/>
      <w:bookmarkEnd w:id="2618"/>
      <w:r>
        <w:rPr>
          <w:rFonts w:ascii="Arial" w:eastAsia="Arial" w:hAnsi="Arial" w:cs="Arial"/>
          <w:color w:val="000000"/>
          <w:sz w:val="18"/>
        </w:rPr>
        <w:t>Hernandez filed his initial complaint on March 8, 2021, nearly two years ago. In the intervening period since this filing, many health precautions, including masking requirements, have abated. Given these general developments, it is possible that Hernandez may be seeking to enjoin a policy that is no longer in place. Therefore, the district court should consider if Hernandez's claim is moot on this basis when determining whether he should be provided with the opportunity to amend his Complaint.</w:t>
      </w:r>
    </w:p>
  </w:footnote>
  <w:footnote w:id="51">
    <w:p w:rsidR="00022B47" w:rsidRDefault="00000000">
      <w:pPr>
        <w:pStyle w:val="Normal15"/>
        <w:widowControl w:val="0"/>
        <w:spacing w:before="200" w:line="240" w:lineRule="atLeast"/>
        <w:jc w:val="both"/>
      </w:pPr>
      <w:r>
        <w:rPr>
          <w:rFonts w:ascii="Arial" w:eastAsia="Arial" w:hAnsi="Arial" w:cs="Arial"/>
          <w:color w:val="000000"/>
          <w:sz w:val="18"/>
          <w:vertAlign w:val="superscript"/>
        </w:rPr>
        <w:t>1 </w:t>
      </w:r>
      <w:bookmarkStart w:id="2791" w:name="Bookmark_fnpara_1_10"/>
      <w:bookmarkStart w:id="2792" w:name="Bookmark_I66TWN8G2D6NNG0020000400"/>
      <w:bookmarkEnd w:id="2791"/>
      <w:bookmarkEnd w:id="2792"/>
      <w:r>
        <w:rPr>
          <w:rFonts w:ascii="Arial" w:eastAsia="Arial" w:hAnsi="Arial" w:cs="Arial"/>
          <w:color w:val="000000"/>
          <w:sz w:val="18"/>
        </w:rPr>
        <w:t xml:space="preserve">For the same reasons, Richardson alleged the VDOC violated Section 504 of the Rehabilitation Act ("§ 504"). J.A. 23-33. </w:t>
      </w:r>
      <w:bookmarkStart w:id="2793" w:name="Bookmark_I66TWN8G2D6NNG0040000400"/>
      <w:bookmarkEnd w:id="2793"/>
      <w:r>
        <w:rPr>
          <w:rFonts w:ascii="Arial" w:eastAsia="Arial" w:hAnsi="Arial" w:cs="Arial"/>
          <w:color w:val="000000"/>
          <w:sz w:val="18"/>
        </w:rPr>
        <w:t xml:space="preserve">The ADA and § 504 "differ only with respect to the third element, causation." </w:t>
      </w:r>
      <w:bookmarkStart w:id="2794" w:name="Bookmark_I66TWN8G2D6NNG0010000400"/>
      <w:bookmarkEnd w:id="2794"/>
      <w:r>
        <w:rPr>
          <w:rFonts w:ascii="Arial" w:eastAsia="Arial" w:hAnsi="Arial" w:cs="Arial"/>
          <w:i/>
          <w:color w:val="000000"/>
          <w:sz w:val="18"/>
        </w:rPr>
        <w:t>Halpern v. Wake Forest Univ. Health Scis.</w:t>
      </w:r>
      <w:r>
        <w:rPr>
          <w:rFonts w:ascii="Arial" w:eastAsia="Arial" w:hAnsi="Arial" w:cs="Arial"/>
          <w:color w:val="000000"/>
          <w:sz w:val="18"/>
        </w:rPr>
        <w:t xml:space="preserve">, 669 F.3d 454, 461 (4th Cir. 2012). </w:t>
      </w:r>
      <w:bookmarkStart w:id="2795" w:name="Bookmark_I66TWN8G2D6NNG0040000400_2"/>
      <w:bookmarkStart w:id="2796" w:name="Bookmark_I66TWN8H2D6NNP0030000400"/>
      <w:bookmarkEnd w:id="2795"/>
      <w:bookmarkEnd w:id="2796"/>
      <w:r>
        <w:rPr>
          <w:rFonts w:ascii="Arial" w:eastAsia="Arial" w:hAnsi="Arial" w:cs="Arial"/>
          <w:color w:val="000000"/>
          <w:sz w:val="18"/>
        </w:rPr>
        <w:t xml:space="preserve">Section 504 requires that the plaintiff be denied benefits or discriminated against "solely by reason" of his disability. </w:t>
      </w:r>
      <w:bookmarkStart w:id="2797" w:name="Bookmark_I66TWN8G2D6NNG0030000400"/>
      <w:bookmarkEnd w:id="2797"/>
      <w:r>
        <w:rPr>
          <w:rFonts w:ascii="Arial" w:eastAsia="Arial" w:hAnsi="Arial" w:cs="Arial"/>
          <w:i/>
          <w:color w:val="000000"/>
          <w:sz w:val="18"/>
        </w:rPr>
        <w:t>Wicomico Nursing Home v. Padilla</w:t>
      </w:r>
      <w:r>
        <w:rPr>
          <w:rFonts w:ascii="Arial" w:eastAsia="Arial" w:hAnsi="Arial" w:cs="Arial"/>
          <w:color w:val="000000"/>
          <w:sz w:val="18"/>
        </w:rPr>
        <w:t xml:space="preserve">, 910 F.3d 739, 750 (4th Cir. 2018) (quoting </w:t>
      </w:r>
      <w:bookmarkStart w:id="2798" w:name="Bookmark_I66TWN8G2D6NNG0050000400"/>
      <w:bookmarkEnd w:id="2798"/>
      <w:r>
        <w:rPr>
          <w:rFonts w:ascii="Arial" w:eastAsia="Arial" w:hAnsi="Arial" w:cs="Arial"/>
          <w:i/>
          <w:color w:val="000000"/>
          <w:sz w:val="18"/>
        </w:rPr>
        <w:t>Baird ex rel. Baird v. Rose</w:t>
      </w:r>
      <w:r>
        <w:rPr>
          <w:rFonts w:ascii="Arial" w:eastAsia="Arial" w:hAnsi="Arial" w:cs="Arial"/>
          <w:color w:val="000000"/>
          <w:sz w:val="18"/>
        </w:rPr>
        <w:t xml:space="preserve">, 192 F.3d 462, 468-69 (4th Cir. 1999)). </w:t>
      </w:r>
      <w:bookmarkStart w:id="2799" w:name="Bookmark_I66TWN8H2D6NNP0030000400_2"/>
      <w:bookmarkEnd w:id="2799"/>
      <w:r>
        <w:rPr>
          <w:rFonts w:ascii="Arial" w:eastAsia="Arial" w:hAnsi="Arial" w:cs="Arial"/>
          <w:color w:val="000000"/>
          <w:sz w:val="18"/>
        </w:rPr>
        <w:t xml:space="preserve">Because § 504 imposes "a stricter causation requirement than the ADA," where claims under both statutes are at issue, we analyze only the ADA claim because "[i]f that claims fails, the Rehabilitation Act claim must fail as well." </w:t>
      </w:r>
      <w:r>
        <w:rPr>
          <w:rFonts w:ascii="Arial" w:eastAsia="Arial" w:hAnsi="Arial" w:cs="Arial"/>
          <w:i/>
          <w:color w:val="000000"/>
          <w:sz w:val="18"/>
        </w:rPr>
        <w:t xml:space="preserve">Id. (quoting </w:t>
      </w:r>
      <w:bookmarkStart w:id="2800" w:name="Bookmark_I66TWN8H2D6NNP0020000400"/>
      <w:bookmarkEnd w:id="2800"/>
      <w:r>
        <w:rPr>
          <w:rFonts w:ascii="Arial" w:eastAsia="Arial" w:hAnsi="Arial" w:cs="Arial"/>
          <w:i/>
          <w:color w:val="000000"/>
          <w:sz w:val="18"/>
        </w:rPr>
        <w:t>Thomas v. Salvation Army S. Territory</w:t>
      </w:r>
      <w:r>
        <w:rPr>
          <w:rFonts w:ascii="Arial" w:eastAsia="Arial" w:hAnsi="Arial" w:cs="Arial"/>
          <w:color w:val="000000"/>
          <w:sz w:val="18"/>
        </w:rPr>
        <w:t>, 841 F.3d 632, 641 (4th Cir. 2016)).</w:t>
      </w:r>
    </w:p>
  </w:footnote>
  <w:footnote w:id="52">
    <w:p w:rsidR="00022B47" w:rsidRDefault="00000000">
      <w:pPr>
        <w:pStyle w:val="Normal15"/>
        <w:widowControl w:val="0"/>
        <w:spacing w:before="120" w:line="240" w:lineRule="atLeast"/>
        <w:jc w:val="both"/>
      </w:pPr>
      <w:r>
        <w:rPr>
          <w:rFonts w:ascii="Arial" w:eastAsia="Arial" w:hAnsi="Arial" w:cs="Arial"/>
          <w:color w:val="000000"/>
          <w:sz w:val="18"/>
          <w:vertAlign w:val="superscript"/>
        </w:rPr>
        <w:t>2 </w:t>
      </w:r>
      <w:bookmarkStart w:id="2802" w:name="Bookmark_fnpara_2_8"/>
      <w:bookmarkEnd w:id="2802"/>
      <w:r>
        <w:rPr>
          <w:rFonts w:ascii="Arial" w:eastAsia="Arial" w:hAnsi="Arial" w:cs="Arial"/>
          <w:color w:val="000000"/>
          <w:sz w:val="18"/>
        </w:rPr>
        <w:t>In his complaint, Richardson alleged violations of (1) the ADA, (2) § 504, (3) RLUIPA, (4) the Eighth and Fourteenth Amendments, (5) the First Amendment as to the free exercise of religion, (6) the First Amendment as to free speech, (7) the Fifth and Fourteenth Amendments as to access to courts and (8) various state laws. J.A. 23-60. He sued not only the VDOC but also its Director Harold Clarke and Wardens Eddie Pearson and Tammy Williams. But in response to the defendants' motion, the district court dismissed all claims except for the ADA and § 504 injunction claims against the VDOC, a state law disability claim against the VDOC and the RLUIPA and First Amendment free exercise claims against the VDOC and Williams (collectively, the VDOC) related to restricting his ability to wear a religious head covering. The district court reasoned that the doctrine of sovereign immunity barred the ADA damages claim and that, under Rule 12(b)(6) of the Federal Rules of Civil Procedure, the other claims it dismissed failed to state facts to plausibly support a cause of action.</w:t>
      </w:r>
    </w:p>
  </w:footnote>
  <w:footnote w:id="53">
    <w:p w:rsidR="00022B47" w:rsidRDefault="00000000">
      <w:pPr>
        <w:pStyle w:val="Normal15"/>
        <w:widowControl w:val="0"/>
        <w:spacing w:before="120" w:line="240" w:lineRule="atLeast"/>
        <w:jc w:val="both"/>
      </w:pPr>
      <w:r>
        <w:rPr>
          <w:rFonts w:ascii="Arial" w:eastAsia="Arial" w:hAnsi="Arial" w:cs="Arial"/>
          <w:color w:val="000000"/>
          <w:sz w:val="18"/>
          <w:vertAlign w:val="superscript"/>
        </w:rPr>
        <w:t>3 </w:t>
      </w:r>
      <w:bookmarkStart w:id="2804" w:name="Bookmark_fnpara_3_6"/>
      <w:bookmarkEnd w:id="2804"/>
      <w:r>
        <w:rPr>
          <w:rFonts w:ascii="Arial" w:eastAsia="Arial" w:hAnsi="Arial" w:cs="Arial"/>
          <w:color w:val="000000"/>
          <w:sz w:val="18"/>
        </w:rPr>
        <w:t>The district court also granted summary judgment as to Richardson's First Amendment free exercise claim.</w:t>
      </w:r>
    </w:p>
  </w:footnote>
  <w:footnote w:id="54">
    <w:p w:rsidR="00022B47" w:rsidRDefault="00000000">
      <w:pPr>
        <w:pStyle w:val="Normal15"/>
        <w:widowControl w:val="0"/>
        <w:spacing w:before="120" w:line="240" w:lineRule="atLeast"/>
        <w:jc w:val="both"/>
      </w:pPr>
      <w:r>
        <w:rPr>
          <w:rFonts w:ascii="Arial" w:eastAsia="Arial" w:hAnsi="Arial" w:cs="Arial"/>
          <w:color w:val="000000"/>
          <w:sz w:val="18"/>
          <w:vertAlign w:val="superscript"/>
        </w:rPr>
        <w:t>4 </w:t>
      </w:r>
      <w:bookmarkStart w:id="2806" w:name="Bookmark_fnpara_4_5"/>
      <w:bookmarkEnd w:id="2806"/>
      <w:r>
        <w:rPr>
          <w:rFonts w:ascii="Arial" w:eastAsia="Arial" w:hAnsi="Arial" w:cs="Arial"/>
          <w:color w:val="000000"/>
          <w:sz w:val="18"/>
        </w:rPr>
        <w:t>The only issues Richardson appeals are the order dismissing his ADA damages claim based on sovereign immunity and the order granting summary judgment on the ADA, § 504 and the RLUIPA claims.</w:t>
      </w:r>
    </w:p>
  </w:footnote>
  <w:footnote w:id="55">
    <w:p w:rsidR="00022B47" w:rsidRDefault="00000000">
      <w:pPr>
        <w:pStyle w:val="Normal15"/>
        <w:widowControl w:val="0"/>
        <w:spacing w:before="200" w:line="240" w:lineRule="atLeast"/>
        <w:jc w:val="both"/>
      </w:pPr>
      <w:r>
        <w:rPr>
          <w:rFonts w:ascii="Arial" w:eastAsia="Arial" w:hAnsi="Arial" w:cs="Arial"/>
          <w:color w:val="000000"/>
          <w:sz w:val="18"/>
          <w:vertAlign w:val="superscript"/>
        </w:rPr>
        <w:t>5 </w:t>
      </w:r>
      <w:bookmarkStart w:id="2882" w:name="Bookmark_fnpara_5_4"/>
      <w:bookmarkStart w:id="2883" w:name="Bookmark_I66TWN8M2D6NPY0040000400"/>
      <w:bookmarkEnd w:id="2882"/>
      <w:bookmarkEnd w:id="2883"/>
      <w:r>
        <w:rPr>
          <w:rFonts w:ascii="Arial" w:eastAsia="Arial" w:hAnsi="Arial" w:cs="Arial"/>
          <w:color w:val="000000"/>
          <w:sz w:val="18"/>
        </w:rPr>
        <w:t xml:space="preserve">Richardson also appeals the district court's order dismissing his claim for damages under the ADA at the motion to dismiss stage on sovereign immunity grounds because he failed to plead a companion constitutional claim along with his ADA claim. Op. Br. 19-20. </w:t>
      </w:r>
      <w:bookmarkStart w:id="2884" w:name="Bookmark_I66TWN8N2D6NR10010000400"/>
      <w:bookmarkEnd w:id="2884"/>
      <w:r>
        <w:rPr>
          <w:rFonts w:ascii="Arial" w:eastAsia="Arial" w:hAnsi="Arial" w:cs="Arial"/>
          <w:color w:val="000000"/>
          <w:sz w:val="18"/>
        </w:rPr>
        <w:t xml:space="preserve">We acknowledge that the district court failed to apply the framework set forth in </w:t>
      </w:r>
      <w:bookmarkStart w:id="2885" w:name="Bookmark_I66TWN8M2D6NPY0030000400"/>
      <w:bookmarkEnd w:id="2885"/>
      <w:r>
        <w:rPr>
          <w:rFonts w:ascii="Arial" w:eastAsia="Arial" w:hAnsi="Arial" w:cs="Arial"/>
          <w:i/>
          <w:color w:val="000000"/>
          <w:sz w:val="18"/>
        </w:rPr>
        <w:t>United States v. Georgia</w:t>
      </w:r>
      <w:r>
        <w:rPr>
          <w:rFonts w:ascii="Arial" w:eastAsia="Arial" w:hAnsi="Arial" w:cs="Arial"/>
          <w:color w:val="000000"/>
          <w:sz w:val="18"/>
        </w:rPr>
        <w:t xml:space="preserve">, 546 U.S. 151, 126 S. Ct. 877, 163 L. Ed. 2d 650 (2006), to determine whether the ADA validly abrogates state sovereign immunity in the prison context for conduct that does not independently violate the Constitution. </w:t>
      </w:r>
      <w:bookmarkStart w:id="2886" w:name="Bookmark_I66TWN8N2D6NR10010000400_2"/>
      <w:bookmarkEnd w:id="2886"/>
      <w:r>
        <w:rPr>
          <w:rFonts w:ascii="Arial" w:eastAsia="Arial" w:hAnsi="Arial" w:cs="Arial"/>
          <w:color w:val="000000"/>
          <w:sz w:val="18"/>
        </w:rPr>
        <w:t xml:space="preserve">But because we agree that Richardson's ADA claim for injunctive relief fails on the merits, his claim for damages fails as well. Thus, we find it unnecessary to address this issue. </w:t>
      </w:r>
      <w:r>
        <w:rPr>
          <w:rFonts w:ascii="Arial" w:eastAsia="Arial" w:hAnsi="Arial" w:cs="Arial"/>
          <w:i/>
          <w:color w:val="000000"/>
          <w:sz w:val="18"/>
        </w:rPr>
        <w:t xml:space="preserve">See </w:t>
      </w:r>
      <w:bookmarkStart w:id="2887" w:name="Bookmark_I66TWN8M2D6NPY0050000400"/>
      <w:bookmarkEnd w:id="2887"/>
      <w:r>
        <w:rPr>
          <w:rFonts w:ascii="Arial" w:eastAsia="Arial" w:hAnsi="Arial" w:cs="Arial"/>
          <w:i/>
          <w:color w:val="000000"/>
          <w:sz w:val="18"/>
        </w:rPr>
        <w:t>Constantine</w:t>
      </w:r>
      <w:r>
        <w:rPr>
          <w:rFonts w:ascii="Arial" w:eastAsia="Arial" w:hAnsi="Arial" w:cs="Arial"/>
          <w:color w:val="000000"/>
          <w:sz w:val="18"/>
        </w:rPr>
        <w:t>, 411 F.3d at 482 (4th Cir. 2005) (finding that the court need not address Eleventh Amendment immunity before addressing other dispositive matters).</w:t>
      </w:r>
    </w:p>
  </w:footnote>
  <w:footnote w:id="56">
    <w:p w:rsidR="00022B47" w:rsidRDefault="00000000">
      <w:pPr>
        <w:pStyle w:val="Normal15"/>
        <w:widowControl w:val="0"/>
        <w:spacing w:before="200" w:line="240" w:lineRule="atLeast"/>
        <w:jc w:val="both"/>
      </w:pPr>
      <w:r>
        <w:rPr>
          <w:rFonts w:ascii="Arial" w:eastAsia="Arial" w:hAnsi="Arial" w:cs="Arial"/>
          <w:color w:val="000000"/>
          <w:sz w:val="18"/>
          <w:vertAlign w:val="superscript"/>
        </w:rPr>
        <w:t>6 </w:t>
      </w:r>
      <w:bookmarkStart w:id="2913" w:name="Bookmark_fnpara_6_2"/>
      <w:bookmarkStart w:id="2914" w:name="Bookmark_I66TWN8N28T3WW0030000400"/>
      <w:bookmarkEnd w:id="2913"/>
      <w:bookmarkEnd w:id="2914"/>
      <w:r>
        <w:rPr>
          <w:rFonts w:ascii="Arial" w:eastAsia="Arial" w:hAnsi="Arial" w:cs="Arial"/>
          <w:color w:val="000000"/>
          <w:sz w:val="18"/>
        </w:rPr>
        <w:t xml:space="preserve">In a prior case, the VDOC conceded that its headwear policy imposed a substantial burden. </w:t>
      </w:r>
      <w:bookmarkStart w:id="2915" w:name="Bookmark_I66TWN8N28T3WW0020000400"/>
      <w:bookmarkEnd w:id="2915"/>
      <w:r>
        <w:rPr>
          <w:rFonts w:ascii="Arial" w:eastAsia="Arial" w:hAnsi="Arial" w:cs="Arial"/>
          <w:i/>
          <w:color w:val="000000"/>
          <w:sz w:val="18"/>
        </w:rPr>
        <w:t>Goins v. Fleming</w:t>
      </w:r>
      <w:r>
        <w:rPr>
          <w:rFonts w:ascii="Arial" w:eastAsia="Arial" w:hAnsi="Arial" w:cs="Arial"/>
          <w:color w:val="000000"/>
          <w:sz w:val="18"/>
        </w:rPr>
        <w:t xml:space="preserve">, 2017 U.S. Dist. LEXIS 146891, 2017 WL 4019446, at *4 (W.D. Va. Sep. 12, 2017). Likewise, the VDOC does not argue here that the prior policy does not impose a substantial burden. Resp. Br. 45-46. The VDOC merely asserts that Richardson failed to meet his burden of proof on the issue. </w:t>
      </w:r>
      <w:r>
        <w:rPr>
          <w:rFonts w:ascii="Arial" w:eastAsia="Arial" w:hAnsi="Arial" w:cs="Arial"/>
          <w:i/>
          <w:color w:val="000000"/>
          <w:sz w:val="18"/>
        </w:rPr>
        <w:t>Id.</w:t>
      </w:r>
    </w:p>
  </w:footnote>
  <w:footnote w:id="57">
    <w:p w:rsidR="00022B47" w:rsidRDefault="00000000">
      <w:pPr>
        <w:pStyle w:val="Normal15"/>
        <w:widowControl w:val="0"/>
        <w:spacing w:before="120" w:line="240" w:lineRule="atLeast"/>
        <w:jc w:val="both"/>
      </w:pPr>
      <w:r>
        <w:rPr>
          <w:rFonts w:ascii="Arial" w:eastAsia="Arial" w:hAnsi="Arial" w:cs="Arial"/>
          <w:color w:val="000000"/>
          <w:sz w:val="18"/>
          <w:vertAlign w:val="superscript"/>
        </w:rPr>
        <w:t>7 </w:t>
      </w:r>
      <w:bookmarkStart w:id="2917" w:name="Bookmark_fnpara_7_2"/>
      <w:bookmarkEnd w:id="2917"/>
      <w:r>
        <w:rPr>
          <w:rFonts w:ascii="Arial" w:eastAsia="Arial" w:hAnsi="Arial" w:cs="Arial"/>
          <w:color w:val="000000"/>
          <w:sz w:val="18"/>
        </w:rPr>
        <w:t>The PLRA provides, in relevant part:</w:t>
      </w:r>
    </w:p>
    <w:p w:rsidR="00022B47" w:rsidRDefault="00000000">
      <w:pPr>
        <w:pStyle w:val="Normal15"/>
        <w:widowControl w:val="0"/>
        <w:spacing w:before="200" w:line="240" w:lineRule="atLeast"/>
        <w:ind w:left="400"/>
        <w:jc w:val="both"/>
      </w:pPr>
      <w:bookmarkStart w:id="2918" w:name="Bookmark_para_42_4"/>
      <w:bookmarkEnd w:id="2918"/>
      <w:r>
        <w:rPr>
          <w:rFonts w:ascii="Arial" w:eastAsia="Arial" w:hAnsi="Arial" w:cs="Arial"/>
          <w:color w:val="000000"/>
          <w:sz w:val="18"/>
        </w:rPr>
        <w:t>Prospective relief in any civil action with respect to prison conditions shall extend no further than necessary to correct the violation of the Federal right of a particular plaintiff or plaintiffs. The court shall not grant or approve any prospective relief unless the court finds that such relief is narrowly drawn, extends no further than necessary to correct the violation of the Federal right, and is the least intrusive means [**17]  necessary to correct the violation of the Federal right. The court shall give substantial weight to any adverse impact on public safety or the operation of a criminal justice system caused by the relief.</w:t>
      </w:r>
    </w:p>
    <w:p w:rsidR="00022B47" w:rsidRDefault="00000000">
      <w:pPr>
        <w:pStyle w:val="Normal15"/>
        <w:widowControl w:val="0"/>
        <w:spacing w:before="120" w:line="240" w:lineRule="atLeast"/>
        <w:jc w:val="both"/>
      </w:pPr>
      <w:r>
        <w:rPr>
          <w:rFonts w:ascii="Arial" w:eastAsia="Arial" w:hAnsi="Arial" w:cs="Arial"/>
          <w:color w:val="000000"/>
          <w:sz w:val="18"/>
        </w:rPr>
        <w:t>18 U.S.C. § 3626(a)(1).</w:t>
      </w:r>
    </w:p>
  </w:footnote>
  <w:footnote w:id="58">
    <w:p w:rsidR="00022B47" w:rsidRDefault="00000000">
      <w:pPr>
        <w:pStyle w:val="Normal15"/>
        <w:widowControl w:val="0"/>
        <w:spacing w:before="120" w:line="240" w:lineRule="atLeast"/>
        <w:jc w:val="both"/>
      </w:pPr>
      <w:r>
        <w:rPr>
          <w:rFonts w:ascii="Arial" w:eastAsia="Arial" w:hAnsi="Arial" w:cs="Arial"/>
          <w:color w:val="000000"/>
          <w:sz w:val="18"/>
          <w:vertAlign w:val="superscript"/>
        </w:rPr>
        <w:t>8 </w:t>
      </w:r>
      <w:bookmarkStart w:id="2920" w:name="Bookmark_fnpara_8_2"/>
      <w:bookmarkEnd w:id="2920"/>
      <w:r>
        <w:rPr>
          <w:rFonts w:ascii="Arial" w:eastAsia="Arial" w:hAnsi="Arial" w:cs="Arial"/>
          <w:color w:val="000000"/>
          <w:sz w:val="18"/>
        </w:rPr>
        <w:t>The district court appeared to agree with the VDOC concerning the PLRA. In a footnote, the district court stated that even if the prior policy imposed a substantial burden, the PLRA "likely" prevented it from awarding injunctive relief. J.A. 243 n.8.</w:t>
      </w:r>
    </w:p>
  </w:footnote>
  <w:footnote w:id="59">
    <w:p w:rsidR="00022B47" w:rsidRDefault="00000000">
      <w:pPr>
        <w:pStyle w:val="Normal15"/>
        <w:widowControl w:val="0"/>
        <w:spacing w:before="120" w:line="240" w:lineRule="atLeast"/>
        <w:jc w:val="both"/>
      </w:pPr>
      <w:r>
        <w:rPr>
          <w:rFonts w:ascii="Arial" w:eastAsia="Arial" w:hAnsi="Arial" w:cs="Arial"/>
          <w:color w:val="000000"/>
          <w:sz w:val="18"/>
          <w:vertAlign w:val="superscript"/>
        </w:rPr>
        <w:t>9 </w:t>
      </w:r>
      <w:bookmarkStart w:id="2921" w:name="Bookmark_fnpara_9_1"/>
      <w:bookmarkEnd w:id="2921"/>
      <w:r>
        <w:rPr>
          <w:rFonts w:ascii="Arial" w:eastAsia="Arial" w:hAnsi="Arial" w:cs="Arial"/>
          <w:color w:val="000000"/>
          <w:sz w:val="18"/>
        </w:rPr>
        <w:t>Richardson challenges the district court's discussion about whether the policy is rationally related to a legitimate penological interest. In so doing, he argues the district court applied the wrong level of scrutiny. Op. Br. 17. But a review of the order shows that the district court's rational relation discussion pertained only to Richardson's First Amendment free exercise claim. Since Richardson did not appeal the district court's order on that claim, we need not address this issue.</w:t>
      </w:r>
    </w:p>
  </w:footnote>
  <w:footnote w:id="60">
    <w:p w:rsidR="00022B47" w:rsidRDefault="00000000">
      <w:pPr>
        <w:pStyle w:val="Normal15"/>
        <w:widowControl w:val="0"/>
        <w:spacing w:before="120" w:line="240" w:lineRule="atLeast"/>
        <w:jc w:val="both"/>
      </w:pPr>
      <w:r>
        <w:rPr>
          <w:rFonts w:ascii="Arial" w:eastAsia="Arial" w:hAnsi="Arial" w:cs="Arial"/>
          <w:color w:val="000000"/>
          <w:sz w:val="18"/>
          <w:vertAlign w:val="superscript"/>
        </w:rPr>
        <w:t>10 </w:t>
      </w:r>
      <w:bookmarkStart w:id="2929" w:name="Bookmark_fnpara_10_0"/>
      <w:bookmarkEnd w:id="2929"/>
      <w:r>
        <w:rPr>
          <w:rFonts w:ascii="Arial" w:eastAsia="Arial" w:hAnsi="Arial" w:cs="Arial"/>
          <w:color w:val="000000"/>
          <w:sz w:val="18"/>
        </w:rPr>
        <w:t>Since Richardson did not argue on appeal that the district court's order failed to comply with Rule 56(f), he provides no explanation on this point.</w:t>
      </w:r>
    </w:p>
  </w:footnote>
  <w:footnote w:id="61">
    <w:p w:rsidR="00022B47" w:rsidRDefault="00000000">
      <w:pPr>
        <w:pStyle w:val="Normal15"/>
        <w:widowControl w:val="0"/>
        <w:spacing w:before="120" w:line="240" w:lineRule="atLeast"/>
        <w:jc w:val="both"/>
      </w:pPr>
      <w:r>
        <w:rPr>
          <w:rFonts w:ascii="Arial" w:eastAsia="Arial" w:hAnsi="Arial" w:cs="Arial"/>
          <w:color w:val="000000"/>
          <w:sz w:val="18"/>
          <w:vertAlign w:val="superscript"/>
        </w:rPr>
        <w:t>11 </w:t>
      </w:r>
      <w:bookmarkStart w:id="2935" w:name="Bookmark_fnpara_11"/>
      <w:bookmarkEnd w:id="2935"/>
      <w:r>
        <w:rPr>
          <w:rFonts w:ascii="Arial" w:eastAsia="Arial" w:hAnsi="Arial" w:cs="Arial"/>
          <w:color w:val="000000"/>
          <w:sz w:val="18"/>
        </w:rPr>
        <w:t>There is some dispute over the origins of this phrase. Some claim it arose in the twentieth century to reflect choices miners in the Southwestern United States faced. Others attribute the phrase to Homer's Odyssey. There, Odysseus had to choose to pass through either the dangerous whirlpool Charybdis or the cliff occupied by man-eating monster Scylla. Regardless of the phrase's origin, it reflects the predicament of choosing between the lesser of two evils that Richardson claims he faced here.</w:t>
      </w:r>
    </w:p>
  </w:footnote>
  <w:footnote w:id="62">
    <w:p w:rsidR="00022B47" w:rsidRDefault="00000000">
      <w:pPr>
        <w:pStyle w:val="Normal15"/>
        <w:widowControl w:val="0"/>
        <w:spacing w:before="200" w:line="240" w:lineRule="atLeast"/>
        <w:jc w:val="both"/>
      </w:pPr>
      <w:r>
        <w:rPr>
          <w:rFonts w:ascii="Arial" w:eastAsia="Arial" w:hAnsi="Arial" w:cs="Arial"/>
          <w:color w:val="000000"/>
          <w:sz w:val="18"/>
          <w:vertAlign w:val="superscript"/>
        </w:rPr>
        <w:t>12 </w:t>
      </w:r>
      <w:bookmarkStart w:id="2940" w:name="Bookmark_fnpara_12"/>
      <w:bookmarkEnd w:id="2940"/>
      <w:r>
        <w:rPr>
          <w:rFonts w:ascii="Arial" w:eastAsia="Arial" w:hAnsi="Arial" w:cs="Arial"/>
          <w:color w:val="000000"/>
          <w:sz w:val="18"/>
        </w:rPr>
        <w:t xml:space="preserve">We agree with the district court that, although suspended, the prior policy is not moot because the VDOC "failed to meet their heavy burden of establishing that it is absolutely clear that the [prior head covering policy] will not be reinstated." </w:t>
      </w:r>
      <w:bookmarkStart w:id="2941" w:name="Bookmark_I66TWN8P2N1PNB0010000400"/>
      <w:bookmarkEnd w:id="2941"/>
      <w:r>
        <w:rPr>
          <w:rFonts w:ascii="Arial" w:eastAsia="Arial" w:hAnsi="Arial" w:cs="Arial"/>
          <w:i/>
          <w:color w:val="000000"/>
          <w:sz w:val="18"/>
        </w:rPr>
        <w:t>Wall v. Wade</w:t>
      </w:r>
      <w:r>
        <w:rPr>
          <w:rFonts w:ascii="Arial" w:eastAsia="Arial" w:hAnsi="Arial" w:cs="Arial"/>
          <w:color w:val="000000"/>
          <w:sz w:val="18"/>
        </w:rPr>
        <w:t xml:space="preserve">, 741 F.3d 492, 497 (4th Cir. 2014) (citation omitted). And to the extent the district court held that the PLRA precludes forward-looking relief, our decision in </w:t>
      </w:r>
      <w:bookmarkStart w:id="2942" w:name="Bookmark_I66TWN8P2N1PNB0030000400"/>
      <w:bookmarkEnd w:id="2942"/>
      <w:r>
        <w:rPr>
          <w:rFonts w:ascii="Arial" w:eastAsia="Arial" w:hAnsi="Arial" w:cs="Arial"/>
          <w:i/>
          <w:color w:val="000000"/>
          <w:sz w:val="18"/>
        </w:rPr>
        <w:t>Porter v. Clarke</w:t>
      </w:r>
      <w:r>
        <w:rPr>
          <w:rFonts w:ascii="Arial" w:eastAsia="Arial" w:hAnsi="Arial" w:cs="Arial"/>
          <w:color w:val="000000"/>
          <w:sz w:val="18"/>
        </w:rPr>
        <w:t>, 923 F.3d 348, 366 (4th Cir. 2019), holds otherwise.</w:t>
      </w:r>
    </w:p>
  </w:footnote>
  <w:footnote w:id="63">
    <w:p w:rsidR="00022B47" w:rsidRDefault="00000000">
      <w:pPr>
        <w:pStyle w:val="Normal17"/>
        <w:widowControl w:val="0"/>
        <w:spacing w:before="200" w:line="240" w:lineRule="atLeast"/>
        <w:jc w:val="both"/>
      </w:pPr>
      <w:r>
        <w:rPr>
          <w:rFonts w:ascii="Arial" w:eastAsia="Arial" w:hAnsi="Arial" w:cs="Arial"/>
          <w:color w:val="000000"/>
          <w:sz w:val="18"/>
          <w:vertAlign w:val="superscript"/>
        </w:rPr>
        <w:t>1 </w:t>
      </w:r>
      <w:bookmarkStart w:id="2986" w:name="Bookmark_fnpara_1_11"/>
      <w:bookmarkStart w:id="2987" w:name="Bookmark_I66K8CD52N1RH40020000400"/>
      <w:bookmarkStart w:id="2988" w:name="Bookmark_I66K8CD528T4RW0050000400"/>
      <w:bookmarkEnd w:id="2986"/>
      <w:bookmarkEnd w:id="2987"/>
      <w:bookmarkEnd w:id="2988"/>
      <w:r>
        <w:rPr>
          <w:rFonts w:ascii="Arial" w:eastAsia="Arial" w:hAnsi="Arial" w:cs="Arial"/>
          <w:color w:val="000000"/>
          <w:sz w:val="18"/>
        </w:rPr>
        <w:t xml:space="preserve">By our count of the precedential opinions, three of our sibling circuit courts have said no, and one has said yes. </w:t>
      </w:r>
      <w:r>
        <w:rPr>
          <w:rFonts w:ascii="Arial" w:eastAsia="Arial" w:hAnsi="Arial" w:cs="Arial"/>
          <w:color w:val="000000"/>
          <w:sz w:val="18"/>
          <w:u w:val="single"/>
        </w:rPr>
        <w:t xml:space="preserve">See </w:t>
      </w:r>
      <w:bookmarkStart w:id="2989" w:name="Bookmark_I66K8CD52N1RH40010000400"/>
      <w:bookmarkEnd w:id="2989"/>
      <w:r>
        <w:rPr>
          <w:rFonts w:ascii="Arial" w:eastAsia="Arial" w:hAnsi="Arial" w:cs="Arial"/>
          <w:color w:val="000000"/>
          <w:sz w:val="18"/>
          <w:u w:val="single"/>
        </w:rPr>
        <w:t>Laufer v. Arpan LLC</w:t>
      </w:r>
      <w:r>
        <w:rPr>
          <w:rFonts w:ascii="Arial" w:eastAsia="Arial" w:hAnsi="Arial" w:cs="Arial"/>
          <w:color w:val="000000"/>
          <w:sz w:val="18"/>
        </w:rPr>
        <w:t xml:space="preserve">, 29 F.4th 1268, 1273-74 (11th Cir. 2022) (standing); </w:t>
      </w:r>
      <w:bookmarkStart w:id="2990" w:name="Bookmark_I66K8CD52N1RH40030000400"/>
      <w:bookmarkEnd w:id="2990"/>
      <w:r>
        <w:rPr>
          <w:rFonts w:ascii="Arial" w:eastAsia="Arial" w:hAnsi="Arial" w:cs="Arial"/>
          <w:color w:val="000000"/>
          <w:sz w:val="18"/>
          <w:u w:val="single"/>
        </w:rPr>
        <w:t>Harty v. W. Point Realty, Inc.</w:t>
      </w:r>
      <w:r>
        <w:rPr>
          <w:rFonts w:ascii="Arial" w:eastAsia="Arial" w:hAnsi="Arial" w:cs="Arial"/>
          <w:color w:val="000000"/>
          <w:sz w:val="18"/>
        </w:rPr>
        <w:t xml:space="preserve">, 28 F.4th 435, 444 (2d Cir. 2022) (no standing); </w:t>
      </w:r>
      <w:bookmarkStart w:id="2991" w:name="Bookmark_I66K8CD52N1RH40050000400"/>
      <w:bookmarkEnd w:id="2991"/>
      <w:r>
        <w:rPr>
          <w:rFonts w:ascii="Arial" w:eastAsia="Arial" w:hAnsi="Arial" w:cs="Arial"/>
          <w:color w:val="000000"/>
          <w:sz w:val="18"/>
          <w:u w:val="single"/>
        </w:rPr>
        <w:t>Laufer v. Looper</w:t>
      </w:r>
      <w:r>
        <w:rPr>
          <w:rFonts w:ascii="Arial" w:eastAsia="Arial" w:hAnsi="Arial" w:cs="Arial"/>
          <w:color w:val="000000"/>
          <w:sz w:val="18"/>
        </w:rPr>
        <w:t xml:space="preserve">, 22 F.4th 871, 879-81, 883 (10th Cir. 2022) (same); </w:t>
      </w:r>
      <w:bookmarkStart w:id="2992" w:name="Bookmark_I66K8CD528T4RW0020000400"/>
      <w:bookmarkEnd w:id="2992"/>
      <w:r>
        <w:rPr>
          <w:rFonts w:ascii="Arial" w:eastAsia="Arial" w:hAnsi="Arial" w:cs="Arial"/>
          <w:color w:val="000000"/>
          <w:sz w:val="18"/>
          <w:u w:val="single"/>
        </w:rPr>
        <w:t>Laufer v. Mann Hosp. L.L.C.</w:t>
      </w:r>
      <w:r>
        <w:rPr>
          <w:rFonts w:ascii="Arial" w:eastAsia="Arial" w:hAnsi="Arial" w:cs="Arial"/>
          <w:color w:val="000000"/>
          <w:sz w:val="18"/>
        </w:rPr>
        <w:t xml:space="preserve">, 996 F.3d 269, 273 (5th Cir. 2021) (same). One other has said no in a non-precedential judgment without analysis. </w:t>
      </w:r>
      <w:r>
        <w:rPr>
          <w:rFonts w:ascii="Arial" w:eastAsia="Arial" w:hAnsi="Arial" w:cs="Arial"/>
          <w:color w:val="000000"/>
          <w:sz w:val="18"/>
          <w:u w:val="single"/>
        </w:rPr>
        <w:t xml:space="preserve">See </w:t>
      </w:r>
      <w:bookmarkStart w:id="2993" w:name="Bookmark_I66K8CD528T4RW0040000400"/>
      <w:bookmarkEnd w:id="2993"/>
      <w:r>
        <w:rPr>
          <w:rFonts w:ascii="Arial" w:eastAsia="Arial" w:hAnsi="Arial" w:cs="Arial"/>
          <w:color w:val="000000"/>
          <w:sz w:val="18"/>
          <w:u w:val="single"/>
        </w:rPr>
        <w:t>Laufer v. Alamac Inc.</w:t>
      </w:r>
      <w:r>
        <w:rPr>
          <w:rFonts w:ascii="Arial" w:eastAsia="Arial" w:hAnsi="Arial" w:cs="Arial"/>
          <w:color w:val="000000"/>
          <w:sz w:val="18"/>
        </w:rPr>
        <w:t>, No. 21-7056, 2021 U.S. App. LEXIS 27443, 2021 WL 4765435, at *1 (D.C. Cir. Sept. 10, 2021).</w:t>
      </w:r>
    </w:p>
  </w:footnote>
  <w:footnote w:id="64">
    <w:p w:rsidR="00022B47" w:rsidRDefault="00000000">
      <w:pPr>
        <w:pStyle w:val="Normal17"/>
        <w:widowControl w:val="0"/>
        <w:spacing w:before="120" w:line="240" w:lineRule="atLeast"/>
        <w:jc w:val="both"/>
      </w:pPr>
      <w:r>
        <w:rPr>
          <w:rFonts w:ascii="Arial" w:eastAsia="Arial" w:hAnsi="Arial" w:cs="Arial"/>
          <w:color w:val="000000"/>
          <w:sz w:val="18"/>
          <w:vertAlign w:val="superscript"/>
        </w:rPr>
        <w:t>2 </w:t>
      </w:r>
      <w:bookmarkStart w:id="3005" w:name="Bookmark_fnpara_2_9"/>
      <w:bookmarkEnd w:id="3005"/>
      <w:r>
        <w:rPr>
          <w:rFonts w:ascii="Arial" w:eastAsia="Arial" w:hAnsi="Arial" w:cs="Arial"/>
          <w:color w:val="000000"/>
          <w:sz w:val="18"/>
        </w:rPr>
        <w:t>Acheson does not argue that this regulation exceeds the authority granted to the Attorney General under § 12186(b).</w:t>
      </w:r>
    </w:p>
  </w:footnote>
  <w:footnote w:id="65">
    <w:p w:rsidR="00022B47" w:rsidRDefault="00000000">
      <w:pPr>
        <w:pStyle w:val="Normal17"/>
        <w:widowControl w:val="0"/>
        <w:spacing w:before="120" w:line="240" w:lineRule="atLeast"/>
        <w:jc w:val="both"/>
      </w:pPr>
      <w:r>
        <w:rPr>
          <w:rFonts w:ascii="Arial" w:eastAsia="Arial" w:hAnsi="Arial" w:cs="Arial"/>
          <w:color w:val="000000"/>
          <w:sz w:val="18"/>
          <w:vertAlign w:val="superscript"/>
        </w:rPr>
        <w:t>3 </w:t>
      </w:r>
      <w:bookmarkStart w:id="3078" w:name="Bookmark_fnpara_3_7"/>
      <w:bookmarkEnd w:id="3078"/>
      <w:r>
        <w:rPr>
          <w:rFonts w:ascii="Arial" w:eastAsia="Arial" w:hAnsi="Arial" w:cs="Arial"/>
          <w:color w:val="000000"/>
          <w:sz w:val="18"/>
        </w:rPr>
        <w:t>Side note: We mentioned a few pages back that Laufer amended her complaint to allege her intent to travel to Maine. But she now on appeal disclaims any such intent.</w:t>
      </w:r>
    </w:p>
  </w:footnote>
  <w:footnote w:id="66">
    <w:p w:rsidR="00022B47" w:rsidRDefault="00000000">
      <w:pPr>
        <w:pStyle w:val="Normal17"/>
        <w:widowControl w:val="0"/>
        <w:spacing w:before="200" w:line="240" w:lineRule="atLeast"/>
        <w:jc w:val="both"/>
      </w:pPr>
      <w:r>
        <w:rPr>
          <w:rFonts w:ascii="Arial" w:eastAsia="Arial" w:hAnsi="Arial" w:cs="Arial"/>
          <w:color w:val="000000"/>
          <w:sz w:val="18"/>
          <w:vertAlign w:val="superscript"/>
        </w:rPr>
        <w:t>4 </w:t>
      </w:r>
      <w:bookmarkStart w:id="3253" w:name="Bookmark_fnpara_4_6"/>
      <w:bookmarkStart w:id="3254" w:name="Bookmark_I66K8CDD2N1RM10040000400"/>
      <w:bookmarkStart w:id="3255" w:name="Bookmark_I66K8CDD2N1RM40030000400"/>
      <w:bookmarkStart w:id="3256" w:name="Bookmark_LNHNREFclscc17_3"/>
      <w:bookmarkEnd w:id="3253"/>
      <w:bookmarkEnd w:id="3254"/>
      <w:bookmarkEnd w:id="3255"/>
      <w:bookmarkEnd w:id="3256"/>
      <w:r>
        <w:rPr>
          <w:rFonts w:ascii="Arial" w:eastAsia="Arial" w:hAnsi="Arial" w:cs="Arial"/>
          <w:color w:val="000000"/>
          <w:sz w:val="18"/>
        </w:rPr>
        <w:t xml:space="preserve">True, we're "bound by the Supreme Court's considered dicta almost as firmly as by the Court's outright holdings, particularly when . . . a dictum is of recent vintage and not enfeebled by any subsequent statement." </w:t>
      </w:r>
      <w:bookmarkStart w:id="3257" w:name="Bookmark_I66K8CDD2N1RM10030000400"/>
      <w:bookmarkEnd w:id="3257"/>
      <w:r>
        <w:rPr>
          <w:rFonts w:ascii="Arial" w:eastAsia="Arial" w:hAnsi="Arial" w:cs="Arial"/>
          <w:color w:val="000000"/>
          <w:sz w:val="18"/>
          <w:u w:val="single"/>
        </w:rPr>
        <w:t>McCoy v. Mass. Inst. of Tech.</w:t>
      </w:r>
      <w:r>
        <w:rPr>
          <w:rFonts w:ascii="Arial" w:eastAsia="Arial" w:hAnsi="Arial" w:cs="Arial"/>
          <w:color w:val="000000"/>
          <w:sz w:val="18"/>
        </w:rPr>
        <w:t xml:space="preserve">, 950 F.2d 13, 19 (1st Cir. 1991); </w:t>
      </w:r>
      <w:r>
        <w:rPr>
          <w:rFonts w:ascii="Arial" w:eastAsia="Arial" w:hAnsi="Arial" w:cs="Arial"/>
          <w:color w:val="000000"/>
          <w:sz w:val="18"/>
          <w:u w:val="single"/>
        </w:rPr>
        <w:t xml:space="preserve">see </w:t>
      </w:r>
      <w:bookmarkStart w:id="3258" w:name="Bookmark_I66K8CDD2N1RM10050000400"/>
      <w:bookmarkEnd w:id="3258"/>
      <w:r>
        <w:rPr>
          <w:rFonts w:ascii="Arial" w:eastAsia="Arial" w:hAnsi="Arial" w:cs="Arial"/>
          <w:color w:val="000000"/>
          <w:sz w:val="18"/>
          <w:u w:val="single"/>
        </w:rPr>
        <w:t>United States v. Baez-Martinez</w:t>
      </w:r>
      <w:r>
        <w:rPr>
          <w:rFonts w:ascii="Arial" w:eastAsia="Arial" w:hAnsi="Arial" w:cs="Arial"/>
          <w:color w:val="000000"/>
          <w:sz w:val="18"/>
        </w:rPr>
        <w:t xml:space="preserve">, 950 F.3d 119, 132 (1st Cir. 2020). </w:t>
      </w:r>
      <w:bookmarkStart w:id="3259" w:name="Bookmark_I66K8CDD2N1RM40050000400"/>
      <w:bookmarkEnd w:id="3259"/>
      <w:r>
        <w:rPr>
          <w:rFonts w:ascii="Arial" w:eastAsia="Arial" w:hAnsi="Arial" w:cs="Arial"/>
          <w:color w:val="000000"/>
          <w:sz w:val="18"/>
        </w:rPr>
        <w:t xml:space="preserve">But when later dictum might call into question a prior holding, we're still bound by the Court's earlier holding, not its dictum. </w:t>
      </w:r>
      <w:r>
        <w:rPr>
          <w:rFonts w:ascii="Arial" w:eastAsia="Arial" w:hAnsi="Arial" w:cs="Arial"/>
          <w:color w:val="000000"/>
          <w:sz w:val="18"/>
          <w:u w:val="single"/>
        </w:rPr>
        <w:t xml:space="preserve">See </w:t>
      </w:r>
      <w:bookmarkStart w:id="3260" w:name="Bookmark_I66K8CDD2N1RM40020000400"/>
      <w:bookmarkEnd w:id="3260"/>
      <w:r>
        <w:rPr>
          <w:rFonts w:ascii="Arial" w:eastAsia="Arial" w:hAnsi="Arial" w:cs="Arial"/>
          <w:color w:val="000000"/>
          <w:sz w:val="18"/>
          <w:u w:val="single"/>
        </w:rPr>
        <w:t>Bais Yaakov of Spring Valley v. ACT, Inc.</w:t>
      </w:r>
      <w:r>
        <w:rPr>
          <w:rFonts w:ascii="Arial" w:eastAsia="Arial" w:hAnsi="Arial" w:cs="Arial"/>
          <w:color w:val="000000"/>
          <w:sz w:val="18"/>
        </w:rPr>
        <w:t xml:space="preserve">, 798 F.3d 46, 50 &amp; n.5 (1st Cir. 2015). </w:t>
      </w:r>
      <w:bookmarkStart w:id="3261" w:name="Bookmark_I66K8CDD2N1RM40050000400_2"/>
      <w:bookmarkStart w:id="3262" w:name="Bookmark_I66K8CDF2HM6SX0020000400"/>
      <w:bookmarkEnd w:id="3261"/>
      <w:bookmarkEnd w:id="3262"/>
      <w:r>
        <w:rPr>
          <w:rFonts w:ascii="Arial" w:eastAsia="Arial" w:hAnsi="Arial" w:cs="Arial"/>
          <w:color w:val="000000"/>
          <w:sz w:val="18"/>
        </w:rPr>
        <w:t xml:space="preserve">And </w:t>
      </w:r>
      <w:bookmarkStart w:id="3263" w:name="Bookmark_I66K8CDF2HM6SX0020000400_2"/>
      <w:bookmarkStart w:id="3264" w:name="Bookmark_I66K8CDD2N1RM40050000400_3"/>
      <w:bookmarkStart w:id="3265" w:name="Bookmark_I66K8CDD2N1RM40040000400"/>
      <w:bookmarkEnd w:id="3263"/>
      <w:bookmarkEnd w:id="3264"/>
      <w:bookmarkEnd w:id="3265"/>
      <w:r>
        <w:rPr>
          <w:rFonts w:ascii="Arial" w:eastAsia="Arial" w:hAnsi="Arial" w:cs="Arial"/>
          <w:color w:val="000000"/>
          <w:sz w:val="18"/>
          <w:u w:val="single"/>
        </w:rPr>
        <w:t>TransUnion</w:t>
      </w:r>
      <w:r>
        <w:rPr>
          <w:rFonts w:ascii="Arial" w:eastAsia="Arial" w:hAnsi="Arial" w:cs="Arial"/>
          <w:color w:val="000000"/>
          <w:sz w:val="18"/>
        </w:rPr>
        <w:t xml:space="preserve">'s downstream-consequences-needed-for-informational-injury proviso certainly looks like dictum given that the Court concluded the plaintiffs didn't allege they hadn't received any required information. </w:t>
      </w:r>
      <w:bookmarkStart w:id="3266" w:name="Bookmark_I66K8CDF2HM6SX0040000400"/>
      <w:bookmarkEnd w:id="3266"/>
      <w:r>
        <w:rPr>
          <w:rFonts w:ascii="Arial" w:eastAsia="Arial" w:hAnsi="Arial" w:cs="Arial"/>
          <w:color w:val="000000"/>
          <w:sz w:val="18"/>
          <w:u w:val="single"/>
        </w:rPr>
        <w:t>See</w:t>
      </w:r>
      <w:r>
        <w:rPr>
          <w:rFonts w:ascii="Arial" w:eastAsia="Arial" w:hAnsi="Arial" w:cs="Arial"/>
          <w:color w:val="000000"/>
          <w:sz w:val="18"/>
        </w:rPr>
        <w:t xml:space="preserve"> </w:t>
      </w:r>
      <w:bookmarkStart w:id="3267" w:name="Bookmark_I66K8CDF2HM6SX0010000400"/>
      <w:bookmarkEnd w:id="3267"/>
      <w:r>
        <w:rPr>
          <w:rFonts w:ascii="Arial" w:eastAsia="Arial" w:hAnsi="Arial" w:cs="Arial"/>
          <w:color w:val="000000"/>
          <w:sz w:val="18"/>
        </w:rPr>
        <w:t xml:space="preserve">141 S. Ct. at 2214. </w:t>
      </w:r>
      <w:bookmarkStart w:id="3268" w:name="Bookmark_I66K8CDF2HM6SX0040000400_2"/>
      <w:bookmarkStart w:id="3269" w:name="Bookmark_I66K8CDF2HM6SY0010000400"/>
      <w:bookmarkEnd w:id="3268"/>
      <w:bookmarkEnd w:id="3269"/>
      <w:r>
        <w:rPr>
          <w:rFonts w:ascii="Arial" w:eastAsia="Arial" w:hAnsi="Arial" w:cs="Arial"/>
          <w:color w:val="000000"/>
          <w:sz w:val="18"/>
        </w:rPr>
        <w:t xml:space="preserve">Moreover, we've called "suspect" arguments that the Supreme Court implicitly overruled one of its prior decisions. </w:t>
      </w:r>
      <w:r>
        <w:rPr>
          <w:rFonts w:ascii="Arial" w:eastAsia="Arial" w:hAnsi="Arial" w:cs="Arial"/>
          <w:color w:val="000000"/>
          <w:sz w:val="18"/>
          <w:u w:val="single"/>
        </w:rPr>
        <w:t xml:space="preserve">See </w:t>
      </w:r>
      <w:bookmarkStart w:id="3270" w:name="Bookmark_I66K8CDF2HM6SX0030000400"/>
      <w:bookmarkEnd w:id="3270"/>
      <w:r>
        <w:rPr>
          <w:rFonts w:ascii="Arial" w:eastAsia="Arial" w:hAnsi="Arial" w:cs="Arial"/>
          <w:color w:val="000000"/>
          <w:sz w:val="18"/>
          <w:u w:val="single"/>
        </w:rPr>
        <w:t>United States v. Symonevich</w:t>
      </w:r>
      <w:r>
        <w:rPr>
          <w:rFonts w:ascii="Arial" w:eastAsia="Arial" w:hAnsi="Arial" w:cs="Arial"/>
          <w:color w:val="000000"/>
          <w:sz w:val="18"/>
        </w:rPr>
        <w:t xml:space="preserve">, 688 F.3d 12, 19 n.4 (1st Cir. 2012). </w:t>
      </w:r>
      <w:bookmarkStart w:id="3271" w:name="Bookmark_I66K8CDF2HM6SY0010000400_2"/>
      <w:bookmarkStart w:id="3272" w:name="Bookmark_I66K8CDF2HM6SY0030000400"/>
      <w:bookmarkEnd w:id="3271"/>
      <w:bookmarkEnd w:id="3272"/>
      <w:r>
        <w:rPr>
          <w:rFonts w:ascii="Arial" w:eastAsia="Arial" w:hAnsi="Arial" w:cs="Arial"/>
          <w:color w:val="000000"/>
          <w:sz w:val="18"/>
        </w:rPr>
        <w:t xml:space="preserve">And we think it suspect, too, that the Court would overrule </w:t>
      </w:r>
      <w:bookmarkStart w:id="3273" w:name="Bookmark_I66K8CDF2HM6SY0030000400_2"/>
      <w:bookmarkStart w:id="3274" w:name="Bookmark_I66K8CDF2HM6SY0010000400_3"/>
      <w:bookmarkStart w:id="3275" w:name="Bookmark_I66K8CDF2HM6SX0050000400"/>
      <w:bookmarkEnd w:id="3273"/>
      <w:bookmarkEnd w:id="3274"/>
      <w:bookmarkEnd w:id="3275"/>
      <w:r>
        <w:rPr>
          <w:rFonts w:ascii="Arial" w:eastAsia="Arial" w:hAnsi="Arial" w:cs="Arial"/>
          <w:color w:val="000000"/>
          <w:sz w:val="18"/>
          <w:u w:val="single"/>
        </w:rPr>
        <w:t>Havens Realty</w:t>
      </w:r>
      <w:r>
        <w:rPr>
          <w:rFonts w:ascii="Arial" w:eastAsia="Arial" w:hAnsi="Arial" w:cs="Arial"/>
          <w:color w:val="000000"/>
          <w:sz w:val="18"/>
        </w:rPr>
        <w:t xml:space="preserve"> implicitly, in dictum, and with only three sentences of explanation. </w:t>
      </w:r>
      <w:r>
        <w:rPr>
          <w:rFonts w:ascii="Arial" w:eastAsia="Arial" w:hAnsi="Arial" w:cs="Arial"/>
          <w:color w:val="000000"/>
          <w:sz w:val="18"/>
          <w:u w:val="single"/>
        </w:rPr>
        <w:t xml:space="preserve">Cf. </w:t>
      </w:r>
      <w:bookmarkStart w:id="3276" w:name="Bookmark_I66K8CDF2HM6SY0020000400"/>
      <w:bookmarkEnd w:id="3276"/>
      <w:r>
        <w:rPr>
          <w:rFonts w:ascii="Arial" w:eastAsia="Arial" w:hAnsi="Arial" w:cs="Arial"/>
          <w:color w:val="000000"/>
          <w:sz w:val="18"/>
          <w:u w:val="single"/>
        </w:rPr>
        <w:t>In re Sealed Case</w:t>
      </w:r>
      <w:r>
        <w:rPr>
          <w:rFonts w:ascii="Arial" w:eastAsia="Arial" w:hAnsi="Arial" w:cs="Arial"/>
          <w:color w:val="000000"/>
          <w:sz w:val="18"/>
        </w:rPr>
        <w:t xml:space="preserve">, 151 F.3d 1059, 1064, 331 U.S. App. D.C. 385 (D.C. Cir. 1998) ("[I]t is rather implausible that the Supreme Court, in dicta -- not to mention in a footnote -- meant to overrule </w:t>
      </w:r>
      <w:r>
        <w:rPr>
          <w:rFonts w:ascii="Arial" w:eastAsia="Arial" w:hAnsi="Arial" w:cs="Arial"/>
          <w:color w:val="000000"/>
          <w:sz w:val="18"/>
          <w:u w:val="single"/>
        </w:rPr>
        <w:t>sub silentio</w:t>
      </w:r>
      <w:r>
        <w:rPr>
          <w:rFonts w:ascii="Arial" w:eastAsia="Arial" w:hAnsi="Arial" w:cs="Arial"/>
          <w:color w:val="000000"/>
          <w:sz w:val="18"/>
        </w:rPr>
        <w:t xml:space="preserve"> the holdings in" prior cases.).</w:t>
      </w:r>
    </w:p>
  </w:footnote>
  <w:footnote w:id="67">
    <w:p w:rsidR="00022B47" w:rsidRDefault="00000000">
      <w:pPr>
        <w:pStyle w:val="Normal17"/>
        <w:widowControl w:val="0"/>
        <w:spacing w:before="200" w:line="240" w:lineRule="atLeast"/>
        <w:jc w:val="both"/>
      </w:pPr>
      <w:r>
        <w:rPr>
          <w:rFonts w:ascii="Arial" w:eastAsia="Arial" w:hAnsi="Arial" w:cs="Arial"/>
          <w:color w:val="000000"/>
          <w:sz w:val="18"/>
          <w:vertAlign w:val="superscript"/>
        </w:rPr>
        <w:t>5 </w:t>
      </w:r>
      <w:bookmarkStart w:id="3303" w:name="Bookmark_fnpara_5_5"/>
      <w:bookmarkStart w:id="3304" w:name="Bookmark_I5C7WFRX6W3000046KS0003V"/>
      <w:bookmarkStart w:id="3305" w:name="Bookmark_I5C7WFRX8FT000046KS0003W"/>
      <w:bookmarkStart w:id="3306" w:name="Bookmark_I66K8CDF2SF7XB0030000400"/>
      <w:bookmarkEnd w:id="3303"/>
      <w:bookmarkEnd w:id="3304"/>
      <w:bookmarkEnd w:id="3305"/>
      <w:bookmarkEnd w:id="3306"/>
      <w:r>
        <w:rPr>
          <w:rFonts w:ascii="Arial" w:eastAsia="Arial" w:hAnsi="Arial" w:cs="Arial"/>
          <w:color w:val="000000"/>
          <w:sz w:val="18"/>
        </w:rPr>
        <w:t xml:space="preserve">Similarly, the credit-union cases relied on by Acheson are inapposite. </w:t>
      </w:r>
      <w:bookmarkStart w:id="3307" w:name="Bookmark_I66K8CDF28T4W30020000400"/>
      <w:bookmarkEnd w:id="3307"/>
      <w:r>
        <w:rPr>
          <w:rFonts w:ascii="Arial" w:eastAsia="Arial" w:hAnsi="Arial" w:cs="Arial"/>
          <w:color w:val="000000"/>
          <w:sz w:val="18"/>
        </w:rPr>
        <w:t xml:space="preserve">Those cases concluded an ADA tester had no standing to sue for credit-union websites' failure to have information in a format accessible to disabled persons where there was a legal bar to the plaintiff joining the credit union. </w:t>
      </w:r>
      <w:r>
        <w:rPr>
          <w:rFonts w:ascii="Arial" w:eastAsia="Arial" w:hAnsi="Arial" w:cs="Arial"/>
          <w:color w:val="000000"/>
          <w:sz w:val="18"/>
          <w:u w:val="single"/>
        </w:rPr>
        <w:t xml:space="preserve">See, e.g., </w:t>
      </w:r>
      <w:bookmarkStart w:id="3308" w:name="Bookmark_I66K8CDF2SF7XB0020000400"/>
      <w:bookmarkEnd w:id="3308"/>
      <w:r>
        <w:rPr>
          <w:rFonts w:ascii="Arial" w:eastAsia="Arial" w:hAnsi="Arial" w:cs="Arial"/>
          <w:color w:val="000000"/>
          <w:sz w:val="18"/>
          <w:u w:val="single"/>
        </w:rPr>
        <w:t>Carello v. Aurora Policemen Credit Union</w:t>
      </w:r>
      <w:r>
        <w:rPr>
          <w:rFonts w:ascii="Arial" w:eastAsia="Arial" w:hAnsi="Arial" w:cs="Arial"/>
          <w:color w:val="000000"/>
          <w:sz w:val="18"/>
        </w:rPr>
        <w:t xml:space="preserve">, 930 F.3d 830, 834 (7th Cir. 2019) (Barrett, J.); </w:t>
      </w:r>
      <w:bookmarkStart w:id="3309" w:name="Bookmark_I66K8CDF2SF7XB0040000400"/>
      <w:bookmarkEnd w:id="3309"/>
      <w:r>
        <w:rPr>
          <w:rFonts w:ascii="Arial" w:eastAsia="Arial" w:hAnsi="Arial" w:cs="Arial"/>
          <w:color w:val="000000"/>
          <w:sz w:val="18"/>
          <w:u w:val="single"/>
        </w:rPr>
        <w:t>Griffin v. Dep't of Lab. Fed. Credit Union</w:t>
      </w:r>
      <w:r>
        <w:rPr>
          <w:rFonts w:ascii="Arial" w:eastAsia="Arial" w:hAnsi="Arial" w:cs="Arial"/>
          <w:color w:val="000000"/>
          <w:sz w:val="18"/>
        </w:rPr>
        <w:t xml:space="preserve">, 912 F.3d 649, 654 (4th Cir. 2019). </w:t>
      </w:r>
      <w:bookmarkStart w:id="3310" w:name="Bookmark_I66K8CDF28T4W30020000400_2"/>
      <w:bookmarkStart w:id="3311" w:name="Bookmark_I66K8CDF28T4W30040000400"/>
      <w:bookmarkEnd w:id="3310"/>
      <w:bookmarkEnd w:id="3311"/>
      <w:r>
        <w:rPr>
          <w:rFonts w:ascii="Arial" w:eastAsia="Arial" w:hAnsi="Arial" w:cs="Arial"/>
          <w:color w:val="000000"/>
          <w:sz w:val="18"/>
        </w:rPr>
        <w:t xml:space="preserve">There are no legal bars to Laufer's booking a room at the Inn. </w:t>
      </w:r>
      <w:r>
        <w:rPr>
          <w:rFonts w:ascii="Arial" w:eastAsia="Arial" w:hAnsi="Arial" w:cs="Arial"/>
          <w:color w:val="000000"/>
          <w:sz w:val="18"/>
          <w:u w:val="single"/>
        </w:rPr>
        <w:t xml:space="preserve">See also </w:t>
      </w:r>
      <w:bookmarkStart w:id="3312" w:name="Bookmark_I66K8CDF28T4W30010000400"/>
      <w:bookmarkEnd w:id="3312"/>
      <w:r>
        <w:rPr>
          <w:rFonts w:ascii="Arial" w:eastAsia="Arial" w:hAnsi="Arial" w:cs="Arial"/>
          <w:color w:val="000000"/>
          <w:sz w:val="18"/>
          <w:u w:val="single"/>
        </w:rPr>
        <w:t>Carello</w:t>
      </w:r>
      <w:r>
        <w:rPr>
          <w:rFonts w:ascii="Arial" w:eastAsia="Arial" w:hAnsi="Arial" w:cs="Arial"/>
          <w:color w:val="000000"/>
          <w:sz w:val="18"/>
        </w:rPr>
        <w:t xml:space="preserve">, 930 F.3d at 834 (Barrett, J.) </w:t>
      </w:r>
      <w:bookmarkStart w:id="3313" w:name="Bookmark_I66K8CDF28T4W30040000400_2"/>
      <w:bookmarkEnd w:id="3313"/>
      <w:r>
        <w:rPr>
          <w:rFonts w:ascii="Arial" w:eastAsia="Arial" w:hAnsi="Arial" w:cs="Arial"/>
          <w:color w:val="000000"/>
          <w:sz w:val="18"/>
        </w:rPr>
        <w:t>(making clear the holding was "no broader" than one about plaintiffs who are "</w:t>
      </w:r>
      <w:r>
        <w:rPr>
          <w:rFonts w:ascii="Arial" w:eastAsia="Arial" w:hAnsi="Arial" w:cs="Arial"/>
          <w:color w:val="000000"/>
          <w:sz w:val="18"/>
          <w:u w:val="single"/>
        </w:rPr>
        <w:t>legally barred</w:t>
      </w:r>
      <w:r>
        <w:rPr>
          <w:rFonts w:ascii="Arial" w:eastAsia="Arial" w:hAnsi="Arial" w:cs="Arial"/>
          <w:color w:val="000000"/>
          <w:sz w:val="18"/>
        </w:rPr>
        <w:t xml:space="preserve">" from using the defendant's services (emphasis in original)). Additionally, </w:t>
      </w:r>
      <w:bookmarkStart w:id="3314" w:name="Bookmark_I66K8CDF28T4W30040000400_3"/>
      <w:bookmarkStart w:id="3315" w:name="Bookmark_I66K8CDF28T4W30030000400"/>
      <w:bookmarkEnd w:id="3314"/>
      <w:bookmarkEnd w:id="3315"/>
      <w:r>
        <w:rPr>
          <w:rFonts w:ascii="Arial" w:eastAsia="Arial" w:hAnsi="Arial" w:cs="Arial"/>
          <w:color w:val="000000"/>
          <w:sz w:val="18"/>
          <w:u w:val="single"/>
        </w:rPr>
        <w:t>Carello</w:t>
      </w:r>
      <w:r>
        <w:rPr>
          <w:rFonts w:ascii="Arial" w:eastAsia="Arial" w:hAnsi="Arial" w:cs="Arial"/>
          <w:color w:val="000000"/>
          <w:sz w:val="18"/>
        </w:rPr>
        <w:t xml:space="preserve"> affirmed the proposition that in "informational injury" cases (which, according to that court, "typically" but do not exclusively involve "sunshine law[s]"), "a plaintiff 'need not allege any </w:t>
      </w:r>
      <w:r>
        <w:rPr>
          <w:rFonts w:ascii="Arial" w:eastAsia="Arial" w:hAnsi="Arial" w:cs="Arial"/>
          <w:color w:val="000000"/>
          <w:sz w:val="18"/>
          <w:u w:val="single"/>
        </w:rPr>
        <w:t>additional</w:t>
      </w:r>
      <w:r>
        <w:rPr>
          <w:rFonts w:ascii="Arial" w:eastAsia="Arial" w:hAnsi="Arial" w:cs="Arial"/>
          <w:color w:val="000000"/>
          <w:sz w:val="18"/>
        </w:rPr>
        <w:t xml:space="preserve"> harm beyond' [her] failure to receive information that the law renders subject to disclosure." </w:t>
      </w:r>
      <w:bookmarkStart w:id="3316" w:name="Bookmark_I66K8CDF28T4W30050000400"/>
      <w:bookmarkEnd w:id="3316"/>
      <w:r>
        <w:rPr>
          <w:rFonts w:ascii="Arial" w:eastAsia="Arial" w:hAnsi="Arial" w:cs="Arial"/>
          <w:color w:val="000000"/>
          <w:sz w:val="18"/>
        </w:rPr>
        <w:t xml:space="preserve">930 F.3d at 835 (quoting </w:t>
      </w:r>
      <w:bookmarkStart w:id="3317" w:name="Bookmark_I66K8CDF2D6NDT0020000400"/>
      <w:bookmarkEnd w:id="3317"/>
      <w:r>
        <w:rPr>
          <w:rFonts w:ascii="Arial" w:eastAsia="Arial" w:hAnsi="Arial" w:cs="Arial"/>
          <w:color w:val="000000"/>
          <w:sz w:val="18"/>
          <w:u w:val="single"/>
        </w:rPr>
        <w:t>Spokeo</w:t>
      </w:r>
      <w:r>
        <w:rPr>
          <w:rFonts w:ascii="Arial" w:eastAsia="Arial" w:hAnsi="Arial" w:cs="Arial"/>
          <w:color w:val="000000"/>
          <w:sz w:val="18"/>
        </w:rPr>
        <w:t>, 578 U.S. at 341).</w:t>
      </w:r>
    </w:p>
  </w:footnote>
  <w:footnote w:id="68">
    <w:p w:rsidR="00022B47" w:rsidRDefault="00000000">
      <w:pPr>
        <w:pStyle w:val="Normal17"/>
        <w:widowControl w:val="0"/>
        <w:spacing w:before="200" w:line="240" w:lineRule="atLeast"/>
        <w:jc w:val="both"/>
      </w:pPr>
      <w:r>
        <w:rPr>
          <w:rFonts w:ascii="Arial" w:eastAsia="Arial" w:hAnsi="Arial" w:cs="Arial"/>
          <w:color w:val="000000"/>
          <w:sz w:val="18"/>
          <w:vertAlign w:val="superscript"/>
        </w:rPr>
        <w:t>6 </w:t>
      </w:r>
      <w:bookmarkStart w:id="3384" w:name="Bookmark_fnpara_6_3"/>
      <w:bookmarkStart w:id="3385" w:name="Bookmark_I66K8CDG2N1RMR0020000400"/>
      <w:bookmarkStart w:id="3386" w:name="Bookmark_I66K8CDG2N1RMR0040000400"/>
      <w:bookmarkEnd w:id="3384"/>
      <w:bookmarkEnd w:id="3385"/>
      <w:bookmarkEnd w:id="3386"/>
      <w:r>
        <w:rPr>
          <w:rFonts w:ascii="Arial" w:eastAsia="Arial" w:hAnsi="Arial" w:cs="Arial"/>
          <w:color w:val="000000"/>
          <w:sz w:val="18"/>
        </w:rPr>
        <w:t xml:space="preserve">Reinforcing our view that </w:t>
      </w:r>
      <w:bookmarkStart w:id="3387" w:name="Bookmark_I66K8CDG2N1RMR0010000400"/>
      <w:bookmarkEnd w:id="3387"/>
      <w:r>
        <w:rPr>
          <w:rFonts w:ascii="Arial" w:eastAsia="Arial" w:hAnsi="Arial" w:cs="Arial"/>
          <w:color w:val="000000"/>
          <w:sz w:val="18"/>
          <w:u w:val="single"/>
        </w:rPr>
        <w:t>Havens Realty</w:t>
      </w:r>
      <w:r>
        <w:rPr>
          <w:rFonts w:ascii="Arial" w:eastAsia="Arial" w:hAnsi="Arial" w:cs="Arial"/>
          <w:color w:val="000000"/>
          <w:sz w:val="18"/>
        </w:rPr>
        <w:t xml:space="preserve"> can be relied on here is that other cases exist where the Court compared the ADA with the FHA or Title VII (two other of the nation's most important antidiscrimination regimes) to guide a decision under one of those statutory schemes. </w:t>
      </w:r>
      <w:r>
        <w:rPr>
          <w:rFonts w:ascii="Arial" w:eastAsia="Arial" w:hAnsi="Arial" w:cs="Arial"/>
          <w:color w:val="000000"/>
          <w:sz w:val="18"/>
          <w:u w:val="single"/>
        </w:rPr>
        <w:t xml:space="preserve">See, e.g., </w:t>
      </w:r>
      <w:bookmarkStart w:id="3388" w:name="Bookmark_I66K8CDG2N1RMR0030000400"/>
      <w:bookmarkEnd w:id="3388"/>
      <w:r>
        <w:rPr>
          <w:rFonts w:ascii="Arial" w:eastAsia="Arial" w:hAnsi="Arial" w:cs="Arial"/>
          <w:color w:val="000000"/>
          <w:sz w:val="18"/>
          <w:u w:val="single"/>
        </w:rPr>
        <w:t>Bragdon v. Abbott</w:t>
      </w:r>
      <w:r>
        <w:rPr>
          <w:rFonts w:ascii="Arial" w:eastAsia="Arial" w:hAnsi="Arial" w:cs="Arial"/>
          <w:color w:val="000000"/>
          <w:sz w:val="18"/>
        </w:rPr>
        <w:t xml:space="preserve">, 524 U.S. 624, 631, 118 S. Ct. 2196, 141 L. Ed. 2d 540 (1998) (looking to the definition of "handicap" in the Fair Housing Amendments Act and its interpretation by other courts for guidance in interpreting the "ADA's definition of disability"); </w:t>
      </w:r>
      <w:bookmarkStart w:id="3389" w:name="Bookmark_I66K8CDG2N1RMR0050000400"/>
      <w:bookmarkEnd w:id="3389"/>
      <w:r>
        <w:rPr>
          <w:rFonts w:ascii="Arial" w:eastAsia="Arial" w:hAnsi="Arial" w:cs="Arial"/>
          <w:color w:val="000000"/>
          <w:sz w:val="18"/>
          <w:u w:val="single"/>
        </w:rPr>
        <w:t>Buckhannon Bd. &amp; Care Home, Inc. v. W. Va. Dep't of Health &amp; Hum. Servs.</w:t>
      </w:r>
      <w:r>
        <w:rPr>
          <w:rFonts w:ascii="Arial" w:eastAsia="Arial" w:hAnsi="Arial" w:cs="Arial"/>
          <w:color w:val="000000"/>
          <w:sz w:val="18"/>
        </w:rPr>
        <w:t xml:space="preserve">, 532 U.S. 598, 610, 121 S. Ct. 1835, 149 L. Ed. 2d 855 (2001) (in a case brought under both the ADA and the Fair Housing Amendments Act, interpreting in parallel the definition of "prevailing party" in the attorney fees provisions of both statutes); </w:t>
      </w:r>
      <w:bookmarkStart w:id="3390" w:name="Bookmark_I66K8CDG2N1RMT0020000400"/>
      <w:bookmarkEnd w:id="3390"/>
      <w:r>
        <w:rPr>
          <w:rFonts w:ascii="Arial" w:eastAsia="Arial" w:hAnsi="Arial" w:cs="Arial"/>
          <w:color w:val="000000"/>
          <w:sz w:val="18"/>
          <w:u w:val="single"/>
        </w:rPr>
        <w:t>Univ. of Tex. Sw. Med. Ctr. v. Nassar</w:t>
      </w:r>
      <w:r>
        <w:rPr>
          <w:rFonts w:ascii="Arial" w:eastAsia="Arial" w:hAnsi="Arial" w:cs="Arial"/>
          <w:color w:val="000000"/>
          <w:sz w:val="18"/>
        </w:rPr>
        <w:t>, 570 U.S. 338, 357, 133 S. Ct. 2517, 186 L. Ed. 2d 503 (2013) (in a Title VII case, contrasting the direct discussion of workplace retaliation in the ADA with the absence of similar "clear textual terms" in Title VII).</w:t>
      </w:r>
    </w:p>
  </w:footnote>
  <w:footnote w:id="69">
    <w:p w:rsidR="00022B47" w:rsidRDefault="00000000">
      <w:pPr>
        <w:pStyle w:val="Normal17"/>
        <w:widowControl w:val="0"/>
        <w:spacing w:before="200" w:line="240" w:lineRule="atLeast"/>
        <w:jc w:val="both"/>
      </w:pPr>
      <w:r>
        <w:rPr>
          <w:rFonts w:ascii="Arial" w:eastAsia="Arial" w:hAnsi="Arial" w:cs="Arial"/>
          <w:color w:val="000000"/>
          <w:sz w:val="18"/>
          <w:vertAlign w:val="superscript"/>
        </w:rPr>
        <w:t>7 </w:t>
      </w:r>
      <w:bookmarkStart w:id="3478" w:name="Bookmark_fnpara_7_3"/>
      <w:bookmarkStart w:id="3479" w:name="Bookmark_I66K8CDH28T4X40040000400"/>
      <w:bookmarkEnd w:id="3478"/>
      <w:bookmarkEnd w:id="3479"/>
      <w:r>
        <w:rPr>
          <w:rFonts w:ascii="Arial" w:eastAsia="Arial" w:hAnsi="Arial" w:cs="Arial"/>
          <w:color w:val="000000"/>
          <w:sz w:val="18"/>
        </w:rPr>
        <w:t xml:space="preserve">To be clear, Laufer's complaint seeks only declaratory and injunctive relief, as well as attorney's fees and costs. It does not seek damages for past violations. </w:t>
      </w:r>
      <w:bookmarkStart w:id="3480" w:name="Bookmark_LNHNREFclscc25"/>
      <w:bookmarkEnd w:id="3480"/>
      <w:r>
        <w:rPr>
          <w:rFonts w:ascii="Arial" w:eastAsia="Arial" w:hAnsi="Arial" w:cs="Arial"/>
          <w:color w:val="000000"/>
          <w:sz w:val="18"/>
        </w:rPr>
        <w:t xml:space="preserve">Damages are not an available remedy for private suits under Title III of the ADA. </w:t>
      </w:r>
      <w:r>
        <w:rPr>
          <w:rFonts w:ascii="Arial" w:eastAsia="Arial" w:hAnsi="Arial" w:cs="Arial"/>
          <w:color w:val="000000"/>
          <w:sz w:val="18"/>
          <w:u w:val="single"/>
        </w:rPr>
        <w:t>See</w:t>
      </w:r>
      <w:r>
        <w:rPr>
          <w:rFonts w:ascii="Arial" w:eastAsia="Arial" w:hAnsi="Arial" w:cs="Arial"/>
          <w:color w:val="000000"/>
          <w:sz w:val="18"/>
        </w:rPr>
        <w:t xml:space="preserve"> 42 U.S.C. § 12188(a)(1); 28 C.F.R. § 36.501(a); </w:t>
      </w:r>
      <w:r>
        <w:rPr>
          <w:rFonts w:ascii="Arial" w:eastAsia="Arial" w:hAnsi="Arial" w:cs="Arial"/>
          <w:color w:val="000000"/>
          <w:sz w:val="18"/>
          <w:u w:val="single"/>
        </w:rPr>
        <w:t xml:space="preserve">see also </w:t>
      </w:r>
      <w:bookmarkStart w:id="3481" w:name="Bookmark_I66K8CDH28T4X40030000400"/>
      <w:bookmarkEnd w:id="3481"/>
      <w:r>
        <w:rPr>
          <w:rFonts w:ascii="Arial" w:eastAsia="Arial" w:hAnsi="Arial" w:cs="Arial"/>
          <w:color w:val="000000"/>
          <w:sz w:val="18"/>
          <w:u w:val="single"/>
        </w:rPr>
        <w:t>G. v. Fay Sch.</w:t>
      </w:r>
      <w:r>
        <w:rPr>
          <w:rFonts w:ascii="Arial" w:eastAsia="Arial" w:hAnsi="Arial" w:cs="Arial"/>
          <w:color w:val="000000"/>
          <w:sz w:val="18"/>
        </w:rPr>
        <w:t>, 931 F.3d 1, 9 (1st Cir. 2019).</w:t>
      </w:r>
    </w:p>
  </w:footnote>
  <w:footnote w:id="70">
    <w:p w:rsidR="00022B47" w:rsidRDefault="00000000">
      <w:pPr>
        <w:pStyle w:val="Normal17"/>
        <w:widowControl w:val="0"/>
        <w:spacing w:before="120" w:line="240" w:lineRule="atLeast"/>
        <w:jc w:val="both"/>
      </w:pPr>
      <w:r>
        <w:rPr>
          <w:rFonts w:ascii="Arial" w:eastAsia="Arial" w:hAnsi="Arial" w:cs="Arial"/>
          <w:color w:val="000000"/>
          <w:sz w:val="18"/>
          <w:vertAlign w:val="superscript"/>
        </w:rPr>
        <w:t>8 </w:t>
      </w:r>
      <w:bookmarkStart w:id="3522" w:name="Bookmark_fnpara_8_3"/>
      <w:bookmarkEnd w:id="3522"/>
      <w:r>
        <w:rPr>
          <w:rFonts w:ascii="Arial" w:eastAsia="Arial" w:hAnsi="Arial" w:cs="Arial"/>
          <w:color w:val="000000"/>
          <w:sz w:val="18"/>
        </w:rPr>
        <w:t>Judge Howard agrees that the complaint adequately alleges standing for declaratory relief, but he is doubtful that it sufficiently alleges standing to pursue injunctive relief.</w:t>
      </w:r>
    </w:p>
  </w:footnote>
  <w:footnote w:id="71">
    <w:p w:rsidR="00022B47" w:rsidRDefault="00000000">
      <w:pPr>
        <w:pStyle w:val="Normal17"/>
        <w:widowControl w:val="0"/>
        <w:spacing w:before="200" w:line="240" w:lineRule="atLeast"/>
        <w:jc w:val="both"/>
      </w:pPr>
      <w:r>
        <w:rPr>
          <w:rFonts w:ascii="Arial" w:eastAsia="Arial" w:hAnsi="Arial" w:cs="Arial"/>
          <w:color w:val="000000"/>
          <w:sz w:val="18"/>
          <w:vertAlign w:val="superscript"/>
        </w:rPr>
        <w:t>9 </w:t>
      </w:r>
      <w:bookmarkStart w:id="3555" w:name="Bookmark_fnpara_9_2"/>
      <w:bookmarkEnd w:id="3555"/>
      <w:r>
        <w:rPr>
          <w:rFonts w:ascii="Arial" w:eastAsia="Arial" w:hAnsi="Arial" w:cs="Arial"/>
          <w:color w:val="000000"/>
          <w:sz w:val="18"/>
        </w:rPr>
        <w:t xml:space="preserve">Given our conclusion, we need not decide at this point whether the changes to Acheson's own website in response to this litigation would be sufficient to moot the case in the absence of the allegations concerning unremediated third-party websites. </w:t>
      </w:r>
      <w:r>
        <w:rPr>
          <w:rFonts w:ascii="Arial" w:eastAsia="Arial" w:hAnsi="Arial" w:cs="Arial"/>
          <w:color w:val="000000"/>
          <w:sz w:val="18"/>
          <w:u w:val="single"/>
        </w:rPr>
        <w:t xml:space="preserve">See </w:t>
      </w:r>
      <w:bookmarkStart w:id="3556" w:name="Bookmark_I66K8CDK2HM6VN0050000400"/>
      <w:bookmarkEnd w:id="3556"/>
      <w:r>
        <w:rPr>
          <w:rFonts w:ascii="Arial" w:eastAsia="Arial" w:hAnsi="Arial" w:cs="Arial"/>
          <w:color w:val="000000"/>
          <w:sz w:val="18"/>
          <w:u w:val="single"/>
        </w:rPr>
        <w:t>Friends of the Earth</w:t>
      </w:r>
      <w:r>
        <w:rPr>
          <w:rFonts w:ascii="Arial" w:eastAsia="Arial" w:hAnsi="Arial" w:cs="Arial"/>
          <w:color w:val="000000"/>
          <w:sz w:val="18"/>
        </w:rPr>
        <w:t>, 528 U.S. at 189 ("[A] defendant's voluntary cessation of a challenged practice does not deprive a federal court of its power to determine the legality of the practice" unless it is "absolutely clear that the allegedly wrongful behavior could not reasonably be expected to recur." (citation and internal quotation marks omitted)).</w:t>
      </w:r>
    </w:p>
  </w:footnote>
  <w:footnote w:id="72">
    <w:p w:rsidR="00022B47" w:rsidRDefault="00000000">
      <w:pPr>
        <w:pStyle w:val="Normal18"/>
        <w:widowControl w:val="0"/>
        <w:spacing w:before="120" w:line="240" w:lineRule="atLeast"/>
        <w:jc w:val="both"/>
      </w:pPr>
      <w:r>
        <w:rPr>
          <w:rFonts w:ascii="Arial" w:eastAsia="Arial" w:hAnsi="Arial" w:cs="Arial"/>
          <w:color w:val="000000"/>
          <w:sz w:val="18"/>
          <w:vertAlign w:val="superscript"/>
        </w:rPr>
        <w:t>* </w:t>
      </w:r>
      <w:bookmarkStart w:id="3570" w:name="Bookmark_fnpara_1_12"/>
      <w:bookmarkEnd w:id="3570"/>
      <w:r>
        <w:rPr>
          <w:rFonts w:ascii="Arial" w:eastAsia="Arial" w:hAnsi="Arial" w:cs="Arial"/>
          <w:color w:val="000000"/>
          <w:sz w:val="18"/>
        </w:rPr>
        <w:t>This disposition is not an opinion of the full Court and pursuant to I.O.P. 5.7 does not constitute binding precedent.</w:t>
      </w:r>
    </w:p>
  </w:footnote>
  <w:footnote w:id="73">
    <w:p w:rsidR="00022B47" w:rsidRDefault="00000000">
      <w:pPr>
        <w:pStyle w:val="Normal18"/>
        <w:widowControl w:val="0"/>
        <w:spacing w:before="120" w:line="240" w:lineRule="atLeast"/>
        <w:jc w:val="both"/>
      </w:pPr>
      <w:r>
        <w:rPr>
          <w:rFonts w:ascii="Arial" w:eastAsia="Arial" w:hAnsi="Arial" w:cs="Arial"/>
          <w:color w:val="000000"/>
          <w:sz w:val="18"/>
          <w:vertAlign w:val="superscript"/>
        </w:rPr>
        <w:t>1 </w:t>
      </w:r>
      <w:bookmarkStart w:id="3573" w:name="Bookmark_fnpara_2_10"/>
      <w:bookmarkEnd w:id="3573"/>
      <w:r>
        <w:rPr>
          <w:rFonts w:ascii="Arial" w:eastAsia="Arial" w:hAnsi="Arial" w:cs="Arial"/>
          <w:color w:val="000000"/>
          <w:sz w:val="18"/>
        </w:rPr>
        <w:t>The District Court had federal question jurisdiction under 28 U.S.C. § 1331 and supplemental jurisdiction under 28 U.S.C. § 1367. We have appellate jurisdiction under 28 U.S.C. § 1291.</w:t>
      </w:r>
    </w:p>
  </w:footnote>
  <w:footnote w:id="74">
    <w:p w:rsidR="00022B47" w:rsidRDefault="00000000">
      <w:pPr>
        <w:pStyle w:val="Normal18"/>
        <w:widowControl w:val="0"/>
        <w:spacing w:before="120" w:line="240" w:lineRule="atLeast"/>
        <w:jc w:val="both"/>
      </w:pPr>
      <w:r>
        <w:rPr>
          <w:rFonts w:ascii="Arial" w:eastAsia="Arial" w:hAnsi="Arial" w:cs="Arial"/>
          <w:color w:val="000000"/>
          <w:sz w:val="18"/>
          <w:vertAlign w:val="superscript"/>
        </w:rPr>
        <w:t>2 </w:t>
      </w:r>
      <w:bookmarkStart w:id="3579" w:name="Bookmark_fnpara_3_8"/>
      <w:bookmarkEnd w:id="3579"/>
      <w:r>
        <w:rPr>
          <w:rFonts w:ascii="Arial" w:eastAsia="Arial" w:hAnsi="Arial" w:cs="Arial"/>
          <w:color w:val="000000"/>
          <w:sz w:val="18"/>
        </w:rPr>
        <w:t>Koslosky had, in yet another Facebook post, identified herself as an American employee.</w:t>
      </w:r>
    </w:p>
  </w:footnote>
  <w:footnote w:id="75">
    <w:p w:rsidR="00022B47" w:rsidRDefault="00000000">
      <w:pPr>
        <w:pStyle w:val="Normal18"/>
        <w:widowControl w:val="0"/>
        <w:spacing w:before="120" w:line="240" w:lineRule="atLeast"/>
        <w:jc w:val="both"/>
      </w:pPr>
      <w:r>
        <w:rPr>
          <w:rFonts w:ascii="Arial" w:eastAsia="Arial" w:hAnsi="Arial" w:cs="Arial"/>
          <w:color w:val="000000"/>
          <w:sz w:val="18"/>
          <w:vertAlign w:val="superscript"/>
        </w:rPr>
        <w:t>3 </w:t>
      </w:r>
      <w:bookmarkStart w:id="3581" w:name="Bookmark_fnpara_4_7"/>
      <w:bookmarkEnd w:id="3581"/>
      <w:r>
        <w:rPr>
          <w:rFonts w:ascii="Arial" w:eastAsia="Arial" w:hAnsi="Arial" w:cs="Arial"/>
          <w:color w:val="000000"/>
          <w:sz w:val="18"/>
        </w:rPr>
        <w:t>Koslosky has admitted she posted the offensive content.</w:t>
      </w:r>
    </w:p>
  </w:footnote>
  <w:footnote w:id="76">
    <w:p w:rsidR="00022B47" w:rsidRDefault="00000000">
      <w:pPr>
        <w:pStyle w:val="Normal19"/>
        <w:widowControl w:val="0"/>
        <w:spacing w:before="120" w:line="240" w:lineRule="atLeast"/>
        <w:jc w:val="both"/>
      </w:pPr>
      <w:r>
        <w:rPr>
          <w:rFonts w:ascii="Arial" w:eastAsia="Arial" w:hAnsi="Arial" w:cs="Arial"/>
          <w:color w:val="000000"/>
          <w:sz w:val="18"/>
          <w:vertAlign w:val="superscript"/>
        </w:rPr>
        <w:t>1 </w:t>
      </w:r>
      <w:bookmarkStart w:id="3646" w:name="Bookmark_fnpara_1_13"/>
      <w:bookmarkEnd w:id="3646"/>
      <w:r>
        <w:rPr>
          <w:rFonts w:ascii="Arial" w:eastAsia="Arial" w:hAnsi="Arial" w:cs="Arial"/>
          <w:color w:val="000000"/>
          <w:sz w:val="18"/>
        </w:rPr>
        <w:t>The Zoning Ordinance defines a "disability" as:</w:t>
      </w:r>
    </w:p>
    <w:p w:rsidR="00022B47" w:rsidRDefault="00000000">
      <w:pPr>
        <w:pStyle w:val="Normal19"/>
        <w:widowControl w:val="0"/>
        <w:spacing w:before="200" w:line="240" w:lineRule="atLeast"/>
        <w:ind w:left="400"/>
        <w:jc w:val="both"/>
      </w:pPr>
      <w:bookmarkStart w:id="3647" w:name="Bookmark_para_27_12"/>
      <w:bookmarkEnd w:id="3647"/>
      <w:r>
        <w:rPr>
          <w:rFonts w:ascii="Arial" w:eastAsia="Arial" w:hAnsi="Arial" w:cs="Arial"/>
          <w:color w:val="000000"/>
          <w:sz w:val="18"/>
        </w:rPr>
        <w:t>[a] physical or mental impairment that substantially limits one or more of an individual's major life activities, impairs an individual's ability to live independently, having a record of such an impairment, or being regarded as having such an impairment. People with disabilities do not include individuals who are currently using alcohol, illegal drugs, or using legal drugs to which they are addicted, [**11]  or individuals who constitute a direct threat to the health and safety of others."</w:t>
      </w:r>
    </w:p>
    <w:p w:rsidR="00022B47" w:rsidRDefault="00000000">
      <w:pPr>
        <w:pStyle w:val="Normal19"/>
        <w:widowControl w:val="0"/>
        <w:spacing w:before="120" w:line="240" w:lineRule="atLeast"/>
        <w:jc w:val="both"/>
      </w:pPr>
      <w:r>
        <w:rPr>
          <w:rFonts w:ascii="Arial" w:eastAsia="Arial" w:hAnsi="Arial" w:cs="Arial"/>
          <w:color w:val="000000"/>
          <w:sz w:val="18"/>
        </w:rPr>
        <w:t>Zoning Ordinance § 6.</w:t>
      </w:r>
    </w:p>
  </w:footnote>
  <w:footnote w:id="77">
    <w:p w:rsidR="00022B47" w:rsidRDefault="00000000">
      <w:pPr>
        <w:pStyle w:val="Normal19"/>
        <w:widowControl w:val="0"/>
        <w:spacing w:before="200" w:line="240" w:lineRule="atLeast"/>
        <w:jc w:val="both"/>
      </w:pPr>
      <w:r>
        <w:rPr>
          <w:rFonts w:ascii="Arial" w:eastAsia="Arial" w:hAnsi="Arial" w:cs="Arial"/>
          <w:color w:val="000000"/>
          <w:sz w:val="18"/>
          <w:vertAlign w:val="superscript"/>
        </w:rPr>
        <w:t>2 </w:t>
      </w:r>
      <w:bookmarkStart w:id="3724" w:name="Bookmark_fnpara_2_11"/>
      <w:bookmarkStart w:id="3725" w:name="Bookmark_I668RJN82SF8TS0020000400"/>
      <w:bookmarkEnd w:id="3724"/>
      <w:bookmarkEnd w:id="3725"/>
      <w:r>
        <w:rPr>
          <w:rFonts w:ascii="Arial" w:eastAsia="Arial" w:hAnsi="Arial" w:cs="Arial"/>
          <w:color w:val="000000"/>
          <w:sz w:val="18"/>
        </w:rPr>
        <w:t xml:space="preserve">It is worth noting that the ordinances in the cases from the Sixth, Ninth, and Tenth Circuits all treated the protected group less favorably. </w:t>
      </w:r>
      <w:bookmarkStart w:id="3726" w:name="Bookmark_I668RJN82HM6DR0030000400"/>
      <w:bookmarkEnd w:id="3726"/>
      <w:r>
        <w:rPr>
          <w:rFonts w:ascii="Arial" w:eastAsia="Arial" w:hAnsi="Arial" w:cs="Arial"/>
          <w:i/>
          <w:color w:val="000000"/>
          <w:sz w:val="18"/>
        </w:rPr>
        <w:t xml:space="preserve">See </w:t>
      </w:r>
      <w:bookmarkStart w:id="3727" w:name="Bookmark_I668RJN82SF8TS0010000400"/>
      <w:bookmarkEnd w:id="3727"/>
      <w:r>
        <w:rPr>
          <w:rFonts w:ascii="Arial" w:eastAsia="Arial" w:hAnsi="Arial" w:cs="Arial"/>
          <w:i/>
          <w:color w:val="000000"/>
          <w:sz w:val="18"/>
        </w:rPr>
        <w:t>Cmty. House</w:t>
      </w:r>
      <w:r>
        <w:rPr>
          <w:rFonts w:ascii="Arial" w:eastAsia="Arial" w:hAnsi="Arial" w:cs="Arial"/>
          <w:color w:val="000000"/>
          <w:sz w:val="18"/>
        </w:rPr>
        <w:t xml:space="preserve">, 490 F.3d at 1046 (segregating men and women at a homeless shelter); </w:t>
      </w:r>
      <w:bookmarkStart w:id="3728" w:name="Bookmark_I668RJN82SF8TS0030000400"/>
      <w:bookmarkEnd w:id="3728"/>
      <w:r>
        <w:rPr>
          <w:rFonts w:ascii="Arial" w:eastAsia="Arial" w:hAnsi="Arial" w:cs="Arial"/>
          <w:i/>
          <w:color w:val="000000"/>
          <w:sz w:val="18"/>
        </w:rPr>
        <w:t>Larkin</w:t>
      </w:r>
      <w:r>
        <w:rPr>
          <w:rFonts w:ascii="Arial" w:eastAsia="Arial" w:hAnsi="Arial" w:cs="Arial"/>
          <w:color w:val="000000"/>
          <w:sz w:val="18"/>
        </w:rPr>
        <w:t xml:space="preserve">, 89 F.3d at 289-91 (spacing requirement applied only to housing for individuals with disabilities, but provided no corresponding benefit); </w:t>
      </w:r>
      <w:bookmarkStart w:id="3729" w:name="Bookmark_I668RJN82SF8TS0050000400"/>
      <w:bookmarkEnd w:id="3729"/>
      <w:r>
        <w:rPr>
          <w:rFonts w:ascii="Arial" w:eastAsia="Arial" w:hAnsi="Arial" w:cs="Arial"/>
          <w:i/>
          <w:color w:val="000000"/>
          <w:sz w:val="18"/>
        </w:rPr>
        <w:t>Bangerter</w:t>
      </w:r>
      <w:r>
        <w:rPr>
          <w:rFonts w:ascii="Arial" w:eastAsia="Arial" w:hAnsi="Arial" w:cs="Arial"/>
          <w:color w:val="000000"/>
          <w:sz w:val="18"/>
        </w:rPr>
        <w:t xml:space="preserve">, 46 F.3d at 1502 (24-hour supervision requirement applied only to disabled residents in group homes and not non-disabled residents of other group homes). Only the Eighth Circuit reached step two after concluding the plaintiffs were treated more favorably. </w:t>
      </w:r>
      <w:bookmarkStart w:id="3730" w:name="Bookmark_I668RJN82HM6DR0030000400_2"/>
      <w:bookmarkEnd w:id="3730"/>
      <w:r>
        <w:rPr>
          <w:rFonts w:ascii="Arial" w:eastAsia="Arial" w:hAnsi="Arial" w:cs="Arial"/>
          <w:i/>
          <w:color w:val="000000"/>
          <w:sz w:val="18"/>
        </w:rPr>
        <w:t xml:space="preserve">See </w:t>
      </w:r>
      <w:bookmarkStart w:id="3731" w:name="Bookmark_I668RJN82HM6DR0020000400"/>
      <w:bookmarkEnd w:id="3731"/>
      <w:r>
        <w:rPr>
          <w:rFonts w:ascii="Arial" w:eastAsia="Arial" w:hAnsi="Arial" w:cs="Arial"/>
          <w:i/>
          <w:color w:val="000000"/>
          <w:sz w:val="18"/>
        </w:rPr>
        <w:t>Oxford House-C</w:t>
      </w:r>
      <w:r>
        <w:rPr>
          <w:rFonts w:ascii="Arial" w:eastAsia="Arial" w:hAnsi="Arial" w:cs="Arial"/>
          <w:color w:val="000000"/>
          <w:sz w:val="18"/>
        </w:rPr>
        <w:t xml:space="preserve">, 77 F.3d at 251-52 (City of St. Louis code capped group homes for disabled people in single-family zones at eight people, but allowed only three unrelated, </w:t>
      </w:r>
      <w:r>
        <w:rPr>
          <w:rFonts w:ascii="Arial" w:eastAsia="Arial" w:hAnsi="Arial" w:cs="Arial"/>
          <w:i/>
          <w:color w:val="000000"/>
          <w:sz w:val="18"/>
        </w:rPr>
        <w:t>non-disabled</w:t>
      </w:r>
      <w:r>
        <w:rPr>
          <w:rFonts w:ascii="Arial" w:eastAsia="Arial" w:hAnsi="Arial" w:cs="Arial"/>
          <w:color w:val="000000"/>
          <w:sz w:val="18"/>
        </w:rPr>
        <w:t xml:space="preserve"> people to reside together in a single-family zone).</w:t>
      </w:r>
    </w:p>
  </w:footnote>
  <w:footnote w:id="78">
    <w:p w:rsidR="00022B47" w:rsidRDefault="00000000">
      <w:pPr>
        <w:pStyle w:val="Normal19"/>
        <w:widowControl w:val="0"/>
        <w:spacing w:before="200" w:line="240" w:lineRule="atLeast"/>
        <w:jc w:val="both"/>
      </w:pPr>
      <w:r>
        <w:rPr>
          <w:rFonts w:ascii="Arial" w:eastAsia="Arial" w:hAnsi="Arial" w:cs="Arial"/>
          <w:color w:val="000000"/>
          <w:sz w:val="18"/>
          <w:vertAlign w:val="superscript"/>
        </w:rPr>
        <w:t>3 </w:t>
      </w:r>
      <w:bookmarkStart w:id="3763" w:name="Bookmark_fnpara_3_9"/>
      <w:bookmarkEnd w:id="3763"/>
      <w:r>
        <w:rPr>
          <w:rFonts w:ascii="Arial" w:eastAsia="Arial" w:hAnsi="Arial" w:cs="Arial"/>
          <w:color w:val="000000"/>
          <w:sz w:val="18"/>
        </w:rPr>
        <w:t xml:space="preserve">In </w:t>
      </w:r>
      <w:bookmarkStart w:id="3764" w:name="Bookmark_I668RJN92N1R8F0040000400"/>
      <w:bookmarkEnd w:id="3764"/>
      <w:r>
        <w:rPr>
          <w:rFonts w:ascii="Arial" w:eastAsia="Arial" w:hAnsi="Arial" w:cs="Arial"/>
          <w:i/>
          <w:color w:val="000000"/>
          <w:sz w:val="18"/>
        </w:rPr>
        <w:t>Bonner v. City of Prichard</w:t>
      </w:r>
      <w:r>
        <w:rPr>
          <w:rFonts w:ascii="Arial" w:eastAsia="Arial" w:hAnsi="Arial" w:cs="Arial"/>
          <w:color w:val="000000"/>
          <w:sz w:val="18"/>
        </w:rPr>
        <w:t>, 661 F.2d 1206, 1209 (11th Cir. 1981) (en banc), we adopted as binding precedent all decisions of the former Fifth Circuit handed down prior to October 1, 1981.</w:t>
      </w:r>
    </w:p>
  </w:footnote>
  <w:footnote w:id="79">
    <w:p w:rsidR="00022B47" w:rsidRDefault="00000000">
      <w:pPr>
        <w:pStyle w:val="Normal20"/>
        <w:widowControl w:val="0"/>
        <w:spacing w:before="200" w:line="240" w:lineRule="atLeast"/>
        <w:jc w:val="both"/>
      </w:pPr>
      <w:r>
        <w:rPr>
          <w:rFonts w:ascii="Arial" w:eastAsia="Arial" w:hAnsi="Arial" w:cs="Arial"/>
          <w:color w:val="000000"/>
          <w:sz w:val="18"/>
          <w:vertAlign w:val="superscript"/>
        </w:rPr>
        <w:t>* </w:t>
      </w:r>
      <w:bookmarkStart w:id="3872" w:name="Bookmark_fnpara_1_14"/>
      <w:bookmarkEnd w:id="3872"/>
      <w:r>
        <w:rPr>
          <w:rFonts w:ascii="Arial" w:eastAsia="Arial" w:hAnsi="Arial" w:cs="Arial"/>
          <w:color w:val="000000"/>
          <w:sz w:val="18"/>
        </w:rPr>
        <w:t>Pursuant to 5</w:t>
      </w:r>
      <w:r>
        <w:rPr>
          <w:rFonts w:ascii="Arial" w:eastAsia="Arial" w:hAnsi="Arial" w:cs="Arial"/>
          <w:smallCaps/>
          <w:color w:val="000000"/>
          <w:sz w:val="18"/>
        </w:rPr>
        <w:t>Th Circuit Rule</w:t>
      </w:r>
      <w:r>
        <w:rPr>
          <w:rFonts w:ascii="Arial" w:eastAsia="Arial" w:hAnsi="Arial" w:cs="Arial"/>
          <w:color w:val="000000"/>
          <w:sz w:val="18"/>
        </w:rPr>
        <w:t xml:space="preserve"> 47.5, the court has determined that this opinion should not be published and is not precedent except under the limited circumstances set forth in 5</w:t>
      </w:r>
      <w:r>
        <w:rPr>
          <w:rFonts w:ascii="Arial" w:eastAsia="Arial" w:hAnsi="Arial" w:cs="Arial"/>
          <w:smallCaps/>
          <w:color w:val="000000"/>
          <w:sz w:val="18"/>
        </w:rPr>
        <w:t>Th Circuit Rule</w:t>
      </w:r>
      <w:r>
        <w:rPr>
          <w:rFonts w:ascii="Arial" w:eastAsia="Arial" w:hAnsi="Arial" w:cs="Arial"/>
          <w:color w:val="000000"/>
          <w:sz w:val="18"/>
        </w:rPr>
        <w:t xml:space="preserve"> 47.5.4.</w:t>
      </w:r>
    </w:p>
  </w:footnote>
  <w:footnote w:id="80">
    <w:p w:rsidR="00022B47" w:rsidRDefault="00000000">
      <w:pPr>
        <w:pStyle w:val="Normal20"/>
        <w:widowControl w:val="0"/>
        <w:spacing w:before="120" w:line="240" w:lineRule="atLeast"/>
        <w:jc w:val="both"/>
      </w:pPr>
      <w:r>
        <w:rPr>
          <w:rFonts w:ascii="Arial" w:eastAsia="Arial" w:hAnsi="Arial" w:cs="Arial"/>
          <w:color w:val="000000"/>
          <w:sz w:val="18"/>
          <w:vertAlign w:val="superscript"/>
        </w:rPr>
        <w:t>1 </w:t>
      </w:r>
      <w:bookmarkStart w:id="3876" w:name="Bookmark_fnpara_2_12"/>
      <w:bookmarkEnd w:id="3876"/>
      <w:r>
        <w:rPr>
          <w:rFonts w:ascii="Arial" w:eastAsia="Arial" w:hAnsi="Arial" w:cs="Arial"/>
          <w:color w:val="000000"/>
          <w:sz w:val="18"/>
        </w:rPr>
        <w:t>There were also seven to ten other technicians located throughout Texas and five "float" technicians, who filled in as needed for regionally based technicians.</w:t>
      </w:r>
    </w:p>
  </w:footnote>
  <w:footnote w:id="81">
    <w:p w:rsidR="00022B47" w:rsidRDefault="00000000">
      <w:pPr>
        <w:pStyle w:val="Normal20"/>
        <w:widowControl w:val="0"/>
        <w:spacing w:before="120" w:line="240" w:lineRule="atLeast"/>
        <w:jc w:val="both"/>
      </w:pPr>
      <w:r>
        <w:rPr>
          <w:rFonts w:ascii="Arial" w:eastAsia="Arial" w:hAnsi="Arial" w:cs="Arial"/>
          <w:color w:val="000000"/>
          <w:sz w:val="18"/>
          <w:vertAlign w:val="superscript"/>
        </w:rPr>
        <w:t>2 </w:t>
      </w:r>
      <w:bookmarkStart w:id="3937" w:name="Bookmark_fnpara_3_10"/>
      <w:bookmarkEnd w:id="3937"/>
      <w:r>
        <w:rPr>
          <w:rFonts w:ascii="Arial" w:eastAsia="Arial" w:hAnsi="Arial" w:cs="Arial"/>
          <w:color w:val="000000"/>
          <w:sz w:val="18"/>
        </w:rPr>
        <w:t>Galloway's restriction is 25 pounds, which is more than stated in the job description. The fact that CD may have later changed the job description to include "the ability to bend and lift 50 pounds" is irrelevant because that was not the description for Galloway's position.</w:t>
      </w:r>
    </w:p>
  </w:footnote>
  <w:footnote w:id="82">
    <w:p w:rsidR="00022B47" w:rsidRDefault="00000000">
      <w:pPr>
        <w:pStyle w:val="Normal20"/>
        <w:widowControl w:val="0"/>
        <w:spacing w:before="120" w:line="240" w:lineRule="atLeast"/>
        <w:jc w:val="both"/>
      </w:pPr>
      <w:r>
        <w:rPr>
          <w:rFonts w:ascii="Arial" w:eastAsia="Arial" w:hAnsi="Arial" w:cs="Arial"/>
          <w:color w:val="000000"/>
          <w:sz w:val="18"/>
          <w:vertAlign w:val="superscript"/>
        </w:rPr>
        <w:t>3 </w:t>
      </w:r>
      <w:bookmarkStart w:id="3949" w:name="Bookmark_fnpara_4_8"/>
      <w:bookmarkEnd w:id="3949"/>
      <w:r>
        <w:rPr>
          <w:rFonts w:ascii="Arial" w:eastAsia="Arial" w:hAnsi="Arial" w:cs="Arial"/>
          <w:color w:val="000000"/>
          <w:sz w:val="18"/>
        </w:rPr>
        <w:t>The district court does not explain why others would have to be hired when CD already has employees who serve the function of filling in for others.</w:t>
      </w:r>
    </w:p>
  </w:footnote>
  <w:footnote w:id="83">
    <w:p w:rsidR="00022B47" w:rsidRDefault="00000000">
      <w:pPr>
        <w:pStyle w:val="Normal20"/>
        <w:widowControl w:val="0"/>
        <w:spacing w:before="200" w:line="240" w:lineRule="atLeast"/>
        <w:jc w:val="both"/>
      </w:pPr>
      <w:r>
        <w:rPr>
          <w:rFonts w:ascii="Arial" w:eastAsia="Arial" w:hAnsi="Arial" w:cs="Arial"/>
          <w:color w:val="000000"/>
          <w:sz w:val="18"/>
          <w:vertAlign w:val="superscript"/>
        </w:rPr>
        <w:t>4 </w:t>
      </w:r>
      <w:bookmarkStart w:id="3960" w:name="Bookmark_fnpara_5_6"/>
      <w:bookmarkEnd w:id="3960"/>
      <w:r>
        <w:rPr>
          <w:rFonts w:ascii="Arial" w:eastAsia="Arial" w:hAnsi="Arial" w:cs="Arial"/>
          <w:color w:val="000000"/>
          <w:sz w:val="18"/>
        </w:rPr>
        <w:t xml:space="preserve">In doing so, we find it unnecessary to address whether the district court abused its discretion in curtailing discovery. Also, because this matter does not meet "extraordinary" level required for reassignment, we decline to reassign at this time. </w:t>
      </w:r>
      <w:r>
        <w:rPr>
          <w:rFonts w:ascii="Arial" w:eastAsia="Arial" w:hAnsi="Arial" w:cs="Arial"/>
          <w:i/>
          <w:color w:val="000000"/>
          <w:sz w:val="18"/>
        </w:rPr>
        <w:t xml:space="preserve">See </w:t>
      </w:r>
      <w:bookmarkStart w:id="3961" w:name="Bookmark_I668RJ802HM69J0030000400"/>
      <w:bookmarkEnd w:id="3961"/>
      <w:r>
        <w:rPr>
          <w:rFonts w:ascii="Arial" w:eastAsia="Arial" w:hAnsi="Arial" w:cs="Arial"/>
          <w:i/>
          <w:color w:val="000000"/>
          <w:sz w:val="18"/>
        </w:rPr>
        <w:t>Johnson v. Sawyer</w:t>
      </w:r>
      <w:r>
        <w:rPr>
          <w:rFonts w:ascii="Arial" w:eastAsia="Arial" w:hAnsi="Arial" w:cs="Arial"/>
          <w:color w:val="000000"/>
          <w:sz w:val="18"/>
        </w:rPr>
        <w:t>, 120 F.3d 1307, 1333 (5th Cir. 1997).</w:t>
      </w:r>
    </w:p>
  </w:footnote>
  <w:footnote w:id="84">
    <w:p w:rsidR="00022B47" w:rsidRDefault="00000000">
      <w:pPr>
        <w:pStyle w:val="Normal21"/>
        <w:widowControl w:val="0"/>
        <w:spacing w:before="200" w:line="240" w:lineRule="atLeast"/>
        <w:jc w:val="both"/>
      </w:pPr>
      <w:r>
        <w:rPr>
          <w:rFonts w:ascii="Arial" w:eastAsia="Arial" w:hAnsi="Arial" w:cs="Arial"/>
          <w:color w:val="000000"/>
          <w:sz w:val="18"/>
          <w:vertAlign w:val="superscript"/>
        </w:rPr>
        <w:t>1 </w:t>
      </w:r>
      <w:bookmarkStart w:id="3974" w:name="Bookmark_fnpara_1_15"/>
      <w:bookmarkStart w:id="3975" w:name="Bookmark_LNHNREFclscc1_18"/>
      <w:bookmarkEnd w:id="3974"/>
      <w:bookmarkEnd w:id="3975"/>
      <w:r>
        <w:rPr>
          <w:rFonts w:ascii="Arial" w:eastAsia="Arial" w:hAnsi="Arial" w:cs="Arial"/>
          <w:color w:val="000000"/>
          <w:sz w:val="18"/>
        </w:rPr>
        <w:t xml:space="preserve">We accept as true all factual allegations in the complaint as this case was dismissed at the pleadings stage. </w:t>
      </w:r>
      <w:bookmarkStart w:id="3976" w:name="Bookmark_I6677RT82N1R2T0010000400"/>
      <w:bookmarkEnd w:id="3976"/>
      <w:r>
        <w:rPr>
          <w:rFonts w:ascii="Arial" w:eastAsia="Arial" w:hAnsi="Arial" w:cs="Arial"/>
          <w:i/>
          <w:color w:val="000000"/>
          <w:sz w:val="18"/>
        </w:rPr>
        <w:t>Leatherman v. Tarrant Cnty. Narcotics Intel. &amp; Coordination Unit</w:t>
      </w:r>
      <w:r>
        <w:rPr>
          <w:rFonts w:ascii="Arial" w:eastAsia="Arial" w:hAnsi="Arial" w:cs="Arial"/>
          <w:color w:val="000000"/>
          <w:sz w:val="18"/>
        </w:rPr>
        <w:t>, 507 U.S. 163, 164, 113 S. Ct. 1160, 122 L. Ed. 2d 517 (1993).</w:t>
      </w:r>
    </w:p>
  </w:footnote>
  <w:footnote w:id="85">
    <w:p w:rsidR="00022B47" w:rsidRDefault="00000000">
      <w:pPr>
        <w:pStyle w:val="Normal21"/>
        <w:widowControl w:val="0"/>
        <w:spacing w:before="120" w:line="240" w:lineRule="atLeast"/>
        <w:jc w:val="both"/>
      </w:pPr>
      <w:r>
        <w:rPr>
          <w:rFonts w:ascii="Arial" w:eastAsia="Arial" w:hAnsi="Arial" w:cs="Arial"/>
          <w:color w:val="000000"/>
          <w:sz w:val="18"/>
          <w:vertAlign w:val="superscript"/>
        </w:rPr>
        <w:t>2 </w:t>
      </w:r>
      <w:bookmarkStart w:id="3981" w:name="Bookmark_fnpara_2_13"/>
      <w:bookmarkEnd w:id="3981"/>
      <w:r>
        <w:rPr>
          <w:rFonts w:ascii="Arial" w:eastAsia="Arial" w:hAnsi="Arial" w:cs="Arial"/>
          <w:color w:val="000000"/>
          <w:sz w:val="18"/>
        </w:rPr>
        <w:t>Luke also sued Lee County judges in their official capacity, but the district court dismissed those claims as redundant of the ones against the county.</w:t>
      </w:r>
    </w:p>
  </w:footnote>
  <w:footnote w:id="86">
    <w:p w:rsidR="00022B47" w:rsidRDefault="00000000">
      <w:pPr>
        <w:pStyle w:val="Normal21"/>
        <w:widowControl w:val="0"/>
        <w:spacing w:before="200" w:line="240" w:lineRule="atLeast"/>
        <w:jc w:val="both"/>
      </w:pPr>
      <w:r>
        <w:rPr>
          <w:rFonts w:ascii="Arial" w:eastAsia="Arial" w:hAnsi="Arial" w:cs="Arial"/>
          <w:color w:val="000000"/>
          <w:sz w:val="18"/>
          <w:vertAlign w:val="superscript"/>
        </w:rPr>
        <w:t>3 </w:t>
      </w:r>
      <w:bookmarkStart w:id="4007" w:name="Bookmark_fnpara_3_11"/>
      <w:bookmarkStart w:id="4008" w:name="Bookmark_I6677RTC28T49Y0020000400"/>
      <w:bookmarkStart w:id="4009" w:name="Bookmark_I6677RTC28T49Y0040000400"/>
      <w:bookmarkEnd w:id="4007"/>
      <w:bookmarkEnd w:id="4008"/>
      <w:bookmarkEnd w:id="4009"/>
      <w:r>
        <w:rPr>
          <w:rFonts w:ascii="Arial" w:eastAsia="Arial" w:hAnsi="Arial" w:cs="Arial"/>
          <w:color w:val="000000"/>
          <w:sz w:val="18"/>
        </w:rPr>
        <w:t xml:space="preserve">While </w:t>
      </w:r>
      <w:bookmarkStart w:id="4010" w:name="Bookmark_I6677RTC28T49Y0010000400"/>
      <w:bookmarkEnd w:id="4010"/>
      <w:r>
        <w:rPr>
          <w:rFonts w:ascii="Arial" w:eastAsia="Arial" w:hAnsi="Arial" w:cs="Arial"/>
          <w:i/>
          <w:color w:val="000000"/>
          <w:sz w:val="18"/>
        </w:rPr>
        <w:t>Alexander</w:t>
      </w:r>
      <w:bookmarkStart w:id="4011" w:name="Bookmark_I6677RTC2N1R3T0010000400"/>
      <w:bookmarkEnd w:id="4011"/>
      <w:r>
        <w:rPr>
          <w:rFonts w:ascii="Arial" w:eastAsia="Arial" w:hAnsi="Arial" w:cs="Arial"/>
          <w:color w:val="000000"/>
          <w:sz w:val="18"/>
        </w:rPr>
        <w:t xml:space="preserve"> adopted the "meaningful access" standard in the context of the Rehabilitation Act, </w:t>
      </w:r>
      <w:bookmarkStart w:id="4012" w:name="Bookmark_LNHNREFclscc7_14"/>
      <w:bookmarkEnd w:id="4012"/>
      <w:r>
        <w:rPr>
          <w:rFonts w:ascii="Arial" w:eastAsia="Arial" w:hAnsi="Arial" w:cs="Arial"/>
          <w:color w:val="000000"/>
          <w:sz w:val="18"/>
        </w:rPr>
        <w:t xml:space="preserve">the ADA and Rehabilitation Act are interpreted </w:t>
      </w:r>
      <w:r>
        <w:rPr>
          <w:rFonts w:ascii="Arial" w:eastAsia="Arial" w:hAnsi="Arial" w:cs="Arial"/>
          <w:i/>
          <w:color w:val="000000"/>
          <w:sz w:val="18"/>
        </w:rPr>
        <w:t xml:space="preserve">in pari materia. </w:t>
      </w:r>
      <w:bookmarkStart w:id="4013" w:name="Bookmark_I6677RTC28T49Y0030000400"/>
      <w:bookmarkEnd w:id="4013"/>
      <w:r>
        <w:rPr>
          <w:rFonts w:ascii="Arial" w:eastAsia="Arial" w:hAnsi="Arial" w:cs="Arial"/>
          <w:i/>
          <w:color w:val="000000"/>
          <w:sz w:val="18"/>
        </w:rPr>
        <w:t>Frame v. City of Arlington</w:t>
      </w:r>
      <w:r>
        <w:rPr>
          <w:rFonts w:ascii="Arial" w:eastAsia="Arial" w:hAnsi="Arial" w:cs="Arial"/>
          <w:color w:val="000000"/>
          <w:sz w:val="18"/>
        </w:rPr>
        <w:t xml:space="preserve">, 657 F.3d 215, 223-24 (5th Cir. 2011). </w:t>
      </w:r>
      <w:bookmarkStart w:id="4014" w:name="Bookmark_I6677RTC2N1R3T0010000400_2"/>
      <w:bookmarkEnd w:id="4014"/>
      <w:r>
        <w:rPr>
          <w:rFonts w:ascii="Arial" w:eastAsia="Arial" w:hAnsi="Arial" w:cs="Arial"/>
          <w:color w:val="000000"/>
          <w:sz w:val="18"/>
        </w:rPr>
        <w:t xml:space="preserve">Cases interpreting the applicable standards under one of the statutes are thus applicable to both. </w:t>
      </w:r>
      <w:bookmarkStart w:id="4015" w:name="Bookmark_I6677RTC28T49Y0050000400"/>
      <w:bookmarkEnd w:id="4015"/>
      <w:r>
        <w:rPr>
          <w:rFonts w:ascii="Arial" w:eastAsia="Arial" w:hAnsi="Arial" w:cs="Arial"/>
          <w:i/>
          <w:color w:val="000000"/>
          <w:sz w:val="18"/>
        </w:rPr>
        <w:t>Delano-Pyle v. Victoria County</w:t>
      </w:r>
      <w:r>
        <w:rPr>
          <w:rFonts w:ascii="Arial" w:eastAsia="Arial" w:hAnsi="Arial" w:cs="Arial"/>
          <w:color w:val="000000"/>
          <w:sz w:val="18"/>
        </w:rPr>
        <w:t>, 302 F.3d 567, 574 (5th Cir. 2002).</w:t>
      </w:r>
    </w:p>
  </w:footnote>
  <w:footnote w:id="87">
    <w:p w:rsidR="00022B47" w:rsidRDefault="00000000">
      <w:pPr>
        <w:pStyle w:val="Normal21"/>
        <w:widowControl w:val="0"/>
        <w:spacing w:before="200" w:line="240" w:lineRule="atLeast"/>
        <w:jc w:val="both"/>
      </w:pPr>
      <w:r>
        <w:rPr>
          <w:rFonts w:ascii="Arial" w:eastAsia="Arial" w:hAnsi="Arial" w:cs="Arial"/>
          <w:color w:val="000000"/>
          <w:sz w:val="18"/>
          <w:vertAlign w:val="superscript"/>
        </w:rPr>
        <w:t>4 </w:t>
      </w:r>
      <w:bookmarkStart w:id="4033" w:name="Bookmark_fnpara_4_9"/>
      <w:bookmarkStart w:id="4034" w:name="Bookmark_I6677RTD2HM68N0050000400"/>
      <w:bookmarkEnd w:id="4033"/>
      <w:bookmarkEnd w:id="4034"/>
      <w:r>
        <w:rPr>
          <w:rFonts w:ascii="Arial" w:eastAsia="Arial" w:hAnsi="Arial" w:cs="Arial"/>
          <w:color w:val="000000"/>
          <w:sz w:val="18"/>
        </w:rPr>
        <w:t xml:space="preserve">The district court thought that Luke failed to specifically allege facts supporting compensatory damages. </w:t>
      </w:r>
      <w:bookmarkStart w:id="4035" w:name="Bookmark_I6677RTD2SF8NV0020000400"/>
      <w:bookmarkEnd w:id="4035"/>
      <w:r>
        <w:rPr>
          <w:rFonts w:ascii="Arial" w:eastAsia="Arial" w:hAnsi="Arial" w:cs="Arial"/>
          <w:color w:val="000000"/>
          <w:sz w:val="18"/>
        </w:rPr>
        <w:t xml:space="preserve">We disagree. Luke alleged that not being able to understand the proceedings against him caused him "fear, anxiety, indignity, [and] humiliation." A separate issue, however, is whether compensatory damages are available to Title II plaintiffs at all. After oral argument, the Supreme Court held that emotional distress damages are not recoverable for disability discrimination under the Rehabilitation Act. </w:t>
      </w:r>
      <w:bookmarkStart w:id="4036" w:name="Bookmark_I6677RTD2HM68N0040000400"/>
      <w:bookmarkEnd w:id="4036"/>
      <w:r>
        <w:rPr>
          <w:rFonts w:ascii="Arial" w:eastAsia="Arial" w:hAnsi="Arial" w:cs="Arial"/>
          <w:i/>
          <w:color w:val="000000"/>
          <w:sz w:val="18"/>
        </w:rPr>
        <w:t>Cummings v. Premier Rehab Keller, P.L.L.C.</w:t>
      </w:r>
      <w:r>
        <w:rPr>
          <w:rFonts w:ascii="Arial" w:eastAsia="Arial" w:hAnsi="Arial" w:cs="Arial"/>
          <w:color w:val="000000"/>
          <w:sz w:val="18"/>
        </w:rPr>
        <w:t xml:space="preserve">, 142 S. Ct. 1562, 1576, 212 L. Ed. 2d 552 (2022). </w:t>
      </w:r>
      <w:bookmarkStart w:id="4037" w:name="Bookmark_I6677RTD2SF8NV0020000400_2"/>
      <w:bookmarkStart w:id="4038" w:name="Bookmark_I6677RTD2SF8NV0040000400"/>
      <w:bookmarkEnd w:id="4037"/>
      <w:bookmarkEnd w:id="4038"/>
      <w:r>
        <w:rPr>
          <w:rFonts w:ascii="Arial" w:eastAsia="Arial" w:hAnsi="Arial" w:cs="Arial"/>
          <w:color w:val="000000"/>
          <w:sz w:val="18"/>
        </w:rPr>
        <w:t xml:space="preserve">We leave it for the district court to decide the effect, if any, </w:t>
      </w:r>
      <w:bookmarkStart w:id="4039" w:name="Bookmark_I6677RTD2SF8NV0040000400_2"/>
      <w:bookmarkStart w:id="4040" w:name="Bookmark_I6677RTD2SF8NV0020000400_3"/>
      <w:bookmarkStart w:id="4041" w:name="Bookmark_I6677RTD2SF8NV0010000400"/>
      <w:bookmarkEnd w:id="4039"/>
      <w:bookmarkEnd w:id="4040"/>
      <w:bookmarkEnd w:id="4041"/>
      <w:r>
        <w:rPr>
          <w:rFonts w:ascii="Arial" w:eastAsia="Arial" w:hAnsi="Arial" w:cs="Arial"/>
          <w:i/>
          <w:color w:val="000000"/>
          <w:sz w:val="18"/>
        </w:rPr>
        <w:t>Cummings</w:t>
      </w:r>
      <w:r>
        <w:rPr>
          <w:rFonts w:ascii="Arial" w:eastAsia="Arial" w:hAnsi="Arial" w:cs="Arial"/>
          <w:color w:val="000000"/>
          <w:sz w:val="18"/>
        </w:rPr>
        <w:t xml:space="preserve"> has on Luke's ability to recover emotional distress damages under Title II. In any event, Luke also seeks nominal damages. </w:t>
      </w:r>
      <w:r>
        <w:rPr>
          <w:rFonts w:ascii="Arial" w:eastAsia="Arial" w:hAnsi="Arial" w:cs="Arial"/>
          <w:i/>
          <w:color w:val="000000"/>
          <w:sz w:val="18"/>
        </w:rPr>
        <w:t xml:space="preserve">See </w:t>
      </w:r>
      <w:bookmarkStart w:id="4042" w:name="Bookmark_I6677RTD2SF8NV0030000400"/>
      <w:bookmarkEnd w:id="4042"/>
      <w:r>
        <w:rPr>
          <w:rFonts w:ascii="Arial" w:eastAsia="Arial" w:hAnsi="Arial" w:cs="Arial"/>
          <w:i/>
          <w:color w:val="000000"/>
          <w:sz w:val="18"/>
        </w:rPr>
        <w:t>Uzuegbunam v. Preczewski</w:t>
      </w:r>
      <w:r>
        <w:rPr>
          <w:rFonts w:ascii="Arial" w:eastAsia="Arial" w:hAnsi="Arial" w:cs="Arial"/>
          <w:color w:val="000000"/>
          <w:sz w:val="18"/>
        </w:rPr>
        <w:t>, 141 S. Ct. 792, 799-800, 209 L. Ed. 2d 94 (2021).</w:t>
      </w:r>
    </w:p>
  </w:footnote>
  <w:footnote w:id="88">
    <w:p w:rsidR="00022B47" w:rsidRDefault="00000000">
      <w:pPr>
        <w:pStyle w:val="Normal22"/>
        <w:widowControl w:val="0"/>
        <w:spacing w:before="120" w:line="240" w:lineRule="atLeast"/>
        <w:jc w:val="both"/>
      </w:pPr>
      <w:r>
        <w:rPr>
          <w:rFonts w:ascii="Arial" w:eastAsia="Arial" w:hAnsi="Arial" w:cs="Arial"/>
          <w:color w:val="000000"/>
          <w:sz w:val="18"/>
          <w:vertAlign w:val="superscript"/>
        </w:rPr>
        <w:t>1 </w:t>
      </w:r>
      <w:bookmarkStart w:id="4065" w:name="Bookmark_fnpara_1_16"/>
      <w:bookmarkEnd w:id="4065"/>
      <w:r>
        <w:rPr>
          <w:rFonts w:ascii="Arial" w:eastAsia="Arial" w:hAnsi="Arial" w:cs="Arial"/>
          <w:color w:val="000000"/>
          <w:sz w:val="18"/>
        </w:rPr>
        <w:t>Greenbaum also asserted disparate treatment and hostile work environment claims. However, on appeal, Greenbaum does not challenge the district court's grant of summary judgment to defendants on those claims.</w:t>
      </w:r>
    </w:p>
  </w:footnote>
  <w:footnote w:id="89">
    <w:p w:rsidR="00022B47" w:rsidRDefault="00000000">
      <w:pPr>
        <w:pStyle w:val="Normal22"/>
        <w:widowControl w:val="0"/>
        <w:spacing w:before="120" w:line="240" w:lineRule="atLeast"/>
        <w:jc w:val="both"/>
      </w:pPr>
      <w:r>
        <w:rPr>
          <w:rFonts w:ascii="Arial" w:eastAsia="Arial" w:hAnsi="Arial" w:cs="Arial"/>
          <w:color w:val="000000"/>
          <w:sz w:val="18"/>
          <w:vertAlign w:val="superscript"/>
        </w:rPr>
        <w:t>2 </w:t>
      </w:r>
      <w:bookmarkStart w:id="4074" w:name="Bookmark_fnpara_2_14"/>
      <w:bookmarkEnd w:id="4074"/>
      <w:r>
        <w:rPr>
          <w:rFonts w:ascii="Arial" w:eastAsia="Arial" w:hAnsi="Arial" w:cs="Arial"/>
          <w:color w:val="000000"/>
          <w:sz w:val="18"/>
        </w:rPr>
        <w:t>To the extent Greenbaum argues that his cross-motion for summary judgment on the reasonable accommodation claims should have been granted, we conclude that the evidence submitted by defendants on those claims (summarized, in part, herein) likewise precludes summary judgment in Greenbaum's favor on such claims.</w:t>
      </w:r>
    </w:p>
  </w:footnote>
  <w:footnote w:id="90">
    <w:p w:rsidR="00022B47" w:rsidRDefault="00000000">
      <w:pPr>
        <w:pStyle w:val="Normal22"/>
        <w:widowControl w:val="0"/>
        <w:spacing w:before="200" w:line="240" w:lineRule="atLeast"/>
        <w:jc w:val="both"/>
      </w:pPr>
      <w:r>
        <w:rPr>
          <w:rFonts w:ascii="Arial" w:eastAsia="Arial" w:hAnsi="Arial" w:cs="Arial"/>
          <w:color w:val="000000"/>
          <w:sz w:val="18"/>
          <w:vertAlign w:val="superscript"/>
        </w:rPr>
        <w:t>3 </w:t>
      </w:r>
      <w:bookmarkStart w:id="4088" w:name="Bookmark_fnpara_3_12"/>
      <w:bookmarkStart w:id="4089" w:name="Bookmark_I666CVGD2SF8VB0040000400"/>
      <w:bookmarkEnd w:id="4088"/>
      <w:bookmarkEnd w:id="4089"/>
      <w:r>
        <w:rPr>
          <w:rFonts w:ascii="Arial" w:eastAsia="Arial" w:hAnsi="Arial" w:cs="Arial"/>
          <w:color w:val="000000"/>
          <w:sz w:val="18"/>
        </w:rPr>
        <w:t xml:space="preserve">We also reject defendants' passing argument that we should affirm on the alternative grounds that Greenbaum's ADA claim was untimely, and that Greenbaum should be barred from relying on evidence that was not produced earlier in the discovery process to demonstrate the timeliness of his ADA claim. </w:t>
      </w:r>
      <w:r>
        <w:rPr>
          <w:rFonts w:ascii="Arial" w:eastAsia="Arial" w:hAnsi="Arial" w:cs="Arial"/>
          <w:i/>
          <w:color w:val="000000"/>
          <w:sz w:val="18"/>
        </w:rPr>
        <w:t>See</w:t>
      </w:r>
      <w:r>
        <w:rPr>
          <w:rFonts w:ascii="Arial" w:eastAsia="Arial" w:hAnsi="Arial" w:cs="Arial"/>
          <w:color w:val="000000"/>
          <w:sz w:val="18"/>
        </w:rPr>
        <w:t xml:space="preserve"> Appellees' Br. at 27-28. </w:t>
      </w:r>
      <w:bookmarkStart w:id="4090" w:name="Bookmark_LNHNREFclscc3_19"/>
      <w:bookmarkEnd w:id="4090"/>
      <w:r>
        <w:rPr>
          <w:rFonts w:ascii="Arial" w:eastAsia="Arial" w:hAnsi="Arial" w:cs="Arial"/>
          <w:color w:val="000000"/>
          <w:sz w:val="18"/>
        </w:rPr>
        <w:t xml:space="preserve">"Where a theory has been briefed and argued only cursorily in this Court, it is our preferred practice to remand the issue for consideration by the district court in the first instance." </w:t>
      </w:r>
      <w:bookmarkStart w:id="4091" w:name="Bookmark_I666CVGD2SF8VB0030000400"/>
      <w:bookmarkEnd w:id="4091"/>
      <w:r>
        <w:rPr>
          <w:rFonts w:ascii="Arial" w:eastAsia="Arial" w:hAnsi="Arial" w:cs="Arial"/>
          <w:i/>
          <w:color w:val="000000"/>
          <w:sz w:val="18"/>
        </w:rPr>
        <w:t>Cmty. Health Ctr. v. Wilson-Coker</w:t>
      </w:r>
      <w:r>
        <w:rPr>
          <w:rFonts w:ascii="Arial" w:eastAsia="Arial" w:hAnsi="Arial" w:cs="Arial"/>
          <w:color w:val="000000"/>
          <w:sz w:val="18"/>
        </w:rPr>
        <w:t>, 311 F.3d 132, 139 (2d Cir. 2002) (internal quotation marks and citation omitted). To the extent there is some factual dispute at to whether Greenbaum's ADA claim was timely, we leave it for the district court to consider on remand.</w:t>
      </w:r>
    </w:p>
  </w:footnote>
  <w:footnote w:id="91">
    <w:p w:rsidR="00022B47" w:rsidRDefault="00000000">
      <w:pPr>
        <w:pStyle w:val="Normal22"/>
        <w:widowControl w:val="0"/>
        <w:spacing w:before="200" w:line="240" w:lineRule="atLeast"/>
        <w:jc w:val="both"/>
      </w:pPr>
      <w:r>
        <w:rPr>
          <w:rFonts w:ascii="Arial" w:eastAsia="Arial" w:hAnsi="Arial" w:cs="Arial"/>
          <w:color w:val="000000"/>
          <w:sz w:val="18"/>
          <w:vertAlign w:val="superscript"/>
        </w:rPr>
        <w:t>4 </w:t>
      </w:r>
      <w:bookmarkStart w:id="4122" w:name="Bookmark_fnpara_4_10"/>
      <w:bookmarkStart w:id="4123" w:name="Bookmark_I666CVGG28T4H90010000400"/>
      <w:bookmarkStart w:id="4124" w:name="Bookmark_I666CVGG28T4H90030000400"/>
      <w:bookmarkStart w:id="4125" w:name="Bookmark_LNHNREFclscc7_15"/>
      <w:bookmarkEnd w:id="4122"/>
      <w:bookmarkEnd w:id="4123"/>
      <w:bookmarkEnd w:id="4124"/>
      <w:bookmarkEnd w:id="4125"/>
      <w:r>
        <w:rPr>
          <w:rFonts w:ascii="Arial" w:eastAsia="Arial" w:hAnsi="Arial" w:cs="Arial"/>
          <w:color w:val="000000"/>
          <w:sz w:val="18"/>
        </w:rPr>
        <w:t xml:space="preserve">Unlike federal law, the NYSHRL does not place the burden on the employer to demonstrate an undue hardship, but rather requires the employee to show that the proposed accommodation is reasonable and would not cause the employer an undue hardship. </w:t>
      </w:r>
      <w:r>
        <w:rPr>
          <w:rFonts w:ascii="Arial" w:eastAsia="Arial" w:hAnsi="Arial" w:cs="Arial"/>
          <w:i/>
          <w:color w:val="000000"/>
          <w:sz w:val="18"/>
        </w:rPr>
        <w:t>See</w:t>
      </w:r>
      <w:r>
        <w:rPr>
          <w:rFonts w:ascii="Arial" w:eastAsia="Arial" w:hAnsi="Arial" w:cs="Arial"/>
          <w:color w:val="000000"/>
          <w:sz w:val="18"/>
        </w:rPr>
        <w:t xml:space="preserve"> N.Y. Exec. Law § 292 (21-e); </w:t>
      </w:r>
      <w:bookmarkStart w:id="4126" w:name="Bookmark_I666CVGF28T4H80050000400"/>
      <w:bookmarkEnd w:id="4126"/>
      <w:r>
        <w:rPr>
          <w:rFonts w:ascii="Arial" w:eastAsia="Arial" w:hAnsi="Arial" w:cs="Arial"/>
          <w:i/>
          <w:color w:val="000000"/>
          <w:sz w:val="18"/>
        </w:rPr>
        <w:t>Jacobsen</w:t>
      </w:r>
      <w:r>
        <w:rPr>
          <w:rFonts w:ascii="Arial" w:eastAsia="Arial" w:hAnsi="Arial" w:cs="Arial"/>
          <w:color w:val="000000"/>
          <w:sz w:val="18"/>
        </w:rPr>
        <w:t xml:space="preserve">, 22 N.Y.3d at 834-35. On the other hand, the NYCHRL "places the burden on the employer to show the unavailability of any safe and reasonable accommodation and to show that any proposed accommodation would place an undue hardship on its business." </w:t>
      </w:r>
      <w:bookmarkStart w:id="4127" w:name="Bookmark_I666CVGG28T4H90020000400"/>
      <w:bookmarkEnd w:id="4127"/>
      <w:r>
        <w:rPr>
          <w:rFonts w:ascii="Arial" w:eastAsia="Arial" w:hAnsi="Arial" w:cs="Arial"/>
          <w:i/>
          <w:color w:val="000000"/>
          <w:sz w:val="18"/>
        </w:rPr>
        <w:t>Jacobsen</w:t>
      </w:r>
      <w:r>
        <w:rPr>
          <w:rFonts w:ascii="Arial" w:eastAsia="Arial" w:hAnsi="Arial" w:cs="Arial"/>
          <w:color w:val="000000"/>
          <w:sz w:val="18"/>
        </w:rPr>
        <w:t>, 22 N.Y.3d at 835; N.Y.C. Admin. Code § 8-102(18). In any event, regardless of who carries the burden, we conclude that summary judgment is unwarranted for either side based upon the factual disputes in the evidentiary record.</w:t>
      </w:r>
    </w:p>
  </w:footnote>
  <w:footnote w:id="92">
    <w:p w:rsidR="00022B47" w:rsidRDefault="00000000">
      <w:pPr>
        <w:pStyle w:val="Normal23"/>
        <w:widowControl w:val="0"/>
        <w:spacing w:before="120" w:line="240" w:lineRule="atLeast"/>
        <w:jc w:val="both"/>
      </w:pPr>
      <w:r>
        <w:rPr>
          <w:rFonts w:ascii="Arial" w:eastAsia="Arial" w:hAnsi="Arial" w:cs="Arial"/>
          <w:color w:val="000000"/>
          <w:sz w:val="18"/>
          <w:vertAlign w:val="superscript"/>
        </w:rPr>
        <w:t>1 </w:t>
      </w:r>
      <w:bookmarkStart w:id="4181" w:name="Bookmark_fnpara_1_17"/>
      <w:bookmarkEnd w:id="4181"/>
      <w:r>
        <w:rPr>
          <w:rFonts w:ascii="Arial" w:eastAsia="Arial" w:hAnsi="Arial" w:cs="Arial"/>
          <w:color w:val="000000"/>
          <w:sz w:val="18"/>
        </w:rPr>
        <w:t>The evidence conflicts on when this happened: Muzzin's affidavit suggests that this update happened on September 26, 2012. R. 74-11 (Muzzin 4/23/2018 Aff. at ¶ 7) (Page ID #436). Douglas's medical records, by contrast, show that the September 26 update stated only "Prescription shoe, athletic shoes 10.5 4E," and that "Prescription shoe, orthotic" was instead added on December 20, 2012. R. 132-4 (Douglas's Medical Record at 6-7) (Page ID #791-92).</w:t>
      </w:r>
    </w:p>
  </w:footnote>
  <w:footnote w:id="93">
    <w:p w:rsidR="00022B47" w:rsidRDefault="00000000">
      <w:pPr>
        <w:pStyle w:val="Normal23"/>
        <w:widowControl w:val="0"/>
        <w:spacing w:before="120" w:line="240" w:lineRule="atLeast"/>
        <w:jc w:val="both"/>
      </w:pPr>
      <w:r>
        <w:rPr>
          <w:rFonts w:ascii="Arial" w:eastAsia="Arial" w:hAnsi="Arial" w:cs="Arial"/>
          <w:color w:val="000000"/>
          <w:sz w:val="18"/>
          <w:vertAlign w:val="superscript"/>
        </w:rPr>
        <w:t>2 </w:t>
      </w:r>
      <w:bookmarkStart w:id="4183" w:name="Bookmark_fnpara_2_15"/>
      <w:bookmarkEnd w:id="4183"/>
      <w:r>
        <w:rPr>
          <w:rFonts w:ascii="Arial" w:eastAsia="Arial" w:hAnsi="Arial" w:cs="Arial"/>
          <w:color w:val="000000"/>
          <w:sz w:val="18"/>
        </w:rPr>
        <w:t>The district court dismissed Palmer from the case in 2015, finding that Douglas had failed to state a claim against Palmer. R. 13 (Order re: Mot. to Dismiss at 1) (Page ID #78). Douglas does not appeal that dismissal.</w:t>
      </w:r>
    </w:p>
  </w:footnote>
  <w:footnote w:id="94">
    <w:p w:rsidR="00022B47" w:rsidRDefault="00000000">
      <w:pPr>
        <w:pStyle w:val="Normal23"/>
        <w:widowControl w:val="0"/>
        <w:spacing w:before="200" w:line="240" w:lineRule="atLeast"/>
        <w:jc w:val="both"/>
      </w:pPr>
      <w:r>
        <w:rPr>
          <w:rFonts w:ascii="Arial" w:eastAsia="Arial" w:hAnsi="Arial" w:cs="Arial"/>
          <w:color w:val="000000"/>
          <w:sz w:val="18"/>
          <w:vertAlign w:val="superscript"/>
        </w:rPr>
        <w:t>3 </w:t>
      </w:r>
      <w:bookmarkStart w:id="4188" w:name="Bookmark_fnpara_3_13"/>
      <w:bookmarkEnd w:id="4188"/>
      <w:r>
        <w:rPr>
          <w:rFonts w:ascii="Arial" w:eastAsia="Arial" w:hAnsi="Arial" w:cs="Arial"/>
          <w:color w:val="000000"/>
          <w:sz w:val="18"/>
        </w:rPr>
        <w:t xml:space="preserve">Defendants do not challenge the district court's conclusion that Douglas alleged conduct that plausibly violated the Fourteenth Amendment and, thus, that the Eleventh Amendment does not bar his claim for compensatory damages under Title II of the ADA. </w:t>
      </w:r>
      <w:r>
        <w:rPr>
          <w:rFonts w:ascii="Arial" w:eastAsia="Arial" w:hAnsi="Arial" w:cs="Arial"/>
          <w:i/>
          <w:color w:val="000000"/>
          <w:sz w:val="18"/>
        </w:rPr>
        <w:t xml:space="preserve">See </w:t>
      </w:r>
      <w:bookmarkStart w:id="4189" w:name="Bookmark_I66426D32N1RFW0010000400"/>
      <w:bookmarkEnd w:id="4189"/>
      <w:r>
        <w:rPr>
          <w:rFonts w:ascii="Arial" w:eastAsia="Arial" w:hAnsi="Arial" w:cs="Arial"/>
          <w:i/>
          <w:color w:val="000000"/>
          <w:sz w:val="18"/>
        </w:rPr>
        <w:t>United States v. Georgia</w:t>
      </w:r>
      <w:r>
        <w:rPr>
          <w:rFonts w:ascii="Arial" w:eastAsia="Arial" w:hAnsi="Arial" w:cs="Arial"/>
          <w:color w:val="000000"/>
          <w:sz w:val="18"/>
        </w:rPr>
        <w:t>, 546 U.S. 151, 159, 126 S. Ct. 877, 163 L. Ed. 2d 650 (2006).</w:t>
      </w:r>
    </w:p>
  </w:footnote>
  <w:footnote w:id="95">
    <w:p w:rsidR="00022B47" w:rsidRDefault="00000000">
      <w:pPr>
        <w:pStyle w:val="Normal23"/>
        <w:widowControl w:val="0"/>
        <w:spacing w:before="120" w:line="240" w:lineRule="atLeast"/>
        <w:jc w:val="both"/>
      </w:pPr>
      <w:r>
        <w:rPr>
          <w:rFonts w:ascii="Arial" w:eastAsia="Arial" w:hAnsi="Arial" w:cs="Arial"/>
          <w:color w:val="000000"/>
          <w:sz w:val="18"/>
          <w:vertAlign w:val="superscript"/>
        </w:rPr>
        <w:t>4 </w:t>
      </w:r>
      <w:bookmarkStart w:id="4196" w:name="Bookmark_fnpara_4_11"/>
      <w:bookmarkEnd w:id="4196"/>
      <w:r>
        <w:rPr>
          <w:rFonts w:ascii="Arial" w:eastAsia="Arial" w:hAnsi="Arial" w:cs="Arial"/>
          <w:color w:val="000000"/>
          <w:sz w:val="18"/>
        </w:rPr>
        <w:t>As discussed below, it is not at all clear that Muzzin had access to these medical records when she denied Douglas's requested accommodation.</w:t>
      </w:r>
    </w:p>
  </w:footnote>
  <w:footnote w:id="96">
    <w:p w:rsidR="00022B47" w:rsidRDefault="00000000">
      <w:pPr>
        <w:pStyle w:val="Normal23"/>
        <w:widowControl w:val="0"/>
        <w:spacing w:before="200" w:line="240" w:lineRule="atLeast"/>
        <w:jc w:val="both"/>
      </w:pPr>
      <w:r>
        <w:rPr>
          <w:rFonts w:ascii="Arial" w:eastAsia="Arial" w:hAnsi="Arial" w:cs="Arial"/>
          <w:color w:val="000000"/>
          <w:sz w:val="18"/>
          <w:vertAlign w:val="superscript"/>
        </w:rPr>
        <w:t>5 </w:t>
      </w:r>
      <w:bookmarkStart w:id="4310" w:name="Bookmark_fnpara_5_7"/>
      <w:bookmarkStart w:id="4311" w:name="Bookmark_I66426DC2HM60K0020000400"/>
      <w:bookmarkEnd w:id="4310"/>
      <w:bookmarkEnd w:id="4311"/>
      <w:r>
        <w:rPr>
          <w:rFonts w:ascii="Arial" w:eastAsia="Arial" w:hAnsi="Arial" w:cs="Arial"/>
          <w:color w:val="000000"/>
          <w:sz w:val="18"/>
        </w:rPr>
        <w:t xml:space="preserve">The dissent attempts to distinguish </w:t>
      </w:r>
      <w:bookmarkStart w:id="4312" w:name="Bookmark_I66426DC2HM60K0010000400"/>
      <w:bookmarkEnd w:id="4312"/>
      <w:r>
        <w:rPr>
          <w:rFonts w:ascii="Arial" w:eastAsia="Arial" w:hAnsi="Arial" w:cs="Arial"/>
          <w:i/>
          <w:color w:val="000000"/>
          <w:sz w:val="18"/>
        </w:rPr>
        <w:t>R.K.</w:t>
      </w:r>
      <w:r>
        <w:rPr>
          <w:rFonts w:ascii="Arial" w:eastAsia="Arial" w:hAnsi="Arial" w:cs="Arial"/>
          <w:color w:val="000000"/>
          <w:sz w:val="18"/>
        </w:rPr>
        <w:t xml:space="preserve"> and </w:t>
      </w:r>
      <w:bookmarkStart w:id="4313" w:name="Bookmark_I66426DC2HM60K0030000400"/>
      <w:bookmarkEnd w:id="4313"/>
      <w:r>
        <w:rPr>
          <w:rFonts w:ascii="Arial" w:eastAsia="Arial" w:hAnsi="Arial" w:cs="Arial"/>
          <w:i/>
          <w:color w:val="000000"/>
          <w:sz w:val="18"/>
        </w:rPr>
        <w:t>Hill</w:t>
      </w:r>
      <w:bookmarkStart w:id="4314" w:name="Bookmark_I66426DC2D6NDJ0010000400"/>
      <w:bookmarkEnd w:id="4314"/>
      <w:r>
        <w:rPr>
          <w:rFonts w:ascii="Arial" w:eastAsia="Arial" w:hAnsi="Arial" w:cs="Arial"/>
          <w:color w:val="000000"/>
          <w:sz w:val="18"/>
        </w:rPr>
        <w:t xml:space="preserve">, arguing that in those cases, the court "affirm[ed] the district court's holding for the alleged discriminatory party that had moved for summary judgment." Dissenting Op. at 37. </w:t>
      </w:r>
      <w:bookmarkStart w:id="4315" w:name="Bookmark_I66426DC2D6NDJ0010000400_2"/>
      <w:bookmarkEnd w:id="4315"/>
      <w:r>
        <w:rPr>
          <w:rFonts w:ascii="Arial" w:eastAsia="Arial" w:hAnsi="Arial" w:cs="Arial"/>
          <w:color w:val="000000"/>
          <w:sz w:val="18"/>
        </w:rPr>
        <w:t xml:space="preserve">Neither case, however, suggested that it was applying a lower standard because the nonmovant would lose under either standard. </w:t>
      </w:r>
      <w:bookmarkStart w:id="4316" w:name="Bookmark_I2G74P3BNMM00003P900000B"/>
      <w:bookmarkStart w:id="4317" w:name="Bookmark_I66426DC2D6NDJ0030000400"/>
      <w:bookmarkEnd w:id="4316"/>
      <w:bookmarkEnd w:id="4317"/>
      <w:r>
        <w:rPr>
          <w:rFonts w:ascii="Arial" w:eastAsia="Arial" w:hAnsi="Arial" w:cs="Arial"/>
          <w:color w:val="000000"/>
          <w:sz w:val="18"/>
        </w:rPr>
        <w:t xml:space="preserve">To the contrary, in </w:t>
      </w:r>
      <w:bookmarkStart w:id="4318" w:name="Bookmark_I66426DC2D6NDJ0030000400_2"/>
      <w:bookmarkStart w:id="4319" w:name="Bookmark_I66426DC2D6NDJ0010000400_3"/>
      <w:bookmarkStart w:id="4320" w:name="Bookmark_I66426DC2HM60K0050000400"/>
      <w:bookmarkEnd w:id="4318"/>
      <w:bookmarkEnd w:id="4319"/>
      <w:bookmarkEnd w:id="4320"/>
      <w:r>
        <w:rPr>
          <w:rFonts w:ascii="Arial" w:eastAsia="Arial" w:hAnsi="Arial" w:cs="Arial"/>
          <w:i/>
          <w:color w:val="000000"/>
          <w:sz w:val="18"/>
        </w:rPr>
        <w:t>Hill</w:t>
      </w:r>
      <w:r>
        <w:rPr>
          <w:rFonts w:ascii="Arial" w:eastAsia="Arial" w:hAnsi="Arial" w:cs="Arial"/>
          <w:color w:val="000000"/>
          <w:sz w:val="18"/>
        </w:rPr>
        <w:t xml:space="preserve">, the alleged discriminatory party asked the court to apply the deliberate-indifference standard. </w:t>
      </w:r>
      <w:bookmarkStart w:id="4321" w:name="Bookmark_I66426DC2D6NDJ0020000400"/>
      <w:bookmarkEnd w:id="4321"/>
      <w:r>
        <w:rPr>
          <w:rFonts w:ascii="Arial" w:eastAsia="Arial" w:hAnsi="Arial" w:cs="Arial"/>
          <w:i/>
          <w:color w:val="000000"/>
          <w:sz w:val="18"/>
        </w:rPr>
        <w:t>Hill</w:t>
      </w:r>
      <w:r>
        <w:rPr>
          <w:rFonts w:ascii="Arial" w:eastAsia="Arial" w:hAnsi="Arial" w:cs="Arial"/>
          <w:color w:val="000000"/>
          <w:sz w:val="18"/>
        </w:rPr>
        <w:t>, 295 F. App'x at 742. The dissent's "only-if-the-plaintiff-loses" gloss thus lacks support.</w:t>
      </w:r>
    </w:p>
  </w:footnote>
  <w:footnote w:id="97">
    <w:p w:rsidR="00022B47" w:rsidRDefault="00000000">
      <w:pPr>
        <w:pStyle w:val="Normal23"/>
        <w:widowControl w:val="0"/>
        <w:spacing w:before="120" w:line="240" w:lineRule="atLeast"/>
        <w:jc w:val="both"/>
      </w:pPr>
      <w:r>
        <w:rPr>
          <w:rFonts w:ascii="Arial" w:eastAsia="Arial" w:hAnsi="Arial" w:cs="Arial"/>
          <w:color w:val="000000"/>
          <w:sz w:val="18"/>
          <w:vertAlign w:val="superscript"/>
        </w:rPr>
        <w:t>6 </w:t>
      </w:r>
      <w:bookmarkStart w:id="4348" w:name="Bookmark_fnpara_6_4"/>
      <w:bookmarkEnd w:id="4348"/>
      <w:r>
        <w:rPr>
          <w:rFonts w:ascii="Arial" w:eastAsia="Arial" w:hAnsi="Arial" w:cs="Arial"/>
          <w:color w:val="000000"/>
          <w:sz w:val="18"/>
        </w:rPr>
        <w:t>Defendants respond that this policy governs housing unit staff, and Muzzin worked in the Control Center, which has a different governing policy. Appellees Br. at 21-22. But Defendants do not provide the Control Center's policy for such a situation.</w:t>
      </w:r>
    </w:p>
  </w:footnote>
  <w:footnote w:id="98">
    <w:p w:rsidR="00022B47" w:rsidRDefault="00000000">
      <w:pPr>
        <w:pStyle w:val="Normal23"/>
        <w:widowControl w:val="0"/>
        <w:spacing w:before="120" w:line="240" w:lineRule="atLeast"/>
        <w:jc w:val="both"/>
      </w:pPr>
      <w:r>
        <w:rPr>
          <w:rFonts w:ascii="Arial" w:eastAsia="Arial" w:hAnsi="Arial" w:cs="Arial"/>
          <w:color w:val="000000"/>
          <w:sz w:val="18"/>
          <w:vertAlign w:val="superscript"/>
        </w:rPr>
        <w:t>7 </w:t>
      </w:r>
      <w:bookmarkStart w:id="4356" w:name="Bookmark_fnpara_7_4"/>
      <w:bookmarkEnd w:id="4356"/>
      <w:r>
        <w:rPr>
          <w:rFonts w:ascii="Arial" w:eastAsia="Arial" w:hAnsi="Arial" w:cs="Arial"/>
          <w:color w:val="000000"/>
          <w:sz w:val="18"/>
        </w:rPr>
        <w:t>Douglas's repeated past successful presentations of his 2003 Special Accommodation Notice, which states that it is "perm[anent]," undercut the dissent's claim that "Muzzin had reason to question" its validity. Dissenting Op. at 38.</w:t>
      </w:r>
    </w:p>
  </w:footnote>
  <w:footnote w:id="99">
    <w:p w:rsidR="00022B47" w:rsidRDefault="00000000">
      <w:pPr>
        <w:pStyle w:val="Normal23"/>
        <w:widowControl w:val="0"/>
        <w:spacing w:before="200" w:line="240" w:lineRule="atLeast"/>
        <w:jc w:val="both"/>
      </w:pPr>
      <w:r>
        <w:rPr>
          <w:rFonts w:ascii="Arial" w:eastAsia="Arial" w:hAnsi="Arial" w:cs="Arial"/>
          <w:color w:val="000000"/>
          <w:sz w:val="18"/>
          <w:vertAlign w:val="superscript"/>
        </w:rPr>
        <w:t>8 </w:t>
      </w:r>
      <w:bookmarkStart w:id="4360" w:name="Bookmark_fnpara_8_4"/>
      <w:bookmarkEnd w:id="4360"/>
      <w:r>
        <w:rPr>
          <w:rFonts w:ascii="Arial" w:eastAsia="Arial" w:hAnsi="Arial" w:cs="Arial"/>
          <w:color w:val="000000"/>
          <w:sz w:val="18"/>
        </w:rPr>
        <w:t xml:space="preserve">Adding to the murkiness, it seems possible that the September 26 medical documentation did not actually reintroduce the term "orthotic" shoe. </w:t>
      </w:r>
      <w:r>
        <w:rPr>
          <w:rFonts w:ascii="Arial" w:eastAsia="Arial" w:hAnsi="Arial" w:cs="Arial"/>
          <w:i/>
          <w:color w:val="000000"/>
          <w:sz w:val="18"/>
        </w:rPr>
        <w:t>See supra</w:t>
      </w:r>
      <w:r>
        <w:rPr>
          <w:rFonts w:ascii="Arial" w:eastAsia="Arial" w:hAnsi="Arial" w:cs="Arial"/>
          <w:color w:val="000000"/>
          <w:sz w:val="18"/>
        </w:rPr>
        <w:t xml:space="preserve"> note 1; R. 132-4 (Douglas's 2012 Special Accommodation Orders at 5-6) (Page ID #791-92). The orders listed in R. 132-4 may, of course, be different from the documents in the OMNI accommodations tab.</w:t>
      </w:r>
    </w:p>
  </w:footnote>
  <w:footnote w:id="100">
    <w:p w:rsidR="00022B47" w:rsidRDefault="00000000">
      <w:pPr>
        <w:pStyle w:val="Normal23"/>
        <w:widowControl w:val="0"/>
        <w:spacing w:before="200" w:line="240" w:lineRule="atLeast"/>
        <w:jc w:val="both"/>
      </w:pPr>
      <w:r>
        <w:rPr>
          <w:rFonts w:ascii="Arial" w:eastAsia="Arial" w:hAnsi="Arial" w:cs="Arial"/>
          <w:color w:val="000000"/>
          <w:sz w:val="18"/>
          <w:vertAlign w:val="superscript"/>
        </w:rPr>
        <w:t>9 </w:t>
      </w:r>
      <w:bookmarkStart w:id="4378" w:name="Bookmark_fnpara_9_3"/>
      <w:bookmarkStart w:id="4379" w:name="Bookmark_I66426DD2D6NFC0010000400"/>
      <w:bookmarkEnd w:id="4378"/>
      <w:bookmarkEnd w:id="4379"/>
      <w:r>
        <w:rPr>
          <w:rFonts w:ascii="Arial" w:eastAsia="Arial" w:hAnsi="Arial" w:cs="Arial"/>
          <w:color w:val="000000"/>
          <w:sz w:val="18"/>
        </w:rPr>
        <w:t xml:space="preserve">The dissent agrees that Douglas's orthopedic shoe "could be for a medical accommodation," but then attempts to distinguish this case from </w:t>
      </w:r>
      <w:bookmarkStart w:id="4380" w:name="Bookmark_I66426DD2HM61D0050000400"/>
      <w:bookmarkEnd w:id="4380"/>
      <w:r>
        <w:rPr>
          <w:rFonts w:ascii="Arial" w:eastAsia="Arial" w:hAnsi="Arial" w:cs="Arial"/>
          <w:i/>
          <w:color w:val="000000"/>
          <w:sz w:val="18"/>
        </w:rPr>
        <w:t>Biondo</w:t>
      </w:r>
      <w:r>
        <w:rPr>
          <w:rFonts w:ascii="Arial" w:eastAsia="Arial" w:hAnsi="Arial" w:cs="Arial"/>
          <w:color w:val="000000"/>
          <w:sz w:val="18"/>
        </w:rPr>
        <w:t xml:space="preserve"> by listing other purposes that shoes can serve. Dissenting Op. at 41. By implying that Gobert's failure to schedule a hearing could have stemmed from Gobert's making such assumptions about footwear, the dissent ignores the summary-judgment standard, which requires us to draw inferences in Douglas's favor.</w:t>
      </w:r>
    </w:p>
  </w:footnote>
  <w:footnote w:id="101">
    <w:p w:rsidR="00022B47" w:rsidRDefault="00000000">
      <w:pPr>
        <w:pStyle w:val="Normal23"/>
        <w:widowControl w:val="0"/>
        <w:spacing w:before="200" w:line="240" w:lineRule="atLeast"/>
        <w:jc w:val="both"/>
      </w:pPr>
      <w:r>
        <w:rPr>
          <w:rFonts w:ascii="Arial" w:eastAsia="Arial" w:hAnsi="Arial" w:cs="Arial"/>
          <w:color w:val="000000"/>
          <w:sz w:val="18"/>
          <w:vertAlign w:val="superscript"/>
        </w:rPr>
        <w:t>1 </w:t>
      </w:r>
      <w:bookmarkStart w:id="4399" w:name="Bookmark_fnpara_10_1"/>
      <w:bookmarkEnd w:id="4399"/>
      <w:r>
        <w:rPr>
          <w:rFonts w:ascii="Arial" w:eastAsia="Arial" w:hAnsi="Arial" w:cs="Arial"/>
          <w:color w:val="000000"/>
          <w:sz w:val="18"/>
        </w:rPr>
        <w:t xml:space="preserve">The majority sets out the standard for RA claims but treats such claims as the same as ADA claims. </w:t>
      </w:r>
      <w:r>
        <w:rPr>
          <w:rFonts w:ascii="Arial" w:eastAsia="Arial" w:hAnsi="Arial" w:cs="Arial"/>
          <w:i/>
          <w:color w:val="000000"/>
          <w:sz w:val="18"/>
        </w:rPr>
        <w:t>See</w:t>
      </w:r>
      <w:r>
        <w:rPr>
          <w:rFonts w:ascii="Arial" w:eastAsia="Arial" w:hAnsi="Arial" w:cs="Arial"/>
          <w:color w:val="000000"/>
          <w:sz w:val="18"/>
        </w:rPr>
        <w:t xml:space="preserve"> Maj. Op. at 10-12, 14. </w:t>
      </w:r>
      <w:bookmarkStart w:id="4400" w:name="Bookmark_I2G74P3C37H00003P900000H"/>
      <w:bookmarkStart w:id="4401" w:name="Bookmark_I2G74P3C51400003P900000J"/>
      <w:bookmarkStart w:id="4402" w:name="Bookmark_I2G74P3GS7400003P9000027"/>
      <w:bookmarkStart w:id="4403" w:name="Bookmark_I2G74P3GTMD00003P9000028"/>
      <w:bookmarkStart w:id="4404" w:name="Bookmark_I2G74P3GWP800003P9000029"/>
      <w:bookmarkStart w:id="4405" w:name="Bookmark_I66426DF28T4X20020000400"/>
      <w:bookmarkEnd w:id="4400"/>
      <w:bookmarkEnd w:id="4401"/>
      <w:bookmarkEnd w:id="4402"/>
      <w:bookmarkEnd w:id="4403"/>
      <w:bookmarkEnd w:id="4404"/>
      <w:bookmarkEnd w:id="4405"/>
      <w:r>
        <w:rPr>
          <w:rFonts w:ascii="Arial" w:eastAsia="Arial" w:hAnsi="Arial" w:cs="Arial"/>
          <w:color w:val="000000"/>
          <w:sz w:val="18"/>
        </w:rPr>
        <w:t xml:space="preserve">This approach is inconsistent with how Douglas described his claim—namely, as one brought under the RA for intentional discrimination. </w:t>
      </w:r>
      <w:bookmarkStart w:id="4406" w:name="Bookmark_I2G74P3GCBC00003P9000021"/>
      <w:bookmarkStart w:id="4407" w:name="Bookmark_I2G74P3GHW000003P9000023"/>
      <w:bookmarkStart w:id="4408" w:name="Bookmark_I2G74P3GMT200003P9000025"/>
      <w:bookmarkStart w:id="4409" w:name="Bookmark_I66426DG28T4XD0020000400"/>
      <w:bookmarkEnd w:id="4406"/>
      <w:bookmarkEnd w:id="4407"/>
      <w:bookmarkEnd w:id="4408"/>
      <w:bookmarkEnd w:id="4409"/>
      <w:r>
        <w:rPr>
          <w:rFonts w:ascii="Arial" w:eastAsia="Arial" w:hAnsi="Arial" w:cs="Arial"/>
          <w:i/>
          <w:color w:val="000000"/>
          <w:sz w:val="18"/>
        </w:rPr>
        <w:t>See</w:t>
      </w:r>
      <w:r>
        <w:rPr>
          <w:rFonts w:ascii="Arial" w:eastAsia="Arial" w:hAnsi="Arial" w:cs="Arial"/>
          <w:color w:val="000000"/>
          <w:sz w:val="18"/>
        </w:rPr>
        <w:t xml:space="preserve"> Appellant's Br. at 8 n.3. Furthermore, the RA—for both intentional-discrimination and failure-to-accommodate claims—has a different causation standard than the ADA. </w:t>
      </w:r>
      <w:r>
        <w:rPr>
          <w:rFonts w:ascii="Arial" w:eastAsia="Arial" w:hAnsi="Arial" w:cs="Arial"/>
          <w:i/>
          <w:color w:val="000000"/>
          <w:sz w:val="18"/>
        </w:rPr>
        <w:t xml:space="preserve">See </w:t>
      </w:r>
      <w:bookmarkStart w:id="4410" w:name="Bookmark_I66426DF28T4X20010000400"/>
      <w:bookmarkEnd w:id="4410"/>
      <w:r>
        <w:rPr>
          <w:rFonts w:ascii="Arial" w:eastAsia="Arial" w:hAnsi="Arial" w:cs="Arial"/>
          <w:i/>
          <w:color w:val="000000"/>
          <w:sz w:val="18"/>
        </w:rPr>
        <w:t>Lewis v. Humboldt Acquisition Corp., Inc.</w:t>
      </w:r>
      <w:r>
        <w:rPr>
          <w:rFonts w:ascii="Arial" w:eastAsia="Arial" w:hAnsi="Arial" w:cs="Arial"/>
          <w:color w:val="000000"/>
          <w:sz w:val="18"/>
        </w:rPr>
        <w:t xml:space="preserve">, 681 F.3d 312, 317 (6th Cir. 2012) (en banc); </w:t>
      </w:r>
      <w:bookmarkStart w:id="4411" w:name="Bookmark_I66426DF28T4X20030000400"/>
      <w:bookmarkEnd w:id="4411"/>
      <w:r>
        <w:rPr>
          <w:rFonts w:ascii="Arial" w:eastAsia="Arial" w:hAnsi="Arial" w:cs="Arial"/>
          <w:i/>
          <w:color w:val="000000"/>
          <w:sz w:val="18"/>
        </w:rPr>
        <w:t>Fisher v. Nissan N.A.</w:t>
      </w:r>
      <w:r>
        <w:rPr>
          <w:rFonts w:ascii="Arial" w:eastAsia="Arial" w:hAnsi="Arial" w:cs="Arial"/>
          <w:color w:val="000000"/>
          <w:sz w:val="18"/>
        </w:rPr>
        <w:t xml:space="preserve">, 951 F.3d 409, 417 (6th Cir. 2020) ("Our court, sitting en banc, has explained that though the two statutes[, the ADA and the RA,] have many similarities, they are not identical." (citing </w:t>
      </w:r>
      <w:bookmarkStart w:id="4412" w:name="Bookmark_I66426DF28T4X20050000400"/>
      <w:bookmarkEnd w:id="4412"/>
      <w:r>
        <w:rPr>
          <w:rFonts w:ascii="Arial" w:eastAsia="Arial" w:hAnsi="Arial" w:cs="Arial"/>
          <w:i/>
          <w:color w:val="000000"/>
          <w:sz w:val="18"/>
        </w:rPr>
        <w:t>Lewis</w:t>
      </w:r>
      <w:r>
        <w:rPr>
          <w:rFonts w:ascii="Arial" w:eastAsia="Arial" w:hAnsi="Arial" w:cs="Arial"/>
          <w:color w:val="000000"/>
          <w:sz w:val="18"/>
        </w:rPr>
        <w:t xml:space="preserve">, 681 F.3d at 314-17)); </w:t>
      </w:r>
      <w:r>
        <w:rPr>
          <w:rFonts w:ascii="Arial" w:eastAsia="Arial" w:hAnsi="Arial" w:cs="Arial"/>
          <w:i/>
          <w:color w:val="000000"/>
          <w:sz w:val="18"/>
        </w:rPr>
        <w:t xml:space="preserve">see also </w:t>
      </w:r>
      <w:bookmarkStart w:id="4413" w:name="Bookmark_I66426DG28T4X80020000400"/>
      <w:bookmarkEnd w:id="4413"/>
      <w:r>
        <w:rPr>
          <w:rFonts w:ascii="Arial" w:eastAsia="Arial" w:hAnsi="Arial" w:cs="Arial"/>
          <w:i/>
          <w:color w:val="000000"/>
          <w:sz w:val="18"/>
        </w:rPr>
        <w:t>Beans v. City of Massillon</w:t>
      </w:r>
      <w:r>
        <w:rPr>
          <w:rFonts w:ascii="Arial" w:eastAsia="Arial" w:hAnsi="Arial" w:cs="Arial"/>
          <w:color w:val="000000"/>
          <w:sz w:val="18"/>
        </w:rPr>
        <w:t xml:space="preserve">, 706 Fed. Appx. 295, 300 (6th Cir. 2017) (stating that for an ADA failure-to-accommodate claim, the plaintiff "need not show that [defendant]'s disability was the 'sole cause' of the discrimination," unlike a RA claim (citing </w:t>
      </w:r>
      <w:bookmarkStart w:id="4414" w:name="Bookmark_I66426DG28T4X80040000400"/>
      <w:bookmarkEnd w:id="4414"/>
      <w:r>
        <w:rPr>
          <w:rFonts w:ascii="Arial" w:eastAsia="Arial" w:hAnsi="Arial" w:cs="Arial"/>
          <w:i/>
          <w:color w:val="000000"/>
          <w:sz w:val="18"/>
        </w:rPr>
        <w:t>Anderson v. City of Blue Ash</w:t>
      </w:r>
      <w:r>
        <w:rPr>
          <w:rFonts w:ascii="Arial" w:eastAsia="Arial" w:hAnsi="Arial" w:cs="Arial"/>
          <w:color w:val="000000"/>
          <w:sz w:val="18"/>
        </w:rPr>
        <w:t xml:space="preserve">, 798 F.3d 338, 357 n.1 (6th Cir. 2015)). </w:t>
      </w:r>
      <w:bookmarkStart w:id="4415" w:name="Bookmark_I66426DG28T4XD0020000400_2"/>
      <w:bookmarkEnd w:id="4415"/>
      <w:r>
        <w:rPr>
          <w:rFonts w:ascii="Arial" w:eastAsia="Arial" w:hAnsi="Arial" w:cs="Arial"/>
          <w:color w:val="000000"/>
          <w:sz w:val="18"/>
        </w:rPr>
        <w:t xml:space="preserve">The majority's analysis implicates the differences between the ADA and the RA, so the majority should have addressed them. </w:t>
      </w:r>
      <w:r>
        <w:rPr>
          <w:rFonts w:ascii="Arial" w:eastAsia="Arial" w:hAnsi="Arial" w:cs="Arial"/>
          <w:i/>
          <w:color w:val="000000"/>
          <w:sz w:val="18"/>
        </w:rPr>
        <w:t xml:space="preserve">See </w:t>
      </w:r>
      <w:bookmarkStart w:id="4416" w:name="Bookmark_I66426DG28T4XD0010000400"/>
      <w:bookmarkEnd w:id="4416"/>
      <w:r>
        <w:rPr>
          <w:rFonts w:ascii="Arial" w:eastAsia="Arial" w:hAnsi="Arial" w:cs="Arial"/>
          <w:i/>
          <w:color w:val="000000"/>
          <w:sz w:val="18"/>
        </w:rPr>
        <w:t>Tri-Cities Holdings LLC v. Tenn. Admin. Procedures Div.</w:t>
      </w:r>
      <w:r>
        <w:rPr>
          <w:rFonts w:ascii="Arial" w:eastAsia="Arial" w:hAnsi="Arial" w:cs="Arial"/>
          <w:color w:val="000000"/>
          <w:sz w:val="18"/>
        </w:rPr>
        <w:t xml:space="preserve">, 726 F. App'x 298, 307 (6th Cir. 2018); </w:t>
      </w:r>
      <w:r>
        <w:rPr>
          <w:rFonts w:ascii="Arial" w:eastAsia="Arial" w:hAnsi="Arial" w:cs="Arial"/>
          <w:i/>
          <w:color w:val="000000"/>
          <w:sz w:val="18"/>
        </w:rPr>
        <w:t xml:space="preserve">see also </w:t>
      </w:r>
      <w:bookmarkStart w:id="4417" w:name="Bookmark_I66426DG28T4XD0030000400"/>
      <w:bookmarkEnd w:id="4417"/>
      <w:r>
        <w:rPr>
          <w:rFonts w:ascii="Arial" w:eastAsia="Arial" w:hAnsi="Arial" w:cs="Arial"/>
          <w:i/>
          <w:color w:val="000000"/>
          <w:sz w:val="18"/>
        </w:rPr>
        <w:t>Madej v. Maiden</w:t>
      </w:r>
      <w:r>
        <w:rPr>
          <w:rFonts w:ascii="Arial" w:eastAsia="Arial" w:hAnsi="Arial" w:cs="Arial"/>
          <w:color w:val="000000"/>
          <w:sz w:val="18"/>
        </w:rPr>
        <w:t xml:space="preserve">, 951 F.3d 364, 373 (6th Cir. 2020) (analyzing the ADA only); </w:t>
      </w:r>
      <w:bookmarkStart w:id="4418" w:name="Bookmark_I66426DG28T4XD0050000400"/>
      <w:bookmarkEnd w:id="4418"/>
      <w:r>
        <w:rPr>
          <w:rFonts w:ascii="Arial" w:eastAsia="Arial" w:hAnsi="Arial" w:cs="Arial"/>
          <w:i/>
          <w:color w:val="000000"/>
          <w:sz w:val="18"/>
        </w:rPr>
        <w:t>Keller v. Chippewa Cnty., Mich. Bd. of Comm'r</w:t>
      </w:r>
      <w:r>
        <w:rPr>
          <w:rFonts w:ascii="Arial" w:eastAsia="Arial" w:hAnsi="Arial" w:cs="Arial"/>
          <w:color w:val="000000"/>
          <w:sz w:val="18"/>
        </w:rPr>
        <w:t>, 860 F. App'x 381, 385 (6th Cir. 2021) (same).</w:t>
      </w:r>
    </w:p>
  </w:footnote>
  <w:footnote w:id="102">
    <w:p w:rsidR="00022B47" w:rsidRDefault="00000000">
      <w:pPr>
        <w:pStyle w:val="Normal23"/>
        <w:widowControl w:val="0"/>
        <w:spacing w:before="200" w:line="240" w:lineRule="atLeast"/>
        <w:jc w:val="both"/>
      </w:pPr>
      <w:r>
        <w:rPr>
          <w:rFonts w:ascii="Arial" w:eastAsia="Arial" w:hAnsi="Arial" w:cs="Arial"/>
          <w:color w:val="000000"/>
          <w:sz w:val="18"/>
          <w:vertAlign w:val="superscript"/>
        </w:rPr>
        <w:t>2 </w:t>
      </w:r>
      <w:bookmarkStart w:id="4436" w:name="Bookmark_fnpara_11_0"/>
      <w:bookmarkEnd w:id="4436"/>
      <w:r>
        <w:rPr>
          <w:rFonts w:ascii="Arial" w:eastAsia="Arial" w:hAnsi="Arial" w:cs="Arial"/>
          <w:color w:val="000000"/>
          <w:sz w:val="18"/>
        </w:rPr>
        <w:t xml:space="preserve">The parties agree that Douglas is disabled and otherwise qualified under the ADA and RA. </w:t>
      </w:r>
      <w:r>
        <w:rPr>
          <w:rFonts w:ascii="Arial" w:eastAsia="Arial" w:hAnsi="Arial" w:cs="Arial"/>
          <w:i/>
          <w:color w:val="000000"/>
          <w:sz w:val="18"/>
        </w:rPr>
        <w:t>See</w:t>
      </w:r>
      <w:r>
        <w:rPr>
          <w:rFonts w:ascii="Arial" w:eastAsia="Arial" w:hAnsi="Arial" w:cs="Arial"/>
          <w:color w:val="000000"/>
          <w:sz w:val="18"/>
        </w:rPr>
        <w:t xml:space="preserve"> Appellant's Br. at 18; Appellees' Br. at 3-4.</w:t>
      </w:r>
    </w:p>
  </w:footnote>
  <w:footnote w:id="103">
    <w:p w:rsidR="00022B47" w:rsidRDefault="00000000">
      <w:pPr>
        <w:pStyle w:val="Normal23"/>
        <w:widowControl w:val="0"/>
        <w:spacing w:before="200" w:line="240" w:lineRule="atLeast"/>
        <w:jc w:val="both"/>
      </w:pPr>
      <w:r>
        <w:rPr>
          <w:rFonts w:ascii="Arial" w:eastAsia="Arial" w:hAnsi="Arial" w:cs="Arial"/>
          <w:color w:val="000000"/>
          <w:sz w:val="18"/>
          <w:vertAlign w:val="superscript"/>
        </w:rPr>
        <w:t>3 </w:t>
      </w:r>
      <w:bookmarkStart w:id="4445" w:name="Bookmark_fnpara_12_0"/>
      <w:bookmarkStart w:id="4446" w:name="Bookmark_I2G74P3DS9800003P9000015"/>
      <w:bookmarkStart w:id="4447" w:name="Bookmark_I2G74P3DW5S00003P9000016"/>
      <w:bookmarkStart w:id="4448" w:name="Bookmark_I66426DJ28T4XY0050000400"/>
      <w:bookmarkStart w:id="4449" w:name="Bookmark_I2G74P3DNRK00003P9000014"/>
      <w:bookmarkStart w:id="4450" w:name="Bookmark_I66426DJ2HM62W0040000400"/>
      <w:bookmarkEnd w:id="4445"/>
      <w:bookmarkEnd w:id="4446"/>
      <w:bookmarkEnd w:id="4447"/>
      <w:bookmarkEnd w:id="4448"/>
      <w:bookmarkEnd w:id="4449"/>
      <w:bookmarkEnd w:id="4450"/>
      <w:r>
        <w:rPr>
          <w:rFonts w:ascii="Arial" w:eastAsia="Arial" w:hAnsi="Arial" w:cs="Arial"/>
          <w:color w:val="000000"/>
          <w:sz w:val="18"/>
        </w:rPr>
        <w:t xml:space="preserve">We have often analyzed ADA and RA claims similarly. </w:t>
      </w:r>
      <w:bookmarkStart w:id="4451" w:name="Bookmark_I66426DJ28T4XY0040000400"/>
      <w:bookmarkEnd w:id="4451"/>
      <w:r>
        <w:rPr>
          <w:rFonts w:ascii="Arial" w:eastAsia="Arial" w:hAnsi="Arial" w:cs="Arial"/>
          <w:i/>
          <w:color w:val="000000"/>
          <w:sz w:val="18"/>
        </w:rPr>
        <w:t>M.J. v. Akron City Sch. Dist. Bd. of Educ.</w:t>
      </w:r>
      <w:r>
        <w:rPr>
          <w:rFonts w:ascii="Arial" w:eastAsia="Arial" w:hAnsi="Arial" w:cs="Arial"/>
          <w:color w:val="000000"/>
          <w:sz w:val="18"/>
        </w:rPr>
        <w:t xml:space="preserve">, 1 F.4th 436, 452 (6th Cir. 2021); </w:t>
      </w:r>
      <w:r>
        <w:rPr>
          <w:rFonts w:ascii="Arial" w:eastAsia="Arial" w:hAnsi="Arial" w:cs="Arial"/>
          <w:i/>
          <w:color w:val="000000"/>
          <w:sz w:val="18"/>
        </w:rPr>
        <w:t xml:space="preserve">but see </w:t>
      </w:r>
      <w:bookmarkStart w:id="4452" w:name="Bookmark_I66426DJ2HM62W0010000400"/>
      <w:bookmarkEnd w:id="4452"/>
      <w:r>
        <w:rPr>
          <w:rFonts w:ascii="Arial" w:eastAsia="Arial" w:hAnsi="Arial" w:cs="Arial"/>
          <w:i/>
          <w:color w:val="000000"/>
          <w:sz w:val="18"/>
        </w:rPr>
        <w:t>Lewis</w:t>
      </w:r>
      <w:r>
        <w:rPr>
          <w:rFonts w:ascii="Arial" w:eastAsia="Arial" w:hAnsi="Arial" w:cs="Arial"/>
          <w:color w:val="000000"/>
          <w:sz w:val="18"/>
        </w:rPr>
        <w:t xml:space="preserve">, 681 F.3d at 317 ("The sole-cause standard in the end is a creature of the R[A]."). And when, "as here, the differences in the two statues are not implicated in the issues presented in a case . . . we need not address them." </w:t>
      </w:r>
      <w:bookmarkStart w:id="4453" w:name="Bookmark_I66426DJ2HM62W0030000400"/>
      <w:bookmarkEnd w:id="4453"/>
      <w:r>
        <w:rPr>
          <w:rFonts w:ascii="Arial" w:eastAsia="Arial" w:hAnsi="Arial" w:cs="Arial"/>
          <w:i/>
          <w:color w:val="000000"/>
          <w:sz w:val="18"/>
        </w:rPr>
        <w:t>Tri-Cities Holdings</w:t>
      </w:r>
      <w:r>
        <w:rPr>
          <w:rFonts w:ascii="Arial" w:eastAsia="Arial" w:hAnsi="Arial" w:cs="Arial"/>
          <w:color w:val="000000"/>
          <w:sz w:val="18"/>
        </w:rPr>
        <w:t>, 726 F. App'x at 307 (cleaned up).</w:t>
      </w:r>
    </w:p>
  </w:footnote>
  <w:footnote w:id="104">
    <w:p w:rsidR="00022B47" w:rsidRDefault="00000000">
      <w:pPr>
        <w:pStyle w:val="Normal23"/>
        <w:widowControl w:val="0"/>
        <w:spacing w:before="200" w:line="240" w:lineRule="atLeast"/>
        <w:jc w:val="both"/>
      </w:pPr>
      <w:r>
        <w:rPr>
          <w:rFonts w:ascii="Arial" w:eastAsia="Arial" w:hAnsi="Arial" w:cs="Arial"/>
          <w:color w:val="000000"/>
          <w:sz w:val="18"/>
          <w:vertAlign w:val="superscript"/>
        </w:rPr>
        <w:t>4 </w:t>
      </w:r>
      <w:bookmarkStart w:id="4476" w:name="Bookmark_fnpara_13"/>
      <w:bookmarkEnd w:id="4476"/>
      <w:r>
        <w:rPr>
          <w:rFonts w:ascii="Arial" w:eastAsia="Arial" w:hAnsi="Arial" w:cs="Arial"/>
          <w:color w:val="000000"/>
          <w:sz w:val="18"/>
        </w:rPr>
        <w:t xml:space="preserve">A failure-to-accommodate claim would be unsuccessful for the same reasons. </w:t>
      </w:r>
      <w:r>
        <w:rPr>
          <w:rFonts w:ascii="Arial" w:eastAsia="Arial" w:hAnsi="Arial" w:cs="Arial"/>
          <w:i/>
          <w:color w:val="000000"/>
          <w:sz w:val="18"/>
        </w:rPr>
        <w:t xml:space="preserve">See </w:t>
      </w:r>
      <w:bookmarkStart w:id="4477" w:name="Bookmark_I66426DJ2D6NGV0020000400"/>
      <w:bookmarkEnd w:id="4477"/>
      <w:r>
        <w:rPr>
          <w:rFonts w:ascii="Arial" w:eastAsia="Arial" w:hAnsi="Arial" w:cs="Arial"/>
          <w:i/>
          <w:color w:val="000000"/>
          <w:sz w:val="18"/>
        </w:rPr>
        <w:t>Mosby-Meachem v. Memphis Light, Gas &amp; Water Div.</w:t>
      </w:r>
      <w:r>
        <w:rPr>
          <w:rFonts w:ascii="Arial" w:eastAsia="Arial" w:hAnsi="Arial" w:cs="Arial"/>
          <w:color w:val="000000"/>
          <w:sz w:val="18"/>
        </w:rPr>
        <w:t>, 883 F.3d 595, 603 (6th Cir. 2018) (requiring, among other showings, that the plaintiff present evidence that the defendant knew or had reason to know that the plaintiff had a disability).</w:t>
      </w:r>
    </w:p>
  </w:footnote>
  <w:footnote w:id="105">
    <w:p w:rsidR="00022B47" w:rsidRDefault="00000000">
      <w:pPr>
        <w:pStyle w:val="Normal23"/>
        <w:widowControl w:val="0"/>
        <w:spacing w:before="120" w:line="240" w:lineRule="atLeast"/>
        <w:jc w:val="both"/>
      </w:pPr>
      <w:r>
        <w:rPr>
          <w:rFonts w:ascii="Arial" w:eastAsia="Arial" w:hAnsi="Arial" w:cs="Arial"/>
          <w:color w:val="000000"/>
          <w:sz w:val="18"/>
          <w:vertAlign w:val="superscript"/>
        </w:rPr>
        <w:t>5 </w:t>
      </w:r>
      <w:bookmarkStart w:id="4481" w:name="Bookmark_fnpara_14"/>
      <w:bookmarkEnd w:id="4481"/>
      <w:r>
        <w:rPr>
          <w:rFonts w:ascii="Arial" w:eastAsia="Arial" w:hAnsi="Arial" w:cs="Arial"/>
          <w:color w:val="000000"/>
          <w:sz w:val="18"/>
        </w:rPr>
        <w:t>In any event, even if Muzzin had contacted the correct party to validate the 2003 Special Accommodation, there is no evidence that the medical staff would have been aware Douglas had a valid accommodation for the shoes and would have communicated as such to Muzzin.</w:t>
      </w:r>
    </w:p>
  </w:footnote>
  <w:footnote w:id="106">
    <w:p w:rsidR="00022B47" w:rsidRDefault="00000000">
      <w:pPr>
        <w:pStyle w:val="Normal23"/>
        <w:widowControl w:val="0"/>
        <w:spacing w:before="200" w:line="240" w:lineRule="atLeast"/>
        <w:jc w:val="both"/>
      </w:pPr>
      <w:r>
        <w:rPr>
          <w:rFonts w:ascii="Arial" w:eastAsia="Arial" w:hAnsi="Arial" w:cs="Arial"/>
          <w:color w:val="000000"/>
          <w:sz w:val="18"/>
          <w:vertAlign w:val="superscript"/>
        </w:rPr>
        <w:t>6 </w:t>
      </w:r>
      <w:bookmarkStart w:id="4501" w:name="Bookmark_fnpara_15"/>
      <w:bookmarkEnd w:id="4501"/>
      <w:r>
        <w:rPr>
          <w:rFonts w:ascii="Arial" w:eastAsia="Arial" w:hAnsi="Arial" w:cs="Arial"/>
          <w:color w:val="000000"/>
          <w:sz w:val="18"/>
        </w:rPr>
        <w:t xml:space="preserve">This is also how the magistrate judge and district court analyzed Douglas's claims. </w:t>
      </w:r>
      <w:r>
        <w:rPr>
          <w:rFonts w:ascii="Arial" w:eastAsia="Arial" w:hAnsi="Arial" w:cs="Arial"/>
          <w:i/>
          <w:color w:val="000000"/>
          <w:sz w:val="18"/>
        </w:rPr>
        <w:t>See</w:t>
      </w:r>
      <w:r>
        <w:rPr>
          <w:rFonts w:ascii="Arial" w:eastAsia="Arial" w:hAnsi="Arial" w:cs="Arial"/>
          <w:color w:val="000000"/>
          <w:sz w:val="18"/>
        </w:rPr>
        <w:t xml:space="preserve"> Mar. 2021 Report &amp; Recommendation, R. 152, PageID 1000-4; Order &amp; Op. Approving Mar. 2021 Report &amp; Recommendation, R. 156, PageID 1036-37.</w:t>
      </w:r>
    </w:p>
  </w:footnote>
  <w:footnote w:id="107">
    <w:p w:rsidR="00022B47" w:rsidRDefault="00000000">
      <w:pPr>
        <w:pStyle w:val="Normal23"/>
        <w:widowControl w:val="0"/>
        <w:spacing w:before="120" w:line="240" w:lineRule="atLeast"/>
        <w:jc w:val="both"/>
      </w:pPr>
      <w:r>
        <w:rPr>
          <w:rFonts w:ascii="Arial" w:eastAsia="Arial" w:hAnsi="Arial" w:cs="Arial"/>
          <w:color w:val="000000"/>
          <w:sz w:val="18"/>
          <w:vertAlign w:val="superscript"/>
        </w:rPr>
        <w:t>7 </w:t>
      </w:r>
      <w:bookmarkStart w:id="4509" w:name="Bookmark_fnpara_16"/>
      <w:bookmarkEnd w:id="4509"/>
      <w:r>
        <w:rPr>
          <w:rFonts w:ascii="Arial" w:eastAsia="Arial" w:hAnsi="Arial" w:cs="Arial"/>
          <w:color w:val="000000"/>
          <w:sz w:val="18"/>
        </w:rPr>
        <w:t>Muzzin's rationale for rejecting Douglas's 2003 Special Accommodation was not merely "lay belief that Douglas was not wearing orthopedic shoes," as the majority states. Maj. Op. at 19. Rather, the evidence shows that Muzzin acted as she did because of the facts observed by her that Douglas lacked a valid medical accommodation for his shoes. Indeed, Douglas himself acknowledges that Muzzin claims that "the accommodation was not included within the MDOC electronic records." Appellant's Br. at 21 (citing Defs.' Disc. Resp., R. 132, PageID 755). Muzzin stated that Douglas "did not have a valid special medical accommodation for the shoes that he was attempting to wear during his visit" and that Douglas's "shoes were confiscated as contraband because he did not have a valid accommodation." Defs.' Br. in Supp. of Mot. for Summ. J., R. 74, PageID 435-36.</w:t>
      </w:r>
    </w:p>
  </w:footnote>
  <w:footnote w:id="108">
    <w:p w:rsidR="00022B47" w:rsidRDefault="00000000">
      <w:pPr>
        <w:pStyle w:val="Normal24"/>
        <w:widowControl w:val="0"/>
        <w:spacing w:before="200" w:line="240" w:lineRule="atLeast"/>
        <w:jc w:val="both"/>
      </w:pPr>
      <w:r>
        <w:rPr>
          <w:rFonts w:ascii="Arial" w:eastAsia="Arial" w:hAnsi="Arial" w:cs="Arial"/>
          <w:color w:val="000000"/>
          <w:sz w:val="18"/>
          <w:vertAlign w:val="superscript"/>
        </w:rPr>
        <w:t>1 </w:t>
      </w:r>
      <w:bookmarkStart w:id="4566" w:name="Bookmark_fnpara_1_18"/>
      <w:bookmarkStart w:id="4567" w:name="Bookmark_I663D85M2HM6NT0010000400"/>
      <w:bookmarkEnd w:id="4566"/>
      <w:bookmarkEnd w:id="4567"/>
      <w:r>
        <w:rPr>
          <w:rFonts w:ascii="Arial" w:eastAsia="Arial" w:hAnsi="Arial" w:cs="Arial"/>
          <w:color w:val="000000"/>
          <w:sz w:val="18"/>
        </w:rPr>
        <w:t xml:space="preserve">Plaintiff contends that our caselaw has competing "articulations" of the governing standard for a failure-to-accommodate claim. </w:t>
      </w:r>
      <w:bookmarkStart w:id="4568" w:name="Bookmark_I263DNXCV8Y0000360K00003"/>
      <w:bookmarkStart w:id="4569" w:name="Bookmark_I663D85M2HM6NT0030000400"/>
      <w:bookmarkEnd w:id="4568"/>
      <w:bookmarkEnd w:id="4569"/>
      <w:r>
        <w:rPr>
          <w:rFonts w:ascii="Arial" w:eastAsia="Arial" w:hAnsi="Arial" w:cs="Arial"/>
          <w:color w:val="000000"/>
          <w:sz w:val="18"/>
        </w:rPr>
        <w:t xml:space="preserve">We disagree, although we understand Plaintiff's position. Plaintiff points to our opinion in </w:t>
      </w:r>
      <w:bookmarkStart w:id="4570" w:name="Bookmark_I663D85K28T4840050000400"/>
      <w:bookmarkEnd w:id="4570"/>
      <w:r>
        <w:rPr>
          <w:rFonts w:ascii="Arial" w:eastAsia="Arial" w:hAnsi="Arial" w:cs="Arial"/>
          <w:color w:val="000000"/>
          <w:sz w:val="18"/>
          <w:u w:val="single"/>
        </w:rPr>
        <w:t>Exby-Stolley v. Bd. of Cty. Comm'rs</w:t>
      </w:r>
      <w:r>
        <w:rPr>
          <w:rFonts w:ascii="Arial" w:eastAsia="Arial" w:hAnsi="Arial" w:cs="Arial"/>
          <w:color w:val="000000"/>
          <w:sz w:val="18"/>
        </w:rPr>
        <w:t xml:space="preserve">, 979 F.3d 784, 795 (10th Cir. 2020) (en banc), for the proposition that the prima facie case does not include that a plaintiff request a plausibly reasonable accommodation. </w:t>
      </w:r>
      <w:bookmarkStart w:id="4571" w:name="Bookmark_I663D85M2HM6NT0030000400_2"/>
      <w:bookmarkStart w:id="4572" w:name="Bookmark_I663D85M2HM6NT0050000400"/>
      <w:bookmarkEnd w:id="4571"/>
      <w:bookmarkEnd w:id="4572"/>
      <w:r>
        <w:rPr>
          <w:rFonts w:ascii="Arial" w:eastAsia="Arial" w:hAnsi="Arial" w:cs="Arial"/>
          <w:color w:val="000000"/>
          <w:sz w:val="18"/>
        </w:rPr>
        <w:t xml:space="preserve">But that portion of </w:t>
      </w:r>
      <w:bookmarkStart w:id="4573" w:name="Bookmark_I663D85M2HM6NT0050000400_2"/>
      <w:bookmarkStart w:id="4574" w:name="Bookmark_I663D85M2HM6NT0030000400_3"/>
      <w:bookmarkStart w:id="4575" w:name="Bookmark_I663D85M2HM6NT0020000400"/>
      <w:bookmarkEnd w:id="4573"/>
      <w:bookmarkEnd w:id="4574"/>
      <w:bookmarkEnd w:id="4575"/>
      <w:r>
        <w:rPr>
          <w:rFonts w:ascii="Arial" w:eastAsia="Arial" w:hAnsi="Arial" w:cs="Arial"/>
          <w:color w:val="000000"/>
          <w:sz w:val="18"/>
          <w:u w:val="single"/>
        </w:rPr>
        <w:t>Exby-Stolley</w:t>
      </w:r>
      <w:bookmarkStart w:id="4576" w:name="Bookmark_I663D85M28T48B0020000400"/>
      <w:bookmarkEnd w:id="4576"/>
      <w:r>
        <w:rPr>
          <w:rFonts w:ascii="Arial" w:eastAsia="Arial" w:hAnsi="Arial" w:cs="Arial"/>
          <w:color w:val="000000"/>
          <w:sz w:val="18"/>
        </w:rPr>
        <w:t xml:space="preserve"> discussed the "overarching features of ADA discrimination claims." </w:t>
      </w:r>
      <w:r>
        <w:rPr>
          <w:rFonts w:ascii="Arial" w:eastAsia="Arial" w:hAnsi="Arial" w:cs="Arial"/>
          <w:color w:val="000000"/>
          <w:sz w:val="18"/>
          <w:u w:val="single"/>
        </w:rPr>
        <w:t>Id.</w:t>
      </w:r>
      <w:r>
        <w:rPr>
          <w:rFonts w:ascii="Arial" w:eastAsia="Arial" w:hAnsi="Arial" w:cs="Arial"/>
          <w:color w:val="000000"/>
          <w:sz w:val="18"/>
        </w:rPr>
        <w:t xml:space="preserve"> "'</w:t>
      </w:r>
      <w:bookmarkStart w:id="4577" w:name="Bookmark_LNHNREFclscc4_21"/>
      <w:bookmarkEnd w:id="4577"/>
      <w:r>
        <w:rPr>
          <w:rFonts w:ascii="Arial" w:eastAsia="Arial" w:hAnsi="Arial" w:cs="Arial"/>
          <w:color w:val="000000"/>
          <w:sz w:val="18"/>
        </w:rPr>
        <w:t xml:space="preserve">Discrimination' as used in the ADA encompasses three distinct types of discrimination": (1) disparate treatment; (2) failure to accommodate; and (3) disparate impact. </w:t>
      </w:r>
      <w:bookmarkStart w:id="4578" w:name="Bookmark_I663D85M2HM6NT0040000400"/>
      <w:bookmarkEnd w:id="4578"/>
      <w:r>
        <w:rPr>
          <w:rFonts w:ascii="Arial" w:eastAsia="Arial" w:hAnsi="Arial" w:cs="Arial"/>
          <w:color w:val="000000"/>
          <w:sz w:val="18"/>
          <w:u w:val="single"/>
        </w:rPr>
        <w:t>Davidson v. Am. Online, Inc.</w:t>
      </w:r>
      <w:r>
        <w:rPr>
          <w:rFonts w:ascii="Arial" w:eastAsia="Arial" w:hAnsi="Arial" w:cs="Arial"/>
          <w:color w:val="000000"/>
          <w:sz w:val="18"/>
        </w:rPr>
        <w:t xml:space="preserve">, 337 F.3d 1179, 1188-89 (10th Cir. 2003) (citing 42 U.S.C. §§ 12112(b)(5)(A), 12112(b)(6)). </w:t>
      </w:r>
      <w:bookmarkStart w:id="4579" w:name="Bookmark_I663D85M28T48B0020000400_2"/>
      <w:bookmarkStart w:id="4580" w:name="Bookmark_I663D85M2N1PYR0010000400"/>
      <w:bookmarkEnd w:id="4579"/>
      <w:bookmarkEnd w:id="4580"/>
      <w:r>
        <w:rPr>
          <w:rFonts w:ascii="Arial" w:eastAsia="Arial" w:hAnsi="Arial" w:cs="Arial"/>
          <w:color w:val="000000"/>
          <w:sz w:val="18"/>
        </w:rPr>
        <w:t xml:space="preserve">Earlier in </w:t>
      </w:r>
      <w:bookmarkStart w:id="4581" w:name="Bookmark_I663D85M2N1PYR0010000400_2"/>
      <w:bookmarkStart w:id="4582" w:name="Bookmark_I663D85M28T48B0020000400_3"/>
      <w:bookmarkStart w:id="4583" w:name="Bookmark_I663D85M28T48B0010000400"/>
      <w:bookmarkEnd w:id="4581"/>
      <w:bookmarkEnd w:id="4582"/>
      <w:bookmarkEnd w:id="4583"/>
      <w:r>
        <w:rPr>
          <w:rFonts w:ascii="Arial" w:eastAsia="Arial" w:hAnsi="Arial" w:cs="Arial"/>
          <w:color w:val="000000"/>
          <w:sz w:val="18"/>
          <w:u w:val="single"/>
        </w:rPr>
        <w:t>Exby-Stolley</w:t>
      </w:r>
      <w:r>
        <w:rPr>
          <w:rFonts w:ascii="Arial" w:eastAsia="Arial" w:hAnsi="Arial" w:cs="Arial"/>
          <w:color w:val="000000"/>
          <w:sz w:val="18"/>
        </w:rPr>
        <w:t xml:space="preserve">, we mentioned the elements of a failure-to-accommodate claim, noting that our "controlling precedents" set forth that a plaintiff show that he "requested a plausibly reasonable accommodation." </w:t>
      </w:r>
      <w:bookmarkStart w:id="4584" w:name="Bookmark_I663D85M28T48B0030000400"/>
      <w:bookmarkEnd w:id="4584"/>
      <w:r>
        <w:rPr>
          <w:rFonts w:ascii="Arial" w:eastAsia="Arial" w:hAnsi="Arial" w:cs="Arial"/>
          <w:color w:val="000000"/>
          <w:sz w:val="18"/>
        </w:rPr>
        <w:t xml:space="preserve">979 F.3d at 792 (quotation omitted). </w:t>
      </w:r>
      <w:bookmarkStart w:id="4585" w:name="Bookmark_I663D85M2N1PYR0030000400"/>
      <w:bookmarkStart w:id="4586" w:name="Bookmark_LNHNREFclscc5_21"/>
      <w:bookmarkEnd w:id="4585"/>
      <w:bookmarkEnd w:id="4586"/>
      <w:r>
        <w:rPr>
          <w:rFonts w:ascii="Arial" w:eastAsia="Arial" w:hAnsi="Arial" w:cs="Arial"/>
          <w:color w:val="000000"/>
          <w:sz w:val="18"/>
        </w:rPr>
        <w:t xml:space="preserve">Indeed, our caselaw distinguishes the elements of an ADA disparate-treatment claim, which does not require a showing of a request for a plausibly reasonable accommodation, and the elements of an ADA failure-to-accommodate claim, which does. </w:t>
      </w:r>
      <w:r>
        <w:rPr>
          <w:rFonts w:ascii="Arial" w:eastAsia="Arial" w:hAnsi="Arial" w:cs="Arial"/>
          <w:color w:val="000000"/>
          <w:sz w:val="18"/>
          <w:u w:val="single"/>
        </w:rPr>
        <w:t xml:space="preserve">See </w:t>
      </w:r>
      <w:bookmarkStart w:id="4587" w:name="Bookmark_I663D85M28T48B0050000400"/>
      <w:bookmarkEnd w:id="4587"/>
      <w:r>
        <w:rPr>
          <w:rFonts w:ascii="Arial" w:eastAsia="Arial" w:hAnsi="Arial" w:cs="Arial"/>
          <w:color w:val="000000"/>
          <w:sz w:val="18"/>
          <w:u w:val="single"/>
        </w:rPr>
        <w:t>Lincoln</w:t>
      </w:r>
      <w:r>
        <w:rPr>
          <w:rFonts w:ascii="Arial" w:eastAsia="Arial" w:hAnsi="Arial" w:cs="Arial"/>
          <w:color w:val="000000"/>
          <w:sz w:val="18"/>
        </w:rPr>
        <w:t xml:space="preserve">. 900 F.3d at 1192, 1204 (citations omitted) (discussing the differing elements of an ADA disparate-treatment claim and an ADA failure-to-accommodate claim). </w:t>
      </w:r>
      <w:bookmarkStart w:id="4588" w:name="Bookmark_I663D85M2N1PYR0030000400_2"/>
      <w:bookmarkEnd w:id="4588"/>
      <w:r>
        <w:rPr>
          <w:rFonts w:ascii="Arial" w:eastAsia="Arial" w:hAnsi="Arial" w:cs="Arial"/>
          <w:color w:val="000000"/>
          <w:sz w:val="18"/>
        </w:rPr>
        <w:t xml:space="preserve">But we have not always clearly articulated this standard. </w:t>
      </w:r>
      <w:bookmarkStart w:id="4589" w:name="Bookmark_I263DNXC6SW0000360K00001"/>
      <w:bookmarkStart w:id="4590" w:name="Bookmark_I663D85M2N1PYR0050000400"/>
      <w:bookmarkEnd w:id="4589"/>
      <w:bookmarkEnd w:id="4590"/>
      <w:r>
        <w:rPr>
          <w:rFonts w:ascii="Arial" w:eastAsia="Arial" w:hAnsi="Arial" w:cs="Arial"/>
          <w:color w:val="000000"/>
          <w:sz w:val="18"/>
        </w:rPr>
        <w:t xml:space="preserve">We first articulated the three-prong test Plaintiff desires in </w:t>
      </w:r>
      <w:bookmarkStart w:id="4591" w:name="Bookmark_I663D85M2N1PYR0020000400"/>
      <w:bookmarkEnd w:id="4591"/>
      <w:r>
        <w:rPr>
          <w:rFonts w:ascii="Arial" w:eastAsia="Arial" w:hAnsi="Arial" w:cs="Arial"/>
          <w:color w:val="000000"/>
          <w:sz w:val="18"/>
          <w:u w:val="single"/>
        </w:rPr>
        <w:t>White v. York Int'l Corp.</w:t>
      </w:r>
      <w:r>
        <w:rPr>
          <w:rFonts w:ascii="Arial" w:eastAsia="Arial" w:hAnsi="Arial" w:cs="Arial"/>
          <w:color w:val="000000"/>
          <w:sz w:val="18"/>
        </w:rPr>
        <w:t xml:space="preserve">, 45 F.3d 357, 360-61 (10th Cir. 1995) (citations omitted). </w:t>
      </w:r>
      <w:bookmarkStart w:id="4592" w:name="Bookmark_I663D85M2N1PYR0050000400_2"/>
      <w:bookmarkEnd w:id="4592"/>
      <w:r>
        <w:rPr>
          <w:rFonts w:ascii="Arial" w:eastAsia="Arial" w:hAnsi="Arial" w:cs="Arial"/>
          <w:color w:val="000000"/>
          <w:sz w:val="18"/>
        </w:rPr>
        <w:t xml:space="preserve">Although we did not incorporate the requirement that a plaintiff request a plausibly reasonable accommodation as an enumerated element, we still required that the plaintiff present evidence that an accommodation was possible. </w:t>
      </w:r>
      <w:bookmarkStart w:id="4593" w:name="Bookmark_I663D85M2N1PYR0040000400"/>
      <w:bookmarkEnd w:id="4593"/>
      <w:r>
        <w:rPr>
          <w:rFonts w:ascii="Arial" w:eastAsia="Arial" w:hAnsi="Arial" w:cs="Arial"/>
          <w:color w:val="000000"/>
          <w:sz w:val="18"/>
          <w:u w:val="single"/>
        </w:rPr>
        <w:t>Id.</w:t>
      </w:r>
      <w:r>
        <w:rPr>
          <w:rFonts w:ascii="Arial" w:eastAsia="Arial" w:hAnsi="Arial" w:cs="Arial"/>
          <w:color w:val="000000"/>
          <w:sz w:val="18"/>
        </w:rPr>
        <w:t xml:space="preserve"> at 363 ("White has produced no evidence that accommodation was possible. Thus, he has failed to establish an essential element of his case: that he is a 'qualified person with a disability,' entitled to the protections of the ADA.").</w:t>
      </w:r>
    </w:p>
  </w:footnote>
  <w:footnote w:id="109">
    <w:p w:rsidR="00022B47" w:rsidRDefault="00000000">
      <w:pPr>
        <w:pStyle w:val="Normal24"/>
        <w:widowControl w:val="0"/>
        <w:spacing w:before="200" w:line="240" w:lineRule="atLeast"/>
        <w:jc w:val="both"/>
      </w:pPr>
      <w:r>
        <w:rPr>
          <w:rFonts w:ascii="Arial" w:eastAsia="Arial" w:hAnsi="Arial" w:cs="Arial"/>
          <w:color w:val="000000"/>
          <w:sz w:val="18"/>
          <w:vertAlign w:val="superscript"/>
        </w:rPr>
        <w:t>2 </w:t>
      </w:r>
      <w:bookmarkStart w:id="4636" w:name="Bookmark_fnpara_2_16"/>
      <w:bookmarkStart w:id="4637" w:name="Bookmark_I663D85N2HM6P40040000400"/>
      <w:bookmarkStart w:id="4638" w:name="Bookmark_I663D85N2D6MSB0010000400"/>
      <w:bookmarkEnd w:id="4636"/>
      <w:bookmarkEnd w:id="4637"/>
      <w:bookmarkEnd w:id="4638"/>
      <w:r>
        <w:rPr>
          <w:rFonts w:ascii="Arial" w:eastAsia="Arial" w:hAnsi="Arial" w:cs="Arial"/>
          <w:color w:val="000000"/>
          <w:sz w:val="18"/>
        </w:rPr>
        <w:t xml:space="preserve">Defendant contends that even if it did not engage in the interactive process, Plaintiff still cannot prevail on summary judgment because failure to engage in the interactive process is not a standalone claim. </w:t>
      </w:r>
      <w:bookmarkStart w:id="4639" w:name="Bookmark_LNHNREFclscc9_16"/>
      <w:bookmarkEnd w:id="4639"/>
      <w:r>
        <w:rPr>
          <w:rFonts w:ascii="Arial" w:eastAsia="Arial" w:hAnsi="Arial" w:cs="Arial"/>
          <w:color w:val="000000"/>
          <w:sz w:val="18"/>
        </w:rPr>
        <w:t xml:space="preserve">True enough—"an employee cannot maintain a failure to accommodate claim based solely on an employer's failure to engage in the interactive process." </w:t>
      </w:r>
      <w:bookmarkStart w:id="4640" w:name="Bookmark_I663D85N2HM6P40030000400"/>
      <w:bookmarkEnd w:id="4640"/>
      <w:r>
        <w:rPr>
          <w:rFonts w:ascii="Arial" w:eastAsia="Arial" w:hAnsi="Arial" w:cs="Arial"/>
          <w:color w:val="000000"/>
          <w:sz w:val="18"/>
          <w:u w:val="single"/>
        </w:rPr>
        <w:t>Lincoln</w:t>
      </w:r>
      <w:r>
        <w:rPr>
          <w:rFonts w:ascii="Arial" w:eastAsia="Arial" w:hAnsi="Arial" w:cs="Arial"/>
          <w:color w:val="000000"/>
          <w:sz w:val="18"/>
        </w:rPr>
        <w:t xml:space="preserve">, 900 F.3d at 1207 n.29 (citations omitted). But "an employer's failure to engage in the interactive process will often make it difficult to resolve a case for the employer on summary judgment on this ground." </w:t>
      </w:r>
      <w:bookmarkStart w:id="4641" w:name="Bookmark_I663D85N2HM6P40050000400"/>
      <w:bookmarkEnd w:id="4641"/>
      <w:r>
        <w:rPr>
          <w:rFonts w:ascii="Arial" w:eastAsia="Arial" w:hAnsi="Arial" w:cs="Arial"/>
          <w:color w:val="000000"/>
          <w:sz w:val="18"/>
          <w:u w:val="single"/>
        </w:rPr>
        <w:t>Aubrey</w:t>
      </w:r>
      <w:r>
        <w:rPr>
          <w:rFonts w:ascii="Arial" w:eastAsia="Arial" w:hAnsi="Arial" w:cs="Arial"/>
          <w:color w:val="000000"/>
          <w:sz w:val="18"/>
        </w:rPr>
        <w:t xml:space="preserve">, 975 F.3d at 1010 (quotation omitted). And this makes sense. When an employer does not engage in the interactive process, that employer will unlikely be able to establish the absence of a disputed fact as to the existence of a reasonable accommodation. </w:t>
      </w:r>
      <w:r>
        <w:rPr>
          <w:rFonts w:ascii="Arial" w:eastAsia="Arial" w:hAnsi="Arial" w:cs="Arial"/>
          <w:color w:val="000000"/>
          <w:sz w:val="18"/>
          <w:u w:val="single"/>
        </w:rPr>
        <w:t>Id.</w:t>
      </w:r>
      <w:r>
        <w:rPr>
          <w:rFonts w:ascii="Arial" w:eastAsia="Arial" w:hAnsi="Arial" w:cs="Arial"/>
          <w:color w:val="000000"/>
          <w:sz w:val="18"/>
        </w:rPr>
        <w:t xml:space="preserve"> (citation omitted).</w:t>
      </w:r>
    </w:p>
  </w:footnote>
  <w:footnote w:id="110">
    <w:p w:rsidR="00022B47" w:rsidRDefault="00000000">
      <w:pPr>
        <w:pStyle w:val="Normal24"/>
        <w:widowControl w:val="0"/>
        <w:spacing w:before="120" w:line="240" w:lineRule="atLeast"/>
        <w:jc w:val="both"/>
      </w:pPr>
      <w:r>
        <w:rPr>
          <w:rFonts w:ascii="Arial" w:eastAsia="Arial" w:hAnsi="Arial" w:cs="Arial"/>
          <w:color w:val="000000"/>
          <w:sz w:val="18"/>
          <w:vertAlign w:val="superscript"/>
        </w:rPr>
        <w:t>3 </w:t>
      </w:r>
      <w:bookmarkStart w:id="4651" w:name="Bookmark_fnpara_3_14"/>
      <w:bookmarkEnd w:id="4651"/>
      <w:r>
        <w:rPr>
          <w:rFonts w:ascii="Arial" w:eastAsia="Arial" w:hAnsi="Arial" w:cs="Arial"/>
          <w:color w:val="000000"/>
          <w:sz w:val="18"/>
        </w:rPr>
        <w:t>In its oral ruling, the district court mentioned the telephone recording between Defendant's employees discussing the need for Plaintiff to have an accommodation until he qualified for FMLA leave. But the district court said it would not consider it for purposes of Plaintiff's summary-judgment motion because Plaintiff did not rely on that evidence in his proposed facts. The record, however, reveals that Plaintiff cited the voicemail in his motion for summary judgment. Plaintiff wrote: "Union Pacific may argue that Brown denied the request also because it was indefinite in time; however, Brown had been told that Dansie was requesting the accommodation just until he had enough hours to inarguably qualify for FMLA, which was seven months."</w:t>
      </w:r>
    </w:p>
  </w:footnote>
  <w:footnote w:id="111">
    <w:p w:rsidR="00022B47" w:rsidRDefault="00000000">
      <w:pPr>
        <w:pStyle w:val="Normal24"/>
        <w:widowControl w:val="0"/>
        <w:spacing w:before="200" w:line="240" w:lineRule="atLeast"/>
        <w:jc w:val="both"/>
      </w:pPr>
      <w:r>
        <w:rPr>
          <w:rFonts w:ascii="Arial" w:eastAsia="Arial" w:hAnsi="Arial" w:cs="Arial"/>
          <w:color w:val="000000"/>
          <w:sz w:val="18"/>
          <w:vertAlign w:val="superscript"/>
        </w:rPr>
        <w:t>4 </w:t>
      </w:r>
      <w:bookmarkStart w:id="4652" w:name="Bookmark_fnpara_4_12"/>
      <w:bookmarkStart w:id="4653" w:name="Bookmark_I663D85N28T48R0020000400"/>
      <w:bookmarkEnd w:id="4652"/>
      <w:bookmarkEnd w:id="4653"/>
      <w:r>
        <w:rPr>
          <w:rFonts w:ascii="Arial" w:eastAsia="Arial" w:hAnsi="Arial" w:cs="Arial"/>
          <w:color w:val="000000"/>
          <w:sz w:val="18"/>
        </w:rPr>
        <w:t xml:space="preserve">As much as the district court believed it could not consider evidence outside Form E, it was incorrect. </w:t>
      </w:r>
      <w:bookmarkStart w:id="4654" w:name="Bookmark_LNHNREFclscc12_10"/>
      <w:bookmarkEnd w:id="4654"/>
      <w:r>
        <w:rPr>
          <w:rFonts w:ascii="Arial" w:eastAsia="Arial" w:hAnsi="Arial" w:cs="Arial"/>
          <w:color w:val="000000"/>
          <w:sz w:val="18"/>
        </w:rPr>
        <w:t xml:space="preserve">We have said that "we are not persuaded there is any reason to constrain the types of evidence an employee may use to present a failure-to-accommodate case, subject of course to the rules of evidence." </w:t>
      </w:r>
      <w:bookmarkStart w:id="4655" w:name="Bookmark_I663D85N28T48R0010000400"/>
      <w:bookmarkEnd w:id="4655"/>
      <w:r>
        <w:rPr>
          <w:rFonts w:ascii="Arial" w:eastAsia="Arial" w:hAnsi="Arial" w:cs="Arial"/>
          <w:color w:val="000000"/>
          <w:sz w:val="18"/>
          <w:u w:val="single"/>
        </w:rPr>
        <w:t>Punt</w:t>
      </w:r>
      <w:r>
        <w:rPr>
          <w:rFonts w:ascii="Arial" w:eastAsia="Arial" w:hAnsi="Arial" w:cs="Arial"/>
          <w:color w:val="000000"/>
          <w:sz w:val="18"/>
        </w:rPr>
        <w:t>, 862 F.3d at 1049. And the other evidence provides information about the duration of Plaintiff's impairment under his accommodation request.</w:t>
      </w:r>
    </w:p>
  </w:footnote>
  <w:footnote w:id="112">
    <w:p w:rsidR="00022B47" w:rsidRDefault="00000000">
      <w:pPr>
        <w:pStyle w:val="Normal24"/>
        <w:widowControl w:val="0"/>
        <w:spacing w:before="200" w:line="240" w:lineRule="atLeast"/>
        <w:jc w:val="both"/>
      </w:pPr>
      <w:r>
        <w:rPr>
          <w:rFonts w:ascii="Arial" w:eastAsia="Arial" w:hAnsi="Arial" w:cs="Arial"/>
          <w:color w:val="000000"/>
          <w:sz w:val="18"/>
          <w:vertAlign w:val="superscript"/>
        </w:rPr>
        <w:t>5 </w:t>
      </w:r>
      <w:bookmarkStart w:id="4657" w:name="Bookmark_fnpara_5_8"/>
      <w:bookmarkEnd w:id="4657"/>
      <w:r>
        <w:rPr>
          <w:rFonts w:ascii="Arial" w:eastAsia="Arial" w:hAnsi="Arial" w:cs="Arial"/>
          <w:color w:val="000000"/>
          <w:sz w:val="18"/>
        </w:rPr>
        <w:t xml:space="preserve">Defendant contends that even if Plaintiff sought an ADA accommodation until he became FMLA eligible, that reason did not render his accommodation request reasonable because he cannot use the ADA to circumvent FMLA limitations—an argument it failed to raise below. </w:t>
      </w:r>
      <w:bookmarkStart w:id="4658" w:name="Bookmark_I663D85N28T48R0040000400"/>
      <w:bookmarkEnd w:id="4658"/>
      <w:r>
        <w:rPr>
          <w:rFonts w:ascii="Arial" w:eastAsia="Arial" w:hAnsi="Arial" w:cs="Arial"/>
          <w:color w:val="000000"/>
          <w:sz w:val="18"/>
        </w:rPr>
        <w:t xml:space="preserve">Defendant asserts that if employees could use accommodations under the ADA as a bridge to FMLA, such action would nullify the FMLA's twelve-week limit on how much unpaid FMLA leave an employee may take. Although Plaintiff uses the date at which he became eligible for the FMLA as a marker for when his accommodation would end, Plaintiff never asserted that the requested five days off constituted FMLA leave prior to his eligibility for such leave. As a disabled individual, the ADA entitled Plaintiff to receive accommodations with no waiting period. </w:t>
      </w:r>
      <w:bookmarkStart w:id="4659" w:name="Bookmark_LNHNREFclscc13_9"/>
      <w:bookmarkEnd w:id="4659"/>
      <w:r>
        <w:rPr>
          <w:rFonts w:ascii="Arial" w:eastAsia="Arial" w:hAnsi="Arial" w:cs="Arial"/>
          <w:color w:val="000000"/>
          <w:sz w:val="18"/>
        </w:rPr>
        <w:t xml:space="preserve">And we have held that "[i]t is well-settled that a request for leave may lead to a 'reasonable' accommodation." </w:t>
      </w:r>
      <w:bookmarkStart w:id="4660" w:name="Bookmark_I663D85N28T48R0030000400"/>
      <w:bookmarkEnd w:id="4660"/>
      <w:r>
        <w:rPr>
          <w:rFonts w:ascii="Arial" w:eastAsia="Arial" w:hAnsi="Arial" w:cs="Arial"/>
          <w:color w:val="000000"/>
          <w:sz w:val="18"/>
          <w:u w:val="single"/>
        </w:rPr>
        <w:t>Punt</w:t>
      </w:r>
      <w:r>
        <w:rPr>
          <w:rFonts w:ascii="Arial" w:eastAsia="Arial" w:hAnsi="Arial" w:cs="Arial"/>
          <w:color w:val="000000"/>
          <w:sz w:val="18"/>
        </w:rPr>
        <w:t xml:space="preserve">, 862 F.3d at 1051 (citation omitted). Thus, Plaintiff's request for leave until he is eligible for FMLA sets the duration on his leave request, rather than an attempt to end-run the FMLA. </w:t>
      </w:r>
      <w:bookmarkStart w:id="4661" w:name="Bookmark_LNHNREFclscc14_7"/>
      <w:bookmarkEnd w:id="4661"/>
      <w:r>
        <w:rPr>
          <w:rFonts w:ascii="Arial" w:eastAsia="Arial" w:hAnsi="Arial" w:cs="Arial"/>
          <w:color w:val="000000"/>
          <w:sz w:val="18"/>
        </w:rPr>
        <w:t>And the Code of Federal Regulations contemplates that an employer may allow an employee to take non-FMLA leave before the employee meets the twelve-month eligibility requirement, and in that event, "any portion of the leave taken for an FMLA-qualifying reason after the employee meets the eligibility requirement would be FMLA leave." 29 C.F.R. § 825.110(d).</w:t>
      </w:r>
    </w:p>
  </w:footnote>
  <w:footnote w:id="113">
    <w:p w:rsidR="00022B47" w:rsidRDefault="00000000">
      <w:pPr>
        <w:pStyle w:val="Normal24"/>
        <w:widowControl w:val="0"/>
        <w:spacing w:before="200" w:line="240" w:lineRule="atLeast"/>
        <w:jc w:val="both"/>
      </w:pPr>
      <w:r>
        <w:rPr>
          <w:rFonts w:ascii="Arial" w:eastAsia="Arial" w:hAnsi="Arial" w:cs="Arial"/>
          <w:color w:val="000000"/>
          <w:sz w:val="18"/>
          <w:vertAlign w:val="superscript"/>
        </w:rPr>
        <w:t>6 </w:t>
      </w:r>
      <w:bookmarkStart w:id="4662" w:name="Bookmark_fnpara_6_5"/>
      <w:bookmarkStart w:id="4663" w:name="Bookmark_I663D85N2N1R030010000400"/>
      <w:bookmarkEnd w:id="4662"/>
      <w:bookmarkEnd w:id="4663"/>
      <w:r>
        <w:rPr>
          <w:rFonts w:ascii="Arial" w:eastAsia="Arial" w:hAnsi="Arial" w:cs="Arial"/>
          <w:color w:val="000000"/>
          <w:sz w:val="18"/>
        </w:rPr>
        <w:t xml:space="preserve">Defendant also suggests that Plaintiff's argument fails under our case law. We disagree. Defendant compares this case to that of a receptionist diagnosed with breast cancer that planned not to come into work for an entire week followed by sporadic absences. </w:t>
      </w:r>
      <w:bookmarkStart w:id="4664" w:name="Bookmark_I663D85N28T48R0050000400"/>
      <w:bookmarkEnd w:id="4664"/>
      <w:r>
        <w:rPr>
          <w:rFonts w:ascii="Arial" w:eastAsia="Arial" w:hAnsi="Arial" w:cs="Arial"/>
          <w:color w:val="000000"/>
          <w:sz w:val="18"/>
          <w:u w:val="single"/>
        </w:rPr>
        <w:t>Punt</w:t>
      </w:r>
      <w:r>
        <w:rPr>
          <w:rFonts w:ascii="Arial" w:eastAsia="Arial" w:hAnsi="Arial" w:cs="Arial"/>
          <w:color w:val="000000"/>
          <w:sz w:val="18"/>
        </w:rPr>
        <w:t xml:space="preserve">, 862, F.3d at 1043, 1050. </w:t>
      </w:r>
      <w:bookmarkStart w:id="4665" w:name="Bookmark_I263DNXG2850000360K0000P"/>
      <w:bookmarkStart w:id="4666" w:name="Bookmark_I663D85N2N1R030030000400"/>
      <w:bookmarkEnd w:id="4665"/>
      <w:bookmarkEnd w:id="4666"/>
      <w:r>
        <w:rPr>
          <w:rFonts w:ascii="Arial" w:eastAsia="Arial" w:hAnsi="Arial" w:cs="Arial"/>
          <w:color w:val="000000"/>
          <w:sz w:val="18"/>
        </w:rPr>
        <w:t xml:space="preserve">But Plaintiff did not work a normal, set forty-hour-per-week schedule. Rather, he worked a 24-7-365 on-call schedule. Plaintiff, when requesting five days off per month, conveyed to Defendant that he had availability twenty-five days per month, twenty-four hours per day—still an average of 150 hours per week. That Plaintiff's job did not have a set schedule distinguishes the situation presented here from </w:t>
      </w:r>
      <w:bookmarkStart w:id="4667" w:name="Bookmark_I663D85N2N1R030030000400_2"/>
      <w:bookmarkStart w:id="4668" w:name="Bookmark_I663D85N2N1R030020000400"/>
      <w:bookmarkEnd w:id="4667"/>
      <w:bookmarkEnd w:id="4668"/>
      <w:r>
        <w:rPr>
          <w:rFonts w:ascii="Arial" w:eastAsia="Arial" w:hAnsi="Arial" w:cs="Arial"/>
          <w:color w:val="000000"/>
          <w:sz w:val="18"/>
          <w:u w:val="single"/>
        </w:rPr>
        <w:t>Punt</w:t>
      </w:r>
      <w:r>
        <w:rPr>
          <w:rFonts w:ascii="Arial" w:eastAsia="Arial" w:hAnsi="Arial" w:cs="Arial"/>
          <w:color w:val="000000"/>
          <w:sz w:val="18"/>
        </w:rPr>
        <w:t>.</w:t>
      </w:r>
    </w:p>
  </w:footnote>
  <w:footnote w:id="114">
    <w:p w:rsidR="00022B47" w:rsidRDefault="00000000">
      <w:pPr>
        <w:pStyle w:val="Normal24"/>
        <w:widowControl w:val="0"/>
        <w:spacing w:before="120" w:line="240" w:lineRule="atLeast"/>
        <w:jc w:val="both"/>
      </w:pPr>
      <w:r>
        <w:rPr>
          <w:rFonts w:ascii="Arial" w:eastAsia="Arial" w:hAnsi="Arial" w:cs="Arial"/>
          <w:color w:val="000000"/>
          <w:sz w:val="18"/>
          <w:vertAlign w:val="superscript"/>
        </w:rPr>
        <w:t>7 </w:t>
      </w:r>
      <w:bookmarkStart w:id="4678" w:name="Bookmark_fnpara_7_5"/>
      <w:bookmarkEnd w:id="4678"/>
      <w:r>
        <w:rPr>
          <w:rFonts w:ascii="Arial" w:eastAsia="Arial" w:hAnsi="Arial" w:cs="Arial"/>
          <w:color w:val="000000"/>
          <w:sz w:val="18"/>
        </w:rPr>
        <w:t>Defendant argues that Owens continued to participate in the interactive process, offering to help Plaintiff find a different job within the company that was compatible with his medical needs but that Plaintiff declined this offer. Plaintiff offers evidence of Owens's deposition testimony that she could not remember if she spoke with Plaintiff about finding alternative employment. Plaintiff also argues that the voicemail used to support this suggestion took place eight months after Plaintiff first requested accommodations and on the eve of his final disciplinary hearing. How much Defendant engaged in the interactive process and whether Defendant could have reassigned him to an available regular-schedule position presents a fact question for the jury.</w:t>
      </w:r>
    </w:p>
  </w:footnote>
  <w:footnote w:id="115">
    <w:p w:rsidR="00022B47" w:rsidRDefault="00000000">
      <w:pPr>
        <w:pStyle w:val="Normal24"/>
        <w:widowControl w:val="0"/>
        <w:spacing w:before="200" w:line="240" w:lineRule="atLeast"/>
        <w:jc w:val="both"/>
      </w:pPr>
      <w:r>
        <w:rPr>
          <w:rFonts w:ascii="Arial" w:eastAsia="Arial" w:hAnsi="Arial" w:cs="Arial"/>
          <w:color w:val="000000"/>
          <w:sz w:val="18"/>
          <w:vertAlign w:val="superscript"/>
        </w:rPr>
        <w:t>8 </w:t>
      </w:r>
      <w:bookmarkStart w:id="4730" w:name="Bookmark_fnpara_8_5"/>
      <w:bookmarkStart w:id="4731" w:name="Bookmark_I663D85T28T49B0040000400"/>
      <w:bookmarkEnd w:id="4730"/>
      <w:bookmarkEnd w:id="4731"/>
      <w:r>
        <w:rPr>
          <w:rFonts w:ascii="Arial" w:eastAsia="Arial" w:hAnsi="Arial" w:cs="Arial"/>
          <w:color w:val="000000"/>
          <w:sz w:val="18"/>
        </w:rPr>
        <w:t xml:space="preserve">The dissent contends that the district court abused its discretion in referring the jury back to the original instructions because the original instructions could not have resolved the jury's question. Maybe so. But the jury's question did not reveal a genuine confusion about a </w:t>
      </w:r>
      <w:r>
        <w:rPr>
          <w:rFonts w:ascii="Arial" w:eastAsia="Arial" w:hAnsi="Arial" w:cs="Arial"/>
          <w:i/>
          <w:color w:val="000000"/>
          <w:sz w:val="18"/>
        </w:rPr>
        <w:t>central issue</w:t>
      </w:r>
      <w:r>
        <w:rPr>
          <w:rFonts w:ascii="Arial" w:eastAsia="Arial" w:hAnsi="Arial" w:cs="Arial"/>
          <w:color w:val="000000"/>
          <w:sz w:val="18"/>
        </w:rPr>
        <w:t xml:space="preserve"> in the case. </w:t>
      </w:r>
      <w:bookmarkStart w:id="4732" w:name="Bookmark_I663D85T28T49B0030000400"/>
      <w:bookmarkEnd w:id="4732"/>
      <w:r>
        <w:rPr>
          <w:rFonts w:ascii="Arial" w:eastAsia="Arial" w:hAnsi="Arial" w:cs="Arial"/>
          <w:color w:val="000000"/>
          <w:sz w:val="18"/>
          <w:u w:val="single"/>
        </w:rPr>
        <w:t>Commercial Union Assurance Companies v. Sears, Roebuck &amp; Co.</w:t>
      </w:r>
      <w:r>
        <w:rPr>
          <w:rFonts w:ascii="Arial" w:eastAsia="Arial" w:hAnsi="Arial" w:cs="Arial"/>
          <w:color w:val="000000"/>
          <w:sz w:val="18"/>
        </w:rPr>
        <w:t xml:space="preserve">, 716 F.2d 606, 610 (10th Cir. 1983). The jury did not have to know the answer to its questions in order to decide what was at issue. </w:t>
      </w:r>
      <w:bookmarkStart w:id="4733" w:name="Bookmark_LNHNREFclscc21_2"/>
      <w:bookmarkEnd w:id="4733"/>
      <w:r>
        <w:rPr>
          <w:rFonts w:ascii="Arial" w:eastAsia="Arial" w:hAnsi="Arial" w:cs="Arial"/>
          <w:color w:val="000000"/>
          <w:sz w:val="18"/>
        </w:rPr>
        <w:t xml:space="preserve">We "usually defer to the trial judge's discretion regarding matters of trial conduct." </w:t>
      </w:r>
      <w:r>
        <w:rPr>
          <w:rFonts w:ascii="Arial" w:eastAsia="Arial" w:hAnsi="Arial" w:cs="Arial"/>
          <w:color w:val="000000"/>
          <w:sz w:val="18"/>
          <w:u w:val="single"/>
        </w:rPr>
        <w:t>Id.</w:t>
      </w:r>
      <w:r>
        <w:rPr>
          <w:rFonts w:ascii="Arial" w:eastAsia="Arial" w:hAnsi="Arial" w:cs="Arial"/>
          <w:color w:val="000000"/>
          <w:sz w:val="18"/>
        </w:rPr>
        <w:t xml:space="preserve"> And we cannot say that the district judge's decision was arbitrary, capricious or whimsical or fell outside the bounds of permissible choice in the circumstances.</w:t>
      </w:r>
    </w:p>
  </w:footnote>
  <w:footnote w:id="116">
    <w:p w:rsidR="00022B47" w:rsidRDefault="00000000">
      <w:pPr>
        <w:pStyle w:val="Normal24"/>
        <w:widowControl w:val="0"/>
        <w:spacing w:before="200" w:line="240" w:lineRule="atLeast"/>
        <w:jc w:val="both"/>
      </w:pPr>
      <w:r>
        <w:rPr>
          <w:rFonts w:ascii="Arial" w:eastAsia="Arial" w:hAnsi="Arial" w:cs="Arial"/>
          <w:color w:val="000000"/>
          <w:sz w:val="18"/>
          <w:vertAlign w:val="superscript"/>
        </w:rPr>
        <w:t>9 </w:t>
      </w:r>
      <w:bookmarkStart w:id="4734" w:name="Bookmark_fnpara_9_4"/>
      <w:bookmarkEnd w:id="4734"/>
      <w:r>
        <w:rPr>
          <w:rFonts w:ascii="Arial" w:eastAsia="Arial" w:hAnsi="Arial" w:cs="Arial"/>
          <w:color w:val="000000"/>
          <w:sz w:val="18"/>
        </w:rPr>
        <w:t xml:space="preserve">The dissent posits that the district court may have prejudiced Plaintiff because, in reaching its verdict, the jury may have decided that Defendant did not interfere with Plaintiff's FMLA rights—an issue the district court previously decided as a matter of law. Juries do not always know every legal ruling that has occurred prior to trial. Furthermore, the dissent's position would require us "to speculate on the deliberative process of a jury, an activity we are loath to undertake." </w:t>
      </w:r>
      <w:bookmarkStart w:id="4735" w:name="Bookmark_I663D85T28T49B0050000400"/>
      <w:bookmarkEnd w:id="4735"/>
      <w:r>
        <w:rPr>
          <w:rFonts w:ascii="Arial" w:eastAsia="Arial" w:hAnsi="Arial" w:cs="Arial"/>
          <w:color w:val="000000"/>
          <w:sz w:val="18"/>
          <w:u w:val="single"/>
        </w:rPr>
        <w:t>Mayes v. Gibson</w:t>
      </w:r>
      <w:r>
        <w:rPr>
          <w:rFonts w:ascii="Arial" w:eastAsia="Arial" w:hAnsi="Arial" w:cs="Arial"/>
          <w:color w:val="000000"/>
          <w:sz w:val="18"/>
        </w:rPr>
        <w:t>, 210 F.3d 1284, 1291 (10th Cir. 2000).</w:t>
      </w:r>
    </w:p>
  </w:footnote>
  <w:footnote w:id="117">
    <w:p w:rsidR="00022B47" w:rsidRDefault="00000000">
      <w:pPr>
        <w:pStyle w:val="Normal24"/>
        <w:widowControl w:val="0"/>
        <w:spacing w:before="120" w:line="240" w:lineRule="atLeast"/>
        <w:jc w:val="both"/>
      </w:pPr>
      <w:r>
        <w:rPr>
          <w:rFonts w:ascii="Arial" w:eastAsia="Arial" w:hAnsi="Arial" w:cs="Arial"/>
          <w:color w:val="000000"/>
          <w:sz w:val="18"/>
          <w:vertAlign w:val="superscript"/>
        </w:rPr>
        <w:t>1 </w:t>
      </w:r>
      <w:bookmarkStart w:id="4763" w:name="Bookmark_fnpara_10_2"/>
      <w:bookmarkEnd w:id="4763"/>
      <w:r>
        <w:rPr>
          <w:rFonts w:ascii="Arial" w:eastAsia="Arial" w:hAnsi="Arial" w:cs="Arial"/>
          <w:color w:val="000000"/>
          <w:sz w:val="18"/>
        </w:rPr>
        <w:t>According to the record, Brown was the individual who allegedly denied Dansie's request for accommodation in the fall of 2016, and was also the individual who ultimately terminated Dansie's employment with Union Pacific. In February of 2017, Brown sent an email to Union Pacific's Equal Employment Opportunity department stating that he could not accommodate Dansie's request to be allowed up to five layoffs per month. In that same email, Brown stated: "If [Dansie] is eligible for FMLA [leave] that would complicate this but at this point I don't know that he is? * * * Sometimes these cases evolve but based on the prior status discipline would be an option if . . . he is not covered by FMLA." Aplt. App., Vol. 3 at 877.</w:t>
      </w:r>
    </w:p>
  </w:footnote>
  <w:footnote w:id="118">
    <w:p w:rsidR="00022B47" w:rsidRDefault="00000000">
      <w:pPr>
        <w:pStyle w:val="Normal24"/>
        <w:widowControl w:val="0"/>
        <w:spacing w:before="120" w:line="240" w:lineRule="atLeast"/>
        <w:jc w:val="both"/>
      </w:pPr>
      <w:r>
        <w:rPr>
          <w:rFonts w:ascii="Arial" w:eastAsia="Arial" w:hAnsi="Arial" w:cs="Arial"/>
          <w:color w:val="000000"/>
          <w:sz w:val="18"/>
          <w:vertAlign w:val="superscript"/>
        </w:rPr>
        <w:t>2 </w:t>
      </w:r>
      <w:bookmarkStart w:id="4788" w:name="Bookmark_fnpara_11_1"/>
      <w:bookmarkEnd w:id="4788"/>
      <w:r>
        <w:rPr>
          <w:rFonts w:ascii="Arial" w:eastAsia="Arial" w:hAnsi="Arial" w:cs="Arial"/>
          <w:color w:val="000000"/>
          <w:sz w:val="18"/>
        </w:rPr>
        <w:t>Nor did the jury know that the district court had also found as a matter of law that Union Pacific's termination of Dansie had interfered with Dansie's ability to exercise his FMLA rights.</w:t>
      </w:r>
    </w:p>
  </w:footnote>
  <w:footnote w:id="119">
    <w:p w:rsidR="00022B47" w:rsidRDefault="00000000">
      <w:pPr>
        <w:pStyle w:val="Normal24"/>
        <w:widowControl w:val="0"/>
        <w:spacing w:before="200" w:line="240" w:lineRule="atLeast"/>
        <w:jc w:val="both"/>
      </w:pPr>
      <w:r>
        <w:rPr>
          <w:rFonts w:ascii="Arial" w:eastAsia="Arial" w:hAnsi="Arial" w:cs="Arial"/>
          <w:color w:val="000000"/>
          <w:sz w:val="18"/>
          <w:vertAlign w:val="superscript"/>
        </w:rPr>
        <w:t>3 </w:t>
      </w:r>
      <w:bookmarkStart w:id="4790" w:name="Bookmark_fnpara_12_1"/>
      <w:bookmarkStart w:id="4791" w:name="Bookmark_I263DNXFHRW0000360K0000J"/>
      <w:bookmarkStart w:id="4792" w:name="Bookmark_I263DNXFNG20000360K0000K"/>
      <w:bookmarkStart w:id="4793" w:name="Bookmark_I663D85V2D6MTD0040000400"/>
      <w:bookmarkEnd w:id="4790"/>
      <w:bookmarkEnd w:id="4791"/>
      <w:bookmarkEnd w:id="4792"/>
      <w:bookmarkEnd w:id="4793"/>
      <w:r>
        <w:rPr>
          <w:rFonts w:ascii="Arial" w:eastAsia="Arial" w:hAnsi="Arial" w:cs="Arial"/>
          <w:color w:val="000000"/>
          <w:sz w:val="18"/>
        </w:rPr>
        <w:t xml:space="preserve">The majority seems to suggest that it is impermissible for us to review the notes sent by the jury to the district court and to attempt to determine what the jury may have been confused about. </w:t>
      </w:r>
      <w:bookmarkStart w:id="4794" w:name="Bookmark_I263DNXF8TG0000360K0000G"/>
      <w:bookmarkStart w:id="4795" w:name="Bookmark_I663D85V28T49V0030000400"/>
      <w:bookmarkEnd w:id="4794"/>
      <w:bookmarkEnd w:id="4795"/>
      <w:r>
        <w:rPr>
          <w:rFonts w:ascii="Arial" w:eastAsia="Arial" w:hAnsi="Arial" w:cs="Arial"/>
          <w:color w:val="000000"/>
          <w:sz w:val="18"/>
        </w:rPr>
        <w:t xml:space="preserve">But Supreme Court and Tenth Circuit precedent clearly hold otherwise. </w:t>
      </w:r>
      <w:bookmarkStart w:id="4796" w:name="Bookmark_I263DNXDWMW0000360K0000C"/>
      <w:bookmarkStart w:id="4797" w:name="Bookmark_I663D85V28T49V0050000400"/>
      <w:bookmarkEnd w:id="4796"/>
      <w:bookmarkEnd w:id="4797"/>
      <w:r>
        <w:rPr>
          <w:rFonts w:ascii="Arial" w:eastAsia="Arial" w:hAnsi="Arial" w:cs="Arial"/>
          <w:i/>
          <w:color w:val="000000"/>
          <w:sz w:val="18"/>
        </w:rPr>
        <w:t xml:space="preserve">See </w:t>
      </w:r>
      <w:bookmarkStart w:id="4798" w:name="Bookmark_I663D85V2D6MTD0030000400"/>
      <w:bookmarkEnd w:id="4798"/>
      <w:r>
        <w:rPr>
          <w:rFonts w:ascii="Arial" w:eastAsia="Arial" w:hAnsi="Arial" w:cs="Arial"/>
          <w:i/>
          <w:color w:val="000000"/>
          <w:sz w:val="18"/>
        </w:rPr>
        <w:t>Bollenbach</w:t>
      </w:r>
      <w:r>
        <w:rPr>
          <w:rFonts w:ascii="Arial" w:eastAsia="Arial" w:hAnsi="Arial" w:cs="Arial"/>
          <w:color w:val="000000"/>
          <w:sz w:val="18"/>
        </w:rPr>
        <w:t xml:space="preserve">, 326 U.S. at 612-13; </w:t>
      </w:r>
      <w:bookmarkStart w:id="4799" w:name="Bookmark_I663D85V2D6MTD0050000400"/>
      <w:bookmarkEnd w:id="4799"/>
      <w:r>
        <w:rPr>
          <w:rFonts w:ascii="Arial" w:eastAsia="Arial" w:hAnsi="Arial" w:cs="Arial"/>
          <w:i/>
          <w:color w:val="000000"/>
          <w:sz w:val="18"/>
        </w:rPr>
        <w:t>Olea-Monarez</w:t>
      </w:r>
      <w:r>
        <w:rPr>
          <w:rFonts w:ascii="Arial" w:eastAsia="Arial" w:hAnsi="Arial" w:cs="Arial"/>
          <w:color w:val="000000"/>
          <w:sz w:val="18"/>
        </w:rPr>
        <w:t xml:space="preserve">, 908 F.3d at 639. </w:t>
      </w:r>
      <w:bookmarkStart w:id="4800" w:name="Bookmark_I663D85V28T49V0050000400_2"/>
      <w:bookmarkStart w:id="4801" w:name="Bookmark_I663D85V28T49V0030000400_2"/>
      <w:bookmarkEnd w:id="4800"/>
      <w:bookmarkEnd w:id="4801"/>
      <w:r>
        <w:rPr>
          <w:rFonts w:ascii="Arial" w:eastAsia="Arial" w:hAnsi="Arial" w:cs="Arial"/>
          <w:color w:val="000000"/>
          <w:sz w:val="18"/>
        </w:rPr>
        <w:t xml:space="preserve">Notably, the only case that the majority cites in support of its position, </w:t>
      </w:r>
      <w:bookmarkStart w:id="4802" w:name="Bookmark_I663D85V28T49V0020000400"/>
      <w:bookmarkEnd w:id="4802"/>
      <w:r>
        <w:rPr>
          <w:rFonts w:ascii="Arial" w:eastAsia="Arial" w:hAnsi="Arial" w:cs="Arial"/>
          <w:i/>
          <w:color w:val="000000"/>
          <w:sz w:val="18"/>
        </w:rPr>
        <w:t>Mayes v. Gibson</w:t>
      </w:r>
      <w:r>
        <w:rPr>
          <w:rFonts w:ascii="Arial" w:eastAsia="Arial" w:hAnsi="Arial" w:cs="Arial"/>
          <w:color w:val="000000"/>
          <w:sz w:val="18"/>
        </w:rPr>
        <w:t xml:space="preserve">, 210 F.3d 1284 (10th Cir. 2000), is inapposite. </w:t>
      </w:r>
      <w:bookmarkStart w:id="4803" w:name="Bookmark_I263DNXDMKR0000360K00009"/>
      <w:bookmarkStart w:id="4804" w:name="Bookmark_I663D85W2HM6RH0020000400"/>
      <w:bookmarkStart w:id="4805" w:name="Bookmark_I663D85V28T49V0050000400_3"/>
      <w:bookmarkStart w:id="4806" w:name="Bookmark_I663D85V28T49V0040000400"/>
      <w:bookmarkEnd w:id="4803"/>
      <w:bookmarkEnd w:id="4804"/>
      <w:bookmarkEnd w:id="4805"/>
      <w:bookmarkEnd w:id="4806"/>
      <w:r>
        <w:rPr>
          <w:rFonts w:ascii="Arial" w:eastAsia="Arial" w:hAnsi="Arial" w:cs="Arial"/>
          <w:i/>
          <w:color w:val="000000"/>
          <w:sz w:val="18"/>
        </w:rPr>
        <w:t>Mayes</w:t>
      </w:r>
      <w:r>
        <w:rPr>
          <w:rFonts w:ascii="Arial" w:eastAsia="Arial" w:hAnsi="Arial" w:cs="Arial"/>
          <w:color w:val="000000"/>
          <w:sz w:val="18"/>
        </w:rPr>
        <w:t xml:space="preserve"> was a habeas corpus action filed by an Oklahoma state defendant who was convicted of murder and sentenced to death. </w:t>
      </w:r>
      <w:bookmarkStart w:id="4807" w:name="Bookmark_I263DNXDCCG0000360K00007"/>
      <w:bookmarkStart w:id="4808" w:name="Bookmark_I663D85W2HM6RH0040000400"/>
      <w:bookmarkEnd w:id="4807"/>
      <w:bookmarkEnd w:id="4808"/>
      <w:r>
        <w:rPr>
          <w:rFonts w:ascii="Arial" w:eastAsia="Arial" w:hAnsi="Arial" w:cs="Arial"/>
          <w:color w:val="000000"/>
          <w:sz w:val="18"/>
        </w:rPr>
        <w:t xml:space="preserve">One of the arguments that the defendant in </w:t>
      </w:r>
      <w:bookmarkStart w:id="4809" w:name="Bookmark_I663D85W2HM6RH0040000400_2"/>
      <w:bookmarkStart w:id="4810" w:name="Bookmark_I663D85W2HM6RH0020000400_2"/>
      <w:bookmarkStart w:id="4811" w:name="Bookmark_I663D85W2HM6RH0010000400"/>
      <w:bookmarkEnd w:id="4809"/>
      <w:bookmarkEnd w:id="4810"/>
      <w:bookmarkEnd w:id="4811"/>
      <w:r>
        <w:rPr>
          <w:rFonts w:ascii="Arial" w:eastAsia="Arial" w:hAnsi="Arial" w:cs="Arial"/>
          <w:i/>
          <w:color w:val="000000"/>
          <w:sz w:val="18"/>
        </w:rPr>
        <w:t>Mayes</w:t>
      </w:r>
      <w:r>
        <w:rPr>
          <w:rFonts w:ascii="Arial" w:eastAsia="Arial" w:hAnsi="Arial" w:cs="Arial"/>
          <w:color w:val="000000"/>
          <w:sz w:val="18"/>
        </w:rPr>
        <w:t xml:space="preserve"> made was that his trial counsel was ineffective for failing to conduct any investigation or present mitigation evidence during the penalty phase of the trial. In rejecting that argument, this court stated: "Determining whether there is a reasonable probability that had the jury heard this mitigation evidence the outcome of [the defendant's] sentencing could have been different requires us to speculate on the deliberative process of a jury, an activity we are loath to undertake." </w:t>
      </w:r>
      <w:bookmarkStart w:id="4812" w:name="Bookmark_I663D85W2HM6RH0030000400"/>
      <w:bookmarkEnd w:id="4812"/>
      <w:r>
        <w:rPr>
          <w:rFonts w:ascii="Arial" w:eastAsia="Arial" w:hAnsi="Arial" w:cs="Arial"/>
          <w:color w:val="000000"/>
          <w:sz w:val="18"/>
        </w:rPr>
        <w:t>210 F.3d at 1291. That is a far different situation than the one at issue now before us, where we have notes sent by the jury to the district court during the course of its deliberations, and thus clear indications as to what the jury was thinking.</w:t>
      </w:r>
    </w:p>
  </w:footnote>
  <w:footnote w:id="120">
    <w:p w:rsidR="00022B47" w:rsidRDefault="00000000">
      <w:pPr>
        <w:pStyle w:val="Normal24"/>
        <w:widowControl w:val="0"/>
        <w:spacing w:before="120" w:line="240" w:lineRule="atLeast"/>
        <w:jc w:val="both"/>
      </w:pPr>
      <w:r>
        <w:rPr>
          <w:rFonts w:ascii="Arial" w:eastAsia="Arial" w:hAnsi="Arial" w:cs="Arial"/>
          <w:color w:val="000000"/>
          <w:sz w:val="18"/>
          <w:vertAlign w:val="superscript"/>
        </w:rPr>
        <w:t>4 </w:t>
      </w:r>
      <w:bookmarkStart w:id="4814" w:name="Bookmark_fnpara_13_0"/>
      <w:bookmarkEnd w:id="4814"/>
      <w:r>
        <w:rPr>
          <w:rFonts w:ascii="Arial" w:eastAsia="Arial" w:hAnsi="Arial" w:cs="Arial"/>
          <w:color w:val="000000"/>
          <w:sz w:val="18"/>
        </w:rPr>
        <w:t>Typically, referring the jury back to the original instructions would not be an abuse of discretion. But here, where the original instructions failed to fully inform the jury of the elements of Dansie's interference claim and the district court's conclusions regarding two of those elements, referring the jury back to the original instructions could not have resolved the jury's question.</w:t>
      </w:r>
    </w:p>
  </w:footnote>
  <w:footnote w:id="121">
    <w:p w:rsidR="00022B47" w:rsidRDefault="00000000">
      <w:pPr>
        <w:pStyle w:val="Normal25"/>
        <w:widowControl w:val="0"/>
        <w:spacing w:before="120" w:line="240" w:lineRule="atLeast"/>
        <w:jc w:val="both"/>
      </w:pPr>
      <w:r>
        <w:rPr>
          <w:rFonts w:ascii="Arial" w:eastAsia="Arial" w:hAnsi="Arial" w:cs="Arial"/>
          <w:color w:val="000000"/>
          <w:sz w:val="18"/>
          <w:vertAlign w:val="superscript"/>
        </w:rPr>
        <w:t>** </w:t>
      </w:r>
      <w:bookmarkStart w:id="4827" w:name="Bookmark_fnpara_1_19"/>
      <w:bookmarkEnd w:id="4827"/>
      <w:r>
        <w:rPr>
          <w:rFonts w:ascii="Arial" w:eastAsia="Arial" w:hAnsi="Arial" w:cs="Arial"/>
          <w:color w:val="000000"/>
          <w:sz w:val="18"/>
        </w:rPr>
        <w:t>This summary constitutes no part of the opinion of the court. It has been prepared by court staff for the convenience of the reader.</w:t>
      </w:r>
    </w:p>
  </w:footnote>
  <w:footnote w:id="122">
    <w:p w:rsidR="00022B47" w:rsidRDefault="00000000">
      <w:pPr>
        <w:pStyle w:val="Normal25"/>
        <w:widowControl w:val="0"/>
        <w:spacing w:before="120" w:line="240" w:lineRule="atLeast"/>
        <w:jc w:val="both"/>
      </w:pPr>
      <w:r>
        <w:rPr>
          <w:rFonts w:ascii="Arial" w:eastAsia="Arial" w:hAnsi="Arial" w:cs="Arial"/>
          <w:color w:val="000000"/>
          <w:sz w:val="18"/>
          <w:vertAlign w:val="superscript"/>
        </w:rPr>
        <w:t>* </w:t>
      </w:r>
      <w:bookmarkStart w:id="4833" w:name="Bookmark_fnpara_2_17"/>
      <w:bookmarkEnd w:id="4833"/>
      <w:r>
        <w:rPr>
          <w:rFonts w:ascii="Arial" w:eastAsia="Arial" w:hAnsi="Arial" w:cs="Arial"/>
          <w:color w:val="000000"/>
          <w:sz w:val="18"/>
        </w:rPr>
        <w:t>The Honorable Kathryn H. Vratil, United States District Judge for the District of Kansas, sitting by designation.</w:t>
      </w:r>
    </w:p>
  </w:footnote>
  <w:footnote w:id="123">
    <w:p w:rsidR="00022B47" w:rsidRDefault="00000000">
      <w:pPr>
        <w:pStyle w:val="Normal25"/>
        <w:widowControl w:val="0"/>
        <w:spacing w:before="200" w:line="240" w:lineRule="atLeast"/>
        <w:jc w:val="both"/>
      </w:pPr>
      <w:r>
        <w:rPr>
          <w:rFonts w:ascii="Arial" w:eastAsia="Arial" w:hAnsi="Arial" w:cs="Arial"/>
          <w:color w:val="000000"/>
          <w:sz w:val="18"/>
          <w:vertAlign w:val="superscript"/>
        </w:rPr>
        <w:t>1 </w:t>
      </w:r>
      <w:bookmarkStart w:id="4895" w:name="Bookmark_fnpara_3_15"/>
      <w:bookmarkEnd w:id="4895"/>
      <w:r>
        <w:rPr>
          <w:rFonts w:ascii="Arial" w:eastAsia="Arial" w:hAnsi="Arial" w:cs="Arial"/>
          <w:color w:val="000000"/>
          <w:sz w:val="18"/>
        </w:rPr>
        <w:t xml:space="preserve">Public accommodations that were constructed or altered after January 26, 1993 must comply with either the 1991 or 2010 ADA Standards for Accessible Design, depending on the date the construction or alterations began. 28 C.F.R. § 36.406. Facilities that were constructed prior to January 1993 and have not been altered are not required to comply with the 1991 or 2010 Standards but must still "remove architectural barriers . . . where such removal is readily achievable." </w:t>
      </w:r>
      <w:bookmarkStart w:id="4896" w:name="Bookmark_I6618JP92HM6HK0030000400"/>
      <w:bookmarkEnd w:id="4896"/>
      <w:r>
        <w:rPr>
          <w:rFonts w:ascii="Arial" w:eastAsia="Arial" w:hAnsi="Arial" w:cs="Arial"/>
          <w:i/>
          <w:color w:val="000000"/>
          <w:sz w:val="18"/>
        </w:rPr>
        <w:t>Chapman v. Pier 1 Imports (U.S.), Inc.</w:t>
      </w:r>
      <w:r>
        <w:rPr>
          <w:rFonts w:ascii="Arial" w:eastAsia="Arial" w:hAnsi="Arial" w:cs="Arial"/>
          <w:color w:val="000000"/>
          <w:sz w:val="18"/>
        </w:rPr>
        <w:t>, 631 F.3d 939, 945 (9th Cir. 2011) (en banc) (quoting 42 U.S.C. § 12182(b)(2)(A)(iv)).</w:t>
      </w:r>
    </w:p>
  </w:footnote>
  <w:footnote w:id="124">
    <w:p w:rsidR="00022B47" w:rsidRDefault="00000000">
      <w:pPr>
        <w:pStyle w:val="Normal26"/>
        <w:widowControl w:val="0"/>
        <w:spacing w:before="120" w:line="240" w:lineRule="atLeast"/>
        <w:jc w:val="both"/>
      </w:pPr>
      <w:r>
        <w:rPr>
          <w:rFonts w:ascii="Arial" w:eastAsia="Arial" w:hAnsi="Arial" w:cs="Arial"/>
          <w:color w:val="000000"/>
          <w:sz w:val="18"/>
          <w:vertAlign w:val="superscript"/>
        </w:rPr>
        <w:t>1 </w:t>
      </w:r>
      <w:bookmarkStart w:id="4972" w:name="Bookmark_fnpara_1_20"/>
      <w:bookmarkEnd w:id="4972"/>
      <w:r>
        <w:rPr>
          <w:rFonts w:ascii="Arial" w:eastAsia="Arial" w:hAnsi="Arial" w:cs="Arial"/>
          <w:color w:val="000000"/>
          <w:sz w:val="18"/>
        </w:rPr>
        <w:t>The district court alternatively granted summary judgment in favor of St. Martinus on the ground that Title III of the ADA does not apply extraterritorially, and therefore, as a private university located outside the United States, Guess's claim fails because Title III does not apply to St. Martinus. We need not reach this issue because, even if Title III does apply here, St. Martinus is entitled to summary judgment on the merits.</w:t>
      </w:r>
    </w:p>
  </w:footnote>
  <w:footnote w:id="125">
    <w:p w:rsidR="00022B47" w:rsidRDefault="00000000">
      <w:pPr>
        <w:pStyle w:val="Normal27"/>
        <w:widowControl w:val="0"/>
        <w:spacing w:before="120" w:line="240" w:lineRule="atLeast"/>
        <w:jc w:val="both"/>
      </w:pPr>
      <w:r>
        <w:rPr>
          <w:rFonts w:ascii="Arial" w:eastAsia="Arial" w:hAnsi="Arial" w:cs="Arial"/>
          <w:color w:val="000000"/>
          <w:sz w:val="18"/>
          <w:vertAlign w:val="superscript"/>
        </w:rPr>
        <w:t>1 </w:t>
      </w:r>
      <w:bookmarkStart w:id="5016" w:name="Bookmark_fnpara_1_21"/>
      <w:bookmarkEnd w:id="5016"/>
      <w:r>
        <w:rPr>
          <w:rFonts w:ascii="Arial" w:eastAsia="Arial" w:hAnsi="Arial" w:cs="Arial"/>
          <w:color w:val="000000"/>
          <w:sz w:val="18"/>
        </w:rPr>
        <w:t>Metro Transit calculated Segal's total number of rides by tracking each time Segal successfully used his Go-To Card to pay for bus fare when boarding a bus during the relevant period. Segal stated during discovery and testimony that he exclusively used his Go-To Card to pay for Metro Transit bus rides.</w:t>
      </w:r>
    </w:p>
  </w:footnote>
  <w:footnote w:id="126">
    <w:p w:rsidR="00022B47" w:rsidRDefault="00000000">
      <w:pPr>
        <w:pStyle w:val="Normal27"/>
        <w:widowControl w:val="0"/>
        <w:spacing w:before="200" w:line="240" w:lineRule="atLeast"/>
        <w:jc w:val="both"/>
      </w:pPr>
      <w:r>
        <w:rPr>
          <w:rFonts w:ascii="Arial" w:eastAsia="Arial" w:hAnsi="Arial" w:cs="Arial"/>
          <w:color w:val="000000"/>
          <w:sz w:val="18"/>
          <w:vertAlign w:val="superscript"/>
        </w:rPr>
        <w:t>2 </w:t>
      </w:r>
      <w:bookmarkStart w:id="5051" w:name="Bookmark_fnpara_2_18"/>
      <w:bookmarkStart w:id="5052" w:name="Bookmark_LNHNREFclscc5_24"/>
      <w:bookmarkEnd w:id="5051"/>
      <w:bookmarkEnd w:id="5052"/>
      <w:r>
        <w:rPr>
          <w:rFonts w:ascii="Arial" w:eastAsia="Arial" w:hAnsi="Arial" w:cs="Arial"/>
          <w:color w:val="000000"/>
          <w:sz w:val="18"/>
        </w:rPr>
        <w:t xml:space="preserve">Whether the DOT regulations create a private right of action under the ADA is not properly before us because Segal did not assert such a claim in his complaint, nor did he raise the argument before the district court. </w:t>
      </w:r>
      <w:r>
        <w:rPr>
          <w:rFonts w:ascii="Arial" w:eastAsia="Arial" w:hAnsi="Arial" w:cs="Arial"/>
          <w:color w:val="000000"/>
          <w:sz w:val="18"/>
          <w:u w:val="single"/>
        </w:rPr>
        <w:t xml:space="preserve">See </w:t>
      </w:r>
      <w:bookmarkStart w:id="5053" w:name="Bookmark_I65442BJ2D6NX00010000400"/>
      <w:bookmarkEnd w:id="5053"/>
      <w:r>
        <w:rPr>
          <w:rFonts w:ascii="Arial" w:eastAsia="Arial" w:hAnsi="Arial" w:cs="Arial"/>
          <w:color w:val="000000"/>
          <w:sz w:val="18"/>
          <w:u w:val="single"/>
        </w:rPr>
        <w:t>Eagle Tech. v. Expander Ams., Inc.</w:t>
      </w:r>
      <w:r>
        <w:rPr>
          <w:rFonts w:ascii="Arial" w:eastAsia="Arial" w:hAnsi="Arial" w:cs="Arial"/>
          <w:color w:val="000000"/>
          <w:sz w:val="18"/>
        </w:rPr>
        <w:t>, 783 F.3d 1131, 1138 (8th Cir. 2015) ("It is well settled that we will not consider an argument raised for the first time on appeal.").</w:t>
      </w:r>
    </w:p>
  </w:footnote>
  <w:footnote w:id="127">
    <w:p w:rsidR="00022B47" w:rsidRDefault="00000000">
      <w:pPr>
        <w:pStyle w:val="Normal28"/>
        <w:widowControl w:val="0"/>
        <w:spacing w:before="120" w:line="240" w:lineRule="atLeast"/>
        <w:jc w:val="both"/>
      </w:pPr>
      <w:r>
        <w:rPr>
          <w:rFonts w:ascii="Arial" w:eastAsia="Arial" w:hAnsi="Arial" w:cs="Arial"/>
          <w:color w:val="000000"/>
          <w:sz w:val="18"/>
          <w:vertAlign w:val="superscript"/>
        </w:rPr>
        <w:t>* </w:t>
      </w:r>
      <w:bookmarkStart w:id="5093" w:name="Bookmark_fnpara_1_22"/>
      <w:bookmarkEnd w:id="5093"/>
      <w:r>
        <w:rPr>
          <w:rFonts w:ascii="Arial" w:eastAsia="Arial" w:hAnsi="Arial" w:cs="Arial"/>
          <w:color w:val="000000"/>
          <w:sz w:val="18"/>
        </w:rPr>
        <w:t>Judge Jed S. Rakoff, of the United States District Court for the Southern District of New York, sitting by designation.</w:t>
      </w:r>
    </w:p>
  </w:footnote>
  <w:footnote w:id="128">
    <w:p w:rsidR="00022B47" w:rsidRDefault="00000000">
      <w:pPr>
        <w:pStyle w:val="Normal28"/>
        <w:widowControl w:val="0"/>
        <w:spacing w:before="200" w:line="240" w:lineRule="atLeast"/>
        <w:jc w:val="both"/>
      </w:pPr>
      <w:r>
        <w:rPr>
          <w:rFonts w:ascii="Arial" w:eastAsia="Arial" w:hAnsi="Arial" w:cs="Arial"/>
          <w:color w:val="000000"/>
          <w:sz w:val="18"/>
          <w:vertAlign w:val="superscript"/>
        </w:rPr>
        <w:t>1 </w:t>
      </w:r>
      <w:bookmarkStart w:id="5097" w:name="Bookmark_fnpara_2_19"/>
      <w:bookmarkEnd w:id="5097"/>
      <w:r>
        <w:rPr>
          <w:rFonts w:ascii="Arial" w:eastAsia="Arial" w:hAnsi="Arial" w:cs="Arial"/>
          <w:color w:val="000000"/>
          <w:sz w:val="18"/>
        </w:rPr>
        <w:t xml:space="preserve">The district court dismissed Laguerre's Section 504 claim because Laguerre did not produce evidence that National Grid received federal funding. Laguerre does not challenge the district court's disposition of her Section 504 claim in her appellate briefing except to state in her recitation of facts that "Appellee is a recipient of Federal Funds." Appellant's Br. at 2. </w:t>
      </w:r>
      <w:bookmarkStart w:id="5098" w:name="Bookmark_I650PH3G2N1R9S0020000400"/>
      <w:bookmarkEnd w:id="5098"/>
      <w:r>
        <w:rPr>
          <w:rFonts w:ascii="Arial" w:eastAsia="Arial" w:hAnsi="Arial" w:cs="Arial"/>
          <w:color w:val="000000"/>
          <w:sz w:val="18"/>
        </w:rPr>
        <w:t xml:space="preserve">Laguerre did not identify any evidence in the summary judgment record regarding National Grid's federal funding that she contends the district court overlooked. Accordingly, any challenge to the dismissal of her Section 504 claim is waived, and we affirm the court's dismissal of that claim. </w:t>
      </w:r>
      <w:r>
        <w:rPr>
          <w:rFonts w:ascii="Arial" w:eastAsia="Arial" w:hAnsi="Arial" w:cs="Arial"/>
          <w:i/>
          <w:color w:val="000000"/>
          <w:sz w:val="18"/>
        </w:rPr>
        <w:t xml:space="preserve">See </w:t>
      </w:r>
      <w:bookmarkStart w:id="5099" w:name="Bookmark_I650PH3G2N1R9S0010000400"/>
      <w:bookmarkEnd w:id="5099"/>
      <w:r>
        <w:rPr>
          <w:rFonts w:ascii="Arial" w:eastAsia="Arial" w:hAnsi="Arial" w:cs="Arial"/>
          <w:i/>
          <w:color w:val="000000"/>
          <w:sz w:val="18"/>
        </w:rPr>
        <w:t>Ahlers v. Rabinowitz</w:t>
      </w:r>
      <w:r>
        <w:rPr>
          <w:rFonts w:ascii="Arial" w:eastAsia="Arial" w:hAnsi="Arial" w:cs="Arial"/>
          <w:color w:val="000000"/>
          <w:sz w:val="18"/>
        </w:rPr>
        <w:t>, 684 F.3d 53, 66 (2d Cir. 2012) (holding that "[i]ssues not sufficiently argued in the briefs are considered waived").</w:t>
      </w:r>
    </w:p>
  </w:footnote>
  <w:footnote w:id="129">
    <w:p w:rsidR="00022B47" w:rsidRDefault="00000000">
      <w:pPr>
        <w:pStyle w:val="Normal28"/>
        <w:widowControl w:val="0"/>
        <w:spacing w:before="120" w:line="240" w:lineRule="atLeast"/>
        <w:jc w:val="both"/>
      </w:pPr>
      <w:r>
        <w:rPr>
          <w:rFonts w:ascii="Arial" w:eastAsia="Arial" w:hAnsi="Arial" w:cs="Arial"/>
          <w:color w:val="000000"/>
          <w:sz w:val="18"/>
          <w:vertAlign w:val="superscript"/>
        </w:rPr>
        <w:t>2 </w:t>
      </w:r>
      <w:bookmarkStart w:id="5107" w:name="Bookmark_fnpara_3_16"/>
      <w:bookmarkEnd w:id="5107"/>
      <w:r>
        <w:rPr>
          <w:rFonts w:ascii="Arial" w:eastAsia="Arial" w:hAnsi="Arial" w:cs="Arial"/>
          <w:color w:val="000000"/>
          <w:sz w:val="18"/>
        </w:rPr>
        <w:t>Unless otherwise noted, in quoting caselaw, this Order omits all alterations, citations, footnotes, and internal quotation marks.</w:t>
      </w:r>
    </w:p>
  </w:footnote>
  <w:footnote w:id="130">
    <w:p w:rsidR="00022B47" w:rsidRDefault="00000000">
      <w:pPr>
        <w:pStyle w:val="Normal28"/>
        <w:widowControl w:val="0"/>
        <w:spacing w:before="200" w:line="240" w:lineRule="atLeast"/>
        <w:jc w:val="both"/>
      </w:pPr>
      <w:r>
        <w:rPr>
          <w:rFonts w:ascii="Arial" w:eastAsia="Arial" w:hAnsi="Arial" w:cs="Arial"/>
          <w:color w:val="000000"/>
          <w:sz w:val="18"/>
          <w:vertAlign w:val="superscript"/>
        </w:rPr>
        <w:t>3 </w:t>
      </w:r>
      <w:bookmarkStart w:id="5126" w:name="Bookmark_fnpara_4_13"/>
      <w:bookmarkStart w:id="5127" w:name="Bookmark_I650PH3J2N1RB30030000400"/>
      <w:bookmarkEnd w:id="5126"/>
      <w:bookmarkEnd w:id="5127"/>
      <w:r>
        <w:rPr>
          <w:rFonts w:ascii="Arial" w:eastAsia="Arial" w:hAnsi="Arial" w:cs="Arial"/>
          <w:color w:val="000000"/>
          <w:sz w:val="18"/>
        </w:rPr>
        <w:t xml:space="preserve">Laguerre contends that the district court erred in determining that her essential job duties entailed answering inbound customer calls, arguing that individuals with the job title of CSR perform a range of other functions at National Grid. However, she does not dispute that she was part of a discrete group of 155 CSRs employed by National Grid "whose job involves only taking inbound customer calls," App'x at 310, and that she was employed specifically for that purpose. </w:t>
      </w:r>
      <w:r>
        <w:rPr>
          <w:rFonts w:ascii="Arial" w:eastAsia="Arial" w:hAnsi="Arial" w:cs="Arial"/>
          <w:i/>
          <w:color w:val="000000"/>
          <w:sz w:val="18"/>
        </w:rPr>
        <w:t xml:space="preserve">See </w:t>
      </w:r>
      <w:bookmarkStart w:id="5128" w:name="Bookmark_I650PH3J2N1RB30020000400"/>
      <w:bookmarkEnd w:id="5128"/>
      <w:r>
        <w:rPr>
          <w:rFonts w:ascii="Arial" w:eastAsia="Arial" w:hAnsi="Arial" w:cs="Arial"/>
          <w:i/>
          <w:color w:val="000000"/>
          <w:sz w:val="18"/>
        </w:rPr>
        <w:t>Stone v. City of Mount Vernon</w:t>
      </w:r>
      <w:r>
        <w:rPr>
          <w:rFonts w:ascii="Arial" w:eastAsia="Arial" w:hAnsi="Arial" w:cs="Arial"/>
          <w:color w:val="000000"/>
          <w:sz w:val="18"/>
        </w:rPr>
        <w:t xml:space="preserve">, 118 F.3d 92, 99 (2d Cir. 1997) (finding that district court had improperly focused "solely on the </w:t>
      </w:r>
      <w:r>
        <w:rPr>
          <w:rFonts w:ascii="Arial" w:eastAsia="Arial" w:hAnsi="Arial" w:cs="Arial"/>
          <w:i/>
          <w:color w:val="000000"/>
          <w:sz w:val="18"/>
        </w:rPr>
        <w:t>title</w:t>
      </w:r>
      <w:r>
        <w:rPr>
          <w:rFonts w:ascii="Arial" w:eastAsia="Arial" w:hAnsi="Arial" w:cs="Arial"/>
          <w:color w:val="000000"/>
          <w:sz w:val="18"/>
        </w:rPr>
        <w:t xml:space="preserve"> held by a person" rather than "on the fundamental job duties of the employment position the individual with a disability [holds or] desires") (emphasis added). The district court correctly concluded Laguerre's "position was as a CSR receiving inbound calls." Special App'x at 12.</w:t>
      </w:r>
    </w:p>
  </w:footnote>
  <w:footnote w:id="131">
    <w:p w:rsidR="00022B47" w:rsidRDefault="00000000">
      <w:pPr>
        <w:pStyle w:val="Normal28"/>
        <w:widowControl w:val="0"/>
        <w:spacing w:before="200" w:line="240" w:lineRule="atLeast"/>
        <w:jc w:val="both"/>
      </w:pPr>
      <w:r>
        <w:rPr>
          <w:rFonts w:ascii="Arial" w:eastAsia="Arial" w:hAnsi="Arial" w:cs="Arial"/>
          <w:color w:val="000000"/>
          <w:sz w:val="18"/>
          <w:vertAlign w:val="superscript"/>
        </w:rPr>
        <w:t>4 </w:t>
      </w:r>
      <w:bookmarkStart w:id="5139" w:name="Bookmark_fnpara_5_9"/>
      <w:bookmarkStart w:id="5140" w:name="Bookmark_I650PH3K28T4KB0030000400"/>
      <w:bookmarkEnd w:id="5139"/>
      <w:bookmarkEnd w:id="5140"/>
      <w:r>
        <w:rPr>
          <w:rFonts w:ascii="Arial" w:eastAsia="Arial" w:hAnsi="Arial" w:cs="Arial"/>
          <w:color w:val="000000"/>
          <w:sz w:val="18"/>
        </w:rPr>
        <w:t xml:space="preserve">Neither party contends that Laguerre needed to be physically present to perform the essential duties of her CSR job except insofar as National Grid contends that it lacked the technology to accommodate Laguerre's remote work request. For that reason, this case is distinguishable from those in which physical presence in the workplace was required to perform the "essential functions" of the positions at issue. </w:t>
      </w:r>
      <w:r>
        <w:rPr>
          <w:rFonts w:ascii="Arial" w:eastAsia="Arial" w:hAnsi="Arial" w:cs="Arial"/>
          <w:i/>
          <w:color w:val="000000"/>
          <w:sz w:val="18"/>
        </w:rPr>
        <w:t xml:space="preserve">See, e.g., </w:t>
      </w:r>
      <w:bookmarkStart w:id="5141" w:name="Bookmark_I650PH3K28T4KB0020000400"/>
      <w:bookmarkEnd w:id="5141"/>
      <w:r>
        <w:rPr>
          <w:rFonts w:ascii="Arial" w:eastAsia="Arial" w:hAnsi="Arial" w:cs="Arial"/>
          <w:i/>
          <w:color w:val="000000"/>
          <w:sz w:val="18"/>
        </w:rPr>
        <w:t>McBride</w:t>
      </w:r>
      <w:r>
        <w:rPr>
          <w:rFonts w:ascii="Arial" w:eastAsia="Arial" w:hAnsi="Arial" w:cs="Arial"/>
          <w:color w:val="000000"/>
          <w:sz w:val="18"/>
        </w:rPr>
        <w:t xml:space="preserve">, 583 F.3d at 99 (explaining that pre-disability position and requested accommodation position "required the employee to be physically present in the manufacturing areas of BIC's facility where she would have been exposed to chemical fumes, a condition which would have been incompatible with McBride's disability and presumably . . . could not have been ameliorated"); </w:t>
      </w:r>
      <w:r>
        <w:rPr>
          <w:rFonts w:ascii="Arial" w:eastAsia="Arial" w:hAnsi="Arial" w:cs="Arial"/>
          <w:i/>
          <w:color w:val="000000"/>
          <w:sz w:val="18"/>
        </w:rPr>
        <w:t xml:space="preserve">see also </w:t>
      </w:r>
      <w:bookmarkStart w:id="5142" w:name="Bookmark_I650PH3K28T4KB0040000400"/>
      <w:bookmarkEnd w:id="5142"/>
      <w:r>
        <w:rPr>
          <w:rFonts w:ascii="Arial" w:eastAsia="Arial" w:hAnsi="Arial" w:cs="Arial"/>
          <w:i/>
          <w:color w:val="000000"/>
          <w:sz w:val="18"/>
        </w:rPr>
        <w:t>Frantti v. New York</w:t>
      </w:r>
      <w:r>
        <w:rPr>
          <w:rFonts w:ascii="Arial" w:eastAsia="Arial" w:hAnsi="Arial" w:cs="Arial"/>
          <w:color w:val="000000"/>
          <w:sz w:val="18"/>
        </w:rPr>
        <w:t>, 850 F. App'x 17, 20 (2d Cir. 2021) (concluding that the plaintiff "has not raised a genuine issue of material fact with respect to his ability to perform the essential functions of his job even with reasonable accommodations" when position required him to be "in the office and available on a consistent basis, for assignments and to communicate with co-workers and other parties" and his employer "could not technically accommodate remote work").</w:t>
      </w:r>
    </w:p>
  </w:footnote>
  <w:footnote w:id="132">
    <w:p w:rsidR="00022B47" w:rsidRDefault="00000000">
      <w:pPr>
        <w:pStyle w:val="Normal28"/>
        <w:widowControl w:val="0"/>
        <w:spacing w:before="200" w:line="240" w:lineRule="atLeast"/>
        <w:jc w:val="both"/>
      </w:pPr>
      <w:r>
        <w:rPr>
          <w:rFonts w:ascii="Arial" w:eastAsia="Arial" w:hAnsi="Arial" w:cs="Arial"/>
          <w:color w:val="000000"/>
          <w:sz w:val="18"/>
          <w:vertAlign w:val="superscript"/>
        </w:rPr>
        <w:t>5 </w:t>
      </w:r>
      <w:bookmarkStart w:id="5178" w:name="Bookmark_fnpara_6_6"/>
      <w:bookmarkStart w:id="5179" w:name="Bookmark_I650PH3M2HM6V00020000400"/>
      <w:bookmarkEnd w:id="5178"/>
      <w:bookmarkEnd w:id="5179"/>
      <w:r>
        <w:rPr>
          <w:rFonts w:ascii="Arial" w:eastAsia="Arial" w:hAnsi="Arial" w:cs="Arial"/>
          <w:color w:val="000000"/>
          <w:sz w:val="18"/>
        </w:rPr>
        <w:t xml:space="preserve">Because we conclude that Laguerre has adduced sufficient evidence to defeat summary judgment and remand for the factfinder to determine whether Laguerre's accommodation request would have posed an undue burden on her employer, we do not address Laguerre's claim that National Grid failed to sufficiently engage in the interactive process in response to her accommodation request, leaving this issue open for further exploration on remand. </w:t>
      </w:r>
      <w:r>
        <w:rPr>
          <w:rFonts w:ascii="Arial" w:eastAsia="Arial" w:hAnsi="Arial" w:cs="Arial"/>
          <w:i/>
          <w:color w:val="000000"/>
          <w:sz w:val="18"/>
        </w:rPr>
        <w:t xml:space="preserve">See </w:t>
      </w:r>
      <w:bookmarkStart w:id="5180" w:name="Bookmark_I650PH3M2HM6V00010000400"/>
      <w:bookmarkEnd w:id="5180"/>
      <w:r>
        <w:rPr>
          <w:rFonts w:ascii="Arial" w:eastAsia="Arial" w:hAnsi="Arial" w:cs="Arial"/>
          <w:i/>
          <w:color w:val="000000"/>
          <w:sz w:val="18"/>
        </w:rPr>
        <w:t>McBride</w:t>
      </w:r>
      <w:r>
        <w:rPr>
          <w:rFonts w:ascii="Arial" w:eastAsia="Arial" w:hAnsi="Arial" w:cs="Arial"/>
          <w:color w:val="000000"/>
          <w:sz w:val="18"/>
        </w:rPr>
        <w:t>, 583 F.3d at 99-101.</w:t>
      </w:r>
    </w:p>
    <w:p w:rsidR="00022B47" w:rsidRDefault="00000000">
      <w:pPr>
        <w:pStyle w:val="Normal28"/>
        <w:widowControl w:val="0"/>
        <w:spacing w:before="200" w:line="240" w:lineRule="atLeast"/>
        <w:jc w:val="both"/>
      </w:pPr>
      <w:bookmarkStart w:id="5181" w:name="Bookmark_fnpara_7_6"/>
      <w:bookmarkEnd w:id="5181"/>
      <w:r>
        <w:rPr>
          <w:rFonts w:ascii="Arial" w:eastAsia="Arial" w:hAnsi="Arial" w:cs="Arial"/>
          <w:color w:val="000000"/>
          <w:sz w:val="18"/>
        </w:rPr>
        <w:t xml:space="preserve">Additionally, because we reverse the court's dismissal of Laguerre's federal ADA claim, with respect to which the district court has original jurisdiction, we likewise reverse the court's dismissal of Laguerre's supplemental state law claims, permitting Laguerre to reassert these claims on remand. </w:t>
      </w:r>
      <w:r>
        <w:rPr>
          <w:rFonts w:ascii="Arial" w:eastAsia="Arial" w:hAnsi="Arial" w:cs="Arial"/>
          <w:i/>
          <w:color w:val="000000"/>
          <w:sz w:val="18"/>
        </w:rPr>
        <w:t>See</w:t>
      </w:r>
      <w:r>
        <w:rPr>
          <w:rFonts w:ascii="Arial" w:eastAsia="Arial" w:hAnsi="Arial" w:cs="Arial"/>
          <w:color w:val="000000"/>
          <w:sz w:val="18"/>
        </w:rPr>
        <w:t xml:space="preserve"> 28 U.S.C. § 1367(a).</w:t>
      </w:r>
    </w:p>
  </w:footnote>
  <w:footnote w:id="133">
    <w:p w:rsidR="00022B47" w:rsidRDefault="00000000">
      <w:pPr>
        <w:pStyle w:val="Normal28"/>
        <w:widowControl w:val="0"/>
        <w:spacing w:before="200" w:line="240" w:lineRule="atLeast"/>
        <w:jc w:val="both"/>
      </w:pPr>
      <w:r>
        <w:rPr>
          <w:rFonts w:ascii="Arial" w:eastAsia="Arial" w:hAnsi="Arial" w:cs="Arial"/>
          <w:color w:val="000000"/>
          <w:sz w:val="18"/>
          <w:vertAlign w:val="superscript"/>
        </w:rPr>
        <w:t>6 </w:t>
      </w:r>
      <w:bookmarkStart w:id="5183" w:name="Bookmark_fnpara_8_6"/>
      <w:bookmarkStart w:id="5184" w:name="Bookmark_I650PH3M2HM6V00040000400"/>
      <w:bookmarkEnd w:id="5183"/>
      <w:bookmarkEnd w:id="5184"/>
      <w:r>
        <w:rPr>
          <w:rFonts w:ascii="Arial" w:eastAsia="Arial" w:hAnsi="Arial" w:cs="Arial"/>
          <w:color w:val="000000"/>
          <w:sz w:val="18"/>
        </w:rPr>
        <w:t xml:space="preserve">We reject National Grid's assertion that this Court lacks jurisdiction to consider the district court's ruling on Laguerre's pre-judgment motion to reopen the summary judgment record because she did not specifically challenge the court's ruling on that motion in her notice of appeal. By challenging the final summary judgment order, Laguerre effectively challenged the interlocutory orders leading up to that decision because they merge with the judgment for purposes of appellate review. </w:t>
      </w:r>
      <w:r>
        <w:rPr>
          <w:rFonts w:ascii="Arial" w:eastAsia="Arial" w:hAnsi="Arial" w:cs="Arial"/>
          <w:i/>
          <w:color w:val="000000"/>
          <w:sz w:val="18"/>
        </w:rPr>
        <w:t xml:space="preserve">See </w:t>
      </w:r>
      <w:bookmarkStart w:id="5185" w:name="Bookmark_I650PH3M2HM6V00030000400"/>
      <w:bookmarkEnd w:id="5185"/>
      <w:r>
        <w:rPr>
          <w:rFonts w:ascii="Arial" w:eastAsia="Arial" w:hAnsi="Arial" w:cs="Arial"/>
          <w:i/>
          <w:color w:val="000000"/>
          <w:sz w:val="18"/>
        </w:rPr>
        <w:t>Yobo v. N.Y. State Facilities Dev. Corp.</w:t>
      </w:r>
      <w:r>
        <w:rPr>
          <w:rFonts w:ascii="Arial" w:eastAsia="Arial" w:hAnsi="Arial" w:cs="Arial"/>
          <w:color w:val="000000"/>
          <w:sz w:val="18"/>
        </w:rPr>
        <w:t>, 13 F. App'x 41, 43 (2d Cir. 2001).</w:t>
      </w:r>
    </w:p>
  </w:footnote>
  <w:footnote w:id="134">
    <w:p w:rsidR="00022B47" w:rsidRDefault="00000000">
      <w:pPr>
        <w:pStyle w:val="Normal28"/>
        <w:widowControl w:val="0"/>
        <w:spacing w:before="200" w:line="240" w:lineRule="atLeast"/>
        <w:jc w:val="both"/>
      </w:pPr>
      <w:r>
        <w:rPr>
          <w:rFonts w:ascii="Arial" w:eastAsia="Arial" w:hAnsi="Arial" w:cs="Arial"/>
          <w:color w:val="000000"/>
          <w:sz w:val="18"/>
          <w:vertAlign w:val="superscript"/>
        </w:rPr>
        <w:t>7 </w:t>
      </w:r>
      <w:bookmarkStart w:id="5195" w:name="Bookmark_fnpara_9_5"/>
      <w:bookmarkEnd w:id="5195"/>
      <w:r>
        <w:rPr>
          <w:rFonts w:ascii="Arial" w:eastAsia="Arial" w:hAnsi="Arial" w:cs="Arial"/>
          <w:color w:val="000000"/>
          <w:sz w:val="18"/>
        </w:rPr>
        <w:t xml:space="preserve">We likewise conclude that the district court acted within its discretion in striking Laguerre's Supplemental Post-Argument Memorandum, which was filed after oral argument on the summary judgment motion and which National Grid moved to strike as a sur-reply. </w:t>
      </w:r>
      <w:r>
        <w:rPr>
          <w:rFonts w:ascii="Arial" w:eastAsia="Arial" w:hAnsi="Arial" w:cs="Arial"/>
          <w:i/>
          <w:color w:val="000000"/>
          <w:sz w:val="18"/>
        </w:rPr>
        <w:t xml:space="preserve">See, e.g., </w:t>
      </w:r>
      <w:bookmarkStart w:id="5196" w:name="Bookmark_I650PH3M2HM6V10040000400"/>
      <w:bookmarkEnd w:id="5196"/>
      <w:r>
        <w:rPr>
          <w:rFonts w:ascii="Arial" w:eastAsia="Arial" w:hAnsi="Arial" w:cs="Arial"/>
          <w:i/>
          <w:color w:val="000000"/>
          <w:sz w:val="18"/>
        </w:rPr>
        <w:t>Gladstone Ford v. N.Y.C. Transit Auth.</w:t>
      </w:r>
      <w:r>
        <w:rPr>
          <w:rFonts w:ascii="Arial" w:eastAsia="Arial" w:hAnsi="Arial" w:cs="Arial"/>
          <w:color w:val="000000"/>
          <w:sz w:val="18"/>
        </w:rPr>
        <w:t>, 43 F. App'x 445, 449 (2d Cir. 2002) (holding district court's refusal to allow transit authority employee to supplement his opposition papers with sur-reply, after deadline for filing papers had passed on employer's motion for summary judgment, was not abuse of discretion).</w:t>
      </w:r>
    </w:p>
  </w:footnote>
  <w:footnote w:id="135">
    <w:p w:rsidR="00022B47" w:rsidRDefault="00000000">
      <w:pPr>
        <w:pStyle w:val="Normal29"/>
        <w:widowControl w:val="0"/>
        <w:spacing w:before="200" w:line="240" w:lineRule="atLeast"/>
        <w:jc w:val="both"/>
      </w:pPr>
      <w:r>
        <w:rPr>
          <w:rFonts w:ascii="Arial" w:eastAsia="Arial" w:hAnsi="Arial" w:cs="Arial"/>
          <w:color w:val="000000"/>
          <w:sz w:val="18"/>
          <w:vertAlign w:val="superscript"/>
        </w:rPr>
        <w:t>* </w:t>
      </w:r>
      <w:bookmarkStart w:id="5210" w:name="Bookmark_fnpara_1_23"/>
      <w:bookmarkEnd w:id="5210"/>
      <w:r>
        <w:rPr>
          <w:rFonts w:ascii="Arial" w:eastAsia="Arial" w:hAnsi="Arial" w:cs="Arial"/>
          <w:color w:val="000000"/>
          <w:sz w:val="18"/>
        </w:rPr>
        <w:t xml:space="preserve">After examining the briefs and appellate record, this panel has determined unanimously to honor the parties' request for a decision on the briefs without oral argument. </w:t>
      </w:r>
      <w:r>
        <w:rPr>
          <w:rFonts w:ascii="Arial" w:eastAsia="Arial" w:hAnsi="Arial" w:cs="Arial"/>
          <w:i/>
          <w:color w:val="000000"/>
          <w:sz w:val="18"/>
        </w:rPr>
        <w:t>See</w:t>
      </w:r>
      <w:r>
        <w:rPr>
          <w:rFonts w:ascii="Arial" w:eastAsia="Arial" w:hAnsi="Arial" w:cs="Arial"/>
          <w:color w:val="000000"/>
          <w:sz w:val="18"/>
        </w:rPr>
        <w:t xml:space="preserve"> Fed. R. App. P. 34(f); 10th Cir. R. 34.1(G). The case is therefore submitted without oral argument. This order and judgment is not binding precedent, except under the doctrines of law of the case, res judicata, and collateral estoppel. It may be cited, however, for its persuasive value consistent with Fed. R. App. P. 32.1 and 10th Cir. R. 32.1.</w:t>
      </w:r>
    </w:p>
  </w:footnote>
  <w:footnote w:id="136">
    <w:p w:rsidR="00022B47" w:rsidRDefault="00000000">
      <w:pPr>
        <w:pStyle w:val="Normal29"/>
        <w:widowControl w:val="0"/>
        <w:spacing w:before="120" w:line="240" w:lineRule="atLeast"/>
        <w:jc w:val="both"/>
      </w:pPr>
      <w:r>
        <w:rPr>
          <w:rFonts w:ascii="Arial" w:eastAsia="Arial" w:hAnsi="Arial" w:cs="Arial"/>
          <w:color w:val="000000"/>
          <w:sz w:val="18"/>
          <w:vertAlign w:val="superscript"/>
        </w:rPr>
        <w:t>1 </w:t>
      </w:r>
      <w:bookmarkStart w:id="5214" w:name="Bookmark_fnpara_2_20"/>
      <w:bookmarkEnd w:id="5214"/>
      <w:r>
        <w:rPr>
          <w:rFonts w:ascii="Arial" w:eastAsia="Arial" w:hAnsi="Arial" w:cs="Arial"/>
          <w:color w:val="000000"/>
          <w:sz w:val="18"/>
        </w:rPr>
        <w:t>Allen's complaint asserted he had not received his documents as of September 13, 2021, the day after his complaint was filed. We assume Allen meant to refer to September 12, 2021, the day he filed.</w:t>
      </w:r>
    </w:p>
  </w:footnote>
  <w:footnote w:id="137">
    <w:p w:rsidR="00022B47" w:rsidRDefault="00000000">
      <w:pPr>
        <w:pStyle w:val="Normal29"/>
        <w:widowControl w:val="0"/>
        <w:spacing w:before="200" w:line="240" w:lineRule="atLeast"/>
        <w:jc w:val="both"/>
      </w:pPr>
      <w:r>
        <w:rPr>
          <w:rFonts w:ascii="Arial" w:eastAsia="Arial" w:hAnsi="Arial" w:cs="Arial"/>
          <w:color w:val="000000"/>
          <w:sz w:val="18"/>
          <w:vertAlign w:val="superscript"/>
        </w:rPr>
        <w:t>2 </w:t>
      </w:r>
      <w:bookmarkStart w:id="5241" w:name="Bookmark_fnpara_3_17"/>
      <w:bookmarkEnd w:id="5241"/>
      <w:r>
        <w:rPr>
          <w:rFonts w:ascii="Arial" w:eastAsia="Arial" w:hAnsi="Arial" w:cs="Arial"/>
          <w:color w:val="000000"/>
          <w:sz w:val="18"/>
        </w:rPr>
        <w:t xml:space="preserve">Even construing Allen's claims liberally, we do not read his briefs as seeking to appeal the district court's order amending the judgment and altering the dismissal from one without prejudice to one with prejudice. While Allen touches on that motion in reply, it is clearly not a request for review of the district court's decision. </w:t>
      </w:r>
      <w:r>
        <w:rPr>
          <w:rFonts w:ascii="Arial" w:eastAsia="Arial" w:hAnsi="Arial" w:cs="Arial"/>
          <w:i/>
          <w:color w:val="000000"/>
          <w:sz w:val="18"/>
        </w:rPr>
        <w:t>See</w:t>
      </w:r>
      <w:r>
        <w:rPr>
          <w:rFonts w:ascii="Arial" w:eastAsia="Arial" w:hAnsi="Arial" w:cs="Arial"/>
          <w:color w:val="000000"/>
          <w:sz w:val="18"/>
        </w:rPr>
        <w:t xml:space="preserve"> Reply at 4 ("The defendant's representatives used this redundant method at the district court to alter the order of the same judge from dismissal without prejudice to dismissal with prejudice."). Moreover, Allen did not substantively respond to Adams's motion to alter or amend in the district court, so it is also doubtful that he preserved the issue for appeal.</w:t>
      </w:r>
    </w:p>
  </w:footnote>
  <w:footnote w:id="138">
    <w:p w:rsidR="00022B47" w:rsidRDefault="00000000">
      <w:pPr>
        <w:pStyle w:val="Normal30"/>
        <w:widowControl w:val="0"/>
        <w:spacing w:before="200" w:line="240" w:lineRule="atLeast"/>
        <w:jc w:val="both"/>
      </w:pPr>
      <w:r>
        <w:rPr>
          <w:rFonts w:ascii="Arial" w:eastAsia="Arial" w:hAnsi="Arial" w:cs="Arial"/>
          <w:color w:val="000000"/>
          <w:sz w:val="18"/>
          <w:vertAlign w:val="superscript"/>
        </w:rPr>
        <w:t>1 </w:t>
      </w:r>
      <w:bookmarkStart w:id="5282" w:name="Bookmark_fnpara_1_24"/>
      <w:bookmarkEnd w:id="5282"/>
      <w:r>
        <w:rPr>
          <w:rFonts w:ascii="Arial" w:eastAsia="Arial" w:hAnsi="Arial" w:cs="Arial"/>
          <w:color w:val="000000"/>
          <w:sz w:val="18"/>
        </w:rPr>
        <w:t xml:space="preserve">For purposes of this appeal, we assume that the Elk Run Inn satisfies the ADA's definition of "place of public accommodation." </w:t>
      </w:r>
      <w:r>
        <w:rPr>
          <w:rFonts w:ascii="Arial" w:eastAsia="Arial" w:hAnsi="Arial" w:cs="Arial"/>
          <w:i/>
          <w:color w:val="000000"/>
          <w:sz w:val="18"/>
        </w:rPr>
        <w:t>See</w:t>
      </w:r>
      <w:r>
        <w:rPr>
          <w:rFonts w:ascii="Arial" w:eastAsia="Arial" w:hAnsi="Arial" w:cs="Arial"/>
          <w:color w:val="000000"/>
          <w:sz w:val="18"/>
        </w:rPr>
        <w:t xml:space="preserve"> 42 U.S.C. § 12181(7)(A).</w:t>
      </w:r>
    </w:p>
  </w:footnote>
  <w:footnote w:id="139">
    <w:p w:rsidR="00022B47" w:rsidRDefault="00000000">
      <w:pPr>
        <w:pStyle w:val="Normal30"/>
        <w:widowControl w:val="0"/>
        <w:spacing w:before="200" w:line="240" w:lineRule="atLeast"/>
        <w:jc w:val="both"/>
      </w:pPr>
      <w:r>
        <w:rPr>
          <w:rFonts w:ascii="Arial" w:eastAsia="Arial" w:hAnsi="Arial" w:cs="Arial"/>
          <w:color w:val="000000"/>
          <w:sz w:val="18"/>
          <w:vertAlign w:val="superscript"/>
        </w:rPr>
        <w:t>2 </w:t>
      </w:r>
      <w:bookmarkStart w:id="5334" w:name="Bookmark_fnpara_2_21"/>
      <w:bookmarkEnd w:id="5334"/>
      <w:r>
        <w:rPr>
          <w:rFonts w:ascii="Arial" w:eastAsia="Arial" w:hAnsi="Arial" w:cs="Arial"/>
          <w:color w:val="000000"/>
          <w:sz w:val="18"/>
        </w:rPr>
        <w:t xml:space="preserve">The FCRA requires covered entities to "follow reasonable procedures to assure maximum possible accuracy of" consumer reports, to "notify providers and users of consumer information of their responsibilities under the Act," to "limit the circumstances in which such agencies provide consumer reports 'for employment purposes,'" and to "post toll-free numbers for consumers to request reports." </w:t>
      </w:r>
      <w:bookmarkStart w:id="5335" w:name="Bookmark_I64HGFMN2SF7JV0040000400"/>
      <w:bookmarkEnd w:id="5335"/>
      <w:r>
        <w:rPr>
          <w:rFonts w:ascii="Arial" w:eastAsia="Arial" w:hAnsi="Arial" w:cs="Arial"/>
          <w:i/>
          <w:color w:val="000000"/>
          <w:sz w:val="18"/>
        </w:rPr>
        <w:t>Id.</w:t>
      </w:r>
      <w:r>
        <w:rPr>
          <w:rFonts w:ascii="Arial" w:eastAsia="Arial" w:hAnsi="Arial" w:cs="Arial"/>
          <w:color w:val="000000"/>
          <w:sz w:val="18"/>
        </w:rPr>
        <w:t xml:space="preserve"> at 1545 (citing 15 U.S.C. §§ 1681e(b), (d), 1681b(b)(1), 1681j(a)).</w:t>
      </w:r>
    </w:p>
  </w:footnote>
  <w:footnote w:id="140">
    <w:p w:rsidR="00022B47" w:rsidRDefault="00000000">
      <w:pPr>
        <w:pStyle w:val="Normal30"/>
        <w:widowControl w:val="0"/>
        <w:spacing w:before="120" w:line="240" w:lineRule="atLeast"/>
        <w:jc w:val="both"/>
      </w:pPr>
      <w:r>
        <w:rPr>
          <w:rFonts w:ascii="Arial" w:eastAsia="Arial" w:hAnsi="Arial" w:cs="Arial"/>
          <w:color w:val="000000"/>
          <w:sz w:val="18"/>
          <w:vertAlign w:val="superscript"/>
        </w:rPr>
        <w:t>3 </w:t>
      </w:r>
      <w:bookmarkStart w:id="5366" w:name="Bookmark_fnpara_3_18"/>
      <w:bookmarkEnd w:id="5366"/>
      <w:r>
        <w:rPr>
          <w:rFonts w:ascii="Arial" w:eastAsia="Arial" w:hAnsi="Arial" w:cs="Arial"/>
          <w:color w:val="000000"/>
          <w:sz w:val="18"/>
        </w:rPr>
        <w:t>She has not alleged that she was unable to fully access the ORS itself.</w:t>
      </w:r>
    </w:p>
  </w:footnote>
  <w:footnote w:id="141">
    <w:p w:rsidR="00022B47" w:rsidRDefault="00000000">
      <w:pPr>
        <w:pStyle w:val="Normal30"/>
        <w:widowControl w:val="0"/>
        <w:spacing w:before="120" w:line="240" w:lineRule="atLeast"/>
        <w:jc w:val="both"/>
      </w:pPr>
      <w:r>
        <w:rPr>
          <w:rFonts w:ascii="Arial" w:eastAsia="Arial" w:hAnsi="Arial" w:cs="Arial"/>
          <w:color w:val="000000"/>
          <w:sz w:val="18"/>
          <w:vertAlign w:val="superscript"/>
        </w:rPr>
        <w:t>4 </w:t>
      </w:r>
      <w:bookmarkStart w:id="5367" w:name="Bookmark_fnpara_4_14"/>
      <w:bookmarkEnd w:id="5367"/>
      <w:r>
        <w:rPr>
          <w:rFonts w:ascii="Arial" w:eastAsia="Arial" w:hAnsi="Arial" w:cs="Arial"/>
          <w:color w:val="000000"/>
          <w:sz w:val="18"/>
        </w:rPr>
        <w:t>The district court rejected Ms. Laufer's contention that she "need not allege an intent to visit the physical PPA to suffer an injury in fact and has suffered an injury in fact based solely on the use of the noncompliant [ORS]." App. at 440. On appeal, she argues the district court "completely ignored the rules of statutory construction, the plain and unambiguous language of the statute and Regulation, and instead improperly imposed the additional requirement of 'intent' into the governing statutory language, where Congress had omitted it." Aplt. Br. at 12. But Ms. Laufer misapprehends the district court's Article III analysis as statutory interpretation. After the district court noted that Ms. Laufer did not intend to stay at the Elk Run Inn, it concluded that Ms. Laufer lacked Article III standing because she had not suffered a concrete and particularized injury in fact. The court was addressing a constitutional question and was not interpreting the statute or the ORS Regulation.</w:t>
      </w:r>
    </w:p>
  </w:footnote>
  <w:footnote w:id="142">
    <w:p w:rsidR="00022B47" w:rsidRDefault="00000000">
      <w:pPr>
        <w:pStyle w:val="Normal30"/>
        <w:widowControl w:val="0"/>
        <w:spacing w:before="200" w:line="240" w:lineRule="atLeast"/>
        <w:jc w:val="both"/>
      </w:pPr>
      <w:r>
        <w:rPr>
          <w:rFonts w:ascii="Arial" w:eastAsia="Arial" w:hAnsi="Arial" w:cs="Arial"/>
          <w:color w:val="000000"/>
          <w:sz w:val="18"/>
          <w:vertAlign w:val="superscript"/>
        </w:rPr>
        <w:t>5 </w:t>
      </w:r>
      <w:bookmarkStart w:id="5474" w:name="Bookmark_fnpara_5_10"/>
      <w:bookmarkStart w:id="5475" w:name="Bookmark_LNHNREFclscc12_11"/>
      <w:bookmarkEnd w:id="5474"/>
      <w:bookmarkEnd w:id="5475"/>
      <w:r>
        <w:rPr>
          <w:rFonts w:ascii="Arial" w:eastAsia="Arial" w:hAnsi="Arial" w:cs="Arial"/>
          <w:color w:val="000000"/>
          <w:sz w:val="18"/>
        </w:rPr>
        <w:t xml:space="preserve">Although this statement from </w:t>
      </w:r>
      <w:bookmarkStart w:id="5476" w:name="Bookmark_I64HGFMR2D6N3S0010000400"/>
      <w:bookmarkEnd w:id="5476"/>
      <w:r>
        <w:rPr>
          <w:rFonts w:ascii="Arial" w:eastAsia="Arial" w:hAnsi="Arial" w:cs="Arial"/>
          <w:i/>
          <w:color w:val="000000"/>
          <w:sz w:val="18"/>
        </w:rPr>
        <w:t>TransUnion</w:t>
      </w:r>
      <w:r>
        <w:rPr>
          <w:rFonts w:ascii="Arial" w:eastAsia="Arial" w:hAnsi="Arial" w:cs="Arial"/>
          <w:color w:val="000000"/>
          <w:sz w:val="18"/>
        </w:rPr>
        <w:t xml:space="preserve"> is arguably dicta, we are "bound by Supreme Court dicta almost as firmly as by the Court's outright holdings, particularly when the dicta is recent and not enfeebled by later statements." </w:t>
      </w:r>
      <w:bookmarkStart w:id="5477" w:name="Bookmark_I64HGFMR2D6N3S0030000400"/>
      <w:bookmarkEnd w:id="5477"/>
      <w:r>
        <w:rPr>
          <w:rFonts w:ascii="Arial" w:eastAsia="Arial" w:hAnsi="Arial" w:cs="Arial"/>
          <w:i/>
          <w:color w:val="000000"/>
          <w:sz w:val="18"/>
        </w:rPr>
        <w:t>N. Mill St., LLC v. City of Aspen</w:t>
      </w:r>
      <w:r>
        <w:rPr>
          <w:rFonts w:ascii="Arial" w:eastAsia="Arial" w:hAnsi="Arial" w:cs="Arial"/>
          <w:color w:val="000000"/>
          <w:sz w:val="18"/>
        </w:rPr>
        <w:t>, 6 F.4th 1216, 1228 n.11 (10th Cir. 2021) (quotations omitted).</w:t>
      </w:r>
    </w:p>
  </w:footnote>
  <w:footnote w:id="143">
    <w:p w:rsidR="00022B47" w:rsidRDefault="00000000">
      <w:pPr>
        <w:pStyle w:val="Normal30"/>
        <w:widowControl w:val="0"/>
        <w:spacing w:before="200" w:line="240" w:lineRule="atLeast"/>
        <w:jc w:val="both"/>
      </w:pPr>
      <w:r>
        <w:rPr>
          <w:rFonts w:ascii="Arial" w:eastAsia="Arial" w:hAnsi="Arial" w:cs="Arial"/>
          <w:color w:val="000000"/>
          <w:sz w:val="18"/>
          <w:vertAlign w:val="superscript"/>
        </w:rPr>
        <w:t>6 </w:t>
      </w:r>
      <w:bookmarkStart w:id="5496" w:name="Bookmark_fnpara_6_7"/>
      <w:bookmarkStart w:id="5497" w:name="Bookmark_I64HGFMR2HM5T20050000400"/>
      <w:bookmarkStart w:id="5498" w:name="Bookmark_I64HGFMR2N1RFB0010000400"/>
      <w:bookmarkEnd w:id="5496"/>
      <w:bookmarkEnd w:id="5497"/>
      <w:bookmarkEnd w:id="5498"/>
      <w:r>
        <w:rPr>
          <w:rFonts w:ascii="Arial" w:eastAsia="Arial" w:hAnsi="Arial" w:cs="Arial"/>
          <w:color w:val="000000"/>
          <w:sz w:val="18"/>
        </w:rPr>
        <w:t xml:space="preserve">The Fifth Circuit recently said, to allege an informational injury, Ms. Laufer "would need to allege at least that the information had 'some relevance' to </w:t>
      </w:r>
      <w:r>
        <w:rPr>
          <w:rFonts w:ascii="Arial" w:eastAsia="Arial" w:hAnsi="Arial" w:cs="Arial"/>
          <w:i/>
          <w:color w:val="000000"/>
          <w:sz w:val="18"/>
        </w:rPr>
        <w:t>her</w:t>
      </w:r>
      <w:r>
        <w:rPr>
          <w:rFonts w:ascii="Arial" w:eastAsia="Arial" w:hAnsi="Arial" w:cs="Arial"/>
          <w:color w:val="000000"/>
          <w:sz w:val="18"/>
        </w:rPr>
        <w:t xml:space="preserve">." </w:t>
      </w:r>
      <w:bookmarkStart w:id="5499" w:name="Bookmark_I64HGFMR2HM5T20040000400"/>
      <w:bookmarkEnd w:id="5499"/>
      <w:r>
        <w:rPr>
          <w:rFonts w:ascii="Arial" w:eastAsia="Arial" w:hAnsi="Arial" w:cs="Arial"/>
          <w:i/>
          <w:color w:val="000000"/>
          <w:sz w:val="18"/>
        </w:rPr>
        <w:t>Laufer v. Mann Hosp., LLC</w:t>
      </w:r>
      <w:r>
        <w:rPr>
          <w:rFonts w:ascii="Arial" w:eastAsia="Arial" w:hAnsi="Arial" w:cs="Arial"/>
          <w:color w:val="000000"/>
          <w:sz w:val="18"/>
        </w:rPr>
        <w:t xml:space="preserve">, 996 F.3d 269, 273 (5th Cir. 2021) (quotations omitted); </w:t>
      </w:r>
      <w:r>
        <w:rPr>
          <w:rFonts w:ascii="Arial" w:eastAsia="Arial" w:hAnsi="Arial" w:cs="Arial"/>
          <w:i/>
          <w:color w:val="000000"/>
          <w:sz w:val="18"/>
        </w:rPr>
        <w:t xml:space="preserve">see also </w:t>
      </w:r>
      <w:bookmarkStart w:id="5500" w:name="Bookmark_I64HGFMR28T4VF0010000400"/>
      <w:bookmarkEnd w:id="5500"/>
      <w:r>
        <w:rPr>
          <w:rFonts w:ascii="Arial" w:eastAsia="Arial" w:hAnsi="Arial" w:cs="Arial"/>
          <w:i/>
          <w:color w:val="000000"/>
          <w:sz w:val="18"/>
        </w:rPr>
        <w:t>Griffin</w:t>
      </w:r>
      <w:r>
        <w:rPr>
          <w:rFonts w:ascii="Arial" w:eastAsia="Arial" w:hAnsi="Arial" w:cs="Arial"/>
          <w:color w:val="000000"/>
          <w:sz w:val="18"/>
        </w:rPr>
        <w:t>, 912 F.3d at 654 (</w:t>
      </w:r>
      <w:bookmarkStart w:id="5501" w:name="Bookmark_LNHNREFclscc13_10"/>
      <w:bookmarkEnd w:id="5501"/>
      <w:r>
        <w:rPr>
          <w:rFonts w:ascii="Arial" w:eastAsia="Arial" w:hAnsi="Arial" w:cs="Arial"/>
          <w:color w:val="000000"/>
          <w:sz w:val="18"/>
        </w:rPr>
        <w:t xml:space="preserve">"Inability to obtain information is sufficiently concrete to constitute injury in fact only when the information has some relevance to the litigant."); </w:t>
      </w:r>
      <w:bookmarkStart w:id="5502" w:name="Bookmark_I64HGFMR28T4VF0030000400"/>
      <w:bookmarkEnd w:id="5502"/>
      <w:r>
        <w:rPr>
          <w:rFonts w:ascii="Arial" w:eastAsia="Arial" w:hAnsi="Arial" w:cs="Arial"/>
          <w:i/>
          <w:color w:val="000000"/>
          <w:sz w:val="18"/>
        </w:rPr>
        <w:t>Brintley v. Aeroquip Credit Union</w:t>
      </w:r>
      <w:r>
        <w:rPr>
          <w:rFonts w:ascii="Arial" w:eastAsia="Arial" w:hAnsi="Arial" w:cs="Arial"/>
          <w:color w:val="000000"/>
          <w:sz w:val="18"/>
        </w:rPr>
        <w:t>, 936 F.3d 489, 493 (6th Cir. 2019) (same).</w:t>
      </w:r>
    </w:p>
    <w:p w:rsidR="00022B47" w:rsidRDefault="00000000">
      <w:pPr>
        <w:pStyle w:val="Normal30"/>
        <w:widowControl w:val="0"/>
        <w:spacing w:before="200" w:line="240" w:lineRule="atLeast"/>
        <w:jc w:val="both"/>
      </w:pPr>
      <w:bookmarkStart w:id="5503" w:name="Bookmark_fnpara_7_7"/>
      <w:bookmarkStart w:id="5504" w:name="Bookmark_I64HGFMR2N1RFB0010000400_2"/>
      <w:bookmarkStart w:id="5505" w:name="Bookmark_I64HGFMR2HM5T20050000400_2"/>
      <w:bookmarkEnd w:id="5503"/>
      <w:bookmarkEnd w:id="5504"/>
      <w:bookmarkEnd w:id="5505"/>
      <w:r>
        <w:rPr>
          <w:rFonts w:ascii="Arial" w:eastAsia="Arial" w:hAnsi="Arial" w:cs="Arial"/>
          <w:color w:val="000000"/>
          <w:sz w:val="18"/>
        </w:rPr>
        <w:t xml:space="preserve">Ms. Laufer argues that, unlike the plaintiffs in </w:t>
      </w:r>
      <w:bookmarkStart w:id="5506" w:name="Bookmark_I64HGFMR2N1RFB0010000400_3"/>
      <w:bookmarkStart w:id="5507" w:name="Bookmark_I64HGFMR2HM5T20050000400_3"/>
      <w:bookmarkStart w:id="5508" w:name="Bookmark_I64HGFMR28T4VF0050000400"/>
      <w:bookmarkEnd w:id="5506"/>
      <w:bookmarkEnd w:id="5507"/>
      <w:bookmarkEnd w:id="5508"/>
      <w:r>
        <w:rPr>
          <w:rFonts w:ascii="Arial" w:eastAsia="Arial" w:hAnsi="Arial" w:cs="Arial"/>
          <w:i/>
          <w:color w:val="000000"/>
          <w:sz w:val="18"/>
        </w:rPr>
        <w:t>Griffin</w:t>
      </w:r>
      <w:bookmarkStart w:id="5509" w:name="Bookmark_I64HGFMR2N1RFB0030000400"/>
      <w:bookmarkEnd w:id="5509"/>
      <w:r>
        <w:rPr>
          <w:rFonts w:ascii="Arial" w:eastAsia="Arial" w:hAnsi="Arial" w:cs="Arial"/>
          <w:color w:val="000000"/>
          <w:sz w:val="18"/>
        </w:rPr>
        <w:t xml:space="preserve">, she is legally entitled to the information she seeks. Aplt. Br. at 37-40. </w:t>
      </w:r>
      <w:bookmarkStart w:id="5510" w:name="Bookmark_LNHNREFclscc14_8"/>
      <w:bookmarkEnd w:id="5510"/>
      <w:r>
        <w:rPr>
          <w:rFonts w:ascii="Arial" w:eastAsia="Arial" w:hAnsi="Arial" w:cs="Arial"/>
          <w:color w:val="000000"/>
          <w:sz w:val="18"/>
        </w:rPr>
        <w:t xml:space="preserve">But, as the Court explained in </w:t>
      </w:r>
      <w:bookmarkStart w:id="5511" w:name="Bookmark_I64HGFMR2N1RFB0030000400_2"/>
      <w:bookmarkStart w:id="5512" w:name="Bookmark_I64HGFMR2N1RFB0020000400"/>
      <w:bookmarkEnd w:id="5511"/>
      <w:bookmarkEnd w:id="5512"/>
      <w:r>
        <w:rPr>
          <w:rFonts w:ascii="Arial" w:eastAsia="Arial" w:hAnsi="Arial" w:cs="Arial"/>
          <w:i/>
          <w:color w:val="000000"/>
          <w:sz w:val="18"/>
        </w:rPr>
        <w:t>Spokeo</w:t>
      </w:r>
      <w:r>
        <w:rPr>
          <w:rFonts w:ascii="Arial" w:eastAsia="Arial" w:hAnsi="Arial" w:cs="Arial"/>
          <w:color w:val="000000"/>
          <w:sz w:val="18"/>
        </w:rPr>
        <w:t xml:space="preserve"> and </w:t>
      </w:r>
      <w:bookmarkStart w:id="5513" w:name="Bookmark_I64HGFMR2N1RFB0040000400"/>
      <w:bookmarkEnd w:id="5513"/>
      <w:r>
        <w:rPr>
          <w:rFonts w:ascii="Arial" w:eastAsia="Arial" w:hAnsi="Arial" w:cs="Arial"/>
          <w:i/>
          <w:color w:val="000000"/>
          <w:sz w:val="18"/>
        </w:rPr>
        <w:t>TransUnion</w:t>
      </w:r>
      <w:r>
        <w:rPr>
          <w:rFonts w:ascii="Arial" w:eastAsia="Arial" w:hAnsi="Arial" w:cs="Arial"/>
          <w:color w:val="000000"/>
          <w:sz w:val="18"/>
        </w:rPr>
        <w:t>, violation of a legal entitlement is not the same as an injury in fact.</w:t>
      </w:r>
    </w:p>
  </w:footnote>
  <w:footnote w:id="144">
    <w:p w:rsidR="00022B47" w:rsidRDefault="00000000">
      <w:pPr>
        <w:pStyle w:val="Normal30"/>
        <w:widowControl w:val="0"/>
        <w:spacing w:before="200" w:line="240" w:lineRule="atLeast"/>
        <w:jc w:val="both"/>
      </w:pPr>
      <w:r>
        <w:rPr>
          <w:rFonts w:ascii="Arial" w:eastAsia="Arial" w:hAnsi="Arial" w:cs="Arial"/>
          <w:color w:val="000000"/>
          <w:sz w:val="18"/>
          <w:vertAlign w:val="superscript"/>
        </w:rPr>
        <w:t>7 </w:t>
      </w:r>
      <w:bookmarkStart w:id="5520" w:name="Bookmark_fnpara_8_7"/>
      <w:bookmarkStart w:id="5521" w:name="Bookmark_LNHNREFclscc15_8"/>
      <w:bookmarkEnd w:id="5520"/>
      <w:bookmarkEnd w:id="5521"/>
      <w:r>
        <w:rPr>
          <w:rFonts w:ascii="Arial" w:eastAsia="Arial" w:hAnsi="Arial" w:cs="Arial"/>
          <w:color w:val="000000"/>
          <w:sz w:val="18"/>
        </w:rPr>
        <w:t xml:space="preserve">Title II of the ADA makes it illegal for a public entity to discriminate against a qualified individual with a disability in the provision of government programs, activities, and services. 42 U.S.C. § 12132; </w:t>
      </w:r>
      <w:bookmarkStart w:id="5522" w:name="Bookmark_I64HGFMS2SF7KM0050000400"/>
      <w:bookmarkEnd w:id="5522"/>
      <w:r>
        <w:rPr>
          <w:rFonts w:ascii="Arial" w:eastAsia="Arial" w:hAnsi="Arial" w:cs="Arial"/>
          <w:i/>
          <w:color w:val="000000"/>
          <w:sz w:val="18"/>
        </w:rPr>
        <w:t>J.V. v. Albuquerque Pub. Sch.</w:t>
      </w:r>
      <w:r>
        <w:rPr>
          <w:rFonts w:ascii="Arial" w:eastAsia="Arial" w:hAnsi="Arial" w:cs="Arial"/>
          <w:color w:val="000000"/>
          <w:sz w:val="18"/>
        </w:rPr>
        <w:t>, 813 F.3d 1289, 1295 (10th Cir. 2016).</w:t>
      </w:r>
    </w:p>
  </w:footnote>
  <w:footnote w:id="145">
    <w:p w:rsidR="00022B47" w:rsidRDefault="00000000">
      <w:pPr>
        <w:pStyle w:val="Normal30"/>
        <w:widowControl w:val="0"/>
        <w:spacing w:before="200" w:line="240" w:lineRule="atLeast"/>
        <w:jc w:val="both"/>
      </w:pPr>
      <w:r>
        <w:rPr>
          <w:rFonts w:ascii="Arial" w:eastAsia="Arial" w:hAnsi="Arial" w:cs="Arial"/>
          <w:color w:val="000000"/>
          <w:sz w:val="18"/>
          <w:vertAlign w:val="superscript"/>
        </w:rPr>
        <w:t>8 </w:t>
      </w:r>
      <w:bookmarkStart w:id="5543" w:name="Bookmark_fnpara_9_6"/>
      <w:bookmarkEnd w:id="5543"/>
      <w:r>
        <w:rPr>
          <w:rFonts w:ascii="Arial" w:eastAsia="Arial" w:hAnsi="Arial" w:cs="Arial"/>
          <w:color w:val="000000"/>
          <w:sz w:val="18"/>
        </w:rPr>
        <w:t xml:space="preserve">By contrast, plaintiff Garnett did not have standing to seek prospective relief. He had "merely alleged, in the complaint, that he 'desires' to use Wichita Transit's fixed-route bus system." </w:t>
      </w:r>
      <w:r>
        <w:rPr>
          <w:rFonts w:ascii="Arial" w:eastAsia="Arial" w:hAnsi="Arial" w:cs="Arial"/>
          <w:i/>
          <w:color w:val="000000"/>
          <w:sz w:val="18"/>
        </w:rPr>
        <w:t>Id.</w:t>
      </w:r>
      <w:r>
        <w:rPr>
          <w:rFonts w:ascii="Arial" w:eastAsia="Arial" w:hAnsi="Arial" w:cs="Arial"/>
          <w:color w:val="000000"/>
          <w:sz w:val="18"/>
        </w:rPr>
        <w:t xml:space="preserve"> at 1288. He "submitted no affidavit stating an intent to utilize Wichita Transit's fixed-route buses in the future." </w:t>
      </w:r>
      <w:r>
        <w:rPr>
          <w:rFonts w:ascii="Arial" w:eastAsia="Arial" w:hAnsi="Arial" w:cs="Arial"/>
          <w:i/>
          <w:color w:val="000000"/>
          <w:sz w:val="18"/>
        </w:rPr>
        <w:t>Id.</w:t>
      </w:r>
    </w:p>
  </w:footnote>
  <w:footnote w:id="146">
    <w:p w:rsidR="00022B47" w:rsidRDefault="00000000">
      <w:pPr>
        <w:pStyle w:val="Normal30"/>
        <w:widowControl w:val="0"/>
        <w:spacing w:before="200" w:line="240" w:lineRule="atLeast"/>
        <w:jc w:val="both"/>
      </w:pPr>
      <w:r>
        <w:rPr>
          <w:rFonts w:ascii="Arial" w:eastAsia="Arial" w:hAnsi="Arial" w:cs="Arial"/>
          <w:color w:val="000000"/>
          <w:sz w:val="18"/>
          <w:vertAlign w:val="superscript"/>
        </w:rPr>
        <w:t>9 </w:t>
      </w:r>
      <w:bookmarkStart w:id="5572" w:name="Bookmark_fnpara_10_3"/>
      <w:bookmarkEnd w:id="5572"/>
      <w:r>
        <w:rPr>
          <w:rFonts w:ascii="Arial" w:eastAsia="Arial" w:hAnsi="Arial" w:cs="Arial"/>
          <w:color w:val="000000"/>
          <w:sz w:val="18"/>
        </w:rPr>
        <w:t xml:space="preserve">Ms. Laufer's brief does not present the "stigmatic" or "dignitary" harm theory of standing that the district court rejected below. </w:t>
      </w:r>
      <w:r>
        <w:rPr>
          <w:rFonts w:ascii="Arial" w:eastAsia="Arial" w:hAnsi="Arial" w:cs="Arial"/>
          <w:i/>
          <w:color w:val="000000"/>
          <w:sz w:val="18"/>
        </w:rPr>
        <w:t>See</w:t>
      </w:r>
      <w:r>
        <w:rPr>
          <w:rFonts w:ascii="Arial" w:eastAsia="Arial" w:hAnsi="Arial" w:cs="Arial"/>
          <w:color w:val="000000"/>
          <w:sz w:val="18"/>
        </w:rPr>
        <w:t xml:space="preserve"> App. at 444-45. We therefore decline to address that theory of injury.</w:t>
      </w:r>
    </w:p>
  </w:footnote>
  <w:footnote w:id="147">
    <w:p w:rsidR="00022B47" w:rsidRDefault="00000000">
      <w:pPr>
        <w:pStyle w:val="Normal31"/>
        <w:widowControl w:val="0"/>
        <w:spacing w:before="120" w:line="240" w:lineRule="atLeast"/>
        <w:jc w:val="both"/>
      </w:pPr>
      <w:r>
        <w:rPr>
          <w:rFonts w:ascii="Arial" w:eastAsia="Arial" w:hAnsi="Arial" w:cs="Arial"/>
          <w:color w:val="000000"/>
          <w:sz w:val="18"/>
          <w:vertAlign w:val="superscript"/>
        </w:rPr>
        <w:t>* </w:t>
      </w:r>
      <w:bookmarkStart w:id="5585" w:name="Bookmark_fnpara_1_25"/>
      <w:bookmarkEnd w:id="5585"/>
      <w:r>
        <w:rPr>
          <w:rFonts w:ascii="Arial" w:eastAsia="Arial" w:hAnsi="Arial" w:cs="Arial"/>
          <w:color w:val="000000"/>
          <w:sz w:val="18"/>
        </w:rPr>
        <w:t>Judge J. Paul Oetken, of the United States District Court for the Southern District of New York, sitting by designation.</w:t>
      </w:r>
    </w:p>
  </w:footnote>
  <w:footnote w:id="148">
    <w:p w:rsidR="00022B47" w:rsidRDefault="00000000">
      <w:pPr>
        <w:pStyle w:val="Normal31"/>
        <w:widowControl w:val="0"/>
        <w:spacing w:before="120" w:line="240" w:lineRule="atLeast"/>
        <w:jc w:val="both"/>
      </w:pPr>
      <w:r>
        <w:rPr>
          <w:rFonts w:ascii="Arial" w:eastAsia="Arial" w:hAnsi="Arial" w:cs="Arial"/>
          <w:color w:val="000000"/>
          <w:sz w:val="18"/>
          <w:vertAlign w:val="superscript"/>
        </w:rPr>
        <w:t>1 </w:t>
      </w:r>
      <w:bookmarkStart w:id="5589" w:name="Bookmark_fnpara_2_22"/>
      <w:bookmarkEnd w:id="5589"/>
      <w:r>
        <w:rPr>
          <w:rFonts w:ascii="Arial" w:eastAsia="Arial" w:hAnsi="Arial" w:cs="Arial"/>
          <w:color w:val="000000"/>
          <w:sz w:val="18"/>
        </w:rPr>
        <w:t>Plaintiffs also brought claims under Title III of the Americans with Disabilities Act ("ADA") and section 504 of the Rehabilitation Act. The parties agreed to submit to the jury only the cause of action under the NYCHRL: plaintiffs reasoned that "it is the most liberal standard and provides all the relief that [plaintiffs] were seeking." Appellants' Br. at 9.</w:t>
      </w:r>
    </w:p>
  </w:footnote>
  <w:footnote w:id="149">
    <w:p w:rsidR="00022B47" w:rsidRDefault="00000000">
      <w:pPr>
        <w:pStyle w:val="Normal31"/>
        <w:widowControl w:val="0"/>
        <w:spacing w:before="120" w:line="240" w:lineRule="atLeast"/>
        <w:jc w:val="both"/>
      </w:pPr>
      <w:r>
        <w:rPr>
          <w:rFonts w:ascii="Arial" w:eastAsia="Arial" w:hAnsi="Arial" w:cs="Arial"/>
          <w:color w:val="000000"/>
          <w:sz w:val="18"/>
          <w:vertAlign w:val="superscript"/>
        </w:rPr>
        <w:t>2 </w:t>
      </w:r>
      <w:bookmarkStart w:id="5594" w:name="Bookmark_fnpara_3_19"/>
      <w:bookmarkStart w:id="5595" w:name="Bookmark_LNHNREFclscc2_28"/>
      <w:bookmarkEnd w:id="5594"/>
      <w:bookmarkEnd w:id="5595"/>
      <w:r>
        <w:rPr>
          <w:rFonts w:ascii="Arial" w:eastAsia="Arial" w:hAnsi="Arial" w:cs="Arial"/>
          <w:color w:val="000000"/>
          <w:sz w:val="18"/>
        </w:rPr>
        <w:t>As set forth in section 8-107(4), the law covers "any person who is the owner, franchisor, franchisee, lessor, lessee, proprietor, manager, superintendent, agent or employee of any place or provider of public accommodation." N.Y.C. Admin. Code § 8-107(4).</w:t>
      </w:r>
    </w:p>
  </w:footnote>
  <w:footnote w:id="150">
    <w:p w:rsidR="00022B47" w:rsidRDefault="00000000">
      <w:pPr>
        <w:pStyle w:val="Normal31"/>
        <w:widowControl w:val="0"/>
        <w:spacing w:before="200" w:line="240" w:lineRule="atLeast"/>
        <w:jc w:val="both"/>
      </w:pPr>
      <w:r>
        <w:rPr>
          <w:rFonts w:ascii="Arial" w:eastAsia="Arial" w:hAnsi="Arial" w:cs="Arial"/>
          <w:color w:val="000000"/>
          <w:sz w:val="18"/>
          <w:vertAlign w:val="superscript"/>
        </w:rPr>
        <w:t>3 </w:t>
      </w:r>
      <w:bookmarkStart w:id="5598" w:name="Bookmark_fnpara_4_15"/>
      <w:bookmarkStart w:id="5599" w:name="Bookmark_I64DPTTX2SF8SS0010000400"/>
      <w:bookmarkEnd w:id="5598"/>
      <w:bookmarkEnd w:id="5599"/>
      <w:r>
        <w:rPr>
          <w:rFonts w:ascii="Arial" w:eastAsia="Arial" w:hAnsi="Arial" w:cs="Arial"/>
          <w:color w:val="000000"/>
          <w:sz w:val="18"/>
        </w:rPr>
        <w:t xml:space="preserve">In Count IV of their complaint, plaintiffs asserted a single cause of action under the NYCHRL, invoking both section 8-107(4), which prohibits disparate treatment of individuals with disabilities, and section 8-107(15), which requires covered entities to provide reasonable accommodations to individuals with disabilities such as would allow the individuals to use or enjoy their services. J.A. 57, ¶ 237; </w:t>
      </w:r>
      <w:r>
        <w:rPr>
          <w:rFonts w:ascii="Arial" w:eastAsia="Arial" w:hAnsi="Arial" w:cs="Arial"/>
          <w:i/>
          <w:color w:val="000000"/>
          <w:sz w:val="18"/>
        </w:rPr>
        <w:t>see</w:t>
      </w:r>
      <w:r>
        <w:rPr>
          <w:rFonts w:ascii="Arial" w:eastAsia="Arial" w:hAnsi="Arial" w:cs="Arial"/>
          <w:color w:val="000000"/>
          <w:sz w:val="18"/>
        </w:rPr>
        <w:t xml:space="preserve"> N.Y.C. Admin. Code § 8-107(4), (15); </w:t>
      </w:r>
      <w:r>
        <w:rPr>
          <w:rFonts w:ascii="Arial" w:eastAsia="Arial" w:hAnsi="Arial" w:cs="Arial"/>
          <w:i/>
          <w:color w:val="000000"/>
          <w:sz w:val="18"/>
        </w:rPr>
        <w:t xml:space="preserve">see generally, e.g., </w:t>
      </w:r>
      <w:bookmarkStart w:id="5600" w:name="Bookmark_I64DPTTW2D6N1B0050000400"/>
      <w:bookmarkEnd w:id="5600"/>
      <w:r>
        <w:rPr>
          <w:rFonts w:ascii="Arial" w:eastAsia="Arial" w:hAnsi="Arial" w:cs="Arial"/>
          <w:i/>
          <w:color w:val="000000"/>
          <w:sz w:val="18"/>
        </w:rPr>
        <w:t>Roberman v. Alamo Drafthouse Cinemas Holdings, LLC</w:t>
      </w:r>
      <w:r>
        <w:rPr>
          <w:rFonts w:ascii="Arial" w:eastAsia="Arial" w:hAnsi="Arial" w:cs="Arial"/>
          <w:color w:val="000000"/>
          <w:sz w:val="18"/>
        </w:rPr>
        <w:t>, 67 Misc. 3d 182, 184-87, 120 N.Y.S.3d 709 (N.Y. Sup. Ct. 2020) (in public-accommodation context, separately addressing "reasonable accommodation" claim under section 8-107(15) and "disparate treatment" claim under section 8-107(4)). No party appears to have argued before the district court, nor did either argue before this Court, that plaintiffs stated two separate causes of action requiring application of different standards. Nor does the record reflect that any party argued that the jury should have considered them separately: the jury forms simply called on the jury to determine whether "the Hospital discriminated against" each plaintiff, as the court defined "discriminated" in its jury instructions. We therefore do not address the two provisions separately here.</w:t>
      </w:r>
    </w:p>
  </w:footnote>
  <w:footnote w:id="151">
    <w:p w:rsidR="00022B47" w:rsidRDefault="00000000">
      <w:pPr>
        <w:pStyle w:val="Normal31"/>
        <w:widowControl w:val="0"/>
        <w:spacing w:before="200" w:line="240" w:lineRule="atLeast"/>
        <w:jc w:val="both"/>
      </w:pPr>
      <w:r>
        <w:rPr>
          <w:rFonts w:ascii="Arial" w:eastAsia="Arial" w:hAnsi="Arial" w:cs="Arial"/>
          <w:color w:val="000000"/>
          <w:sz w:val="18"/>
          <w:vertAlign w:val="superscript"/>
        </w:rPr>
        <w:t>4 </w:t>
      </w:r>
      <w:bookmarkStart w:id="5611" w:name="Bookmark_fnpara_5_11"/>
      <w:bookmarkStart w:id="5612" w:name="Bookmark_I64DPTTY28T4S40040000400"/>
      <w:bookmarkEnd w:id="5611"/>
      <w:bookmarkEnd w:id="5612"/>
      <w:r>
        <w:rPr>
          <w:rFonts w:ascii="Arial" w:eastAsia="Arial" w:hAnsi="Arial" w:cs="Arial"/>
          <w:color w:val="000000"/>
          <w:sz w:val="18"/>
        </w:rPr>
        <w:t xml:space="preserve">In their complaint, plaintiffs also sought "to compel [the Hospital] to cease unlawful discriminatory practices and implement policies and procedures that will ensure effective communication, full and equal enjoyment, and a meaningful opportunity to participate in and benefit from [the Hospital's] services." J.A. 29. As the district court observed, however, Lutheran Medical Center "merged with NYU Langone in 2016—after the treatment about which plaintiffs complained—and NYU Langone changed the complained-of policy, obviating any prospect of injunctive relief." </w:t>
      </w:r>
      <w:bookmarkStart w:id="5613" w:name="Bookmark_I64DPTTY28T4S40030000400"/>
      <w:bookmarkEnd w:id="5613"/>
      <w:r>
        <w:rPr>
          <w:rFonts w:ascii="Arial" w:eastAsia="Arial" w:hAnsi="Arial" w:cs="Arial"/>
          <w:i/>
          <w:color w:val="000000"/>
          <w:sz w:val="18"/>
        </w:rPr>
        <w:t>Van Vorst v. Lutheran Healthcare</w:t>
      </w:r>
      <w:r>
        <w:rPr>
          <w:rFonts w:ascii="Arial" w:eastAsia="Arial" w:hAnsi="Arial" w:cs="Arial"/>
          <w:color w:val="000000"/>
          <w:sz w:val="18"/>
        </w:rPr>
        <w:t>, No. 15-cv-1667, 2020 U.S. Dist. LEXIS 234633, 2020 WL 7343799, at *13 (E.D.N.Y. Dec. 14, 2020). On appeal, plaintiffs do not contest this conclusion.</w:t>
      </w:r>
    </w:p>
  </w:footnote>
  <w:footnote w:id="152">
    <w:p w:rsidR="00022B47" w:rsidRDefault="00000000">
      <w:pPr>
        <w:pStyle w:val="Normal31"/>
        <w:widowControl w:val="0"/>
        <w:spacing w:before="200" w:line="240" w:lineRule="atLeast"/>
        <w:jc w:val="both"/>
      </w:pPr>
      <w:r>
        <w:rPr>
          <w:rFonts w:ascii="Arial" w:eastAsia="Arial" w:hAnsi="Arial" w:cs="Arial"/>
          <w:color w:val="000000"/>
          <w:sz w:val="18"/>
          <w:vertAlign w:val="superscript"/>
        </w:rPr>
        <w:t>5 </w:t>
      </w:r>
      <w:bookmarkStart w:id="5614" w:name="Bookmark_fnpara_6_8"/>
      <w:bookmarkEnd w:id="5614"/>
      <w:r>
        <w:rPr>
          <w:rFonts w:ascii="Arial" w:eastAsia="Arial" w:hAnsi="Arial" w:cs="Arial"/>
          <w:color w:val="000000"/>
          <w:sz w:val="18"/>
        </w:rPr>
        <w:t xml:space="preserve">Plaintiffs' arguments suggest that, by a "live" ASL interpreter, they mean either an in-person interpreter or a remote interpreter on video in real time, and that either would satisfy the standard they assert the NYCHRL to require. </w:t>
      </w:r>
      <w:r>
        <w:rPr>
          <w:rFonts w:ascii="Arial" w:eastAsia="Arial" w:hAnsi="Arial" w:cs="Arial"/>
          <w:i/>
          <w:color w:val="000000"/>
          <w:sz w:val="18"/>
        </w:rPr>
        <w:t>See, e.g.</w:t>
      </w:r>
      <w:r>
        <w:rPr>
          <w:rFonts w:ascii="Arial" w:eastAsia="Arial" w:hAnsi="Arial" w:cs="Arial"/>
          <w:color w:val="000000"/>
          <w:sz w:val="18"/>
        </w:rPr>
        <w:t>, Appellants' Br. at 30, 58; J.A. 118.</w:t>
      </w:r>
    </w:p>
  </w:footnote>
  <w:footnote w:id="153">
    <w:p w:rsidR="00022B47" w:rsidRDefault="00000000">
      <w:pPr>
        <w:pStyle w:val="Normal31"/>
        <w:widowControl w:val="0"/>
        <w:spacing w:before="200" w:line="240" w:lineRule="atLeast"/>
        <w:jc w:val="both"/>
      </w:pPr>
      <w:r>
        <w:rPr>
          <w:rFonts w:ascii="Arial" w:eastAsia="Arial" w:hAnsi="Arial" w:cs="Arial"/>
          <w:color w:val="000000"/>
          <w:sz w:val="18"/>
          <w:vertAlign w:val="superscript"/>
        </w:rPr>
        <w:t>6 </w:t>
      </w:r>
      <w:bookmarkStart w:id="5616" w:name="Bookmark_fnpara_7_8"/>
      <w:bookmarkEnd w:id="5616"/>
      <w:r>
        <w:rPr>
          <w:rFonts w:ascii="Arial" w:eastAsia="Arial" w:hAnsi="Arial" w:cs="Arial"/>
          <w:color w:val="000000"/>
          <w:sz w:val="18"/>
        </w:rPr>
        <w:t xml:space="preserve">Indeed, </w:t>
      </w:r>
      <w:bookmarkStart w:id="5617" w:name="Bookmark_LNHNREFclscc4_28"/>
      <w:bookmarkEnd w:id="5617"/>
      <w:r>
        <w:rPr>
          <w:rFonts w:ascii="Arial" w:eastAsia="Arial" w:hAnsi="Arial" w:cs="Arial"/>
          <w:color w:val="000000"/>
          <w:sz w:val="18"/>
        </w:rPr>
        <w:t xml:space="preserve">imposition of a strict liability standard for any one type of disability appears to stand in tension with the additional statutory mandate that a public accommodation "engage in a cooperative dialogue within a reasonable time with a person who has requested an accommodation or who the covered entity has notice may require an accommodation related to disability as provided in [section 8-107(15)]." N.Y.C. Admin Code § 8-107(28). The statute defines the requisite "cooperative dialogue" as "the process by which a covered entity and a person entitled to an accommodation . . . engage in good faith in a written or oral dialogue concerning the person's accommodation needs; potential accommodations that may address the person's accommodation needs, including alternatives to a requested accommodation; and the difficulties that such potential accommodations may pose for the covered entity." </w:t>
      </w:r>
      <w:r>
        <w:rPr>
          <w:rFonts w:ascii="Arial" w:eastAsia="Arial" w:hAnsi="Arial" w:cs="Arial"/>
          <w:i/>
          <w:color w:val="000000"/>
          <w:sz w:val="18"/>
        </w:rPr>
        <w:t>Id.</w:t>
      </w:r>
      <w:r>
        <w:rPr>
          <w:rFonts w:ascii="Arial" w:eastAsia="Arial" w:hAnsi="Arial" w:cs="Arial"/>
          <w:color w:val="000000"/>
          <w:sz w:val="18"/>
        </w:rPr>
        <w:t xml:space="preserve"> § 8-102. This statutory provision suggests that entity must take into account a patient's preferred accommodation, but that the accommodation that is "reasonable" and required by the statute is appropriately determined on an individual basis.</w:t>
      </w:r>
    </w:p>
  </w:footnote>
  <w:footnote w:id="154">
    <w:p w:rsidR="00022B47" w:rsidRDefault="00000000">
      <w:pPr>
        <w:pStyle w:val="Normal31"/>
        <w:widowControl w:val="0"/>
        <w:spacing w:before="200" w:line="240" w:lineRule="atLeast"/>
        <w:jc w:val="both"/>
      </w:pPr>
      <w:r>
        <w:rPr>
          <w:rFonts w:ascii="Arial" w:eastAsia="Arial" w:hAnsi="Arial" w:cs="Arial"/>
          <w:color w:val="000000"/>
          <w:sz w:val="18"/>
          <w:vertAlign w:val="superscript"/>
        </w:rPr>
        <w:t>7 </w:t>
      </w:r>
      <w:bookmarkStart w:id="5619" w:name="Bookmark_fnpara_8_8"/>
      <w:bookmarkEnd w:id="5619"/>
      <w:r>
        <w:rPr>
          <w:rFonts w:ascii="Arial" w:eastAsia="Arial" w:hAnsi="Arial" w:cs="Arial"/>
          <w:i/>
          <w:color w:val="000000"/>
          <w:sz w:val="18"/>
        </w:rPr>
        <w:t>See, e.g.</w:t>
      </w:r>
      <w:r>
        <w:rPr>
          <w:rFonts w:ascii="Arial" w:eastAsia="Arial" w:hAnsi="Arial" w:cs="Arial"/>
          <w:color w:val="000000"/>
          <w:sz w:val="18"/>
        </w:rPr>
        <w:t xml:space="preserve">, J.A. 1619-20, 1622-23, 1715-19 (Martin Wiener testifying that he used to spend every morning reading newspapers on politics and sports; he reads the magazine </w:t>
      </w:r>
      <w:r>
        <w:rPr>
          <w:rFonts w:ascii="Arial" w:eastAsia="Arial" w:hAnsi="Arial" w:cs="Arial"/>
          <w:i/>
          <w:color w:val="000000"/>
          <w:sz w:val="18"/>
        </w:rPr>
        <w:t>Model Aviation</w:t>
      </w:r>
      <w:r>
        <w:rPr>
          <w:rFonts w:ascii="Arial" w:eastAsia="Arial" w:hAnsi="Arial" w:cs="Arial"/>
          <w:color w:val="000000"/>
          <w:sz w:val="18"/>
        </w:rPr>
        <w:t>; he used to work at a printer, where he was required to read backwards; and he provided detailed errata and substantive comments on his deposition transcript in this case, which the jury specifically requested during its deliberation); J.A. 906-09, 912 (Andrea Van Vorst testifying that she communicated exclusively through English lipreading and writing in grade school, with her immediate family members, in her job as an encoder at a bank, and with a home health aide in 2016; and that she watches TV with closed captions); J.A. 1330-31, 1345-47, 1367-69 (Kenneth Mahnken testifying that he communicates through lipreading with his parents, siblings, and roommate; he reads the newspaper every morning, reads magazines, and watches TV with closed captions; and he communicates with his primary care doctor through lipreading); J.A. 1437-39 (Yvette Soto testifying that she could not remember whether she was taught in ASL in grade school but she had held jobs in retail and at a library, where she alphabetized books).</w:t>
      </w:r>
    </w:p>
  </w:footnote>
  <w:footnote w:id="155">
    <w:p w:rsidR="00022B47" w:rsidRDefault="00000000">
      <w:pPr>
        <w:pStyle w:val="Normal32"/>
        <w:widowControl w:val="0"/>
        <w:spacing w:before="200" w:line="240" w:lineRule="atLeast"/>
        <w:jc w:val="both"/>
      </w:pPr>
      <w:r>
        <w:rPr>
          <w:rFonts w:ascii="Arial" w:eastAsia="Arial" w:hAnsi="Arial" w:cs="Arial"/>
          <w:color w:val="000000"/>
          <w:sz w:val="18"/>
          <w:vertAlign w:val="superscript"/>
        </w:rPr>
        <w:t>* </w:t>
      </w:r>
      <w:bookmarkStart w:id="5650" w:name="Bookmark_fnpara_1_26"/>
      <w:bookmarkEnd w:id="5650"/>
      <w:r>
        <w:rPr>
          <w:rFonts w:ascii="Arial" w:eastAsia="Arial" w:hAnsi="Arial" w:cs="Arial"/>
          <w:color w:val="000000"/>
          <w:sz w:val="18"/>
        </w:rPr>
        <w:t xml:space="preserve">Pursuant to </w:t>
      </w:r>
      <w:r>
        <w:rPr>
          <w:rFonts w:ascii="Arial" w:eastAsia="Arial" w:hAnsi="Arial" w:cs="Arial"/>
          <w:smallCaps/>
          <w:color w:val="000000"/>
          <w:sz w:val="18"/>
        </w:rPr>
        <w:t>5th Circuit Rule</w:t>
      </w:r>
      <w:r>
        <w:rPr>
          <w:rFonts w:ascii="Arial" w:eastAsia="Arial" w:hAnsi="Arial" w:cs="Arial"/>
          <w:color w:val="000000"/>
          <w:sz w:val="18"/>
        </w:rPr>
        <w:t xml:space="preserve"> 47.5, the court has determined that this opinion should not be published and is not precedent except under the limited circumstances set forth in </w:t>
      </w:r>
      <w:r>
        <w:rPr>
          <w:rFonts w:ascii="Arial" w:eastAsia="Arial" w:hAnsi="Arial" w:cs="Arial"/>
          <w:smallCaps/>
          <w:color w:val="000000"/>
          <w:sz w:val="18"/>
        </w:rPr>
        <w:t>5th Circuit Rule</w:t>
      </w:r>
      <w:r>
        <w:rPr>
          <w:rFonts w:ascii="Arial" w:eastAsia="Arial" w:hAnsi="Arial" w:cs="Arial"/>
          <w:color w:val="000000"/>
          <w:sz w:val="18"/>
        </w:rPr>
        <w:t xml:space="preserve"> 47.5.4.</w:t>
      </w:r>
    </w:p>
  </w:footnote>
  <w:footnote w:id="156">
    <w:p w:rsidR="00022B47" w:rsidRDefault="00000000">
      <w:pPr>
        <w:pStyle w:val="Normal32"/>
        <w:widowControl w:val="0"/>
        <w:spacing w:before="120" w:line="240" w:lineRule="atLeast"/>
        <w:jc w:val="both"/>
      </w:pPr>
      <w:r>
        <w:rPr>
          <w:rFonts w:ascii="Arial" w:eastAsia="Arial" w:hAnsi="Arial" w:cs="Arial"/>
          <w:color w:val="000000"/>
          <w:sz w:val="18"/>
          <w:vertAlign w:val="superscript"/>
        </w:rPr>
        <w:t>1 </w:t>
      </w:r>
      <w:bookmarkStart w:id="5652" w:name="Bookmark_fnpara_2_23"/>
      <w:bookmarkEnd w:id="5652"/>
      <w:r>
        <w:rPr>
          <w:rFonts w:ascii="Arial" w:eastAsia="Arial" w:hAnsi="Arial" w:cs="Arial"/>
          <w:color w:val="000000"/>
          <w:sz w:val="18"/>
        </w:rPr>
        <w:t>42 U.S.C. § 12101, et seq.</w:t>
      </w:r>
    </w:p>
  </w:footnote>
  <w:footnote w:id="157">
    <w:p w:rsidR="00022B47" w:rsidRDefault="00000000">
      <w:pPr>
        <w:pStyle w:val="Normal32"/>
        <w:widowControl w:val="0"/>
        <w:spacing w:before="120" w:line="240" w:lineRule="atLeast"/>
        <w:jc w:val="both"/>
      </w:pPr>
      <w:r>
        <w:rPr>
          <w:rFonts w:ascii="Arial" w:eastAsia="Arial" w:hAnsi="Arial" w:cs="Arial"/>
          <w:color w:val="000000"/>
          <w:sz w:val="18"/>
          <w:vertAlign w:val="superscript"/>
        </w:rPr>
        <w:t>2 </w:t>
      </w:r>
      <w:bookmarkStart w:id="5653" w:name="Bookmark_fnpara_3_20"/>
      <w:bookmarkEnd w:id="5653"/>
      <w:r>
        <w:rPr>
          <w:rFonts w:ascii="Arial" w:eastAsia="Arial" w:hAnsi="Arial" w:cs="Arial"/>
          <w:color w:val="000000"/>
          <w:sz w:val="18"/>
        </w:rPr>
        <w:t>29 U.S.C. § 794.</w:t>
      </w:r>
    </w:p>
  </w:footnote>
  <w:footnote w:id="158">
    <w:p w:rsidR="00022B47" w:rsidRDefault="00000000">
      <w:pPr>
        <w:pStyle w:val="Normal34"/>
        <w:widowControl w:val="0"/>
        <w:spacing w:before="120" w:line="240" w:lineRule="atLeast"/>
        <w:jc w:val="both"/>
      </w:pPr>
      <w:r>
        <w:rPr>
          <w:rFonts w:ascii="Arial" w:eastAsia="Arial" w:hAnsi="Arial" w:cs="Arial"/>
          <w:color w:val="000000"/>
          <w:sz w:val="18"/>
          <w:vertAlign w:val="superscript"/>
        </w:rPr>
        <w:t>** </w:t>
      </w:r>
      <w:bookmarkStart w:id="5738" w:name="Bookmark_fnpara_1_27"/>
      <w:bookmarkEnd w:id="5738"/>
      <w:r>
        <w:rPr>
          <w:rFonts w:ascii="Arial" w:eastAsia="Arial" w:hAnsi="Arial" w:cs="Arial"/>
          <w:color w:val="000000"/>
          <w:sz w:val="18"/>
        </w:rPr>
        <w:t>The panel unanimously concludes this case is suitable for decision without oral argument. See Fed. R. App. P. 34(a)(2).</w:t>
      </w:r>
    </w:p>
  </w:footnote>
  <w:footnote w:id="159">
    <w:p w:rsidR="00022B47" w:rsidRDefault="00000000">
      <w:pPr>
        <w:pStyle w:val="Normal34"/>
        <w:widowControl w:val="0"/>
        <w:spacing w:before="120" w:line="240" w:lineRule="atLeast"/>
        <w:jc w:val="both"/>
      </w:pPr>
      <w:r>
        <w:rPr>
          <w:rFonts w:ascii="Arial" w:eastAsia="Arial" w:hAnsi="Arial" w:cs="Arial"/>
          <w:color w:val="000000"/>
          <w:sz w:val="18"/>
          <w:vertAlign w:val="superscript"/>
        </w:rPr>
        <w:t>*** </w:t>
      </w:r>
      <w:bookmarkStart w:id="5750" w:name="Bookmark_fnpara_2_24"/>
      <w:bookmarkEnd w:id="5750"/>
      <w:r>
        <w:rPr>
          <w:rFonts w:ascii="Arial" w:eastAsia="Arial" w:hAnsi="Arial" w:cs="Arial"/>
          <w:color w:val="000000"/>
          <w:sz w:val="18"/>
        </w:rPr>
        <w:t>The Honorable Donald W. Molloy, United States District Judge for the District of Montana, sitting by designation.</w:t>
      </w:r>
    </w:p>
  </w:footnote>
  <w:footnote w:id="160">
    <w:p w:rsidR="00022B47" w:rsidRDefault="00000000">
      <w:pPr>
        <w:pStyle w:val="Normal34"/>
        <w:widowControl w:val="0"/>
        <w:spacing w:before="120" w:line="240" w:lineRule="atLeast"/>
        <w:jc w:val="both"/>
      </w:pPr>
      <w:r>
        <w:rPr>
          <w:rFonts w:ascii="Arial" w:eastAsia="Arial" w:hAnsi="Arial" w:cs="Arial"/>
          <w:color w:val="000000"/>
          <w:sz w:val="18"/>
          <w:vertAlign w:val="superscript"/>
        </w:rPr>
        <w:t>* </w:t>
      </w:r>
      <w:bookmarkStart w:id="5752" w:name="Bookmark_fnpara_3_21"/>
      <w:bookmarkEnd w:id="5752"/>
      <w:r>
        <w:rPr>
          <w:rFonts w:ascii="Arial" w:eastAsia="Arial" w:hAnsi="Arial" w:cs="Arial"/>
          <w:color w:val="000000"/>
          <w:sz w:val="18"/>
        </w:rPr>
        <w:t>This disposition is not appropriate for publication and is not precedent except as provided by Ninth Circuit Rule 36-3.</w:t>
      </w:r>
    </w:p>
  </w:footnote>
  <w:footnote w:id="161">
    <w:p w:rsidR="00022B47" w:rsidRDefault="00000000">
      <w:pPr>
        <w:pStyle w:val="Normal35"/>
        <w:widowControl w:val="0"/>
        <w:spacing w:before="120" w:line="240" w:lineRule="atLeast"/>
        <w:jc w:val="both"/>
      </w:pPr>
      <w:r>
        <w:rPr>
          <w:rFonts w:ascii="Arial" w:eastAsia="Arial" w:hAnsi="Arial" w:cs="Arial"/>
          <w:color w:val="000000"/>
          <w:sz w:val="18"/>
          <w:vertAlign w:val="superscript"/>
        </w:rPr>
        <w:t>1 </w:t>
      </w:r>
      <w:bookmarkStart w:id="5800" w:name="Bookmark_fnpara_1_28"/>
      <w:bookmarkEnd w:id="5800"/>
      <w:r>
        <w:rPr>
          <w:rFonts w:ascii="Arial" w:eastAsia="Arial" w:hAnsi="Arial" w:cs="Arial"/>
          <w:color w:val="000000"/>
          <w:sz w:val="18"/>
        </w:rPr>
        <w:t>Judge Rice also denied Freedom's Path's motion for partial summary judgment, but that finding is not at issue in this appeal. R. 65 (3/25/2019 Dist. Ct. Order at 52) (Page ID #2156).</w:t>
      </w:r>
    </w:p>
  </w:footnote>
  <w:footnote w:id="162">
    <w:p w:rsidR="00022B47" w:rsidRDefault="00000000">
      <w:pPr>
        <w:pStyle w:val="Normal35"/>
        <w:widowControl w:val="0"/>
        <w:spacing w:before="200" w:line="240" w:lineRule="atLeast"/>
        <w:jc w:val="both"/>
      </w:pPr>
      <w:r>
        <w:rPr>
          <w:rFonts w:ascii="Arial" w:eastAsia="Arial" w:hAnsi="Arial" w:cs="Arial"/>
          <w:color w:val="000000"/>
          <w:sz w:val="18"/>
          <w:vertAlign w:val="superscript"/>
        </w:rPr>
        <w:t>2 </w:t>
      </w:r>
      <w:bookmarkStart w:id="5803" w:name="Bookmark_fnpara_2_25"/>
      <w:bookmarkEnd w:id="5803"/>
      <w:r>
        <w:rPr>
          <w:rFonts w:ascii="Arial" w:eastAsia="Arial" w:hAnsi="Arial" w:cs="Arial"/>
          <w:color w:val="000000"/>
          <w:sz w:val="18"/>
        </w:rPr>
        <w:t xml:space="preserve">Judge Rice also rejected GDPM's arguments that Freedom's Path did not offer any evidence that its prospective tenants would be disabled and that no reasonable juror could believe that Taylor's email was a request for a reasonable accommodation. R. 73 (11/13/19 Dist. Ct. Order at 4-5, 6-8) (Page ID #2218-19, 2220-22). Judge Rice found that GDPM had waived the first argument, and that even if the issue were not waived, GDPM "knew that the housing units were intended for veterans, many of whom were qualified persons with disabilities." </w:t>
      </w:r>
      <w:r>
        <w:rPr>
          <w:rFonts w:ascii="Arial" w:eastAsia="Arial" w:hAnsi="Arial" w:cs="Arial"/>
          <w:i/>
          <w:color w:val="000000"/>
          <w:sz w:val="18"/>
        </w:rPr>
        <w:t>Id.</w:t>
      </w:r>
      <w:r>
        <w:rPr>
          <w:rFonts w:ascii="Arial" w:eastAsia="Arial" w:hAnsi="Arial" w:cs="Arial"/>
          <w:color w:val="000000"/>
          <w:sz w:val="18"/>
        </w:rPr>
        <w:t xml:space="preserve"> at 5 (Page ID #2219). As for the second argument, Judge Rice declined to reconsider his previous finding that a reasonable juror could construe Taylor's December 2015 communications with GDPM as a request for a reasonable accommodation. </w:t>
      </w:r>
      <w:r>
        <w:rPr>
          <w:rFonts w:ascii="Arial" w:eastAsia="Arial" w:hAnsi="Arial" w:cs="Arial"/>
          <w:i/>
          <w:color w:val="000000"/>
          <w:sz w:val="18"/>
        </w:rPr>
        <w:t>Id.</w:t>
      </w:r>
      <w:r>
        <w:rPr>
          <w:rFonts w:ascii="Arial" w:eastAsia="Arial" w:hAnsi="Arial" w:cs="Arial"/>
          <w:color w:val="000000"/>
          <w:sz w:val="18"/>
        </w:rPr>
        <w:t xml:space="preserve"> at 6-8 (Page ID #2220-22).</w:t>
      </w:r>
    </w:p>
  </w:footnote>
  <w:footnote w:id="163">
    <w:p w:rsidR="00022B47" w:rsidRDefault="00000000">
      <w:pPr>
        <w:pStyle w:val="Normal36"/>
        <w:widowControl w:val="0"/>
        <w:spacing w:before="200" w:line="240" w:lineRule="atLeast"/>
        <w:jc w:val="both"/>
      </w:pPr>
      <w:r>
        <w:rPr>
          <w:rFonts w:ascii="Arial" w:eastAsia="Arial" w:hAnsi="Arial" w:cs="Arial"/>
          <w:color w:val="000000"/>
          <w:sz w:val="18"/>
          <w:vertAlign w:val="superscript"/>
        </w:rPr>
        <w:t>1 </w:t>
      </w:r>
      <w:bookmarkStart w:id="5981" w:name="Bookmark_fnpara_1_29"/>
      <w:bookmarkEnd w:id="5981"/>
      <w:r>
        <w:rPr>
          <w:rFonts w:ascii="Arial" w:eastAsia="Arial" w:hAnsi="Arial" w:cs="Arial"/>
          <w:i/>
          <w:color w:val="000000"/>
          <w:sz w:val="18"/>
        </w:rPr>
        <w:t>Multiple Sclerosis Information Page</w:t>
      </w:r>
      <w:r>
        <w:rPr>
          <w:rFonts w:ascii="Arial" w:eastAsia="Arial" w:hAnsi="Arial" w:cs="Arial"/>
          <w:color w:val="000000"/>
          <w:sz w:val="18"/>
        </w:rPr>
        <w:t>, Nat'l Inst. of Neurological Disorders &amp; Stroke, https://www.ninds.nih.gov/Disorders/All-Disorders/Multiple-Sclerosis-Information-Page (last modified Aug. 5, 2019).</w:t>
      </w:r>
    </w:p>
  </w:footnote>
  <w:footnote w:id="164">
    <w:p w:rsidR="00022B47" w:rsidRDefault="00000000">
      <w:pPr>
        <w:pStyle w:val="Normal36"/>
        <w:widowControl w:val="0"/>
        <w:spacing w:before="200" w:line="240" w:lineRule="atLeast"/>
        <w:jc w:val="both"/>
      </w:pPr>
      <w:r>
        <w:rPr>
          <w:rFonts w:ascii="Arial" w:eastAsia="Arial" w:hAnsi="Arial" w:cs="Arial"/>
          <w:color w:val="000000"/>
          <w:sz w:val="18"/>
          <w:vertAlign w:val="superscript"/>
        </w:rPr>
        <w:t>2 </w:t>
      </w:r>
      <w:bookmarkStart w:id="5982" w:name="Bookmark_fnpara_2_26"/>
      <w:bookmarkEnd w:id="5982"/>
      <w:r>
        <w:rPr>
          <w:rFonts w:ascii="Arial" w:eastAsia="Arial" w:hAnsi="Arial" w:cs="Arial"/>
          <w:i/>
          <w:color w:val="000000"/>
          <w:sz w:val="18"/>
        </w:rPr>
        <w:t>Id.</w:t>
      </w:r>
    </w:p>
  </w:footnote>
  <w:footnote w:id="165">
    <w:p w:rsidR="00022B47" w:rsidRDefault="00000000">
      <w:pPr>
        <w:pStyle w:val="Normal36"/>
        <w:widowControl w:val="0"/>
        <w:spacing w:before="200" w:line="240" w:lineRule="atLeast"/>
        <w:jc w:val="both"/>
      </w:pPr>
      <w:r>
        <w:rPr>
          <w:rFonts w:ascii="Arial" w:eastAsia="Arial" w:hAnsi="Arial" w:cs="Arial"/>
          <w:color w:val="000000"/>
          <w:sz w:val="18"/>
          <w:vertAlign w:val="superscript"/>
        </w:rPr>
        <w:t>3 </w:t>
      </w:r>
      <w:bookmarkStart w:id="5983" w:name="Bookmark_fnpara_3_22"/>
      <w:bookmarkEnd w:id="5983"/>
      <w:r>
        <w:rPr>
          <w:rFonts w:ascii="Arial" w:eastAsia="Arial" w:hAnsi="Arial" w:cs="Arial"/>
          <w:i/>
          <w:color w:val="000000"/>
          <w:sz w:val="18"/>
        </w:rPr>
        <w:t>Id.</w:t>
      </w:r>
    </w:p>
  </w:footnote>
  <w:footnote w:id="166">
    <w:p w:rsidR="00022B47" w:rsidRDefault="00000000">
      <w:pPr>
        <w:pStyle w:val="Normal36"/>
        <w:widowControl w:val="0"/>
        <w:spacing w:before="120" w:line="240" w:lineRule="atLeast"/>
        <w:jc w:val="both"/>
      </w:pPr>
      <w:r>
        <w:rPr>
          <w:rFonts w:ascii="Arial" w:eastAsia="Arial" w:hAnsi="Arial" w:cs="Arial"/>
          <w:color w:val="000000"/>
          <w:sz w:val="18"/>
          <w:vertAlign w:val="superscript"/>
        </w:rPr>
        <w:t>4 </w:t>
      </w:r>
      <w:bookmarkStart w:id="5996" w:name="Bookmark_fnpara_4_16"/>
      <w:bookmarkEnd w:id="5996"/>
      <w:r>
        <w:rPr>
          <w:rFonts w:ascii="Arial" w:eastAsia="Arial" w:hAnsi="Arial" w:cs="Arial"/>
          <w:color w:val="000000"/>
          <w:sz w:val="18"/>
        </w:rPr>
        <w:t>For ease of reference, we refer to Karantsalis's claims under Title II of the ADA and § 504 as "the ADA claim."</w:t>
      </w:r>
    </w:p>
  </w:footnote>
  <w:footnote w:id="167">
    <w:p w:rsidR="00022B47" w:rsidRDefault="00000000">
      <w:pPr>
        <w:pStyle w:val="Normal36"/>
        <w:widowControl w:val="0"/>
        <w:spacing w:before="120" w:line="240" w:lineRule="atLeast"/>
        <w:jc w:val="both"/>
      </w:pPr>
      <w:r>
        <w:rPr>
          <w:rFonts w:ascii="Arial" w:eastAsia="Arial" w:hAnsi="Arial" w:cs="Arial"/>
          <w:color w:val="000000"/>
          <w:sz w:val="18"/>
          <w:vertAlign w:val="superscript"/>
        </w:rPr>
        <w:t>5 </w:t>
      </w:r>
      <w:bookmarkStart w:id="6003" w:name="Bookmark_fnpara_5_12"/>
      <w:bookmarkEnd w:id="6003"/>
      <w:r>
        <w:rPr>
          <w:rFonts w:ascii="Arial" w:eastAsia="Arial" w:hAnsi="Arial" w:cs="Arial"/>
          <w:color w:val="000000"/>
          <w:sz w:val="18"/>
        </w:rPr>
        <w:t>This opinion refers to the § 12132 provision—"excluded from participation in or denied the benefits of the public entity's services, programs, or activities"—simply as "denied the benefits of the City's services," or some variation of that phrase.</w:t>
      </w:r>
    </w:p>
  </w:footnote>
  <w:footnote w:id="168">
    <w:p w:rsidR="00022B47" w:rsidRDefault="00000000">
      <w:pPr>
        <w:pStyle w:val="Normal36"/>
        <w:widowControl w:val="0"/>
        <w:spacing w:before="120" w:line="240" w:lineRule="atLeast"/>
        <w:jc w:val="both"/>
      </w:pPr>
      <w:r>
        <w:rPr>
          <w:rFonts w:ascii="Arial" w:eastAsia="Arial" w:hAnsi="Arial" w:cs="Arial"/>
          <w:color w:val="000000"/>
          <w:sz w:val="18"/>
          <w:vertAlign w:val="superscript"/>
        </w:rPr>
        <w:t>6 </w:t>
      </w:r>
      <w:bookmarkStart w:id="6008" w:name="Bookmark_fnpara_6_9"/>
      <w:bookmarkEnd w:id="6008"/>
      <w:r>
        <w:rPr>
          <w:rFonts w:ascii="Arial" w:eastAsia="Arial" w:hAnsi="Arial" w:cs="Arial"/>
          <w:color w:val="000000"/>
          <w:sz w:val="18"/>
        </w:rPr>
        <w:t>The ADA gives the Department of Justice authority to promulgate regulations to enforce and implement the ADA's statutory protections. 42 U.S.C. § 12134.</w:t>
      </w:r>
    </w:p>
  </w:footnote>
  <w:footnote w:id="169">
    <w:p w:rsidR="00022B47" w:rsidRDefault="00000000">
      <w:pPr>
        <w:pStyle w:val="Normal36"/>
        <w:widowControl w:val="0"/>
        <w:spacing w:before="200" w:line="240" w:lineRule="atLeast"/>
        <w:jc w:val="both"/>
      </w:pPr>
      <w:r>
        <w:rPr>
          <w:rFonts w:ascii="Arial" w:eastAsia="Arial" w:hAnsi="Arial" w:cs="Arial"/>
          <w:color w:val="000000"/>
          <w:sz w:val="18"/>
          <w:vertAlign w:val="superscript"/>
        </w:rPr>
        <w:t>7 </w:t>
      </w:r>
      <w:bookmarkStart w:id="6060" w:name="Bookmark_fnpara_7_9"/>
      <w:bookmarkStart w:id="6061" w:name="Bookmark_I643S2VF28T49B0010000400"/>
      <w:bookmarkEnd w:id="6060"/>
      <w:bookmarkEnd w:id="6061"/>
      <w:r>
        <w:rPr>
          <w:rFonts w:ascii="Arial" w:eastAsia="Arial" w:hAnsi="Arial" w:cs="Arial"/>
          <w:color w:val="000000"/>
          <w:sz w:val="18"/>
        </w:rPr>
        <w:t xml:space="preserve">The "injury-in-fact" demanded by Article III standing "requires an additional showing when injunctive relief is sought. In addition to past injury, a plaintiff seeking injunctive relief must show a sufficient likelihood that he will be affected by the allegedly unlawful conduct in the future." </w:t>
      </w:r>
      <w:bookmarkStart w:id="6062" w:name="Bookmark_I643S2VF2D6N6X0050000400"/>
      <w:bookmarkEnd w:id="6062"/>
      <w:r>
        <w:rPr>
          <w:rFonts w:ascii="Arial" w:eastAsia="Arial" w:hAnsi="Arial" w:cs="Arial"/>
          <w:i/>
          <w:color w:val="000000"/>
          <w:sz w:val="18"/>
        </w:rPr>
        <w:t>Marod Supermarkets, Inc.</w:t>
      </w:r>
      <w:r>
        <w:rPr>
          <w:rFonts w:ascii="Arial" w:eastAsia="Arial" w:hAnsi="Arial" w:cs="Arial"/>
          <w:color w:val="000000"/>
          <w:sz w:val="18"/>
        </w:rPr>
        <w:t>, 733 F.3d at 1328 (quotation marks omitted). Karantsalis's Third Amended Complaint alleges that Karantsalis lives in the City of Miami Springs and frequently travels in his vehicle to certain City facilities. Thus, as of 2017, he also satisfied the injury-in-fact requirement for standing to seek injunctive relief.</w:t>
      </w:r>
    </w:p>
    <w:p w:rsidR="00022B47" w:rsidRDefault="00000000">
      <w:pPr>
        <w:pStyle w:val="Normal36"/>
        <w:widowControl w:val="0"/>
        <w:spacing w:before="120" w:line="240" w:lineRule="atLeast"/>
        <w:jc w:val="both"/>
      </w:pPr>
      <w:bookmarkStart w:id="6063" w:name="Bookmark_fnpara_8_9"/>
      <w:bookmarkEnd w:id="6063"/>
      <w:r>
        <w:rPr>
          <w:rFonts w:ascii="Arial" w:eastAsia="Arial" w:hAnsi="Arial" w:cs="Arial"/>
          <w:color w:val="000000"/>
          <w:sz w:val="18"/>
        </w:rPr>
        <w:t>To be clear though, we are not saying that the accrual date in every ADA-access case will dovetail with the standing requirements. Indeed, Karantsalis also sought damages for his past injury in being denied the City's services since 2017. What we are saying, however, is that Karantsalis's ADA claim, whether for damages or injunctive relief, did not accrue until at least 2017 because he did not suffer an ADA injury until then.</w:t>
      </w:r>
    </w:p>
  </w:footnote>
  <w:footnote w:id="170">
    <w:p w:rsidR="00022B47" w:rsidRDefault="00000000">
      <w:pPr>
        <w:pStyle w:val="Normal37"/>
        <w:widowControl w:val="0"/>
        <w:spacing w:before="120" w:line="240" w:lineRule="atLeast"/>
        <w:jc w:val="both"/>
      </w:pPr>
      <w:r>
        <w:rPr>
          <w:rFonts w:ascii="Arial" w:eastAsia="Arial" w:hAnsi="Arial" w:cs="Arial"/>
          <w:color w:val="000000"/>
          <w:sz w:val="18"/>
          <w:vertAlign w:val="superscript"/>
        </w:rPr>
        <w:t>** </w:t>
      </w:r>
      <w:bookmarkStart w:id="6072" w:name="Bookmark_fnpara_1_30"/>
      <w:bookmarkEnd w:id="6072"/>
      <w:r>
        <w:rPr>
          <w:rFonts w:ascii="Arial" w:eastAsia="Arial" w:hAnsi="Arial" w:cs="Arial"/>
          <w:color w:val="000000"/>
          <w:sz w:val="18"/>
        </w:rPr>
        <w:t>The panel unanimously concludes this case is suitable for decision without oral argument. See Fed. R. App. P. 34(a)(2).</w:t>
      </w:r>
    </w:p>
  </w:footnote>
  <w:footnote w:id="171">
    <w:p w:rsidR="00022B47" w:rsidRDefault="00000000">
      <w:pPr>
        <w:pStyle w:val="Normal37"/>
        <w:widowControl w:val="0"/>
        <w:spacing w:before="120" w:line="240" w:lineRule="atLeast"/>
        <w:jc w:val="both"/>
      </w:pPr>
      <w:r>
        <w:rPr>
          <w:rFonts w:ascii="Arial" w:eastAsia="Arial" w:hAnsi="Arial" w:cs="Arial"/>
          <w:color w:val="000000"/>
          <w:sz w:val="18"/>
          <w:vertAlign w:val="superscript"/>
        </w:rPr>
        <w:t>*** </w:t>
      </w:r>
      <w:bookmarkStart w:id="6083" w:name="Bookmark_fnpara_2_27"/>
      <w:bookmarkEnd w:id="6083"/>
      <w:r>
        <w:rPr>
          <w:rFonts w:ascii="Arial" w:eastAsia="Arial" w:hAnsi="Arial" w:cs="Arial"/>
          <w:color w:val="000000"/>
          <w:sz w:val="18"/>
        </w:rPr>
        <w:t>The Honorable Carol Bagley Amon, United States District Judge for the Eastern District of New York, sitting by designation.</w:t>
      </w:r>
    </w:p>
  </w:footnote>
  <w:footnote w:id="172">
    <w:p w:rsidR="00022B47" w:rsidRDefault="00000000">
      <w:pPr>
        <w:pStyle w:val="Normal37"/>
        <w:widowControl w:val="0"/>
        <w:spacing w:before="120" w:line="240" w:lineRule="atLeast"/>
        <w:jc w:val="both"/>
      </w:pPr>
      <w:r>
        <w:rPr>
          <w:rFonts w:ascii="Arial" w:eastAsia="Arial" w:hAnsi="Arial" w:cs="Arial"/>
          <w:color w:val="000000"/>
          <w:sz w:val="18"/>
          <w:vertAlign w:val="superscript"/>
        </w:rPr>
        <w:t>* </w:t>
      </w:r>
      <w:bookmarkStart w:id="6085" w:name="Bookmark_fnpara_3_23"/>
      <w:bookmarkEnd w:id="6085"/>
      <w:r>
        <w:rPr>
          <w:rFonts w:ascii="Arial" w:eastAsia="Arial" w:hAnsi="Arial" w:cs="Arial"/>
          <w:color w:val="000000"/>
          <w:sz w:val="18"/>
        </w:rPr>
        <w:t>This disposition is not appropriate for publication and is not precedent except as provided by Ninth Circuit Rule 36-3.</w:t>
      </w:r>
    </w:p>
  </w:footnote>
  <w:footnote w:id="173">
    <w:p w:rsidR="00022B47" w:rsidRDefault="00000000">
      <w:pPr>
        <w:pStyle w:val="Normal38"/>
        <w:widowControl w:val="0"/>
        <w:spacing w:before="120" w:line="240" w:lineRule="atLeast"/>
        <w:jc w:val="both"/>
      </w:pPr>
      <w:r>
        <w:rPr>
          <w:rFonts w:ascii="Arial" w:eastAsia="Arial" w:hAnsi="Arial" w:cs="Arial"/>
          <w:color w:val="000000"/>
          <w:sz w:val="18"/>
          <w:vertAlign w:val="superscript"/>
        </w:rPr>
        <w:t>* </w:t>
      </w:r>
      <w:bookmarkStart w:id="6111" w:name="Bookmark_fnpara_1_31"/>
      <w:bookmarkEnd w:id="6111"/>
      <w:r>
        <w:rPr>
          <w:rFonts w:ascii="Arial" w:eastAsia="Arial" w:hAnsi="Arial" w:cs="Arial"/>
          <w:color w:val="000000"/>
          <w:sz w:val="18"/>
        </w:rPr>
        <w:t>This summary constitutes no part of the opinion of the court. It has been prepared by court staff for the convenience of the reader.</w:t>
      </w:r>
    </w:p>
  </w:footnote>
  <w:footnote w:id="174">
    <w:p w:rsidR="00022B47" w:rsidRDefault="00000000">
      <w:pPr>
        <w:pStyle w:val="Normal38"/>
        <w:widowControl w:val="0"/>
        <w:spacing w:before="200" w:line="240" w:lineRule="atLeast"/>
        <w:jc w:val="both"/>
      </w:pPr>
      <w:r>
        <w:rPr>
          <w:rFonts w:ascii="Arial" w:eastAsia="Arial" w:hAnsi="Arial" w:cs="Arial"/>
          <w:color w:val="000000"/>
          <w:sz w:val="18"/>
          <w:vertAlign w:val="superscript"/>
        </w:rPr>
        <w:t>1 </w:t>
      </w:r>
      <w:bookmarkStart w:id="6133" w:name="Bookmark_fnpara_2_28"/>
      <w:bookmarkEnd w:id="6133"/>
      <w:r>
        <w:rPr>
          <w:rFonts w:ascii="Arial" w:eastAsia="Arial" w:hAnsi="Arial" w:cs="Arial"/>
          <w:color w:val="000000"/>
          <w:sz w:val="18"/>
        </w:rPr>
        <w:t xml:space="preserve">LA Alliance contends that the </w:t>
      </w:r>
      <w:r>
        <w:rPr>
          <w:rFonts w:ascii="Arial" w:eastAsia="Arial" w:hAnsi="Arial" w:cs="Arial"/>
          <w:i/>
          <w:color w:val="000000"/>
          <w:sz w:val="18"/>
        </w:rPr>
        <w:t>Mitchell</w:t>
      </w:r>
      <w:r>
        <w:rPr>
          <w:rFonts w:ascii="Arial" w:eastAsia="Arial" w:hAnsi="Arial" w:cs="Arial"/>
          <w:color w:val="000000"/>
          <w:sz w:val="18"/>
        </w:rPr>
        <w:t xml:space="preserve"> settlement "has led to a sharp decline in health and safety." LA Alliance also takes issue with our holding in </w:t>
      </w:r>
      <w:r>
        <w:rPr>
          <w:rFonts w:ascii="Arial" w:eastAsia="Arial" w:hAnsi="Arial" w:cs="Arial"/>
          <w:i/>
          <w:color w:val="000000"/>
          <w:sz w:val="18"/>
        </w:rPr>
        <w:t>Martin v. City of Boise</w:t>
      </w:r>
      <w:r>
        <w:rPr>
          <w:rFonts w:ascii="Arial" w:eastAsia="Arial" w:hAnsi="Arial" w:cs="Arial"/>
          <w:color w:val="000000"/>
          <w:sz w:val="18"/>
        </w:rPr>
        <w:t xml:space="preserve"> that municipalities cannot "prosecut[e] people criminally for sleeping outside on public property when those people have no home or other shelter to go to." </w:t>
      </w:r>
      <w:bookmarkStart w:id="6134" w:name="Bookmark_I63R3BY028T4PB0010000400"/>
      <w:bookmarkEnd w:id="6134"/>
      <w:r>
        <w:rPr>
          <w:rFonts w:ascii="Arial" w:eastAsia="Arial" w:hAnsi="Arial" w:cs="Arial"/>
          <w:color w:val="000000"/>
          <w:sz w:val="18"/>
        </w:rPr>
        <w:t>920 F.3d 584, 603 (9th Cir. 2019).</w:t>
      </w:r>
    </w:p>
  </w:footnote>
  <w:footnote w:id="175">
    <w:p w:rsidR="00022B47" w:rsidRDefault="00000000">
      <w:pPr>
        <w:pStyle w:val="Normal38"/>
        <w:widowControl w:val="0"/>
        <w:spacing w:before="200" w:line="240" w:lineRule="atLeast"/>
        <w:jc w:val="both"/>
      </w:pPr>
      <w:r>
        <w:rPr>
          <w:rFonts w:ascii="Arial" w:eastAsia="Arial" w:hAnsi="Arial" w:cs="Arial"/>
          <w:color w:val="000000"/>
          <w:sz w:val="18"/>
          <w:vertAlign w:val="superscript"/>
        </w:rPr>
        <w:t>2 </w:t>
      </w:r>
      <w:bookmarkStart w:id="6153" w:name="Bookmark_fnpara_3_24"/>
      <w:bookmarkStart w:id="6154" w:name="Bookmark_I63R3BY028T4PB0040000400"/>
      <w:bookmarkEnd w:id="6153"/>
      <w:bookmarkEnd w:id="6154"/>
      <w:r>
        <w:rPr>
          <w:rFonts w:ascii="Arial" w:eastAsia="Arial" w:hAnsi="Arial" w:cs="Arial"/>
          <w:color w:val="000000"/>
          <w:sz w:val="18"/>
        </w:rPr>
        <w:t xml:space="preserve">The Order tracks some of the relief requested by Plaintiffs but differs in key respects. For example, Plaintiffs did not request that any funds be escrowed but sought to have all homeless individuals within Skid Row offered shelter in 90 days. The difference between Plaintiffs' request and the ordered relief is not in itself problematic. </w:t>
      </w:r>
      <w:r>
        <w:rPr>
          <w:rFonts w:ascii="Arial" w:eastAsia="Arial" w:hAnsi="Arial" w:cs="Arial"/>
          <w:i/>
          <w:color w:val="000000"/>
          <w:sz w:val="18"/>
        </w:rPr>
        <w:t xml:space="preserve">See </w:t>
      </w:r>
      <w:bookmarkStart w:id="6155" w:name="Bookmark_I63R3BY028T4PB0030000400"/>
      <w:bookmarkEnd w:id="6155"/>
      <w:r>
        <w:rPr>
          <w:rFonts w:ascii="Arial" w:eastAsia="Arial" w:hAnsi="Arial" w:cs="Arial"/>
          <w:i/>
          <w:color w:val="000000"/>
          <w:sz w:val="18"/>
        </w:rPr>
        <w:t>Kirola v. City &amp; County of San Francisco</w:t>
      </w:r>
      <w:r>
        <w:rPr>
          <w:rFonts w:ascii="Arial" w:eastAsia="Arial" w:hAnsi="Arial" w:cs="Arial"/>
          <w:color w:val="000000"/>
          <w:sz w:val="18"/>
        </w:rPr>
        <w:t xml:space="preserve">, 860 F.3d 1164, 1176 (9th Cir. 2017) ("The district court is not bound by [movant's] proposal, and may enter any injunction it deems appropriate, so long as the injunction is 'no more burdensome to the defendant than necessary to provide complete relief to the plaintiffs.'" (quoting </w:t>
      </w:r>
      <w:bookmarkStart w:id="6156" w:name="Bookmark_I63R3BY028T4PB0050000400"/>
      <w:bookmarkEnd w:id="6156"/>
      <w:r>
        <w:rPr>
          <w:rFonts w:ascii="Arial" w:eastAsia="Arial" w:hAnsi="Arial" w:cs="Arial"/>
          <w:i/>
          <w:color w:val="000000"/>
          <w:sz w:val="18"/>
        </w:rPr>
        <w:t>United States v. AMC Ent., Inc.</w:t>
      </w:r>
      <w:r>
        <w:rPr>
          <w:rFonts w:ascii="Arial" w:eastAsia="Arial" w:hAnsi="Arial" w:cs="Arial"/>
          <w:color w:val="000000"/>
          <w:sz w:val="18"/>
        </w:rPr>
        <w:t>, 549 F.3d 760, 775 (9th Cir. 2008))).</w:t>
      </w:r>
    </w:p>
  </w:footnote>
  <w:footnote w:id="176">
    <w:p w:rsidR="00022B47" w:rsidRDefault="00000000">
      <w:pPr>
        <w:pStyle w:val="Normal38"/>
        <w:widowControl w:val="0"/>
        <w:spacing w:before="120" w:line="240" w:lineRule="atLeast"/>
        <w:jc w:val="both"/>
      </w:pPr>
      <w:r>
        <w:rPr>
          <w:rFonts w:ascii="Arial" w:eastAsia="Arial" w:hAnsi="Arial" w:cs="Arial"/>
          <w:color w:val="000000"/>
          <w:sz w:val="18"/>
          <w:vertAlign w:val="superscript"/>
        </w:rPr>
        <w:t>3 </w:t>
      </w:r>
      <w:bookmarkStart w:id="6158" w:name="Bookmark_fnpara_4_17"/>
      <w:bookmarkEnd w:id="6158"/>
      <w:r>
        <w:rPr>
          <w:rFonts w:ascii="Arial" w:eastAsia="Arial" w:hAnsi="Arial" w:cs="Arial"/>
          <w:color w:val="000000"/>
          <w:sz w:val="18"/>
        </w:rPr>
        <w:t>Plaintiffs request that we take judicial notice of a variety of documents filed with the district court concerning the May 27, 2021 hearing, including letters from various non-parties and the transcript of the hearing. We grant the motion.</w:t>
      </w:r>
    </w:p>
  </w:footnote>
  <w:footnote w:id="177">
    <w:p w:rsidR="00022B47" w:rsidRDefault="00000000">
      <w:pPr>
        <w:pStyle w:val="Normal38"/>
        <w:widowControl w:val="0"/>
        <w:spacing w:before="120" w:line="240" w:lineRule="atLeast"/>
        <w:jc w:val="both"/>
      </w:pPr>
      <w:r>
        <w:rPr>
          <w:rFonts w:ascii="Arial" w:eastAsia="Arial" w:hAnsi="Arial" w:cs="Arial"/>
          <w:color w:val="000000"/>
          <w:sz w:val="18"/>
          <w:vertAlign w:val="superscript"/>
        </w:rPr>
        <w:t>4 </w:t>
      </w:r>
      <w:bookmarkStart w:id="6203" w:name="Bookmark_fnpara_5_13"/>
      <w:bookmarkEnd w:id="6203"/>
      <w:r>
        <w:rPr>
          <w:rFonts w:ascii="Arial" w:eastAsia="Arial" w:hAnsi="Arial" w:cs="Arial"/>
          <w:color w:val="000000"/>
          <w:sz w:val="18"/>
        </w:rPr>
        <w:t>Only 22 of the 411 footnotes supporting the district court's factual findings included a citation to the record.</w:t>
      </w:r>
    </w:p>
  </w:footnote>
  <w:footnote w:id="178">
    <w:p w:rsidR="00022B47" w:rsidRDefault="00000000">
      <w:pPr>
        <w:pStyle w:val="Normal38"/>
        <w:widowControl w:val="0"/>
        <w:spacing w:before="120" w:line="240" w:lineRule="atLeast"/>
        <w:jc w:val="both"/>
      </w:pPr>
      <w:r>
        <w:rPr>
          <w:rFonts w:ascii="Arial" w:eastAsia="Arial" w:hAnsi="Arial" w:cs="Arial"/>
          <w:color w:val="000000"/>
          <w:sz w:val="18"/>
          <w:vertAlign w:val="superscript"/>
        </w:rPr>
        <w:t>5 </w:t>
      </w:r>
      <w:bookmarkStart w:id="6207" w:name="Bookmark_fnpara_6_10"/>
      <w:bookmarkEnd w:id="6207"/>
      <w:r>
        <w:rPr>
          <w:rFonts w:ascii="Arial" w:eastAsia="Arial" w:hAnsi="Arial" w:cs="Arial"/>
          <w:color w:val="000000"/>
          <w:sz w:val="18"/>
        </w:rPr>
        <w:t>We do not address whether Plaintiffs have standing to bring any claims that they asserted but the district court did not address.</w:t>
      </w:r>
    </w:p>
  </w:footnote>
  <w:footnote w:id="179">
    <w:p w:rsidR="00022B47" w:rsidRDefault="00000000">
      <w:pPr>
        <w:pStyle w:val="Normal38"/>
        <w:widowControl w:val="0"/>
        <w:spacing w:before="120" w:line="240" w:lineRule="atLeast"/>
        <w:jc w:val="both"/>
      </w:pPr>
      <w:r>
        <w:rPr>
          <w:rFonts w:ascii="Arial" w:eastAsia="Arial" w:hAnsi="Arial" w:cs="Arial"/>
          <w:color w:val="000000"/>
          <w:sz w:val="18"/>
          <w:vertAlign w:val="superscript"/>
        </w:rPr>
        <w:t>6 </w:t>
      </w:r>
      <w:bookmarkStart w:id="6208" w:name="Bookmark_fnpara_7_10"/>
      <w:bookmarkEnd w:id="6208"/>
      <w:r>
        <w:rPr>
          <w:rFonts w:ascii="Arial" w:eastAsia="Arial" w:hAnsi="Arial" w:cs="Arial"/>
          <w:color w:val="000000"/>
          <w:sz w:val="18"/>
        </w:rPr>
        <w:t>Plaintiffs submitted declarations from parents who are business owners and one housed individual who lives in an unspecified area of downtown, but none state the declarant's race or recount any risk of separation from their children or loss of housing. Plaintiffs did not bring any race-or family-based claims, so they had no reason to discuss these identifiers.</w:t>
      </w:r>
    </w:p>
  </w:footnote>
  <w:footnote w:id="180">
    <w:p w:rsidR="00022B47" w:rsidRDefault="00000000">
      <w:pPr>
        <w:pStyle w:val="Normal38"/>
        <w:widowControl w:val="0"/>
        <w:spacing w:before="200" w:line="240" w:lineRule="atLeast"/>
        <w:jc w:val="both"/>
      </w:pPr>
      <w:r>
        <w:rPr>
          <w:rFonts w:ascii="Arial" w:eastAsia="Arial" w:hAnsi="Arial" w:cs="Arial"/>
          <w:color w:val="000000"/>
          <w:sz w:val="18"/>
          <w:vertAlign w:val="superscript"/>
        </w:rPr>
        <w:t>7 </w:t>
      </w:r>
      <w:bookmarkStart w:id="6225" w:name="Bookmark_fnpara_8_10"/>
      <w:bookmarkEnd w:id="6225"/>
      <w:r>
        <w:rPr>
          <w:rFonts w:ascii="Arial" w:eastAsia="Arial" w:hAnsi="Arial" w:cs="Arial"/>
          <w:color w:val="000000"/>
          <w:sz w:val="18"/>
        </w:rPr>
        <w:t xml:space="preserve">The district court did not have authority to grant relief against the County under the ADA claim, because Plaintiffs only asserted the claim against the City. </w:t>
      </w:r>
      <w:bookmarkStart w:id="6226" w:name="Bookmark_I63R3BY62SF8660050000400"/>
      <w:bookmarkEnd w:id="6226"/>
      <w:r>
        <w:rPr>
          <w:rFonts w:ascii="Arial" w:eastAsia="Arial" w:hAnsi="Arial" w:cs="Arial"/>
          <w:i/>
          <w:color w:val="000000"/>
          <w:sz w:val="18"/>
        </w:rPr>
        <w:t>Pac. Radiation</w:t>
      </w:r>
      <w:r>
        <w:rPr>
          <w:rFonts w:ascii="Arial" w:eastAsia="Arial" w:hAnsi="Arial" w:cs="Arial"/>
          <w:color w:val="000000"/>
          <w:sz w:val="18"/>
        </w:rPr>
        <w:t>, 810 F.3d at 633.</w:t>
      </w:r>
    </w:p>
  </w:footnote>
  <w:footnote w:id="181">
    <w:p w:rsidR="00022B47" w:rsidRDefault="00000000">
      <w:pPr>
        <w:pStyle w:val="Normal38"/>
        <w:widowControl w:val="0"/>
        <w:spacing w:before="120" w:line="240" w:lineRule="atLeast"/>
        <w:jc w:val="both"/>
      </w:pPr>
      <w:r>
        <w:rPr>
          <w:rFonts w:ascii="Arial" w:eastAsia="Arial" w:hAnsi="Arial" w:cs="Arial"/>
          <w:color w:val="000000"/>
          <w:sz w:val="18"/>
          <w:vertAlign w:val="superscript"/>
        </w:rPr>
        <w:t>8 </w:t>
      </w:r>
      <w:bookmarkStart w:id="6238" w:name="Bookmark_fnpara_9_7"/>
      <w:bookmarkEnd w:id="6238"/>
      <w:r>
        <w:rPr>
          <w:rFonts w:ascii="Arial" w:eastAsia="Arial" w:hAnsi="Arial" w:cs="Arial"/>
          <w:color w:val="000000"/>
          <w:sz w:val="18"/>
        </w:rPr>
        <w:t>On appeal, Plaintiffs assert that LA Alliance has Black members, but none of the listed members identify themselves as Black (or anything else).</w:t>
      </w:r>
    </w:p>
  </w:footnote>
  <w:footnote w:id="182">
    <w:p w:rsidR="00022B47" w:rsidRDefault="00000000">
      <w:pPr>
        <w:pStyle w:val="Normal38"/>
        <w:widowControl w:val="0"/>
        <w:spacing w:before="200" w:line="240" w:lineRule="atLeast"/>
        <w:jc w:val="both"/>
      </w:pPr>
      <w:r>
        <w:rPr>
          <w:rFonts w:ascii="Arial" w:eastAsia="Arial" w:hAnsi="Arial" w:cs="Arial"/>
          <w:color w:val="000000"/>
          <w:sz w:val="18"/>
          <w:vertAlign w:val="superscript"/>
        </w:rPr>
        <w:t>9 </w:t>
      </w:r>
      <w:bookmarkStart w:id="6239" w:name="Bookmark_fnpara_10_4"/>
      <w:bookmarkStart w:id="6240" w:name="Bookmark_I63R3BY62D6NMY0040000400"/>
      <w:bookmarkEnd w:id="6239"/>
      <w:bookmarkEnd w:id="6240"/>
      <w:r>
        <w:rPr>
          <w:rFonts w:ascii="Arial" w:eastAsia="Arial" w:hAnsi="Arial" w:cs="Arial"/>
          <w:color w:val="000000"/>
          <w:sz w:val="18"/>
        </w:rPr>
        <w:t xml:space="preserve">The fact that LA Alliance may have broadened its membership after filing this action to include currently unhoused individuals—even ones who were unhoused at the time of the Complaint—does not factor into the standing calculus. </w:t>
      </w:r>
      <w:bookmarkStart w:id="6241" w:name="Bookmark_I63R3BY72D6NN10010000400"/>
      <w:bookmarkEnd w:id="6241"/>
      <w:r>
        <w:rPr>
          <w:rFonts w:ascii="Arial" w:eastAsia="Arial" w:hAnsi="Arial" w:cs="Arial"/>
          <w:i/>
          <w:color w:val="000000"/>
          <w:sz w:val="18"/>
        </w:rPr>
        <w:t xml:space="preserve">See </w:t>
      </w:r>
      <w:bookmarkStart w:id="6242" w:name="Bookmark_I63R3BY62D6NMY0030000400"/>
      <w:bookmarkEnd w:id="6242"/>
      <w:r>
        <w:rPr>
          <w:rFonts w:ascii="Arial" w:eastAsia="Arial" w:hAnsi="Arial" w:cs="Arial"/>
          <w:i/>
          <w:color w:val="000000"/>
          <w:sz w:val="18"/>
        </w:rPr>
        <w:t>Morongo Band of Mission Indians v. Cal. State Bd. of Equalization</w:t>
      </w:r>
      <w:r>
        <w:rPr>
          <w:rFonts w:ascii="Arial" w:eastAsia="Arial" w:hAnsi="Arial" w:cs="Arial"/>
          <w:color w:val="000000"/>
          <w:sz w:val="18"/>
        </w:rPr>
        <w:t xml:space="preserve">, 858 F.2d 1376, 1381 (9th Cir. 1988) ("[W]e must examine the . . . original complaint to determine whether . . . the district court had jurisdiction. If [not], then the court's various orders, including that granting leave to amend the complaint, were nullities."). </w:t>
      </w:r>
      <w:bookmarkStart w:id="6243" w:name="Bookmark_I63R3BY72D6NN10010000400_2"/>
      <w:bookmarkStart w:id="6244" w:name="Bookmark_LNHNREFclscc7_26"/>
      <w:bookmarkEnd w:id="6243"/>
      <w:bookmarkEnd w:id="6244"/>
      <w:r>
        <w:rPr>
          <w:rFonts w:ascii="Arial" w:eastAsia="Arial" w:hAnsi="Arial" w:cs="Arial"/>
          <w:color w:val="000000"/>
          <w:sz w:val="18"/>
        </w:rPr>
        <w:t xml:space="preserve">Declarations can remedy "defective </w:t>
      </w:r>
      <w:r>
        <w:rPr>
          <w:rFonts w:ascii="Arial" w:eastAsia="Arial" w:hAnsi="Arial" w:cs="Arial"/>
          <w:i/>
          <w:color w:val="000000"/>
          <w:sz w:val="18"/>
        </w:rPr>
        <w:t>allegations</w:t>
      </w:r>
      <w:r>
        <w:rPr>
          <w:rFonts w:ascii="Arial" w:eastAsia="Arial" w:hAnsi="Arial" w:cs="Arial"/>
          <w:color w:val="000000"/>
          <w:sz w:val="18"/>
        </w:rPr>
        <w:t xml:space="preserve">" of jurisdiction but "[do] not provide a remedy for defective jurisdiction itself." </w:t>
      </w:r>
      <w:bookmarkStart w:id="6245" w:name="Bookmark_I63R3BY62D6NMY0050000400"/>
      <w:bookmarkEnd w:id="6245"/>
      <w:r>
        <w:rPr>
          <w:rFonts w:ascii="Arial" w:eastAsia="Arial" w:hAnsi="Arial" w:cs="Arial"/>
          <w:i/>
          <w:color w:val="000000"/>
          <w:sz w:val="18"/>
        </w:rPr>
        <w:t>Id.</w:t>
      </w:r>
      <w:r>
        <w:rPr>
          <w:rFonts w:ascii="Arial" w:eastAsia="Arial" w:hAnsi="Arial" w:cs="Arial"/>
          <w:color w:val="000000"/>
          <w:sz w:val="18"/>
        </w:rPr>
        <w:t xml:space="preserve"> at 1380 n.3 (quoting </w:t>
      </w:r>
      <w:bookmarkStart w:id="6246" w:name="Bookmark_I63R3BY72D6NN10020000400"/>
      <w:bookmarkEnd w:id="6246"/>
      <w:r>
        <w:rPr>
          <w:rFonts w:ascii="Arial" w:eastAsia="Arial" w:hAnsi="Arial" w:cs="Arial"/>
          <w:i/>
          <w:color w:val="000000"/>
          <w:sz w:val="18"/>
        </w:rPr>
        <w:t>Field v. Volkswagenwerk AG</w:t>
      </w:r>
      <w:r>
        <w:rPr>
          <w:rFonts w:ascii="Arial" w:eastAsia="Arial" w:hAnsi="Arial" w:cs="Arial"/>
          <w:color w:val="000000"/>
          <w:sz w:val="18"/>
        </w:rPr>
        <w:t>, 626 F.2d 293, 306 (3d Cir. 1980)).</w:t>
      </w:r>
    </w:p>
  </w:footnote>
  <w:footnote w:id="183">
    <w:p w:rsidR="00022B47" w:rsidRDefault="00000000">
      <w:pPr>
        <w:pStyle w:val="Normal39"/>
        <w:widowControl w:val="0"/>
        <w:spacing w:before="120" w:line="240" w:lineRule="atLeast"/>
        <w:jc w:val="both"/>
      </w:pPr>
      <w:r>
        <w:rPr>
          <w:rFonts w:ascii="Arial" w:eastAsia="Arial" w:hAnsi="Arial" w:cs="Arial"/>
          <w:color w:val="000000"/>
          <w:sz w:val="18"/>
          <w:vertAlign w:val="superscript"/>
        </w:rPr>
        <w:t>* </w:t>
      </w:r>
      <w:bookmarkStart w:id="6271" w:name="Bookmark_fnpara_1_32"/>
      <w:bookmarkEnd w:id="6271"/>
      <w:r>
        <w:rPr>
          <w:rFonts w:ascii="Arial" w:eastAsia="Arial" w:hAnsi="Arial" w:cs="Arial"/>
          <w:color w:val="000000"/>
          <w:sz w:val="18"/>
        </w:rPr>
        <w:t>We have agreed to decide the case without oral argument because the briefs and record adequately present the facts and legal arguments, and oral argument would not significantly aid the court. Rule 34(a)(2)(C).</w:t>
      </w:r>
    </w:p>
  </w:footnote>
  <w:footnote w:id="184">
    <w:p w:rsidR="00022B47" w:rsidRDefault="00000000">
      <w:pPr>
        <w:pStyle w:val="Normal40"/>
        <w:widowControl w:val="0"/>
        <w:spacing w:before="120" w:line="240" w:lineRule="atLeast"/>
        <w:jc w:val="both"/>
      </w:pPr>
      <w:r>
        <w:rPr>
          <w:rFonts w:ascii="Arial" w:eastAsia="Arial" w:hAnsi="Arial" w:cs="Arial"/>
          <w:color w:val="000000"/>
          <w:sz w:val="18"/>
          <w:vertAlign w:val="superscript"/>
        </w:rPr>
        <w:t>* </w:t>
      </w:r>
      <w:bookmarkStart w:id="6327" w:name="Bookmark_fnpara_1_33"/>
      <w:bookmarkEnd w:id="6327"/>
      <w:r>
        <w:rPr>
          <w:rFonts w:ascii="Arial" w:eastAsia="Arial" w:hAnsi="Arial" w:cs="Arial"/>
          <w:color w:val="000000"/>
          <w:sz w:val="18"/>
        </w:rPr>
        <w:t>Angela Boettcher argued on behalf of Appellant, but has since filed a motion to withdraw as attorney of record. The court granted that motion in an Order dated August 18, 2021.</w:t>
      </w:r>
    </w:p>
  </w:footnote>
  <w:footnote w:id="185">
    <w:p w:rsidR="00022B47" w:rsidRDefault="00000000">
      <w:pPr>
        <w:pStyle w:val="Normal40"/>
        <w:widowControl w:val="0"/>
        <w:spacing w:before="120" w:line="240" w:lineRule="atLeast"/>
        <w:jc w:val="both"/>
      </w:pPr>
      <w:r>
        <w:rPr>
          <w:rFonts w:ascii="Arial" w:eastAsia="Arial" w:hAnsi="Arial" w:cs="Arial"/>
          <w:color w:val="000000"/>
          <w:sz w:val="18"/>
          <w:vertAlign w:val="superscript"/>
        </w:rPr>
        <w:t>** </w:t>
      </w:r>
      <w:bookmarkStart w:id="6328" w:name="Bookmark_fnpara_2_29"/>
      <w:bookmarkEnd w:id="6328"/>
      <w:r>
        <w:rPr>
          <w:rFonts w:ascii="Arial" w:eastAsia="Arial" w:hAnsi="Arial" w:cs="Arial"/>
          <w:color w:val="000000"/>
          <w:sz w:val="18"/>
        </w:rPr>
        <w:t>Aja Robbins argued on behalf of Appellant, but has since filed a motion to withdraw as attorney of record. The court granted that motion in an Order dated August 23, 2021.</w:t>
      </w:r>
    </w:p>
  </w:footnote>
  <w:footnote w:id="186">
    <w:p w:rsidR="00022B47" w:rsidRDefault="00000000">
      <w:pPr>
        <w:pStyle w:val="Normal40"/>
        <w:widowControl w:val="0"/>
        <w:spacing w:before="200" w:line="240" w:lineRule="atLeast"/>
        <w:jc w:val="both"/>
      </w:pPr>
      <w:r>
        <w:rPr>
          <w:rFonts w:ascii="Arial" w:eastAsia="Arial" w:hAnsi="Arial" w:cs="Arial"/>
          <w:color w:val="000000"/>
          <w:sz w:val="18"/>
          <w:vertAlign w:val="superscript"/>
        </w:rPr>
        <w:t>1 </w:t>
      </w:r>
      <w:bookmarkStart w:id="6337" w:name="Bookmark_fnpara_3_25"/>
      <w:bookmarkEnd w:id="6337"/>
      <w:r>
        <w:rPr>
          <w:rFonts w:ascii="Arial" w:eastAsia="Arial" w:hAnsi="Arial" w:cs="Arial"/>
          <w:color w:val="000000"/>
          <w:sz w:val="18"/>
        </w:rPr>
        <w:t xml:space="preserve">In his appellate briefs, Brooks also challenged the district court's dismissal, on mootness grounds, of his ADA claim for injunctive relief. </w:t>
      </w:r>
      <w:bookmarkStart w:id="6338" w:name="Bookmark_I63M3RWS28T4890040000400"/>
      <w:bookmarkEnd w:id="6338"/>
      <w:r>
        <w:rPr>
          <w:rFonts w:ascii="Arial" w:eastAsia="Arial" w:hAnsi="Arial" w:cs="Arial"/>
          <w:color w:val="000000"/>
          <w:sz w:val="18"/>
        </w:rPr>
        <w:t xml:space="preserve">During the pendency of this appeal, however, Brooks was released from the custody of the CDOC to serve the parole portion of his sentence. The parties agree that Brooks release from prison moots his claim for prospective injunctive relief. </w:t>
      </w:r>
      <w:r>
        <w:rPr>
          <w:rFonts w:ascii="Arial" w:eastAsia="Arial" w:hAnsi="Arial" w:cs="Arial"/>
          <w:i/>
          <w:color w:val="000000"/>
          <w:sz w:val="18"/>
        </w:rPr>
        <w:t xml:space="preserve">See </w:t>
      </w:r>
      <w:bookmarkStart w:id="6339" w:name="Bookmark_I63M3RWS28T4890030000400"/>
      <w:bookmarkEnd w:id="6339"/>
      <w:r>
        <w:rPr>
          <w:rFonts w:ascii="Arial" w:eastAsia="Arial" w:hAnsi="Arial" w:cs="Arial"/>
          <w:i/>
          <w:color w:val="000000"/>
          <w:sz w:val="18"/>
        </w:rPr>
        <w:t>Abdulhaseeb v. Calbone</w:t>
      </w:r>
      <w:r>
        <w:rPr>
          <w:rFonts w:ascii="Arial" w:eastAsia="Arial" w:hAnsi="Arial" w:cs="Arial"/>
          <w:color w:val="000000"/>
          <w:sz w:val="18"/>
        </w:rPr>
        <w:t xml:space="preserve">, 600 F.3d 1301, 1311 (10th Cir. 2010). Given the parties' agreement, this court </w:t>
      </w:r>
      <w:r>
        <w:rPr>
          <w:rFonts w:ascii="Arial" w:eastAsia="Arial" w:hAnsi="Arial" w:cs="Arial"/>
          <w:b/>
          <w:color w:val="000000"/>
          <w:sz w:val="18"/>
        </w:rPr>
        <w:t>grants</w:t>
      </w:r>
      <w:r>
        <w:rPr>
          <w:rFonts w:ascii="Arial" w:eastAsia="Arial" w:hAnsi="Arial" w:cs="Arial"/>
          <w:color w:val="000000"/>
          <w:sz w:val="18"/>
        </w:rPr>
        <w:t xml:space="preserve"> the defendants' motion and </w:t>
      </w:r>
      <w:r>
        <w:rPr>
          <w:rFonts w:ascii="Arial" w:eastAsia="Arial" w:hAnsi="Arial" w:cs="Arial"/>
          <w:b/>
          <w:color w:val="000000"/>
          <w:sz w:val="18"/>
        </w:rPr>
        <w:t>dismisses</w:t>
      </w:r>
      <w:r>
        <w:rPr>
          <w:rFonts w:ascii="Arial" w:eastAsia="Arial" w:hAnsi="Arial" w:cs="Arial"/>
          <w:color w:val="000000"/>
          <w:sz w:val="18"/>
        </w:rPr>
        <w:t xml:space="preserve"> as moot Brooks's challenge to the district court's dismissal of his ADA-based claims for prospective injunctive relief.</w:t>
      </w:r>
    </w:p>
  </w:footnote>
  <w:footnote w:id="187">
    <w:p w:rsidR="00022B47" w:rsidRDefault="00000000">
      <w:pPr>
        <w:pStyle w:val="Normal40"/>
        <w:widowControl w:val="0"/>
        <w:spacing w:before="200" w:line="240" w:lineRule="atLeast"/>
        <w:jc w:val="both"/>
      </w:pPr>
      <w:r>
        <w:rPr>
          <w:rFonts w:ascii="Arial" w:eastAsia="Arial" w:hAnsi="Arial" w:cs="Arial"/>
          <w:color w:val="000000"/>
          <w:sz w:val="18"/>
          <w:vertAlign w:val="superscript"/>
        </w:rPr>
        <w:t>2 </w:t>
      </w:r>
      <w:bookmarkStart w:id="6343" w:name="Bookmark_fnpara_4_18"/>
      <w:bookmarkStart w:id="6344" w:name="Bookmark_I63M3RWT2HM62B0030000400"/>
      <w:bookmarkEnd w:id="6343"/>
      <w:bookmarkEnd w:id="6344"/>
      <w:r>
        <w:rPr>
          <w:rFonts w:ascii="Arial" w:eastAsia="Arial" w:hAnsi="Arial" w:cs="Arial"/>
          <w:color w:val="000000"/>
          <w:sz w:val="18"/>
        </w:rPr>
        <w:t xml:space="preserve">Set out here is a general statement of the background facts. Additional facts relevant to the resolution of the issues on appeal are specified below in the Analysis section. </w:t>
      </w:r>
      <w:bookmarkStart w:id="6345" w:name="Bookmark_I63M3RWT2HM62B0050000400"/>
      <w:bookmarkEnd w:id="6345"/>
      <w:r>
        <w:rPr>
          <w:rFonts w:ascii="Arial" w:eastAsia="Arial" w:hAnsi="Arial" w:cs="Arial"/>
          <w:i/>
          <w:color w:val="000000"/>
          <w:sz w:val="18"/>
        </w:rPr>
        <w:t>See infra</w:t>
      </w:r>
      <w:r>
        <w:rPr>
          <w:rFonts w:ascii="Arial" w:eastAsia="Arial" w:hAnsi="Arial" w:cs="Arial"/>
          <w:color w:val="000000"/>
          <w:sz w:val="18"/>
        </w:rPr>
        <w:t xml:space="preserve"> Section III. In setting out the facts, this court recites them "as we must view them: in the light most favorable to the party opposing summary judgment." </w:t>
      </w:r>
      <w:bookmarkStart w:id="6346" w:name="Bookmark_I63M3RWT2HM62B0020000400"/>
      <w:bookmarkEnd w:id="6346"/>
      <w:r>
        <w:rPr>
          <w:rFonts w:ascii="Arial" w:eastAsia="Arial" w:hAnsi="Arial" w:cs="Arial"/>
          <w:i/>
          <w:color w:val="000000"/>
          <w:sz w:val="18"/>
        </w:rPr>
        <w:t>Tabor v. Hilti, Inc.</w:t>
      </w:r>
      <w:r>
        <w:rPr>
          <w:rFonts w:ascii="Arial" w:eastAsia="Arial" w:hAnsi="Arial" w:cs="Arial"/>
          <w:color w:val="000000"/>
          <w:sz w:val="18"/>
        </w:rPr>
        <w:t xml:space="preserve">, 703 F.3d 1206, 1211 n.1 (10th Cir. 2013). </w:t>
      </w:r>
      <w:bookmarkStart w:id="6347" w:name="Bookmark_I63M3RWT2HM62B0050000400_2"/>
      <w:bookmarkEnd w:id="6347"/>
      <w:r>
        <w:rPr>
          <w:rFonts w:ascii="Arial" w:eastAsia="Arial" w:hAnsi="Arial" w:cs="Arial"/>
          <w:color w:val="000000"/>
          <w:sz w:val="18"/>
        </w:rPr>
        <w:t xml:space="preserve">That is, this court views the facts, resolves all factual disputes, and makes all reasonable inferences in Brooks's favor. </w:t>
      </w:r>
      <w:r>
        <w:rPr>
          <w:rFonts w:ascii="Arial" w:eastAsia="Arial" w:hAnsi="Arial" w:cs="Arial"/>
          <w:i/>
          <w:color w:val="000000"/>
          <w:sz w:val="18"/>
        </w:rPr>
        <w:t xml:space="preserve">See </w:t>
      </w:r>
      <w:bookmarkStart w:id="6348" w:name="Bookmark_I63M3RWT2HM62B0040000400"/>
      <w:bookmarkEnd w:id="6348"/>
      <w:r>
        <w:rPr>
          <w:rFonts w:ascii="Arial" w:eastAsia="Arial" w:hAnsi="Arial" w:cs="Arial"/>
          <w:i/>
          <w:color w:val="000000"/>
          <w:sz w:val="18"/>
        </w:rPr>
        <w:t>Cillo v. City of Greenwood Vill</w:t>
      </w:r>
      <w:r>
        <w:rPr>
          <w:rFonts w:ascii="Arial" w:eastAsia="Arial" w:hAnsi="Arial" w:cs="Arial"/>
          <w:color w:val="000000"/>
          <w:sz w:val="18"/>
        </w:rPr>
        <w:t>., 739 F.3d 451, 461 (10th Cir. 2013).</w:t>
      </w:r>
    </w:p>
  </w:footnote>
  <w:footnote w:id="188">
    <w:p w:rsidR="00022B47" w:rsidRDefault="00000000">
      <w:pPr>
        <w:pStyle w:val="Normal40"/>
        <w:widowControl w:val="0"/>
        <w:spacing w:before="120" w:line="240" w:lineRule="atLeast"/>
        <w:jc w:val="both"/>
      </w:pPr>
      <w:r>
        <w:rPr>
          <w:rFonts w:ascii="Arial" w:eastAsia="Arial" w:hAnsi="Arial" w:cs="Arial"/>
          <w:color w:val="000000"/>
          <w:sz w:val="18"/>
          <w:vertAlign w:val="superscript"/>
        </w:rPr>
        <w:t>3 </w:t>
      </w:r>
      <w:bookmarkStart w:id="6350" w:name="Bookmark_fnpara_5_14"/>
      <w:bookmarkEnd w:id="6350"/>
      <w:r>
        <w:rPr>
          <w:rFonts w:ascii="Arial" w:eastAsia="Arial" w:hAnsi="Arial" w:cs="Arial"/>
          <w:color w:val="000000"/>
          <w:sz w:val="18"/>
        </w:rPr>
        <w:t>"Ulcerative colitis is a chronic inflammatory bowel disease . . . in which abnormal reactions of the immune system cause inflammation and ulcers on the inner lining of [the] large intestine." Experts are unsure of the disease's causes. https://www.niddk.nih.gov/health-information/digestive-diseases/ulcerative-colitis (last visited June 28, 2021).</w:t>
      </w:r>
    </w:p>
  </w:footnote>
  <w:footnote w:id="189">
    <w:p w:rsidR="00022B47" w:rsidRDefault="00000000">
      <w:pPr>
        <w:pStyle w:val="Normal40"/>
        <w:widowControl w:val="0"/>
        <w:spacing w:before="120" w:line="240" w:lineRule="atLeast"/>
        <w:jc w:val="both"/>
      </w:pPr>
      <w:r>
        <w:rPr>
          <w:rFonts w:ascii="Arial" w:eastAsia="Arial" w:hAnsi="Arial" w:cs="Arial"/>
          <w:color w:val="000000"/>
          <w:sz w:val="18"/>
          <w:vertAlign w:val="superscript"/>
        </w:rPr>
        <w:t>4 </w:t>
      </w:r>
      <w:bookmarkStart w:id="6352" w:name="Bookmark_fnpara_6_11"/>
      <w:bookmarkEnd w:id="6352"/>
      <w:r>
        <w:rPr>
          <w:rFonts w:ascii="Arial" w:eastAsia="Arial" w:hAnsi="Arial" w:cs="Arial"/>
          <w:color w:val="000000"/>
          <w:sz w:val="18"/>
        </w:rPr>
        <w:t>This fact is drawn from the CDOC "Food Service — Diet Miss History" ("FSDMH"). The significance and meaning of the FSDMH is discussed further below.</w:t>
      </w:r>
    </w:p>
  </w:footnote>
  <w:footnote w:id="190">
    <w:p w:rsidR="00022B47" w:rsidRDefault="00000000">
      <w:pPr>
        <w:pStyle w:val="Normal40"/>
        <w:widowControl w:val="0"/>
        <w:spacing w:before="120" w:line="240" w:lineRule="atLeast"/>
        <w:jc w:val="both"/>
      </w:pPr>
      <w:r>
        <w:rPr>
          <w:rFonts w:ascii="Arial" w:eastAsia="Arial" w:hAnsi="Arial" w:cs="Arial"/>
          <w:color w:val="000000"/>
          <w:sz w:val="18"/>
          <w:vertAlign w:val="superscript"/>
        </w:rPr>
        <w:t>5 </w:t>
      </w:r>
      <w:bookmarkStart w:id="6353" w:name="Bookmark_fnpara_7_11"/>
      <w:bookmarkEnd w:id="6353"/>
      <w:r>
        <w:rPr>
          <w:rFonts w:ascii="Arial" w:eastAsia="Arial" w:hAnsi="Arial" w:cs="Arial"/>
          <w:color w:val="000000"/>
          <w:sz w:val="18"/>
        </w:rPr>
        <w:t>Prisoners at Fremont access the cafeteria as a group with their living unit. These living-group-wide calls to the cafeteria are referred to as "chow pulls." As a general matter, chow pulls rotate daily, leaving mealtimes variable. As discussed more fully below, Brooks's request for an ADA accommodation relates specifically to the variable nature of normal chow pulls. He asserts that with a regularly scheduled chow pull, such as those afforded to diabetic prisoners, he can more easily schedule his bathroom visits so as to reduce or eliminate the possibility of fecal incontinence during his time in the cafeteria.</w:t>
      </w:r>
    </w:p>
  </w:footnote>
  <w:footnote w:id="191">
    <w:p w:rsidR="00022B47" w:rsidRDefault="00000000">
      <w:pPr>
        <w:pStyle w:val="Normal40"/>
        <w:widowControl w:val="0"/>
        <w:spacing w:before="120" w:line="240" w:lineRule="atLeast"/>
        <w:jc w:val="both"/>
      </w:pPr>
      <w:r>
        <w:rPr>
          <w:rFonts w:ascii="Arial" w:eastAsia="Arial" w:hAnsi="Arial" w:cs="Arial"/>
          <w:color w:val="000000"/>
          <w:sz w:val="18"/>
          <w:vertAlign w:val="superscript"/>
        </w:rPr>
        <w:t>6 </w:t>
      </w:r>
      <w:bookmarkStart w:id="6355" w:name="Bookmark_fnpara_8_11"/>
      <w:bookmarkEnd w:id="6355"/>
      <w:r>
        <w:rPr>
          <w:rFonts w:ascii="Arial" w:eastAsia="Arial" w:hAnsi="Arial" w:cs="Arial"/>
          <w:color w:val="000000"/>
          <w:sz w:val="18"/>
        </w:rPr>
        <w:t>For instance, the FSDMH could reasonably be read to indicate Brooks missed a majority of the meals offered between June 6, 2012 and February 6, 2013. Within this period, Brooks missed at least two meals per day 108 times and missed all three meals 74 times. He did not receive a single meal from October 10 to 13, 2012; October 27 to 31, 2012; and January 10 to 16, 2013.</w:t>
      </w:r>
    </w:p>
  </w:footnote>
  <w:footnote w:id="192">
    <w:p w:rsidR="00022B47" w:rsidRDefault="00000000">
      <w:pPr>
        <w:pStyle w:val="Normal40"/>
        <w:widowControl w:val="0"/>
        <w:spacing w:before="120" w:line="240" w:lineRule="atLeast"/>
        <w:jc w:val="both"/>
      </w:pPr>
      <w:r>
        <w:rPr>
          <w:rFonts w:ascii="Arial" w:eastAsia="Arial" w:hAnsi="Arial" w:cs="Arial"/>
          <w:color w:val="000000"/>
          <w:sz w:val="18"/>
          <w:vertAlign w:val="superscript"/>
        </w:rPr>
        <w:t>7 </w:t>
      </w:r>
      <w:bookmarkStart w:id="6358" w:name="Bookmark_fnpara_9_8"/>
      <w:bookmarkEnd w:id="6358"/>
      <w:r>
        <w:rPr>
          <w:rFonts w:ascii="Arial" w:eastAsia="Arial" w:hAnsi="Arial" w:cs="Arial"/>
          <w:color w:val="000000"/>
          <w:sz w:val="18"/>
        </w:rPr>
        <w:t>The record reveals that Brooks was afforded this pass because, during the relevant time period, he was receiving medications daily from the prison "med-line." The pass allowed him to attend the med-line and take meals with the diabetic chow pull. After three months, when Brooks no longer needed to attend the med-line, his pass expired.</w:t>
      </w:r>
    </w:p>
  </w:footnote>
  <w:footnote w:id="193">
    <w:p w:rsidR="00022B47" w:rsidRDefault="00000000">
      <w:pPr>
        <w:pStyle w:val="Normal40"/>
        <w:widowControl w:val="0"/>
        <w:spacing w:before="200" w:line="240" w:lineRule="atLeast"/>
        <w:jc w:val="both"/>
      </w:pPr>
      <w:r>
        <w:rPr>
          <w:rFonts w:ascii="Arial" w:eastAsia="Arial" w:hAnsi="Arial" w:cs="Arial"/>
          <w:color w:val="000000"/>
          <w:sz w:val="18"/>
          <w:vertAlign w:val="superscript"/>
        </w:rPr>
        <w:t>8 </w:t>
      </w:r>
      <w:bookmarkStart w:id="6436" w:name="Bookmark_fnpara_10_5"/>
      <w:bookmarkStart w:id="6437" w:name="Bookmark_I2GG43783KP000030FN00012"/>
      <w:bookmarkStart w:id="6438" w:name="Bookmark_I63M3RWX2SF8JS0050000400"/>
      <w:bookmarkStart w:id="6439" w:name="Bookmark_I63M3RWY2SF8JX0020000400"/>
      <w:bookmarkStart w:id="6440" w:name="Bookmark_LNHNREFclscc8_24"/>
      <w:bookmarkEnd w:id="6436"/>
      <w:bookmarkEnd w:id="6437"/>
      <w:bookmarkEnd w:id="6438"/>
      <w:bookmarkEnd w:id="6439"/>
      <w:bookmarkEnd w:id="6440"/>
      <w:r>
        <w:rPr>
          <w:rFonts w:ascii="Arial" w:eastAsia="Arial" w:hAnsi="Arial" w:cs="Arial"/>
          <w:color w:val="000000"/>
          <w:sz w:val="18"/>
        </w:rPr>
        <w:t xml:space="preserve">In </w:t>
      </w:r>
      <w:bookmarkStart w:id="6441" w:name="Bookmark_I63M3RWX2SF8JS0040000400"/>
      <w:bookmarkEnd w:id="6441"/>
      <w:r>
        <w:rPr>
          <w:rFonts w:ascii="Arial" w:eastAsia="Arial" w:hAnsi="Arial" w:cs="Arial"/>
          <w:i/>
          <w:color w:val="000000"/>
          <w:sz w:val="18"/>
        </w:rPr>
        <w:t>Punt v. Kelly Services</w:t>
      </w:r>
      <w:r>
        <w:rPr>
          <w:rFonts w:ascii="Arial" w:eastAsia="Arial" w:hAnsi="Arial" w:cs="Arial"/>
          <w:color w:val="000000"/>
          <w:sz w:val="18"/>
        </w:rPr>
        <w:t xml:space="preserve">, 862 F.3d 1040, 1050-51 (10th Cir. 2017), this court set out a helpful analytical structure, based on a modified </w:t>
      </w:r>
      <w:r>
        <w:rPr>
          <w:rFonts w:ascii="Arial" w:eastAsia="Arial" w:hAnsi="Arial" w:cs="Arial"/>
          <w:i/>
          <w:color w:val="000000"/>
          <w:sz w:val="18"/>
        </w:rPr>
        <w:t>McDonnell Douglas</w:t>
      </w:r>
      <w:r>
        <w:rPr>
          <w:rFonts w:ascii="Arial" w:eastAsia="Arial" w:hAnsi="Arial" w:cs="Arial"/>
          <w:color w:val="000000"/>
          <w:sz w:val="18"/>
        </w:rPr>
        <w:t xml:space="preserve"> framework, for analyzing failure-to-accommodate claims. </w:t>
      </w:r>
      <w:bookmarkStart w:id="6442" w:name="Bookmark_I63M3RWY2SF8JX0040000400"/>
      <w:bookmarkEnd w:id="6442"/>
      <w:r>
        <w:rPr>
          <w:rFonts w:ascii="Arial" w:eastAsia="Arial" w:hAnsi="Arial" w:cs="Arial"/>
          <w:color w:val="000000"/>
          <w:sz w:val="18"/>
        </w:rPr>
        <w:t xml:space="preserve">Such an alternative is necessary because discriminatory intent is not a relevant consideration in failure-to-accommodate cases. </w:t>
      </w:r>
      <w:bookmarkStart w:id="6443" w:name="Bookmark_I63M3RWY2SF8JX0010000400"/>
      <w:bookmarkEnd w:id="6443"/>
      <w:r>
        <w:rPr>
          <w:rFonts w:ascii="Arial" w:eastAsia="Arial" w:hAnsi="Arial" w:cs="Arial"/>
          <w:i/>
          <w:color w:val="000000"/>
          <w:sz w:val="18"/>
        </w:rPr>
        <w:t>Id.</w:t>
      </w:r>
      <w:r>
        <w:rPr>
          <w:rFonts w:ascii="Arial" w:eastAsia="Arial" w:hAnsi="Arial" w:cs="Arial"/>
          <w:color w:val="000000"/>
          <w:sz w:val="18"/>
        </w:rPr>
        <w:t xml:space="preserve"> at 1049. </w:t>
      </w:r>
      <w:bookmarkStart w:id="6444" w:name="Bookmark_I63M3RWY2SF8JX0040000400_2"/>
      <w:bookmarkStart w:id="6445" w:name="Bookmark_I63M3RWY2D6NJS0010000400"/>
      <w:bookmarkEnd w:id="6444"/>
      <w:bookmarkEnd w:id="6445"/>
      <w:r>
        <w:rPr>
          <w:rFonts w:ascii="Arial" w:eastAsia="Arial" w:hAnsi="Arial" w:cs="Arial"/>
          <w:i/>
          <w:color w:val="000000"/>
          <w:sz w:val="18"/>
        </w:rPr>
        <w:t>Punt</w:t>
      </w:r>
      <w:r>
        <w:rPr>
          <w:rFonts w:ascii="Arial" w:eastAsia="Arial" w:hAnsi="Arial" w:cs="Arial"/>
          <w:color w:val="000000"/>
          <w:sz w:val="18"/>
        </w:rPr>
        <w:t xml:space="preserve"> also makes clear that "[w]hether an accommodation is reasonable under the ADA is a mixed question of law and fact." </w:t>
      </w:r>
      <w:bookmarkStart w:id="6446" w:name="Bookmark_I63M3RWY2SF8JX0030000400"/>
      <w:bookmarkEnd w:id="6446"/>
      <w:r>
        <w:rPr>
          <w:rFonts w:ascii="Arial" w:eastAsia="Arial" w:hAnsi="Arial" w:cs="Arial"/>
          <w:i/>
          <w:color w:val="000000"/>
          <w:sz w:val="18"/>
        </w:rPr>
        <w:t>Id.</w:t>
      </w:r>
      <w:r>
        <w:rPr>
          <w:rFonts w:ascii="Arial" w:eastAsia="Arial" w:hAnsi="Arial" w:cs="Arial"/>
          <w:color w:val="000000"/>
          <w:sz w:val="18"/>
        </w:rPr>
        <w:t xml:space="preserve"> at 1050-51 (quotation omitted). </w:t>
      </w:r>
      <w:bookmarkStart w:id="6447" w:name="Bookmark_I63M3RWY2D6NJS0010000400_2"/>
      <w:bookmarkEnd w:id="6447"/>
      <w:r>
        <w:rPr>
          <w:rFonts w:ascii="Arial" w:eastAsia="Arial" w:hAnsi="Arial" w:cs="Arial"/>
          <w:color w:val="000000"/>
          <w:sz w:val="18"/>
        </w:rPr>
        <w:t xml:space="preserve">Here, as set out more fully below, underlying fact issues make it impossible to resolve as a matter of law whether the provision of adult diapers is a reasonable accommodation of Brooks's ulcerative colitis as it relates to his ability to access the cafeteria. </w:t>
      </w:r>
      <w:bookmarkStart w:id="6448" w:name="Bookmark_I63M3RWY2SF8JX0050000400"/>
      <w:bookmarkEnd w:id="6448"/>
      <w:r>
        <w:rPr>
          <w:rFonts w:ascii="Arial" w:eastAsia="Arial" w:hAnsi="Arial" w:cs="Arial"/>
          <w:i/>
          <w:color w:val="000000"/>
          <w:sz w:val="18"/>
        </w:rPr>
        <w:t>Id.</w:t>
      </w:r>
      <w:r>
        <w:rPr>
          <w:rFonts w:ascii="Arial" w:eastAsia="Arial" w:hAnsi="Arial" w:cs="Arial"/>
          <w:color w:val="000000"/>
          <w:sz w:val="18"/>
        </w:rPr>
        <w:t xml:space="preserve"> at 1050 (holding that "[t]he determination of whether a requested accommodation is reasonable must be made on the facts of each case taking into consideration the particular individual's disability" (quotation omitted)).</w:t>
      </w:r>
    </w:p>
  </w:footnote>
  <w:footnote w:id="194">
    <w:p w:rsidR="00022B47" w:rsidRDefault="00000000">
      <w:pPr>
        <w:pStyle w:val="Normal40"/>
        <w:widowControl w:val="0"/>
        <w:spacing w:before="200" w:line="240" w:lineRule="atLeast"/>
        <w:jc w:val="both"/>
      </w:pPr>
      <w:r>
        <w:rPr>
          <w:rFonts w:ascii="Arial" w:eastAsia="Arial" w:hAnsi="Arial" w:cs="Arial"/>
          <w:color w:val="000000"/>
          <w:sz w:val="18"/>
          <w:vertAlign w:val="superscript"/>
        </w:rPr>
        <w:t>9 </w:t>
      </w:r>
      <w:bookmarkStart w:id="6456" w:name="Bookmark_fnpara_11_2"/>
      <w:bookmarkEnd w:id="6456"/>
      <w:r>
        <w:rPr>
          <w:rFonts w:ascii="Arial" w:eastAsia="Arial" w:hAnsi="Arial" w:cs="Arial"/>
          <w:color w:val="000000"/>
          <w:sz w:val="18"/>
        </w:rPr>
        <w:t xml:space="preserve">Notably, the district court omitted this contextual testimony from Brooks's deposition and replaced it with an ellipse. </w:t>
      </w:r>
      <w:r>
        <w:rPr>
          <w:rFonts w:ascii="Arial" w:eastAsia="Arial" w:hAnsi="Arial" w:cs="Arial"/>
          <w:i/>
          <w:color w:val="000000"/>
          <w:sz w:val="18"/>
        </w:rPr>
        <w:t>Compare</w:t>
      </w:r>
      <w:r>
        <w:rPr>
          <w:rFonts w:ascii="Arial" w:eastAsia="Arial" w:hAnsi="Arial" w:cs="Arial"/>
          <w:color w:val="000000"/>
          <w:sz w:val="18"/>
        </w:rPr>
        <w:t xml:space="preserve"> District. Ct. Order at 22 </w:t>
      </w:r>
      <w:r>
        <w:rPr>
          <w:rFonts w:ascii="Arial" w:eastAsia="Arial" w:hAnsi="Arial" w:cs="Arial"/>
          <w:i/>
          <w:color w:val="000000"/>
          <w:sz w:val="18"/>
        </w:rPr>
        <w:t>with</w:t>
      </w:r>
      <w:r>
        <w:rPr>
          <w:rFonts w:ascii="Arial" w:eastAsia="Arial" w:hAnsi="Arial" w:cs="Arial"/>
          <w:color w:val="000000"/>
          <w:sz w:val="18"/>
        </w:rPr>
        <w:t xml:space="preserve"> R. Vol. 7 at 261-62.</w:t>
      </w:r>
    </w:p>
  </w:footnote>
  <w:footnote w:id="195">
    <w:p w:rsidR="00022B47" w:rsidRDefault="00000000">
      <w:pPr>
        <w:pStyle w:val="Normal40"/>
        <w:widowControl w:val="0"/>
        <w:spacing w:before="200" w:line="240" w:lineRule="atLeast"/>
        <w:jc w:val="both"/>
      </w:pPr>
      <w:r>
        <w:rPr>
          <w:rFonts w:ascii="Arial" w:eastAsia="Arial" w:hAnsi="Arial" w:cs="Arial"/>
          <w:color w:val="000000"/>
          <w:sz w:val="18"/>
          <w:vertAlign w:val="superscript"/>
        </w:rPr>
        <w:t>10 </w:t>
      </w:r>
      <w:bookmarkStart w:id="6457" w:name="Bookmark_fnpara_12_2"/>
      <w:bookmarkEnd w:id="6457"/>
      <w:r>
        <w:rPr>
          <w:rFonts w:ascii="Arial" w:eastAsia="Arial" w:hAnsi="Arial" w:cs="Arial"/>
          <w:color w:val="000000"/>
          <w:sz w:val="18"/>
        </w:rPr>
        <w:t xml:space="preserve">R. Vol. 7 at 244 (explaining that "at the beginning . . . it will literally hit you without any warning," but that after experience with the disease like his an individual "get[s] an acute understanding of when it is going to happen"); </w:t>
      </w:r>
      <w:r>
        <w:rPr>
          <w:rFonts w:ascii="Arial" w:eastAsia="Arial" w:hAnsi="Arial" w:cs="Arial"/>
          <w:i/>
          <w:color w:val="000000"/>
          <w:sz w:val="18"/>
        </w:rPr>
        <w:t>id.</w:t>
      </w:r>
      <w:r>
        <w:rPr>
          <w:rFonts w:ascii="Arial" w:eastAsia="Arial" w:hAnsi="Arial" w:cs="Arial"/>
          <w:color w:val="000000"/>
          <w:sz w:val="18"/>
        </w:rPr>
        <w:t xml:space="preserve"> at 245 (testifying that "obviously, if I use the restroom, then I know I can have half an hour" and that even if he is really sick he knows he "can probably have a half an hour to run, go eat and come back without having any of the issues arise"); </w:t>
      </w:r>
      <w:r>
        <w:rPr>
          <w:rFonts w:ascii="Arial" w:eastAsia="Arial" w:hAnsi="Arial" w:cs="Arial"/>
          <w:i/>
          <w:color w:val="000000"/>
          <w:sz w:val="18"/>
        </w:rPr>
        <w:t>id.</w:t>
      </w:r>
      <w:r>
        <w:rPr>
          <w:rFonts w:ascii="Arial" w:eastAsia="Arial" w:hAnsi="Arial" w:cs="Arial"/>
          <w:color w:val="000000"/>
          <w:sz w:val="18"/>
        </w:rPr>
        <w:t xml:space="preserve"> at 262 (Q. And so it sounds to me like what you are testifying to today is you are not incontinent. . . . A. Yeah.").</w:t>
      </w:r>
    </w:p>
  </w:footnote>
  <w:footnote w:id="196">
    <w:p w:rsidR="00022B47" w:rsidRDefault="00000000">
      <w:pPr>
        <w:pStyle w:val="Normal40"/>
        <w:widowControl w:val="0"/>
        <w:spacing w:before="120" w:line="240" w:lineRule="atLeast"/>
        <w:jc w:val="both"/>
      </w:pPr>
      <w:r>
        <w:rPr>
          <w:rFonts w:ascii="Arial" w:eastAsia="Arial" w:hAnsi="Arial" w:cs="Arial"/>
          <w:color w:val="000000"/>
          <w:sz w:val="18"/>
          <w:vertAlign w:val="superscript"/>
        </w:rPr>
        <w:t>11 </w:t>
      </w:r>
      <w:bookmarkStart w:id="6459" w:name="Bookmark_fnpara_13_1"/>
      <w:bookmarkEnd w:id="6459"/>
      <w:r>
        <w:rPr>
          <w:rFonts w:ascii="Arial" w:eastAsia="Arial" w:hAnsi="Arial" w:cs="Arial"/>
          <w:color w:val="000000"/>
          <w:sz w:val="18"/>
        </w:rPr>
        <w:t>Brooks testified as follows in his deposition:</w:t>
      </w:r>
    </w:p>
    <w:p w:rsidR="00022B47" w:rsidRDefault="00000000">
      <w:pPr>
        <w:pStyle w:val="Normal40"/>
        <w:widowControl w:val="0"/>
        <w:spacing w:before="200" w:line="240" w:lineRule="atLeast"/>
        <w:ind w:left="400"/>
        <w:jc w:val="both"/>
      </w:pPr>
      <w:bookmarkStart w:id="6460" w:name="Bookmark_para_38_15"/>
      <w:bookmarkEnd w:id="6460"/>
      <w:r>
        <w:rPr>
          <w:rFonts w:ascii="Arial" w:eastAsia="Arial" w:hAnsi="Arial" w:cs="Arial"/>
          <w:color w:val="000000"/>
          <w:sz w:val="18"/>
        </w:rPr>
        <w:t>So the diaper, as far as being able to contain, again, it wouldn't change any of my responses. If I was in a diaper or not in a diaper and I soiled myself, I'm leaving the chow hall. If I'm walking, I'm not going [**22]  to the chow hall. If I'm walking back, I'm running back. That doesn't do anything as far as my responses of what I'm going to do.</w:t>
      </w:r>
    </w:p>
    <w:p w:rsidR="00022B47" w:rsidRDefault="00000000">
      <w:pPr>
        <w:pStyle w:val="Normal40"/>
        <w:widowControl w:val="0"/>
        <w:spacing w:before="120" w:line="240" w:lineRule="atLeast"/>
        <w:ind w:left="400"/>
        <w:jc w:val="both"/>
      </w:pPr>
      <w:bookmarkStart w:id="6461" w:name="Bookmark_para_39_12"/>
      <w:bookmarkEnd w:id="6461"/>
      <w:r>
        <w:rPr>
          <w:rFonts w:ascii="Arial" w:eastAsia="Arial" w:hAnsi="Arial" w:cs="Arial"/>
          <w:color w:val="000000"/>
          <w:sz w:val="18"/>
        </w:rPr>
        <w:t>I would never just sit there at the chow hall, if I had soiled myself, and sit there and continue eating. That's nothing—I would never . . . .</w:t>
      </w:r>
    </w:p>
    <w:p w:rsidR="00022B47" w:rsidRDefault="00000000">
      <w:pPr>
        <w:pStyle w:val="Normal40"/>
        <w:widowControl w:val="0"/>
        <w:spacing w:before="200" w:line="240" w:lineRule="atLeast"/>
        <w:jc w:val="both"/>
      </w:pPr>
      <w:r>
        <w:rPr>
          <w:rFonts w:ascii="Arial" w:eastAsia="Arial" w:hAnsi="Arial" w:cs="Arial"/>
          <w:color w:val="000000"/>
          <w:sz w:val="18"/>
        </w:rPr>
        <w:t xml:space="preserve">R. Vol. 7 at 246; </w:t>
      </w:r>
      <w:r>
        <w:rPr>
          <w:rFonts w:ascii="Arial" w:eastAsia="Arial" w:hAnsi="Arial" w:cs="Arial"/>
          <w:i/>
          <w:color w:val="000000"/>
          <w:sz w:val="18"/>
        </w:rPr>
        <w:t>see also id.</w:t>
      </w:r>
      <w:r>
        <w:rPr>
          <w:rFonts w:ascii="Arial" w:eastAsia="Arial" w:hAnsi="Arial" w:cs="Arial"/>
          <w:color w:val="000000"/>
          <w:sz w:val="18"/>
        </w:rPr>
        <w:t xml:space="preserve"> at 239 ("They say, well, here's a diaper . . . . But, again, that's just—for me to sit around everybody else, if I am leaking fluid, it's just not something that could be done."); </w:t>
      </w:r>
      <w:r>
        <w:rPr>
          <w:rFonts w:ascii="Arial" w:eastAsia="Arial" w:hAnsi="Arial" w:cs="Arial"/>
          <w:i/>
          <w:color w:val="000000"/>
          <w:sz w:val="18"/>
        </w:rPr>
        <w:t>id.</w:t>
      </w:r>
      <w:r>
        <w:rPr>
          <w:rFonts w:ascii="Arial" w:eastAsia="Arial" w:hAnsi="Arial" w:cs="Arial"/>
          <w:color w:val="000000"/>
          <w:sz w:val="18"/>
        </w:rPr>
        <w:t xml:space="preserve"> at 456 (arguing in a supplemental pro se brief submitted to the district court that forcing him to access the cafeteria in a soiled diaper subjected Brooks to the risk of assault by other inmates).</w:t>
      </w:r>
    </w:p>
  </w:footnote>
  <w:footnote w:id="197">
    <w:p w:rsidR="00022B47" w:rsidRDefault="00000000">
      <w:pPr>
        <w:pStyle w:val="Normal40"/>
        <w:widowControl w:val="0"/>
        <w:spacing w:before="120" w:line="240" w:lineRule="atLeast"/>
        <w:jc w:val="both"/>
      </w:pPr>
      <w:r>
        <w:rPr>
          <w:rFonts w:ascii="Arial" w:eastAsia="Arial" w:hAnsi="Arial" w:cs="Arial"/>
          <w:color w:val="000000"/>
          <w:sz w:val="18"/>
          <w:vertAlign w:val="superscript"/>
        </w:rPr>
        <w:t>12 </w:t>
      </w:r>
      <w:bookmarkStart w:id="6463" w:name="Bookmark_fnpara_14_0"/>
      <w:bookmarkEnd w:id="6463"/>
      <w:r>
        <w:rPr>
          <w:rFonts w:ascii="Arial" w:eastAsia="Arial" w:hAnsi="Arial" w:cs="Arial"/>
          <w:color w:val="000000"/>
          <w:sz w:val="18"/>
        </w:rPr>
        <w:t>The defendants assert the FSDMH actually supports the district court's determination that diapers are a reasonable accommodation for Brooks's disability. In so arguing, defendants assert the FSDMH shows that Brooks missed as many meals at Fremont while he had a movement pass as he missed when he did not have such a pass. There are two problems with defendants' arguments in this regard. First, the data set out in the FSDMH is subject to various reasonable interpretations, and at this stage of the proceedings the court is obligated to read the evidence in the manner most favorable to Brooks, the nonmoving party. Furthermore, the record reveals that the period during which Brooks had a movement pass corresponded with a period of extreme sickness and treatment with prednisone. Later periods, however, correspond with Brooks's treatment with Humira, a period during which his symptoms were significantly mitigated. Thus, it might be expected that Brooks would have missed more meals earlier in his placement in Fremont. At a minimum, however, he missed more, and a jury could reasonably find many more, meals during later periods of his placement in Fremont. Thus, the defendants are simply wrong to assert the FSDMH supports the district court's grant of summary judgment in their favor on Brooks's ADA claim for damages.</w:t>
      </w:r>
    </w:p>
  </w:footnote>
  <w:footnote w:id="198">
    <w:p w:rsidR="00022B47" w:rsidRDefault="00000000">
      <w:pPr>
        <w:pStyle w:val="Normal40"/>
        <w:widowControl w:val="0"/>
        <w:spacing w:before="200" w:line="240" w:lineRule="atLeast"/>
        <w:jc w:val="both"/>
      </w:pPr>
      <w:r>
        <w:rPr>
          <w:rFonts w:ascii="Arial" w:eastAsia="Arial" w:hAnsi="Arial" w:cs="Arial"/>
          <w:color w:val="000000"/>
          <w:sz w:val="18"/>
          <w:vertAlign w:val="superscript"/>
        </w:rPr>
        <w:t>13 </w:t>
      </w:r>
      <w:bookmarkStart w:id="6467" w:name="Bookmark_fnpara_15_0"/>
      <w:bookmarkStart w:id="6468" w:name="Bookmark_I2GG4378661000030FN00013"/>
      <w:bookmarkStart w:id="6469" w:name="Bookmark_I63M3RWY2D6NJS0050000400"/>
      <w:bookmarkEnd w:id="6467"/>
      <w:bookmarkEnd w:id="6468"/>
      <w:bookmarkEnd w:id="6469"/>
      <w:r>
        <w:rPr>
          <w:rFonts w:ascii="Arial" w:eastAsia="Arial" w:hAnsi="Arial" w:cs="Arial"/>
          <w:color w:val="000000"/>
          <w:sz w:val="18"/>
        </w:rPr>
        <w:t xml:space="preserve">The defendants ask this court to affirm the district court's grant of summary judgment on the alternate basis that Brooks failed to demonstrate the existence of a valid waiver of Colorado's Eleventh Amendment immunity. </w:t>
      </w:r>
      <w:r>
        <w:rPr>
          <w:rFonts w:ascii="Arial" w:eastAsia="Arial" w:hAnsi="Arial" w:cs="Arial"/>
          <w:i/>
          <w:color w:val="000000"/>
          <w:sz w:val="18"/>
        </w:rPr>
        <w:t>See generally supra</w:t>
      </w:r>
      <w:r>
        <w:rPr>
          <w:rFonts w:ascii="Arial" w:eastAsia="Arial" w:hAnsi="Arial" w:cs="Arial"/>
          <w:color w:val="000000"/>
          <w:sz w:val="18"/>
        </w:rPr>
        <w:t xml:space="preserve"> Section III.A.2.a (setting out three-part test from </w:t>
      </w:r>
      <w:r>
        <w:rPr>
          <w:rFonts w:ascii="Arial" w:eastAsia="Arial" w:hAnsi="Arial" w:cs="Arial"/>
          <w:i/>
          <w:color w:val="000000"/>
          <w:sz w:val="18"/>
        </w:rPr>
        <w:t>United States v. Georgia</w:t>
      </w:r>
      <w:r>
        <w:rPr>
          <w:rFonts w:ascii="Arial" w:eastAsia="Arial" w:hAnsi="Arial" w:cs="Arial"/>
          <w:color w:val="000000"/>
          <w:sz w:val="18"/>
        </w:rPr>
        <w:t xml:space="preserve"> for analyzing the ADA's abrogation of Eleventh Amendment immunity). Defendants assert Brooks's claim does not fall within the second part of the </w:t>
      </w:r>
      <w:bookmarkStart w:id="6470" w:name="Bookmark_I63M3RWY2D6NJS0040000400"/>
      <w:bookmarkEnd w:id="6470"/>
      <w:r>
        <w:rPr>
          <w:rFonts w:ascii="Arial" w:eastAsia="Arial" w:hAnsi="Arial" w:cs="Arial"/>
          <w:i/>
          <w:color w:val="000000"/>
          <w:sz w:val="18"/>
        </w:rPr>
        <w:t>United States v. Georgia</w:t>
      </w:r>
      <w:r>
        <w:rPr>
          <w:rFonts w:ascii="Arial" w:eastAsia="Arial" w:hAnsi="Arial" w:cs="Arial"/>
          <w:color w:val="000000"/>
          <w:sz w:val="18"/>
        </w:rPr>
        <w:t xml:space="preserve"> test because Russell did not violate Brooks's Eighth Amendment rights. As set out more fully below, this court agrees that the district court correctly granted summary judgment to Russell on Brooks's Eighth Amendment claim. </w:t>
      </w:r>
      <w:r>
        <w:rPr>
          <w:rFonts w:ascii="Arial" w:eastAsia="Arial" w:hAnsi="Arial" w:cs="Arial"/>
          <w:i/>
          <w:color w:val="000000"/>
          <w:sz w:val="18"/>
        </w:rPr>
        <w:t>See infra</w:t>
      </w:r>
      <w:r>
        <w:rPr>
          <w:rFonts w:ascii="Arial" w:eastAsia="Arial" w:hAnsi="Arial" w:cs="Arial"/>
          <w:color w:val="000000"/>
          <w:sz w:val="18"/>
        </w:rPr>
        <w:t xml:space="preserve"> Section III.B. In arguing this determination is relevant to the second step of </w:t>
      </w:r>
      <w:r>
        <w:rPr>
          <w:rFonts w:ascii="Arial" w:eastAsia="Arial" w:hAnsi="Arial" w:cs="Arial"/>
          <w:i/>
          <w:color w:val="000000"/>
          <w:sz w:val="18"/>
        </w:rPr>
        <w:t>United States v. Georgia</w:t>
      </w:r>
      <w:r>
        <w:rPr>
          <w:rFonts w:ascii="Arial" w:eastAsia="Arial" w:hAnsi="Arial" w:cs="Arial"/>
          <w:color w:val="000000"/>
          <w:sz w:val="18"/>
        </w:rPr>
        <w:t xml:space="preserve">, the defendants improperly focus on the wrong actor. The question under the second part of </w:t>
      </w:r>
      <w:r>
        <w:rPr>
          <w:rFonts w:ascii="Arial" w:eastAsia="Arial" w:hAnsi="Arial" w:cs="Arial"/>
          <w:i/>
          <w:color w:val="000000"/>
          <w:sz w:val="18"/>
        </w:rPr>
        <w:t>United States v. Georgia</w:t>
      </w:r>
      <w:r>
        <w:rPr>
          <w:rFonts w:ascii="Arial" w:eastAsia="Arial" w:hAnsi="Arial" w:cs="Arial"/>
          <w:color w:val="000000"/>
          <w:sz w:val="18"/>
        </w:rPr>
        <w:t xml:space="preserve"> is whether any of Colorado's conduct that does not comply with Title II violated Brooks's constitutional rights. </w:t>
      </w:r>
      <w:bookmarkStart w:id="6471" w:name="Bookmark_I63M3RWY2HM6320020000400"/>
      <w:bookmarkEnd w:id="6471"/>
      <w:r>
        <w:rPr>
          <w:rFonts w:ascii="Arial" w:eastAsia="Arial" w:hAnsi="Arial" w:cs="Arial"/>
          <w:color w:val="000000"/>
          <w:sz w:val="18"/>
        </w:rPr>
        <w:t xml:space="preserve">Defendants have not identified, and this court has not been able to find, any authority standing for the proposition that a state actor must be personally liable for a constitutional violation in order for the State's conduct to come within the parameters of the second part of </w:t>
      </w:r>
      <w:r>
        <w:rPr>
          <w:rFonts w:ascii="Arial" w:eastAsia="Arial" w:hAnsi="Arial" w:cs="Arial"/>
          <w:i/>
          <w:color w:val="000000"/>
          <w:sz w:val="18"/>
        </w:rPr>
        <w:t>United States v. Georgia</w:t>
      </w:r>
      <w:r>
        <w:rPr>
          <w:rFonts w:ascii="Arial" w:eastAsia="Arial" w:hAnsi="Arial" w:cs="Arial"/>
          <w:color w:val="000000"/>
          <w:sz w:val="18"/>
        </w:rPr>
        <w:t xml:space="preserve">. </w:t>
      </w:r>
      <w:bookmarkStart w:id="6472" w:name="Bookmark_I63M3RWY2N1RW60010000400"/>
      <w:bookmarkEnd w:id="6472"/>
      <w:r>
        <w:rPr>
          <w:rFonts w:ascii="Arial" w:eastAsia="Arial" w:hAnsi="Arial" w:cs="Arial"/>
          <w:color w:val="000000"/>
          <w:sz w:val="18"/>
        </w:rPr>
        <w:t xml:space="preserve">Instead, the case law points in the opposite direction. </w:t>
      </w:r>
      <w:r>
        <w:rPr>
          <w:rFonts w:ascii="Arial" w:eastAsia="Arial" w:hAnsi="Arial" w:cs="Arial"/>
          <w:i/>
          <w:color w:val="000000"/>
          <w:sz w:val="18"/>
        </w:rPr>
        <w:t xml:space="preserve">Cf. </w:t>
      </w:r>
      <w:bookmarkStart w:id="6473" w:name="Bookmark_I63M3RWY2HM6320010000400"/>
      <w:bookmarkEnd w:id="6473"/>
      <w:r>
        <w:rPr>
          <w:rFonts w:ascii="Arial" w:eastAsia="Arial" w:hAnsi="Arial" w:cs="Arial"/>
          <w:i/>
          <w:color w:val="000000"/>
          <w:sz w:val="18"/>
        </w:rPr>
        <w:t>Kimel v. Fla. Bd. of Regents</w:t>
      </w:r>
      <w:r>
        <w:rPr>
          <w:rFonts w:ascii="Arial" w:eastAsia="Arial" w:hAnsi="Arial" w:cs="Arial"/>
          <w:color w:val="000000"/>
          <w:sz w:val="18"/>
        </w:rPr>
        <w:t xml:space="preserve">, 528 U.S. 62, 86, 120 S. Ct. 631, 145 L. Ed. 2d 522 (2000) (conducting abrogation analysis as to the Age Discrimination in Employment Act even though the plaintiff did not bring a Fourteenth Amendment equal protection claim); </w:t>
      </w:r>
      <w:bookmarkStart w:id="6474" w:name="Bookmark_I63M3RWY2HM6320030000400"/>
      <w:bookmarkEnd w:id="6474"/>
      <w:r>
        <w:rPr>
          <w:rFonts w:ascii="Arial" w:eastAsia="Arial" w:hAnsi="Arial" w:cs="Arial"/>
          <w:i/>
          <w:color w:val="000000"/>
          <w:sz w:val="18"/>
        </w:rPr>
        <w:t>United States v. Georgia</w:t>
      </w:r>
      <w:r>
        <w:rPr>
          <w:rFonts w:ascii="Arial" w:eastAsia="Arial" w:hAnsi="Arial" w:cs="Arial"/>
          <w:color w:val="000000"/>
          <w:sz w:val="18"/>
        </w:rPr>
        <w:t xml:space="preserve">, 546 U.S. 151, 159, 126 S. Ct. 877, 163 L. Ed. 2d 650 (2006) (indicating the district court on remand should analyze whether Georgia's alleged Title II violations also violate "either the Eighth Amendment or some other constitutional provision"). </w:t>
      </w:r>
      <w:bookmarkStart w:id="6475" w:name="Bookmark_I63M3RWY2N1RW60010000400_2"/>
      <w:bookmarkStart w:id="6476" w:name="Bookmark_I63M3RWY2N1RW60030000400"/>
      <w:bookmarkEnd w:id="6475"/>
      <w:bookmarkEnd w:id="6476"/>
      <w:r>
        <w:rPr>
          <w:rFonts w:ascii="Arial" w:eastAsia="Arial" w:hAnsi="Arial" w:cs="Arial"/>
          <w:color w:val="000000"/>
          <w:sz w:val="18"/>
        </w:rPr>
        <w:t xml:space="preserve">Indeed, in the somewhat related context of municipal liability under 42 U.S.C. § 1983, this court has made clear "that even where the acts or omissions of no one employee may violate an individual's constitutional rights, the combined acts or omissions of several employees acting under a governmental policy or custom may violate an individual's constitutional rights." </w:t>
      </w:r>
      <w:bookmarkStart w:id="6477" w:name="Bookmark_I63M3RWY2HM6320050000400"/>
      <w:bookmarkEnd w:id="6477"/>
      <w:r>
        <w:rPr>
          <w:rFonts w:ascii="Arial" w:eastAsia="Arial" w:hAnsi="Arial" w:cs="Arial"/>
          <w:i/>
          <w:color w:val="000000"/>
          <w:sz w:val="18"/>
        </w:rPr>
        <w:t>Quintana v. Santa Fe Cty. Bd. of Comm'rs</w:t>
      </w:r>
      <w:r>
        <w:rPr>
          <w:rFonts w:ascii="Arial" w:eastAsia="Arial" w:hAnsi="Arial" w:cs="Arial"/>
          <w:color w:val="000000"/>
          <w:sz w:val="18"/>
        </w:rPr>
        <w:t xml:space="preserve">, 973 F.3d 1022, 1033-34 (10th Cir. 2020). </w:t>
      </w:r>
      <w:bookmarkStart w:id="6478" w:name="Bookmark_I63M3RWY2N1RW60030000400_2"/>
      <w:bookmarkEnd w:id="6478"/>
      <w:r>
        <w:rPr>
          <w:rFonts w:ascii="Arial" w:eastAsia="Arial" w:hAnsi="Arial" w:cs="Arial"/>
          <w:color w:val="000000"/>
          <w:sz w:val="18"/>
        </w:rPr>
        <w:t xml:space="preserve">Likewise, this court has held that the question whether a governmental entity violated an individual's Eighth Amendment rights is entirely objective. </w:t>
      </w:r>
      <w:r>
        <w:rPr>
          <w:rFonts w:ascii="Arial" w:eastAsia="Arial" w:hAnsi="Arial" w:cs="Arial"/>
          <w:i/>
          <w:color w:val="000000"/>
          <w:sz w:val="18"/>
        </w:rPr>
        <w:t xml:space="preserve">See </w:t>
      </w:r>
      <w:bookmarkStart w:id="6479" w:name="Bookmark_I63M3RWY2N1RW60020000400"/>
      <w:bookmarkEnd w:id="6479"/>
      <w:r>
        <w:rPr>
          <w:rFonts w:ascii="Arial" w:eastAsia="Arial" w:hAnsi="Arial" w:cs="Arial"/>
          <w:i/>
          <w:color w:val="000000"/>
          <w:sz w:val="18"/>
        </w:rPr>
        <w:t>Barney v. Pulsipher</w:t>
      </w:r>
      <w:r>
        <w:rPr>
          <w:rFonts w:ascii="Arial" w:eastAsia="Arial" w:hAnsi="Arial" w:cs="Arial"/>
          <w:color w:val="000000"/>
          <w:sz w:val="18"/>
        </w:rPr>
        <w:t xml:space="preserve">, 143 F.3d 1299, 1307 n.5 (10th Cir. 1998). Thus, the defendants have not come close to demonstrating that this court's resolution of Brooks's claim against Russell in Russell's favor resolves step two of the test set out in </w:t>
      </w:r>
      <w:r>
        <w:rPr>
          <w:rFonts w:ascii="Arial" w:eastAsia="Arial" w:hAnsi="Arial" w:cs="Arial"/>
          <w:i/>
          <w:color w:val="000000"/>
          <w:sz w:val="18"/>
        </w:rPr>
        <w:t>United States v. Georgia</w:t>
      </w:r>
      <w:r>
        <w:rPr>
          <w:rFonts w:ascii="Arial" w:eastAsia="Arial" w:hAnsi="Arial" w:cs="Arial"/>
          <w:color w:val="000000"/>
          <w:sz w:val="18"/>
        </w:rPr>
        <w:t xml:space="preserve">. Furthermore, despite defendants' assertion to the contrary, Brooks's filings below, construed liberally because of his pro se status, do not reveal that he waived any argument in favor of abrogation under </w:t>
      </w:r>
      <w:r>
        <w:rPr>
          <w:rFonts w:ascii="Arial" w:eastAsia="Arial" w:hAnsi="Arial" w:cs="Arial"/>
          <w:i/>
          <w:color w:val="000000"/>
          <w:sz w:val="18"/>
        </w:rPr>
        <w:t>United States v. Georgia</w:t>
      </w:r>
      <w:r>
        <w:rPr>
          <w:rFonts w:ascii="Arial" w:eastAsia="Arial" w:hAnsi="Arial" w:cs="Arial"/>
          <w:color w:val="000000"/>
          <w:sz w:val="18"/>
        </w:rPr>
        <w:t>'s third step. Ultimately, given that the district court did not address these difficult questions, this court concludes the best course is to leave them for further development in the district court on remand.</w:t>
      </w:r>
    </w:p>
  </w:footnote>
  <w:footnote w:id="199">
    <w:p w:rsidR="00022B47" w:rsidRDefault="00000000">
      <w:pPr>
        <w:pStyle w:val="Normal40"/>
        <w:widowControl w:val="0"/>
        <w:spacing w:before="200" w:line="240" w:lineRule="atLeast"/>
        <w:jc w:val="both"/>
      </w:pPr>
      <w:r>
        <w:rPr>
          <w:rFonts w:ascii="Arial" w:eastAsia="Arial" w:hAnsi="Arial" w:cs="Arial"/>
          <w:color w:val="000000"/>
          <w:sz w:val="18"/>
          <w:vertAlign w:val="superscript"/>
        </w:rPr>
        <w:t>14 </w:t>
      </w:r>
      <w:bookmarkStart w:id="6500" w:name="Bookmark_fnpara_16_0"/>
      <w:bookmarkStart w:id="6501" w:name="Bookmark_I63M3RX02HM6380040000400"/>
      <w:bookmarkEnd w:id="6500"/>
      <w:bookmarkEnd w:id="6501"/>
      <w:r>
        <w:rPr>
          <w:rFonts w:ascii="Arial" w:eastAsia="Arial" w:hAnsi="Arial" w:cs="Arial"/>
          <w:color w:val="000000"/>
          <w:sz w:val="18"/>
        </w:rPr>
        <w:t xml:space="preserve">On appeal, Brooks asks this court to construe his Eighth Amendment claim as also implicating the inadequate medical care framework set out in </w:t>
      </w:r>
      <w:bookmarkStart w:id="6502" w:name="Bookmark_I63M3RX02HM6380030000400"/>
      <w:bookmarkEnd w:id="6502"/>
      <w:r>
        <w:rPr>
          <w:rFonts w:ascii="Arial" w:eastAsia="Arial" w:hAnsi="Arial" w:cs="Arial"/>
          <w:i/>
          <w:color w:val="000000"/>
          <w:sz w:val="18"/>
        </w:rPr>
        <w:t>Estelle v. Gamble</w:t>
      </w:r>
      <w:r>
        <w:rPr>
          <w:rFonts w:ascii="Arial" w:eastAsia="Arial" w:hAnsi="Arial" w:cs="Arial"/>
          <w:color w:val="000000"/>
          <w:sz w:val="18"/>
        </w:rPr>
        <w:t xml:space="preserve">, 429 U.S. 97, 103, 97 S. Ct. 285, 50 L. Ed. 2d 251 (1976). Given his concession below that he is only raising a conditions-of-confinement claim, we reject Brooks's belated request. In any event, we do not perceive how such an approach would aid Brooks. The only Eighth Amendment claim before this court is Brooks's claim against Russell. </w:t>
      </w:r>
      <w:bookmarkStart w:id="6503" w:name="Bookmark_I63M3RX12D6NK30010000400"/>
      <w:bookmarkEnd w:id="6503"/>
      <w:r>
        <w:rPr>
          <w:rFonts w:ascii="Arial" w:eastAsia="Arial" w:hAnsi="Arial" w:cs="Arial"/>
          <w:color w:val="000000"/>
          <w:sz w:val="18"/>
        </w:rPr>
        <w:t xml:space="preserve">Brooks does not point to any evidence that Russell has medical training; is empowered to make medical decisions; or, as ADA Inmate Coordinator, is empowered to override treatment decisions made by medical professionals. </w:t>
      </w:r>
      <w:bookmarkStart w:id="6504" w:name="Bookmark_LNHNREFclscc10_19"/>
      <w:bookmarkEnd w:id="6504"/>
      <w:r>
        <w:rPr>
          <w:rFonts w:ascii="Arial" w:eastAsia="Arial" w:hAnsi="Arial" w:cs="Arial"/>
          <w:color w:val="000000"/>
          <w:sz w:val="18"/>
        </w:rPr>
        <w:t xml:space="preserve">Furthermore, for purposes of personal liability under 42 U.S.C. § 1983, "[p]laintiffs must do more than show that their rights were violated or that defendants, as a collective and undifferentiated whole, were responsible for those violations. They must identify specific actions taken by particular defendants, or specific policies over which particular defendants possessed supervisory responsibility, that violated their clearly established constitutional rights." </w:t>
      </w:r>
      <w:bookmarkStart w:id="6505" w:name="Bookmark_I63M3RX02HM6380050000400"/>
      <w:bookmarkEnd w:id="6505"/>
      <w:r>
        <w:rPr>
          <w:rFonts w:ascii="Arial" w:eastAsia="Arial" w:hAnsi="Arial" w:cs="Arial"/>
          <w:i/>
          <w:color w:val="000000"/>
          <w:sz w:val="18"/>
        </w:rPr>
        <w:t>Walker v. Mohiuddin</w:t>
      </w:r>
      <w:r>
        <w:rPr>
          <w:rFonts w:ascii="Arial" w:eastAsia="Arial" w:hAnsi="Arial" w:cs="Arial"/>
          <w:color w:val="000000"/>
          <w:sz w:val="18"/>
        </w:rPr>
        <w:t>, 947 F.3d 1244, 1249-50 (10th Cir. 2020) (quotation omitted).</w:t>
      </w:r>
    </w:p>
  </w:footnote>
  <w:footnote w:id="200">
    <w:p w:rsidR="00022B47" w:rsidRDefault="00000000">
      <w:pPr>
        <w:pStyle w:val="Normal40"/>
        <w:widowControl w:val="0"/>
        <w:spacing w:before="120" w:line="240" w:lineRule="atLeast"/>
        <w:jc w:val="both"/>
      </w:pPr>
      <w:r>
        <w:rPr>
          <w:rFonts w:ascii="Arial" w:eastAsia="Arial" w:hAnsi="Arial" w:cs="Arial"/>
          <w:color w:val="000000"/>
          <w:sz w:val="18"/>
          <w:vertAlign w:val="superscript"/>
        </w:rPr>
        <w:t>15 </w:t>
      </w:r>
      <w:bookmarkStart w:id="6520" w:name="Bookmark_fnpara_17"/>
      <w:bookmarkEnd w:id="6520"/>
      <w:r>
        <w:rPr>
          <w:rFonts w:ascii="Arial" w:eastAsia="Arial" w:hAnsi="Arial" w:cs="Arial"/>
          <w:color w:val="000000"/>
          <w:sz w:val="18"/>
        </w:rPr>
        <w:t>DeCesaro's letter denying Brooks's step-three grievance states as follows: "Your requests for accommodations are better characterized as medical restrictions, not ADA accommodations. You were evaluated for these requests and the[y] were not medically indicated for you at this time. I cannot second guess the medical, professional opinion of the FCF medical providers regarding this evaluation." R. Vol. 1 at 197.</w:t>
      </w:r>
    </w:p>
  </w:footnote>
  <w:footnote w:id="201">
    <w:p w:rsidR="00022B47" w:rsidRDefault="00000000">
      <w:pPr>
        <w:pStyle w:val="Normal41"/>
        <w:widowControl w:val="0"/>
        <w:spacing w:before="120" w:line="240" w:lineRule="atLeast"/>
        <w:jc w:val="both"/>
      </w:pPr>
      <w:r>
        <w:rPr>
          <w:rFonts w:ascii="Arial" w:eastAsia="Arial" w:hAnsi="Arial" w:cs="Arial"/>
          <w:color w:val="000000"/>
          <w:sz w:val="18"/>
          <w:vertAlign w:val="superscript"/>
        </w:rPr>
        <w:t>* </w:t>
      </w:r>
      <w:bookmarkStart w:id="6537" w:name="Bookmark_fnpara_1_34"/>
      <w:bookmarkEnd w:id="6537"/>
      <w:r>
        <w:rPr>
          <w:rFonts w:ascii="Arial" w:eastAsia="Arial" w:hAnsi="Arial" w:cs="Arial"/>
          <w:color w:val="000000"/>
          <w:sz w:val="18"/>
        </w:rPr>
        <w:t>This disposition is not appropriate for publication and is not precedent except as provided by Ninth Circuit Rule 36-3.</w:t>
      </w:r>
    </w:p>
  </w:footnote>
  <w:footnote w:id="202">
    <w:p w:rsidR="00022B47" w:rsidRDefault="00000000">
      <w:pPr>
        <w:pStyle w:val="Normal41"/>
        <w:widowControl w:val="0"/>
        <w:spacing w:before="200" w:line="240" w:lineRule="atLeast"/>
        <w:jc w:val="both"/>
      </w:pPr>
      <w:r>
        <w:rPr>
          <w:rFonts w:ascii="Arial" w:eastAsia="Arial" w:hAnsi="Arial" w:cs="Arial"/>
          <w:color w:val="000000"/>
          <w:sz w:val="18"/>
          <w:vertAlign w:val="superscript"/>
        </w:rPr>
        <w:t>1 </w:t>
      </w:r>
      <w:bookmarkStart w:id="6560" w:name="Bookmark_fnpara_2_30"/>
      <w:bookmarkStart w:id="6561" w:name="Bookmark_LNHNREFclscc4_35"/>
      <w:bookmarkEnd w:id="6560"/>
      <w:bookmarkEnd w:id="6561"/>
      <w:r>
        <w:rPr>
          <w:rFonts w:ascii="Arial" w:eastAsia="Arial" w:hAnsi="Arial" w:cs="Arial"/>
          <w:color w:val="000000"/>
          <w:sz w:val="18"/>
        </w:rPr>
        <w:t xml:space="preserve">Because the ADA and the Rehabilitation Act are interpreted consistently, retaliation claims arising under the Rehabilitation Act are analyzed under the same rubric. </w:t>
      </w:r>
      <w:r>
        <w:rPr>
          <w:rFonts w:ascii="Arial" w:eastAsia="Arial" w:hAnsi="Arial" w:cs="Arial"/>
          <w:i/>
          <w:color w:val="000000"/>
          <w:sz w:val="18"/>
        </w:rPr>
        <w:t xml:space="preserve">See </w:t>
      </w:r>
      <w:bookmarkStart w:id="6562" w:name="Bookmark_I63HS32B2D6N4T0020000400"/>
      <w:bookmarkEnd w:id="6562"/>
      <w:r>
        <w:rPr>
          <w:rFonts w:ascii="Arial" w:eastAsia="Arial" w:hAnsi="Arial" w:cs="Arial"/>
          <w:i/>
          <w:color w:val="000000"/>
          <w:sz w:val="18"/>
        </w:rPr>
        <w:t>Douglas v. Cal. Dep't of Youth Auth.</w:t>
      </w:r>
      <w:r>
        <w:rPr>
          <w:rFonts w:ascii="Arial" w:eastAsia="Arial" w:hAnsi="Arial" w:cs="Arial"/>
          <w:color w:val="000000"/>
          <w:sz w:val="18"/>
        </w:rPr>
        <w:t>, 285 F.3d 1226, 1229 n.3 (9th Cir. 2002) (O'Scannlain, J., dissenting from denial of reh'g en banc).</w:t>
      </w:r>
    </w:p>
  </w:footnote>
  <w:footnote w:id="203">
    <w:p w:rsidR="00022B47" w:rsidRDefault="00000000">
      <w:pPr>
        <w:pStyle w:val="Normal41"/>
        <w:widowControl w:val="0"/>
        <w:spacing w:before="120" w:line="240" w:lineRule="atLeast"/>
        <w:jc w:val="both"/>
      </w:pPr>
      <w:r>
        <w:rPr>
          <w:rFonts w:ascii="Arial" w:eastAsia="Arial" w:hAnsi="Arial" w:cs="Arial"/>
          <w:color w:val="000000"/>
          <w:sz w:val="18"/>
          <w:vertAlign w:val="superscript"/>
        </w:rPr>
        <w:t>1 </w:t>
      </w:r>
      <w:bookmarkStart w:id="6606" w:name="Bookmark_fnpara_3_26"/>
      <w:bookmarkEnd w:id="6606"/>
      <w:r>
        <w:rPr>
          <w:rFonts w:ascii="Arial" w:eastAsia="Arial" w:hAnsi="Arial" w:cs="Arial"/>
          <w:color w:val="000000"/>
          <w:sz w:val="18"/>
        </w:rPr>
        <w:t>The relevant portion of Dr. Clark's email summarizing her meeting with Breyer reads in full:</w:t>
      </w:r>
    </w:p>
    <w:p w:rsidR="00022B47" w:rsidRDefault="00000000">
      <w:pPr>
        <w:pStyle w:val="Normal41"/>
        <w:widowControl w:val="0"/>
        <w:spacing w:before="120" w:line="240" w:lineRule="atLeast"/>
        <w:ind w:left="400"/>
        <w:jc w:val="both"/>
      </w:pPr>
      <w:bookmarkStart w:id="6607" w:name="Bookmark_para_21_30"/>
      <w:bookmarkEnd w:id="6607"/>
      <w:r>
        <w:rPr>
          <w:rFonts w:ascii="Arial" w:eastAsia="Arial" w:hAnsi="Arial" w:cs="Arial"/>
          <w:color w:val="000000"/>
          <w:sz w:val="18"/>
        </w:rPr>
        <w:t>We discussed your request via email about the possibility of having an assistant for the test administration requirements in assessment coursework and in practicum training. I let you know that you could complete the requirements of the coursework with the assistance of someone who would administer the testing, but that the expense for this service would be your responsibility.</w:t>
      </w:r>
    </w:p>
  </w:footnote>
  <w:footnote w:id="204">
    <w:p w:rsidR="00022B47" w:rsidRDefault="00000000">
      <w:pPr>
        <w:pStyle w:val="Normal41"/>
        <w:widowControl w:val="0"/>
        <w:spacing w:before="120" w:line="240" w:lineRule="atLeast"/>
        <w:jc w:val="both"/>
      </w:pPr>
      <w:r>
        <w:rPr>
          <w:rFonts w:ascii="Arial" w:eastAsia="Arial" w:hAnsi="Arial" w:cs="Arial"/>
          <w:color w:val="000000"/>
          <w:sz w:val="18"/>
          <w:vertAlign w:val="superscript"/>
        </w:rPr>
        <w:t>2 </w:t>
      </w:r>
      <w:bookmarkStart w:id="6621" w:name="Bookmark_fnpara_4_19"/>
      <w:bookmarkEnd w:id="6621"/>
      <w:r>
        <w:rPr>
          <w:rFonts w:ascii="Arial" w:eastAsia="Arial" w:hAnsi="Arial" w:cs="Arial"/>
          <w:color w:val="000000"/>
          <w:sz w:val="18"/>
        </w:rPr>
        <w:t>I concur in the remainder of the disposition.</w:t>
      </w:r>
    </w:p>
  </w:footnote>
  <w:footnote w:id="205">
    <w:p w:rsidR="00022B47" w:rsidRDefault="00000000">
      <w:pPr>
        <w:pStyle w:val="Normal42"/>
        <w:widowControl w:val="0"/>
        <w:spacing w:before="200" w:line="240" w:lineRule="atLeast"/>
        <w:jc w:val="both"/>
      </w:pPr>
      <w:r>
        <w:rPr>
          <w:rFonts w:ascii="Arial" w:eastAsia="Arial" w:hAnsi="Arial" w:cs="Arial"/>
          <w:color w:val="000000"/>
          <w:sz w:val="18"/>
          <w:vertAlign w:val="superscript"/>
        </w:rPr>
        <w:t>1 </w:t>
      </w:r>
      <w:bookmarkStart w:id="6639" w:name="Bookmark_fnpara_1_35"/>
      <w:bookmarkEnd w:id="6639"/>
      <w:r>
        <w:rPr>
          <w:rFonts w:ascii="Arial" w:eastAsia="Arial" w:hAnsi="Arial" w:cs="Arial"/>
          <w:color w:val="000000"/>
          <w:sz w:val="18"/>
        </w:rPr>
        <w:t xml:space="preserve">The district court properly took judicial notice of the facts, orders, and documents in </w:t>
      </w:r>
      <w:r>
        <w:rPr>
          <w:rFonts w:ascii="Arial" w:eastAsia="Arial" w:hAnsi="Arial" w:cs="Arial"/>
          <w:color w:val="000000"/>
          <w:sz w:val="18"/>
          <w:u w:val="single"/>
        </w:rPr>
        <w:t>Friedel I</w:t>
      </w:r>
      <w:r>
        <w:rPr>
          <w:rFonts w:ascii="Arial" w:eastAsia="Arial" w:hAnsi="Arial" w:cs="Arial"/>
          <w:color w:val="000000"/>
          <w:sz w:val="18"/>
        </w:rPr>
        <w:t xml:space="preserve">, especially since the case was discussed in the Friedels' second amended complaint. </w:t>
      </w:r>
      <w:r>
        <w:rPr>
          <w:rFonts w:ascii="Arial" w:eastAsia="Arial" w:hAnsi="Arial" w:cs="Arial"/>
          <w:color w:val="000000"/>
          <w:sz w:val="18"/>
          <w:u w:val="single"/>
        </w:rPr>
        <w:t xml:space="preserve">See </w:t>
      </w:r>
      <w:bookmarkStart w:id="6640" w:name="Bookmark_I63GP6NH2SF8NG0030000400"/>
      <w:bookmarkEnd w:id="6640"/>
      <w:r>
        <w:rPr>
          <w:rFonts w:ascii="Arial" w:eastAsia="Arial" w:hAnsi="Arial" w:cs="Arial"/>
          <w:color w:val="000000"/>
          <w:sz w:val="18"/>
          <w:u w:val="single"/>
        </w:rPr>
        <w:t>Cash Inn of Dade, Inc. v. Metro. Dade Cty.</w:t>
      </w:r>
      <w:r>
        <w:rPr>
          <w:rFonts w:ascii="Arial" w:eastAsia="Arial" w:hAnsi="Arial" w:cs="Arial"/>
          <w:color w:val="000000"/>
          <w:sz w:val="18"/>
        </w:rPr>
        <w:t>, 938 F.2d 1239, 1243 (11th Cir. 1991).</w:t>
      </w:r>
    </w:p>
  </w:footnote>
  <w:footnote w:id="206">
    <w:p w:rsidR="00022B47" w:rsidRDefault="00000000">
      <w:pPr>
        <w:pStyle w:val="Normal42"/>
        <w:widowControl w:val="0"/>
        <w:spacing w:before="120" w:line="240" w:lineRule="atLeast"/>
        <w:jc w:val="both"/>
      </w:pPr>
      <w:r>
        <w:rPr>
          <w:rFonts w:ascii="Arial" w:eastAsia="Arial" w:hAnsi="Arial" w:cs="Arial"/>
          <w:color w:val="000000"/>
          <w:sz w:val="18"/>
          <w:vertAlign w:val="superscript"/>
        </w:rPr>
        <w:t>2 </w:t>
      </w:r>
      <w:bookmarkStart w:id="6641" w:name="Bookmark_fnpara_2_31"/>
      <w:bookmarkEnd w:id="6641"/>
      <w:r>
        <w:rPr>
          <w:rFonts w:ascii="Arial" w:eastAsia="Arial" w:hAnsi="Arial" w:cs="Arial"/>
          <w:color w:val="000000"/>
          <w:sz w:val="18"/>
        </w:rPr>
        <w:t>Section 8.B of Park Place's Rules provides that "[d]angerous or aggressive pets are not allowed. Any animal that displays dangerous or aggressive behavior, as determined by Management in its sole and unfettered discretion, must be removed from the premises." The lease agreement incorporated these community rules by reference and further provided that violation of the rules "shall be grounds for eviction from the park."</w:t>
      </w:r>
    </w:p>
  </w:footnote>
  <w:footnote w:id="207">
    <w:p w:rsidR="00022B47" w:rsidRDefault="00000000">
      <w:pPr>
        <w:pStyle w:val="Normal42"/>
        <w:widowControl w:val="0"/>
        <w:spacing w:before="200" w:line="240" w:lineRule="atLeast"/>
        <w:jc w:val="both"/>
      </w:pPr>
      <w:r>
        <w:rPr>
          <w:rFonts w:ascii="Arial" w:eastAsia="Arial" w:hAnsi="Arial" w:cs="Arial"/>
          <w:color w:val="000000"/>
          <w:sz w:val="18"/>
          <w:vertAlign w:val="superscript"/>
        </w:rPr>
        <w:t>3 </w:t>
      </w:r>
      <w:bookmarkStart w:id="6685" w:name="Bookmark_fnpara_3_27"/>
      <w:bookmarkStart w:id="6686" w:name="Bookmark_LNHNREFclscc5_35"/>
      <w:bookmarkEnd w:id="6685"/>
      <w:bookmarkEnd w:id="6686"/>
      <w:r>
        <w:rPr>
          <w:rFonts w:ascii="Arial" w:eastAsia="Arial" w:hAnsi="Arial" w:cs="Arial"/>
          <w:color w:val="000000"/>
          <w:sz w:val="18"/>
        </w:rPr>
        <w:t xml:space="preserve">"[W]e look to case law under the [Rehabilitation Act] and the [American with Disabilities Act] for guidance on what is reasonable under the FHA." </w:t>
      </w:r>
      <w:bookmarkStart w:id="6687" w:name="Bookmark_I63GP6NM2HM6780030000400"/>
      <w:bookmarkEnd w:id="6687"/>
      <w:r>
        <w:rPr>
          <w:rFonts w:ascii="Arial" w:eastAsia="Arial" w:hAnsi="Arial" w:cs="Arial"/>
          <w:color w:val="000000"/>
          <w:sz w:val="18"/>
          <w:u w:val="single"/>
        </w:rPr>
        <w:t>Schwarz</w:t>
      </w:r>
      <w:r>
        <w:rPr>
          <w:rFonts w:ascii="Arial" w:eastAsia="Arial" w:hAnsi="Arial" w:cs="Arial"/>
          <w:color w:val="000000"/>
          <w:sz w:val="18"/>
        </w:rPr>
        <w:t>, 544 F.3d at 1220.</w:t>
      </w:r>
    </w:p>
  </w:footnote>
  <w:footnote w:id="208">
    <w:p w:rsidR="00022B47" w:rsidRDefault="00000000">
      <w:pPr>
        <w:pStyle w:val="Normal42"/>
        <w:widowControl w:val="0"/>
        <w:spacing w:before="120" w:line="240" w:lineRule="atLeast"/>
        <w:jc w:val="both"/>
      </w:pPr>
      <w:r>
        <w:rPr>
          <w:rFonts w:ascii="Arial" w:eastAsia="Arial" w:hAnsi="Arial" w:cs="Arial"/>
          <w:color w:val="000000"/>
          <w:sz w:val="18"/>
          <w:vertAlign w:val="superscript"/>
        </w:rPr>
        <w:t>4 </w:t>
      </w:r>
      <w:bookmarkStart w:id="6724" w:name="Bookmark_fnpara_4_20"/>
      <w:bookmarkEnd w:id="6724"/>
      <w:r>
        <w:rPr>
          <w:rFonts w:ascii="Arial" w:eastAsia="Arial" w:hAnsi="Arial" w:cs="Arial"/>
          <w:color w:val="000000"/>
          <w:sz w:val="18"/>
        </w:rPr>
        <w:t>The Friedels' motion to file a reply brief out of time is granted.</w:t>
      </w:r>
    </w:p>
  </w:footnote>
  <w:footnote w:id="209">
    <w:p w:rsidR="00022B47" w:rsidRDefault="00000000">
      <w:pPr>
        <w:pStyle w:val="Normal43"/>
        <w:widowControl w:val="0"/>
        <w:spacing w:before="120" w:line="240" w:lineRule="atLeast"/>
        <w:jc w:val="both"/>
      </w:pPr>
      <w:r>
        <w:rPr>
          <w:rFonts w:ascii="Arial" w:eastAsia="Arial" w:hAnsi="Arial" w:cs="Arial"/>
          <w:color w:val="000000"/>
          <w:sz w:val="18"/>
          <w:vertAlign w:val="superscript"/>
        </w:rPr>
        <w:t>1 </w:t>
      </w:r>
      <w:bookmarkStart w:id="6823" w:name="Bookmark_fnpara_1_36"/>
      <w:bookmarkEnd w:id="6823"/>
      <w:r>
        <w:rPr>
          <w:rFonts w:ascii="Arial" w:eastAsia="Arial" w:hAnsi="Arial" w:cs="Arial"/>
          <w:color w:val="000000"/>
          <w:sz w:val="18"/>
        </w:rPr>
        <w:t>Dr. Salzberg calculated the median and mean elevator availability on both around-the-clock and weekday bases. These calculations generated four key figures: 98.7% (median weekday), 98% (median around-the-clock), 97% (mean weekday), and 96.5% (mean around-the-clock).</w:t>
      </w:r>
    </w:p>
  </w:footnote>
  <w:footnote w:id="210">
    <w:p w:rsidR="00022B47" w:rsidRDefault="00000000">
      <w:pPr>
        <w:pStyle w:val="Normal43"/>
        <w:widowControl w:val="0"/>
        <w:spacing w:before="200" w:line="240" w:lineRule="atLeast"/>
        <w:jc w:val="both"/>
      </w:pPr>
      <w:r>
        <w:rPr>
          <w:rFonts w:ascii="Arial" w:eastAsia="Arial" w:hAnsi="Arial" w:cs="Arial"/>
          <w:color w:val="000000"/>
          <w:sz w:val="18"/>
          <w:vertAlign w:val="superscript"/>
        </w:rPr>
        <w:t>2 </w:t>
      </w:r>
      <w:bookmarkStart w:id="6852" w:name="Bookmark_fnpara_2_32"/>
      <w:bookmarkEnd w:id="6852"/>
      <w:r>
        <w:rPr>
          <w:rFonts w:ascii="Arial" w:eastAsia="Arial" w:hAnsi="Arial" w:cs="Arial"/>
          <w:color w:val="000000"/>
          <w:sz w:val="18"/>
        </w:rPr>
        <w:t xml:space="preserve">Bus maps can be accessed at the following website: MTA, </w:t>
      </w:r>
      <w:r>
        <w:rPr>
          <w:rFonts w:ascii="Arial" w:eastAsia="Arial" w:hAnsi="Arial" w:cs="Arial"/>
          <w:color w:val="000000"/>
          <w:sz w:val="18"/>
          <w:u w:val="single"/>
        </w:rPr>
        <w:t>Maps</w:t>
      </w:r>
      <w:r>
        <w:rPr>
          <w:rFonts w:ascii="Arial" w:eastAsia="Arial" w:hAnsi="Arial" w:cs="Arial"/>
          <w:color w:val="000000"/>
          <w:sz w:val="18"/>
        </w:rPr>
        <w:t>, https://new.mta.info/maps (last visited Aug. 3, 2021).</w:t>
      </w:r>
    </w:p>
  </w:footnote>
  <w:footnote w:id="211">
    <w:p w:rsidR="00022B47" w:rsidRDefault="00000000">
      <w:pPr>
        <w:pStyle w:val="Normal44"/>
        <w:widowControl w:val="0"/>
        <w:spacing w:before="200" w:line="240" w:lineRule="atLeast"/>
        <w:jc w:val="both"/>
      </w:pPr>
      <w:r>
        <w:rPr>
          <w:rFonts w:ascii="Arial" w:eastAsia="Arial" w:hAnsi="Arial" w:cs="Arial"/>
          <w:color w:val="000000"/>
          <w:sz w:val="18"/>
          <w:vertAlign w:val="superscript"/>
        </w:rPr>
        <w:t>1 </w:t>
      </w:r>
      <w:bookmarkStart w:id="6928" w:name="Bookmark_fnpara_1_37"/>
      <w:bookmarkEnd w:id="6928"/>
      <w:r>
        <w:rPr>
          <w:rFonts w:ascii="Arial" w:eastAsia="Arial" w:hAnsi="Arial" w:cs="Arial"/>
          <w:color w:val="000000"/>
          <w:sz w:val="18"/>
        </w:rPr>
        <w:t xml:space="preserve">We review a dismissal for failure to follow court rules for an abuse of discretion. </w:t>
      </w:r>
      <w:bookmarkStart w:id="6929" w:name="Bookmark_I63D4JTM2HM6VK0010000400"/>
      <w:bookmarkEnd w:id="6929"/>
      <w:r>
        <w:rPr>
          <w:rFonts w:ascii="Arial" w:eastAsia="Arial" w:hAnsi="Arial" w:cs="Arial"/>
          <w:i/>
          <w:color w:val="000000"/>
          <w:sz w:val="18"/>
        </w:rPr>
        <w:t>Betty K Agencies, Ltd. v. M/V Monada</w:t>
      </w:r>
      <w:r>
        <w:rPr>
          <w:rFonts w:ascii="Arial" w:eastAsia="Arial" w:hAnsi="Arial" w:cs="Arial"/>
          <w:color w:val="000000"/>
          <w:sz w:val="18"/>
        </w:rPr>
        <w:t>, 432 F.3d 1333, 1337 (11th Cir. 2005).</w:t>
      </w:r>
    </w:p>
  </w:footnote>
  <w:footnote w:id="212">
    <w:p w:rsidR="00022B47" w:rsidRDefault="00000000">
      <w:pPr>
        <w:pStyle w:val="Normal45"/>
        <w:widowControl w:val="0"/>
        <w:spacing w:before="200" w:line="240" w:lineRule="atLeast"/>
        <w:jc w:val="both"/>
      </w:pPr>
      <w:r>
        <w:rPr>
          <w:rFonts w:ascii="Arial" w:eastAsia="Arial" w:hAnsi="Arial" w:cs="Arial"/>
          <w:color w:val="000000"/>
          <w:sz w:val="18"/>
          <w:vertAlign w:val="superscript"/>
        </w:rPr>
        <w:t>† </w:t>
      </w:r>
      <w:bookmarkStart w:id="6988" w:name="Bookmark_fnpara_1_38"/>
      <w:bookmarkStart w:id="6989" w:name="Bookmark_I63C2R2N2D6MS80040000400"/>
      <w:bookmarkStart w:id="6990" w:name="Bookmark_LNHNREFclscc3_38"/>
      <w:bookmarkEnd w:id="6988"/>
      <w:bookmarkEnd w:id="6989"/>
      <w:bookmarkEnd w:id="6990"/>
      <w:r>
        <w:rPr>
          <w:rFonts w:ascii="Arial" w:eastAsia="Arial" w:hAnsi="Arial" w:cs="Arial"/>
          <w:color w:val="000000"/>
          <w:sz w:val="18"/>
        </w:rPr>
        <w:t xml:space="preserve">"A plaintiff states a claim for relief under Title II [of the ADA] if he alleges: (1) that he has a qualifying disability; (2) that he is being denied the benefits of services, programs, or activities for which the public entity is responsible, or is otherwise discriminated against by the public entity; and (3) that such discrimination is by reason of his disability." </w:t>
      </w:r>
      <w:bookmarkStart w:id="6991" w:name="Bookmark_I63C2R2N2D6MS80030000400"/>
      <w:bookmarkEnd w:id="6991"/>
      <w:r>
        <w:rPr>
          <w:rFonts w:ascii="Arial" w:eastAsia="Arial" w:hAnsi="Arial" w:cs="Arial"/>
          <w:i/>
          <w:color w:val="000000"/>
          <w:sz w:val="18"/>
        </w:rPr>
        <w:t>Hale v. King</w:t>
      </w:r>
      <w:r>
        <w:rPr>
          <w:rFonts w:ascii="Arial" w:eastAsia="Arial" w:hAnsi="Arial" w:cs="Arial"/>
          <w:color w:val="000000"/>
          <w:sz w:val="18"/>
        </w:rPr>
        <w:t xml:space="preserve">, 642 F.3d at 499. </w:t>
      </w:r>
      <w:bookmarkStart w:id="6992" w:name="Bookmark_I63C2R2N2N1R790010000400"/>
      <w:bookmarkEnd w:id="6992"/>
      <w:r>
        <w:rPr>
          <w:rFonts w:ascii="Arial" w:eastAsia="Arial" w:hAnsi="Arial" w:cs="Arial"/>
          <w:color w:val="000000"/>
          <w:sz w:val="18"/>
        </w:rPr>
        <w:t>But Hale fails on all three prongs.</w:t>
      </w:r>
    </w:p>
    <w:p w:rsidR="00022B47" w:rsidRDefault="00000000">
      <w:pPr>
        <w:pStyle w:val="Normal45"/>
        <w:widowControl w:val="0"/>
        <w:spacing w:before="200" w:line="240" w:lineRule="atLeast"/>
        <w:jc w:val="both"/>
      </w:pPr>
      <w:bookmarkStart w:id="6993" w:name="Bookmark_fnpara_2_33"/>
      <w:bookmarkStart w:id="6994" w:name="Bookmark_I63C2R2N2N1R790010000400_2"/>
      <w:bookmarkEnd w:id="6993"/>
      <w:bookmarkEnd w:id="6994"/>
      <w:r>
        <w:rPr>
          <w:rFonts w:ascii="Arial" w:eastAsia="Arial" w:hAnsi="Arial" w:cs="Arial"/>
          <w:color w:val="000000"/>
          <w:sz w:val="18"/>
        </w:rPr>
        <w:t xml:space="preserve">First, Hale's does not suffer from an "impairment" that "substantially [**10]  limits a major life activity." </w:t>
      </w:r>
      <w:bookmarkStart w:id="6995" w:name="Bookmark_I63C2R2N2D6MS80050000400"/>
      <w:bookmarkEnd w:id="6995"/>
      <w:r>
        <w:rPr>
          <w:rFonts w:ascii="Arial" w:eastAsia="Arial" w:hAnsi="Arial" w:cs="Arial"/>
          <w:i/>
          <w:color w:val="000000"/>
          <w:sz w:val="18"/>
        </w:rPr>
        <w:t>EEOC v. Chevron Phillips Chem. Co.</w:t>
      </w:r>
      <w:r>
        <w:rPr>
          <w:rFonts w:ascii="Arial" w:eastAsia="Arial" w:hAnsi="Arial" w:cs="Arial"/>
          <w:color w:val="000000"/>
          <w:sz w:val="18"/>
        </w:rPr>
        <w:t xml:space="preserve">, 570 F.3d 606, 614 (5th Cir. 2009). Hale expresses fear that crushing his medication </w:t>
      </w:r>
      <w:r>
        <w:rPr>
          <w:rFonts w:ascii="Arial" w:eastAsia="Arial" w:hAnsi="Arial" w:cs="Arial"/>
          <w:i/>
          <w:color w:val="000000"/>
          <w:sz w:val="18"/>
        </w:rPr>
        <w:t>could</w:t>
      </w:r>
      <w:r>
        <w:rPr>
          <w:rFonts w:ascii="Arial" w:eastAsia="Arial" w:hAnsi="Arial" w:cs="Arial"/>
          <w:color w:val="000000"/>
          <w:sz w:val="18"/>
        </w:rPr>
        <w:t xml:space="preserve"> harm his liver, and that denial of a high-protein diet </w:t>
      </w:r>
      <w:r>
        <w:rPr>
          <w:rFonts w:ascii="Arial" w:eastAsia="Arial" w:hAnsi="Arial" w:cs="Arial"/>
          <w:i/>
          <w:color w:val="000000"/>
          <w:sz w:val="18"/>
        </w:rPr>
        <w:t>could</w:t>
      </w:r>
      <w:r>
        <w:rPr>
          <w:rFonts w:ascii="Arial" w:eastAsia="Arial" w:hAnsi="Arial" w:cs="Arial"/>
          <w:color w:val="000000"/>
          <w:sz w:val="18"/>
        </w:rPr>
        <w:t xml:space="preserve"> undermine his liver's functioning but "merely having an impairment . . . does not make one disabled for the purposes of the ADA," much less does the ADA cover </w:t>
      </w:r>
      <w:r>
        <w:rPr>
          <w:rFonts w:ascii="Arial" w:eastAsia="Arial" w:hAnsi="Arial" w:cs="Arial"/>
          <w:i/>
          <w:color w:val="000000"/>
          <w:sz w:val="18"/>
        </w:rPr>
        <w:t>fear</w:t>
      </w:r>
      <w:r>
        <w:rPr>
          <w:rFonts w:ascii="Arial" w:eastAsia="Arial" w:hAnsi="Arial" w:cs="Arial"/>
          <w:color w:val="000000"/>
          <w:sz w:val="18"/>
        </w:rPr>
        <w:t xml:space="preserve"> of future impairments. </w:t>
      </w:r>
      <w:r>
        <w:rPr>
          <w:rFonts w:ascii="Arial" w:eastAsia="Arial" w:hAnsi="Arial" w:cs="Arial"/>
          <w:i/>
          <w:color w:val="000000"/>
          <w:sz w:val="18"/>
        </w:rPr>
        <w:t>Ibid.</w:t>
      </w:r>
    </w:p>
    <w:p w:rsidR="00022B47" w:rsidRDefault="00000000">
      <w:pPr>
        <w:pStyle w:val="Normal45"/>
        <w:widowControl w:val="0"/>
        <w:spacing w:before="200" w:line="240" w:lineRule="atLeast"/>
        <w:jc w:val="both"/>
      </w:pPr>
      <w:bookmarkStart w:id="6996" w:name="Bookmark_fnpara_3_28"/>
      <w:bookmarkStart w:id="6997" w:name="Bookmark_I63C2R2N2N1R790030000400"/>
      <w:bookmarkEnd w:id="6996"/>
      <w:bookmarkEnd w:id="6997"/>
      <w:r>
        <w:rPr>
          <w:rFonts w:ascii="Arial" w:eastAsia="Arial" w:hAnsi="Arial" w:cs="Arial"/>
          <w:color w:val="000000"/>
          <w:sz w:val="18"/>
        </w:rPr>
        <w:t xml:space="preserve">Second, Hale cannot show that he experienced discrimination on the basis of his hepatitis-C status. </w:t>
      </w:r>
      <w:bookmarkStart w:id="6998" w:name="Bookmark_I63C2R2P2SF7KC0020000400"/>
      <w:bookmarkEnd w:id="6998"/>
      <w:r>
        <w:rPr>
          <w:rFonts w:ascii="Arial" w:eastAsia="Arial" w:hAnsi="Arial" w:cs="Arial"/>
          <w:color w:val="000000"/>
          <w:sz w:val="18"/>
        </w:rPr>
        <w:t xml:space="preserve">Hale argues that that the prison's refusal to prescribe his preferred medication, crushing his medication, denial of a high-protein diet, and denial of multiple antacid pills per day amounted to intentional discrimination. </w:t>
      </w:r>
      <w:bookmarkStart w:id="6999" w:name="Bookmark_LNHNREFclscc4_38"/>
      <w:bookmarkEnd w:id="6999"/>
      <w:r>
        <w:rPr>
          <w:rFonts w:ascii="Arial" w:eastAsia="Arial" w:hAnsi="Arial" w:cs="Arial"/>
          <w:color w:val="000000"/>
          <w:sz w:val="18"/>
        </w:rPr>
        <w:t xml:space="preserve">But "[t]he ADA is not violated by a prison's simply failing to attend to the medical needs of its disabled prisoners," </w:t>
      </w:r>
      <w:bookmarkStart w:id="7000" w:name="Bookmark_I63C2R2N2N1R790020000400"/>
      <w:bookmarkEnd w:id="7000"/>
      <w:r>
        <w:rPr>
          <w:rFonts w:ascii="Arial" w:eastAsia="Arial" w:hAnsi="Arial" w:cs="Arial"/>
          <w:i/>
          <w:color w:val="000000"/>
          <w:sz w:val="18"/>
        </w:rPr>
        <w:t>Nottingham v. Richardson</w:t>
      </w:r>
      <w:r>
        <w:rPr>
          <w:rFonts w:ascii="Arial" w:eastAsia="Arial" w:hAnsi="Arial" w:cs="Arial"/>
          <w:color w:val="000000"/>
          <w:sz w:val="18"/>
        </w:rPr>
        <w:t xml:space="preserve">, 499 F. App'x 368, 377 (5th Cir. 2012), because "[t]he ADA does not set out a standard of care for medical treatment," </w:t>
      </w:r>
      <w:bookmarkStart w:id="7001" w:name="Bookmark_I63C2R2N2N1R790040000400"/>
      <w:bookmarkEnd w:id="7001"/>
      <w:r>
        <w:rPr>
          <w:rFonts w:ascii="Arial" w:eastAsia="Arial" w:hAnsi="Arial" w:cs="Arial"/>
          <w:i/>
          <w:color w:val="000000"/>
          <w:sz w:val="18"/>
        </w:rPr>
        <w:t>Walls v. Tex. Dep't of Crim. Justice</w:t>
      </w:r>
      <w:r>
        <w:rPr>
          <w:rFonts w:ascii="Arial" w:eastAsia="Arial" w:hAnsi="Arial" w:cs="Arial"/>
          <w:color w:val="000000"/>
          <w:sz w:val="18"/>
        </w:rPr>
        <w:t xml:space="preserve">, 270 F. App'x 358, 359 (5th Cir. 2008) (per curiam). </w:t>
      </w:r>
      <w:bookmarkStart w:id="7002" w:name="Bookmark_I63C2R2P2SF7KC0020000400_2"/>
      <w:bookmarkEnd w:id="7002"/>
      <w:r>
        <w:rPr>
          <w:rFonts w:ascii="Arial" w:eastAsia="Arial" w:hAnsi="Arial" w:cs="Arial"/>
          <w:i/>
          <w:color w:val="000000"/>
          <w:sz w:val="18"/>
        </w:rPr>
        <w:t xml:space="preserve">See </w:t>
      </w:r>
      <w:bookmarkStart w:id="7003" w:name="Bookmark_I63C2R2P2SF7KC0010000400"/>
      <w:bookmarkEnd w:id="7003"/>
      <w:r>
        <w:rPr>
          <w:rFonts w:ascii="Arial" w:eastAsia="Arial" w:hAnsi="Arial" w:cs="Arial"/>
          <w:i/>
          <w:color w:val="000000"/>
          <w:sz w:val="18"/>
        </w:rPr>
        <w:t>Olmstead v. L.C. ex rel Zimring</w:t>
      </w:r>
      <w:r>
        <w:rPr>
          <w:rFonts w:ascii="Arial" w:eastAsia="Arial" w:hAnsi="Arial" w:cs="Arial"/>
          <w:color w:val="000000"/>
          <w:sz w:val="18"/>
        </w:rPr>
        <w:t>, 527 U.S. 581, 603 n.14, 119 S. Ct. 2176, 144 L. Ed. 2d 540 (1999). Hale does not come close to showing that the prison's treatment of his hepatitis-C status constitutes disability discrimination.</w:t>
      </w:r>
    </w:p>
    <w:p w:rsidR="00022B47" w:rsidRDefault="00000000">
      <w:pPr>
        <w:pStyle w:val="Normal45"/>
        <w:widowControl w:val="0"/>
        <w:spacing w:before="200" w:line="240" w:lineRule="atLeast"/>
        <w:jc w:val="both"/>
      </w:pPr>
      <w:bookmarkStart w:id="7004" w:name="Bookmark_fnpara_4_21"/>
      <w:bookmarkStart w:id="7005" w:name="Bookmark_I63C2R2P2SF7KC0040000400"/>
      <w:bookmarkEnd w:id="7004"/>
      <w:bookmarkEnd w:id="7005"/>
      <w:r>
        <w:rPr>
          <w:rFonts w:ascii="Arial" w:eastAsia="Arial" w:hAnsi="Arial" w:cs="Arial"/>
          <w:color w:val="000000"/>
          <w:sz w:val="18"/>
        </w:rPr>
        <w:t xml:space="preserve">And last, Hale fails to show that any discrimination was </w:t>
      </w:r>
      <w:r>
        <w:rPr>
          <w:rFonts w:ascii="Arial" w:eastAsia="Arial" w:hAnsi="Arial" w:cs="Arial"/>
          <w:i/>
          <w:color w:val="000000"/>
          <w:sz w:val="18"/>
        </w:rPr>
        <w:t>intentional</w:t>
      </w:r>
      <w:r>
        <w:rPr>
          <w:rFonts w:ascii="Arial" w:eastAsia="Arial" w:hAnsi="Arial" w:cs="Arial"/>
          <w:color w:val="000000"/>
          <w:sz w:val="18"/>
        </w:rPr>
        <w:t xml:space="preserve">. Hale admits that the denial of his requested accommodations meant he was treated the same as "everybody." </w:t>
      </w:r>
      <w:bookmarkStart w:id="7006" w:name="Bookmark_LNHNREFclscc5_37"/>
      <w:bookmarkEnd w:id="7006"/>
      <w:r>
        <w:rPr>
          <w:rFonts w:ascii="Arial" w:eastAsia="Arial" w:hAnsi="Arial" w:cs="Arial"/>
          <w:color w:val="000000"/>
          <w:sz w:val="18"/>
        </w:rPr>
        <w:t xml:space="preserve">That admission is fatal to his discrimination claim because the ADA is not violated where the denial of an accommodation "d[oes] not create a situation where disabled individuals ha[ve] an unequal ability to use and enjoy the facility compared to individuals who do not have a disability." </w:t>
      </w:r>
      <w:bookmarkStart w:id="7007" w:name="Bookmark_I63C2R2P2SF7KC0030000400"/>
      <w:bookmarkEnd w:id="7007"/>
      <w:r>
        <w:rPr>
          <w:rFonts w:ascii="Arial" w:eastAsia="Arial" w:hAnsi="Arial" w:cs="Arial"/>
          <w:i/>
          <w:color w:val="000000"/>
          <w:sz w:val="18"/>
        </w:rPr>
        <w:t>Providence Behavioral Health v. Grant Rd. Pub. Utility Dist.</w:t>
      </w:r>
      <w:r>
        <w:rPr>
          <w:rFonts w:ascii="Arial" w:eastAsia="Arial" w:hAnsi="Arial" w:cs="Arial"/>
          <w:color w:val="000000"/>
          <w:sz w:val="18"/>
        </w:rPr>
        <w:t>, 902 F.3d 448, 459 (5th Cir. 2018).</w:t>
      </w:r>
    </w:p>
  </w:footnote>
  <w:footnote w:id="213">
    <w:p w:rsidR="00022B47" w:rsidRDefault="00000000">
      <w:pPr>
        <w:pStyle w:val="Normal46"/>
        <w:widowControl w:val="0"/>
        <w:spacing w:before="120" w:line="240" w:lineRule="atLeast"/>
        <w:jc w:val="both"/>
      </w:pPr>
      <w:r>
        <w:rPr>
          <w:rFonts w:ascii="Arial" w:eastAsia="Arial" w:hAnsi="Arial" w:cs="Arial"/>
          <w:color w:val="000000"/>
          <w:sz w:val="18"/>
          <w:vertAlign w:val="superscript"/>
        </w:rPr>
        <w:t>1 </w:t>
      </w:r>
      <w:bookmarkStart w:id="7024" w:name="Bookmark_fnpara_1_39"/>
      <w:bookmarkEnd w:id="7024"/>
      <w:r>
        <w:rPr>
          <w:rFonts w:ascii="Arial" w:eastAsia="Arial" w:hAnsi="Arial" w:cs="Arial"/>
          <w:color w:val="000000"/>
          <w:sz w:val="18"/>
        </w:rPr>
        <w:t xml:space="preserve">The district court credited the Hospital's reliance on Francois' family for interpretive assistance as assisting effective communication. </w:t>
      </w:r>
      <w:bookmarkStart w:id="7025" w:name="Bookmark_LNHNREFclscc1_39"/>
      <w:bookmarkEnd w:id="7025"/>
      <w:r>
        <w:rPr>
          <w:rFonts w:ascii="Arial" w:eastAsia="Arial" w:hAnsi="Arial" w:cs="Arial"/>
          <w:color w:val="000000"/>
          <w:sz w:val="18"/>
        </w:rPr>
        <w:t>An ADA regulation, though, prohibits reliance on family members for interpretive assistance absent exceptions that are not applicable here, 28 C.F.R. § 35.160(c)(2), and an ACA regulation incorporates this prohibition by reference, 45 C.F.R. § 92.102(a).</w:t>
      </w:r>
    </w:p>
  </w:footnote>
  <w:footnote w:id="214">
    <w:p w:rsidR="00022B47" w:rsidRDefault="00000000">
      <w:pPr>
        <w:pStyle w:val="Normal46"/>
        <w:widowControl w:val="0"/>
        <w:spacing w:before="200" w:line="240" w:lineRule="atLeast"/>
        <w:jc w:val="both"/>
      </w:pPr>
      <w:r>
        <w:rPr>
          <w:rFonts w:ascii="Arial" w:eastAsia="Arial" w:hAnsi="Arial" w:cs="Arial"/>
          <w:color w:val="000000"/>
          <w:sz w:val="18"/>
          <w:vertAlign w:val="superscript"/>
        </w:rPr>
        <w:t>2 </w:t>
      </w:r>
      <w:bookmarkStart w:id="7037" w:name="Bookmark_fnpara_2_34"/>
      <w:bookmarkEnd w:id="7037"/>
      <w:r>
        <w:rPr>
          <w:rFonts w:ascii="Arial" w:eastAsia="Arial" w:hAnsi="Arial" w:cs="Arial"/>
          <w:color w:val="000000"/>
          <w:sz w:val="18"/>
        </w:rPr>
        <w:t xml:space="preserve">Francois argues that </w:t>
      </w:r>
      <w:r>
        <w:rPr>
          <w:rFonts w:ascii="Arial" w:eastAsia="Arial" w:hAnsi="Arial" w:cs="Arial"/>
          <w:i/>
          <w:color w:val="000000"/>
          <w:sz w:val="18"/>
        </w:rPr>
        <w:t>Cummings</w:t>
      </w:r>
      <w:r>
        <w:rPr>
          <w:rFonts w:ascii="Arial" w:eastAsia="Arial" w:hAnsi="Arial" w:cs="Arial"/>
          <w:color w:val="000000"/>
          <w:sz w:val="18"/>
        </w:rPr>
        <w:t xml:space="preserve"> was incorrectly decided as to the availability of emotional-distress damages. He also argues that, under </w:t>
      </w:r>
      <w:r>
        <w:rPr>
          <w:rFonts w:ascii="Arial" w:eastAsia="Arial" w:hAnsi="Arial" w:cs="Arial"/>
          <w:i/>
          <w:color w:val="000000"/>
          <w:sz w:val="18"/>
        </w:rPr>
        <w:t>Cummings</w:t>
      </w:r>
      <w:r>
        <w:rPr>
          <w:rFonts w:ascii="Arial" w:eastAsia="Arial" w:hAnsi="Arial" w:cs="Arial"/>
          <w:color w:val="000000"/>
          <w:sz w:val="18"/>
        </w:rPr>
        <w:t>, damages for "denial of self-determination" should be available. We do not address these issues because of our holding that Francois did not make a summary-judgment showing of intentional discrimination.</w:t>
      </w:r>
    </w:p>
  </w:footnote>
  <w:footnote w:id="215">
    <w:p w:rsidR="00022B47" w:rsidRDefault="00000000">
      <w:pPr>
        <w:pStyle w:val="Normal46"/>
        <w:widowControl w:val="0"/>
        <w:spacing w:before="120" w:line="240" w:lineRule="atLeast"/>
        <w:jc w:val="both"/>
      </w:pPr>
      <w:r>
        <w:rPr>
          <w:rFonts w:ascii="Arial" w:eastAsia="Arial" w:hAnsi="Arial" w:cs="Arial"/>
          <w:color w:val="000000"/>
          <w:sz w:val="18"/>
          <w:vertAlign w:val="superscript"/>
        </w:rPr>
        <w:t>3 </w:t>
      </w:r>
      <w:bookmarkStart w:id="7054" w:name="Bookmark_fnpara_3_29"/>
      <w:bookmarkEnd w:id="7054"/>
      <w:r>
        <w:rPr>
          <w:rFonts w:ascii="Arial" w:eastAsia="Arial" w:hAnsi="Arial" w:cs="Arial"/>
          <w:color w:val="000000"/>
          <w:sz w:val="18"/>
        </w:rPr>
        <w:t>Section 504 of the RA provides in relevant part:</w:t>
      </w:r>
    </w:p>
    <w:p w:rsidR="00022B47" w:rsidRDefault="00000000">
      <w:pPr>
        <w:pStyle w:val="Normal46"/>
        <w:widowControl w:val="0"/>
        <w:spacing w:before="120" w:line="240" w:lineRule="atLeast"/>
        <w:ind w:left="400"/>
        <w:jc w:val="both"/>
      </w:pPr>
      <w:bookmarkStart w:id="7055" w:name="Bookmark_para_22_33"/>
      <w:bookmarkEnd w:id="7055"/>
      <w:r>
        <w:rPr>
          <w:rFonts w:ascii="Arial" w:eastAsia="Arial" w:hAnsi="Arial" w:cs="Arial"/>
          <w:color w:val="000000"/>
          <w:sz w:val="18"/>
        </w:rPr>
        <w:t>No otherwise qualified individual with a disability in the United States, as defined in section 705(20) of this title, shall, solely by reason of her or his disability, be excluded from the participation in, be denied the benefits of, or be subjected to discrimination under any program or activity receiving Federal financial assistance or under any program or activity conducted by any Executive agency or by the United States Postal Service.</w:t>
      </w:r>
    </w:p>
    <w:p w:rsidR="00022B47" w:rsidRDefault="00000000">
      <w:pPr>
        <w:pStyle w:val="Normal46"/>
        <w:widowControl w:val="0"/>
        <w:spacing w:before="120" w:line="240" w:lineRule="atLeast"/>
        <w:jc w:val="both"/>
      </w:pPr>
      <w:r>
        <w:rPr>
          <w:rFonts w:ascii="Arial" w:eastAsia="Arial" w:hAnsi="Arial" w:cs="Arial"/>
          <w:color w:val="000000"/>
          <w:sz w:val="18"/>
        </w:rPr>
        <w:t>29 U.S.C. § 794(a).</w:t>
      </w:r>
    </w:p>
  </w:footnote>
  <w:footnote w:id="216">
    <w:p w:rsidR="00022B47" w:rsidRDefault="00000000">
      <w:pPr>
        <w:pStyle w:val="Normal46"/>
        <w:widowControl w:val="0"/>
        <w:spacing w:before="120" w:line="240" w:lineRule="atLeast"/>
        <w:jc w:val="both"/>
      </w:pPr>
      <w:r>
        <w:rPr>
          <w:rFonts w:ascii="Arial" w:eastAsia="Arial" w:hAnsi="Arial" w:cs="Arial"/>
          <w:color w:val="000000"/>
          <w:sz w:val="18"/>
          <w:vertAlign w:val="superscript"/>
        </w:rPr>
        <w:t>4 </w:t>
      </w:r>
      <w:bookmarkStart w:id="7060" w:name="Bookmark_fnpara_4_22"/>
      <w:bookmarkEnd w:id="7060"/>
      <w:r>
        <w:rPr>
          <w:rFonts w:ascii="Arial" w:eastAsia="Arial" w:hAnsi="Arial" w:cs="Arial"/>
          <w:color w:val="000000"/>
          <w:sz w:val="18"/>
        </w:rPr>
        <w:t>Section 1557 of the ACA provides in relevant part:</w:t>
      </w:r>
    </w:p>
    <w:p w:rsidR="00022B47" w:rsidRDefault="00000000">
      <w:pPr>
        <w:pStyle w:val="Normal46"/>
        <w:widowControl w:val="0"/>
        <w:spacing w:before="200" w:line="240" w:lineRule="atLeast"/>
        <w:ind w:left="400"/>
        <w:jc w:val="both"/>
      </w:pPr>
      <w:bookmarkStart w:id="7061" w:name="Bookmark_para_24_29"/>
      <w:bookmarkEnd w:id="7061"/>
      <w:r>
        <w:rPr>
          <w:rFonts w:ascii="Arial" w:eastAsia="Arial" w:hAnsi="Arial" w:cs="Arial"/>
          <w:color w:val="000000"/>
          <w:sz w:val="18"/>
        </w:rPr>
        <w:t xml:space="preserve">Except as otherwise provided for in this title (or an amendment made by this title), an individual shall not, on the ground prohibited under title VI of the Civil Rights Act of 1964 (42 U.S.C. 2000d </w:t>
      </w:r>
      <w:r>
        <w:rPr>
          <w:rFonts w:ascii="Arial" w:eastAsia="Arial" w:hAnsi="Arial" w:cs="Arial"/>
          <w:i/>
          <w:color w:val="000000"/>
          <w:sz w:val="18"/>
        </w:rPr>
        <w:t>et seq.</w:t>
      </w:r>
      <w:r>
        <w:rPr>
          <w:rFonts w:ascii="Arial" w:eastAsia="Arial" w:hAnsi="Arial" w:cs="Arial"/>
          <w:color w:val="000000"/>
          <w:sz w:val="18"/>
        </w:rPr>
        <w:t xml:space="preserve">), title IX of the Education Amendments of 1972 (20 U.S.C. 1681 </w:t>
      </w:r>
      <w:r>
        <w:rPr>
          <w:rFonts w:ascii="Arial" w:eastAsia="Arial" w:hAnsi="Arial" w:cs="Arial"/>
          <w:i/>
          <w:color w:val="000000"/>
          <w:sz w:val="18"/>
        </w:rPr>
        <w:t>et seq.</w:t>
      </w:r>
      <w:r>
        <w:rPr>
          <w:rFonts w:ascii="Arial" w:eastAsia="Arial" w:hAnsi="Arial" w:cs="Arial"/>
          <w:color w:val="000000"/>
          <w:sz w:val="18"/>
        </w:rPr>
        <w:t xml:space="preserve">), the Age Discrimination Act of 1975 (42 U.S.C. 6101 </w:t>
      </w:r>
      <w:r>
        <w:rPr>
          <w:rFonts w:ascii="Arial" w:eastAsia="Arial" w:hAnsi="Arial" w:cs="Arial"/>
          <w:i/>
          <w:color w:val="000000"/>
          <w:sz w:val="18"/>
        </w:rPr>
        <w:t>et seq.</w:t>
      </w:r>
      <w:r>
        <w:rPr>
          <w:rFonts w:ascii="Arial" w:eastAsia="Arial" w:hAnsi="Arial" w:cs="Arial"/>
          <w:color w:val="000000"/>
          <w:sz w:val="18"/>
        </w:rPr>
        <w:t>), [**12]  or section 794 of title 29, be excluded from participation in, be denied the benefits of, or be subject to discrimination under, any health program or activity, any part of which is receiving Federal financial assistance, including credits, subsidies, or contracts of insurance, or under any program or activity that is administered by an Executive Agency or any entity established under this title (or amendments). The enforcement mechanisms provided for and available under such title VI, title IX, section 794, or such Age Discrimination Act shall apply for purposes of violations of this subsection.</w:t>
      </w:r>
    </w:p>
    <w:p w:rsidR="00022B47" w:rsidRDefault="00000000">
      <w:pPr>
        <w:pStyle w:val="Normal46"/>
        <w:widowControl w:val="0"/>
        <w:spacing w:before="120" w:line="240" w:lineRule="atLeast"/>
        <w:jc w:val="both"/>
      </w:pPr>
      <w:r>
        <w:rPr>
          <w:rFonts w:ascii="Arial" w:eastAsia="Arial" w:hAnsi="Arial" w:cs="Arial"/>
          <w:color w:val="000000"/>
          <w:sz w:val="18"/>
        </w:rPr>
        <w:t>42 U.S.C. § 18116(a).</w:t>
      </w:r>
    </w:p>
  </w:footnote>
  <w:footnote w:id="217">
    <w:p w:rsidR="00022B47" w:rsidRDefault="00000000">
      <w:pPr>
        <w:pStyle w:val="Normal46"/>
        <w:widowControl w:val="0"/>
        <w:spacing w:before="200" w:line="240" w:lineRule="atLeast"/>
        <w:jc w:val="both"/>
      </w:pPr>
      <w:r>
        <w:rPr>
          <w:rFonts w:ascii="Arial" w:eastAsia="Arial" w:hAnsi="Arial" w:cs="Arial"/>
          <w:color w:val="000000"/>
          <w:sz w:val="18"/>
          <w:vertAlign w:val="superscript"/>
        </w:rPr>
        <w:t>5 </w:t>
      </w:r>
      <w:bookmarkStart w:id="7066" w:name="Bookmark_fnpara_5_15"/>
      <w:bookmarkStart w:id="7067" w:name="Bookmark_I63G8T4N2D6N5N0010000400"/>
      <w:bookmarkEnd w:id="7066"/>
      <w:bookmarkEnd w:id="7067"/>
      <w:r>
        <w:rPr>
          <w:rFonts w:ascii="Arial" w:eastAsia="Arial" w:hAnsi="Arial" w:cs="Arial"/>
          <w:color w:val="000000"/>
          <w:sz w:val="18"/>
        </w:rPr>
        <w:t xml:space="preserve">The Ninth Circuit recently agreed with the Sixth Circuit's </w:t>
      </w:r>
      <w:r>
        <w:rPr>
          <w:rFonts w:ascii="Arial" w:eastAsia="Arial" w:hAnsi="Arial" w:cs="Arial"/>
          <w:i/>
          <w:color w:val="000000"/>
          <w:sz w:val="18"/>
        </w:rPr>
        <w:t>BlueCross BlueShield</w:t>
      </w:r>
      <w:r>
        <w:rPr>
          <w:rFonts w:ascii="Arial" w:eastAsia="Arial" w:hAnsi="Arial" w:cs="Arial"/>
          <w:color w:val="000000"/>
          <w:sz w:val="18"/>
        </w:rPr>
        <w:t xml:space="preserve"> holding that the ACA incorporates the substantive analytical framework of the RA for disability-discrimination claims, but it implicitly disagreed with the </w:t>
      </w:r>
      <w:r>
        <w:rPr>
          <w:rFonts w:ascii="Arial" w:eastAsia="Arial" w:hAnsi="Arial" w:cs="Arial"/>
          <w:i/>
          <w:color w:val="000000"/>
          <w:sz w:val="18"/>
        </w:rPr>
        <w:t>BlueCross BlueShield</w:t>
      </w:r>
      <w:r>
        <w:rPr>
          <w:rFonts w:ascii="Arial" w:eastAsia="Arial" w:hAnsi="Arial" w:cs="Arial"/>
          <w:color w:val="000000"/>
          <w:sz w:val="18"/>
        </w:rPr>
        <w:t xml:space="preserve"> holding about whether the RA prohibits disparate-impact discrimination. </w:t>
      </w:r>
      <w:r>
        <w:rPr>
          <w:rFonts w:ascii="Arial" w:eastAsia="Arial" w:hAnsi="Arial" w:cs="Arial"/>
          <w:i/>
          <w:color w:val="000000"/>
          <w:sz w:val="18"/>
        </w:rPr>
        <w:t xml:space="preserve">See </w:t>
      </w:r>
      <w:bookmarkStart w:id="7068" w:name="Bookmark_I63G8T4M2D6N5J0050000400"/>
      <w:bookmarkEnd w:id="7068"/>
      <w:r>
        <w:rPr>
          <w:rFonts w:ascii="Arial" w:eastAsia="Arial" w:hAnsi="Arial" w:cs="Arial"/>
          <w:i/>
          <w:color w:val="000000"/>
          <w:sz w:val="18"/>
        </w:rPr>
        <w:t>Doe v. CVS Pharmacy, Inc.</w:t>
      </w:r>
      <w:r>
        <w:rPr>
          <w:rFonts w:ascii="Arial" w:eastAsia="Arial" w:hAnsi="Arial" w:cs="Arial"/>
          <w:color w:val="000000"/>
          <w:sz w:val="18"/>
        </w:rPr>
        <w:t xml:space="preserve">, 982 F.3d 1204, 1210-12 (9th Cir. 2020), </w:t>
      </w:r>
      <w:r>
        <w:rPr>
          <w:rFonts w:ascii="Arial" w:eastAsia="Arial" w:hAnsi="Arial" w:cs="Arial"/>
          <w:i/>
          <w:color w:val="000000"/>
          <w:sz w:val="18"/>
        </w:rPr>
        <w:t>cert. granted in part</w:t>
      </w:r>
      <w:r>
        <w:rPr>
          <w:rFonts w:ascii="Arial" w:eastAsia="Arial" w:hAnsi="Arial" w:cs="Arial"/>
          <w:color w:val="000000"/>
          <w:sz w:val="18"/>
        </w:rPr>
        <w:t xml:space="preserve">, </w:t>
      </w:r>
      <w:bookmarkStart w:id="7069" w:name="Bookmark_I63G8T4N2D6N5N0020000400"/>
      <w:bookmarkEnd w:id="7069"/>
      <w:r>
        <w:rPr>
          <w:rFonts w:ascii="Arial" w:eastAsia="Arial" w:hAnsi="Arial" w:cs="Arial"/>
          <w:color w:val="000000"/>
          <w:sz w:val="18"/>
        </w:rPr>
        <w:t xml:space="preserve">141 S. Ct. 2882, 210 L. Ed. 2d 990, 2021 U.S. LEXIS 3572, 2021 WL 2742790 (July 2, 2021) (No. 20-1374). The grant of </w:t>
      </w:r>
      <w:r>
        <w:rPr>
          <w:rFonts w:ascii="Arial" w:eastAsia="Arial" w:hAnsi="Arial" w:cs="Arial"/>
          <w:i/>
          <w:color w:val="000000"/>
          <w:sz w:val="18"/>
        </w:rPr>
        <w:t>certiorari</w:t>
      </w:r>
      <w:r>
        <w:rPr>
          <w:rFonts w:ascii="Arial" w:eastAsia="Arial" w:hAnsi="Arial" w:cs="Arial"/>
          <w:color w:val="000000"/>
          <w:sz w:val="18"/>
        </w:rPr>
        <w:t xml:space="preserve"> in </w:t>
      </w:r>
      <w:r>
        <w:rPr>
          <w:rFonts w:ascii="Arial" w:eastAsia="Arial" w:hAnsi="Arial" w:cs="Arial"/>
          <w:i/>
          <w:color w:val="000000"/>
          <w:sz w:val="18"/>
        </w:rPr>
        <w:t>CVS Pharmacy</w:t>
      </w:r>
      <w:r>
        <w:rPr>
          <w:rFonts w:ascii="Arial" w:eastAsia="Arial" w:hAnsi="Arial" w:cs="Arial"/>
          <w:color w:val="000000"/>
          <w:sz w:val="18"/>
        </w:rPr>
        <w:t xml:space="preserve"> is limited to "[w]hether Section 504 of the Rehabilitation Act, and by extension the ACA, provides a disparate-impact cause of action for plaintiffs alleging disability discrimination." Petition for Writ of Certiorari, </w:t>
      </w:r>
      <w:r>
        <w:rPr>
          <w:rFonts w:ascii="Arial" w:eastAsia="Arial" w:hAnsi="Arial" w:cs="Arial"/>
          <w:i/>
          <w:color w:val="000000"/>
          <w:sz w:val="18"/>
        </w:rPr>
        <w:t>CVS Pharmacy, Inc. v. Doe</w:t>
      </w:r>
      <w:r>
        <w:rPr>
          <w:rFonts w:ascii="Arial" w:eastAsia="Arial" w:hAnsi="Arial" w:cs="Arial"/>
          <w:color w:val="000000"/>
          <w:sz w:val="18"/>
        </w:rPr>
        <w:t>, No. 20-1374 (U.S. Mar. 26, 2021).</w:t>
      </w:r>
    </w:p>
  </w:footnote>
  <w:footnote w:id="218">
    <w:p w:rsidR="00022B47" w:rsidRDefault="00000000">
      <w:pPr>
        <w:pStyle w:val="Normal46"/>
        <w:widowControl w:val="0"/>
        <w:spacing w:before="200" w:line="240" w:lineRule="atLeast"/>
        <w:jc w:val="both"/>
      </w:pPr>
      <w:r>
        <w:rPr>
          <w:rFonts w:ascii="Arial" w:eastAsia="Arial" w:hAnsi="Arial" w:cs="Arial"/>
          <w:color w:val="000000"/>
          <w:sz w:val="18"/>
          <w:vertAlign w:val="superscript"/>
        </w:rPr>
        <w:t>6 </w:t>
      </w:r>
      <w:bookmarkStart w:id="7084" w:name="Bookmark_fnpara_6_12"/>
      <w:bookmarkStart w:id="7085" w:name="Bookmark_I63G8T4N2SF85B0030000400"/>
      <w:bookmarkEnd w:id="7084"/>
      <w:bookmarkEnd w:id="7085"/>
      <w:r>
        <w:rPr>
          <w:rFonts w:ascii="Arial" w:eastAsia="Arial" w:hAnsi="Arial" w:cs="Arial"/>
          <w:color w:val="000000"/>
          <w:sz w:val="18"/>
        </w:rPr>
        <w:t xml:space="preserve">We have not resolved "what type of knowledge is required" for a showing of an "open, obvious, and apparent" disability, limitation, and necessary reasonable accommodation. </w:t>
      </w:r>
      <w:bookmarkStart w:id="7086" w:name="Bookmark_I63G8T4N2SF85B0020000400"/>
      <w:bookmarkEnd w:id="7086"/>
      <w:r>
        <w:rPr>
          <w:rFonts w:ascii="Arial" w:eastAsia="Arial" w:hAnsi="Arial" w:cs="Arial"/>
          <w:i/>
          <w:color w:val="000000"/>
          <w:sz w:val="18"/>
        </w:rPr>
        <w:t>Windham</w:t>
      </w:r>
      <w:r>
        <w:rPr>
          <w:rFonts w:ascii="Arial" w:eastAsia="Arial" w:hAnsi="Arial" w:cs="Arial"/>
          <w:color w:val="000000"/>
          <w:sz w:val="18"/>
        </w:rPr>
        <w:t xml:space="preserve">, 875 F.3d at 237. "Although our caselaw speaks generally in terms of the entity's subjective knowledge, we do not appear to have confronted this question directly." </w:t>
      </w:r>
      <w:r>
        <w:rPr>
          <w:rFonts w:ascii="Arial" w:eastAsia="Arial" w:hAnsi="Arial" w:cs="Arial"/>
          <w:i/>
          <w:color w:val="000000"/>
          <w:sz w:val="18"/>
        </w:rPr>
        <w:t>Id.</w:t>
      </w:r>
      <w:r>
        <w:rPr>
          <w:rFonts w:ascii="Arial" w:eastAsia="Arial" w:hAnsi="Arial" w:cs="Arial"/>
          <w:color w:val="000000"/>
          <w:sz w:val="18"/>
        </w:rPr>
        <w:t xml:space="preserve"> (footnote omitted).</w:t>
      </w:r>
    </w:p>
  </w:footnote>
  <w:footnote w:id="219">
    <w:p w:rsidR="00022B47" w:rsidRDefault="00000000">
      <w:pPr>
        <w:pStyle w:val="Normal46"/>
        <w:widowControl w:val="0"/>
        <w:spacing w:before="200" w:line="240" w:lineRule="atLeast"/>
        <w:jc w:val="both"/>
      </w:pPr>
      <w:r>
        <w:rPr>
          <w:rFonts w:ascii="Arial" w:eastAsia="Arial" w:hAnsi="Arial" w:cs="Arial"/>
          <w:color w:val="000000"/>
          <w:sz w:val="18"/>
          <w:vertAlign w:val="superscript"/>
        </w:rPr>
        <w:t>7 </w:t>
      </w:r>
      <w:bookmarkStart w:id="7096" w:name="Bookmark_fnpara_7_12"/>
      <w:bookmarkStart w:id="7097" w:name="Bookmark_I63G8T4N2D6N5W0010000400"/>
      <w:bookmarkEnd w:id="7096"/>
      <w:bookmarkEnd w:id="7097"/>
      <w:r>
        <w:rPr>
          <w:rFonts w:ascii="Arial" w:eastAsia="Arial" w:hAnsi="Arial" w:cs="Arial"/>
          <w:color w:val="000000"/>
          <w:sz w:val="18"/>
        </w:rPr>
        <w:t xml:space="preserve">On appeal, Francois' briefs focus on two questions: (1) whether the Hospital committed intentional discrimination, and (2) whether he can pursue damages for "denial of self-determination." A claim for declaratory relief is equitable in nature and not subject to the intentional-discrimination standard. </w:t>
      </w:r>
      <w:r>
        <w:rPr>
          <w:rFonts w:ascii="Arial" w:eastAsia="Arial" w:hAnsi="Arial" w:cs="Arial"/>
          <w:i/>
          <w:color w:val="000000"/>
          <w:sz w:val="18"/>
        </w:rPr>
        <w:t xml:space="preserve">See </w:t>
      </w:r>
      <w:bookmarkStart w:id="7098" w:name="Bookmark_I63G8T4N2D6N5V0050000400"/>
      <w:bookmarkEnd w:id="7098"/>
      <w:r>
        <w:rPr>
          <w:rFonts w:ascii="Arial" w:eastAsia="Arial" w:hAnsi="Arial" w:cs="Arial"/>
          <w:i/>
          <w:color w:val="000000"/>
          <w:sz w:val="18"/>
        </w:rPr>
        <w:t>Miraglia</w:t>
      </w:r>
      <w:r>
        <w:rPr>
          <w:rFonts w:ascii="Arial" w:eastAsia="Arial" w:hAnsi="Arial" w:cs="Arial"/>
          <w:color w:val="000000"/>
          <w:sz w:val="18"/>
        </w:rPr>
        <w:t xml:space="preserve">, 901 F.3d at 574. </w:t>
      </w:r>
      <w:bookmarkStart w:id="7099" w:name="Bookmark_I63G8T4N2D6N5W0030000400"/>
      <w:bookmarkEnd w:id="7099"/>
      <w:r>
        <w:rPr>
          <w:rFonts w:ascii="Arial" w:eastAsia="Arial" w:hAnsi="Arial" w:cs="Arial"/>
          <w:color w:val="000000"/>
          <w:sz w:val="18"/>
        </w:rPr>
        <w:t>Francois, however, has not pressed that his claims for declaratory relief (or equitable relief generally) are subject to a lower evidentiary burden, that the district court erred by dismissing those claims, and that we should reverse and remand on that ground.</w:t>
      </w:r>
      <w:bookmarkStart w:id="7100" w:name="Bookmark_LNHNREFclscc9_24"/>
      <w:bookmarkEnd w:id="7100"/>
      <w:r>
        <w:rPr>
          <w:rFonts w:ascii="Arial" w:eastAsia="Arial" w:hAnsi="Arial" w:cs="Arial"/>
          <w:color w:val="000000"/>
          <w:sz w:val="18"/>
        </w:rPr>
        <w:t xml:space="preserve"> </w:t>
      </w:r>
      <w:bookmarkStart w:id="7101" w:name="Bookmark_I63G8T4N2D6N5W0030000400_2"/>
      <w:bookmarkEnd w:id="7101"/>
      <w:r>
        <w:rPr>
          <w:rFonts w:ascii="Arial" w:eastAsia="Arial" w:hAnsi="Arial" w:cs="Arial"/>
          <w:color w:val="000000"/>
          <w:sz w:val="18"/>
        </w:rPr>
        <w:t xml:space="preserve">As they are not pressed on appeal, those arguments are forfeited. </w:t>
      </w:r>
      <w:bookmarkStart w:id="7102" w:name="Bookmark_I63G8T4N2D6N5W0020000400"/>
      <w:bookmarkEnd w:id="7102"/>
      <w:r>
        <w:rPr>
          <w:rFonts w:ascii="Arial" w:eastAsia="Arial" w:hAnsi="Arial" w:cs="Arial"/>
          <w:i/>
          <w:color w:val="000000"/>
          <w:sz w:val="18"/>
        </w:rPr>
        <w:t>Adams v. Unione Mediterranea Di Sicurta</w:t>
      </w:r>
      <w:r>
        <w:rPr>
          <w:rFonts w:ascii="Arial" w:eastAsia="Arial" w:hAnsi="Arial" w:cs="Arial"/>
          <w:color w:val="000000"/>
          <w:sz w:val="18"/>
        </w:rPr>
        <w:t xml:space="preserve">, 364 F.3d 646, 653 (5th Cir. 2004); </w:t>
      </w:r>
      <w:r>
        <w:rPr>
          <w:rFonts w:ascii="Arial" w:eastAsia="Arial" w:hAnsi="Arial" w:cs="Arial"/>
          <w:i/>
          <w:color w:val="000000"/>
          <w:sz w:val="18"/>
        </w:rPr>
        <w:t xml:space="preserve">see also </w:t>
      </w:r>
      <w:bookmarkStart w:id="7103" w:name="Bookmark_I63G8T4N2D6N5W0040000400"/>
      <w:bookmarkEnd w:id="7103"/>
      <w:r>
        <w:rPr>
          <w:rFonts w:ascii="Arial" w:eastAsia="Arial" w:hAnsi="Arial" w:cs="Arial"/>
          <w:i/>
          <w:color w:val="000000"/>
          <w:sz w:val="18"/>
        </w:rPr>
        <w:t>United States v. Sineneng-Smith</w:t>
      </w:r>
      <w:r>
        <w:rPr>
          <w:rFonts w:ascii="Arial" w:eastAsia="Arial" w:hAnsi="Arial" w:cs="Arial"/>
          <w:color w:val="000000"/>
          <w:sz w:val="18"/>
        </w:rPr>
        <w:t>, 140 S. Ct. 1575, 1579, 206 L. Ed. 2d 866 (2020) (explaining that courts must "follow the principle of party presentation").</w:t>
      </w:r>
    </w:p>
  </w:footnote>
  <w:footnote w:id="220">
    <w:p w:rsidR="00022B47" w:rsidRDefault="00000000">
      <w:pPr>
        <w:pStyle w:val="Normal46"/>
        <w:widowControl w:val="0"/>
        <w:spacing w:before="200" w:line="240" w:lineRule="atLeast"/>
        <w:jc w:val="both"/>
      </w:pPr>
      <w:r>
        <w:rPr>
          <w:rFonts w:ascii="Arial" w:eastAsia="Arial" w:hAnsi="Arial" w:cs="Arial"/>
          <w:color w:val="000000"/>
          <w:sz w:val="18"/>
          <w:vertAlign w:val="superscript"/>
        </w:rPr>
        <w:t>8 </w:t>
      </w:r>
      <w:bookmarkStart w:id="7124" w:name="Bookmark_fnpara_8_12"/>
      <w:bookmarkStart w:id="7125" w:name="Bookmark_I63G8T4P2HM5PN0050000400"/>
      <w:bookmarkStart w:id="7126" w:name="Bookmark_LNHNREFclscc12_14"/>
      <w:bookmarkEnd w:id="7124"/>
      <w:bookmarkEnd w:id="7125"/>
      <w:bookmarkEnd w:id="7126"/>
      <w:r>
        <w:rPr>
          <w:rFonts w:ascii="Arial" w:eastAsia="Arial" w:hAnsi="Arial" w:cs="Arial"/>
          <w:color w:val="000000"/>
          <w:sz w:val="18"/>
        </w:rPr>
        <w:t xml:space="preserve">As the Eleventh Circuit explained, "it is error to conclude on summary judgment that the mere successful communication of the primary symptoms, treatment plan, and discharge instructions is enough, as a matter of law, to preclude liability under the ADA and RA." </w:t>
      </w:r>
      <w:bookmarkStart w:id="7127" w:name="Bookmark_I63G8T4P2HM5PN0040000400"/>
      <w:bookmarkEnd w:id="7127"/>
      <w:r>
        <w:rPr>
          <w:rFonts w:ascii="Arial" w:eastAsia="Arial" w:hAnsi="Arial" w:cs="Arial"/>
          <w:i/>
          <w:color w:val="000000"/>
          <w:sz w:val="18"/>
        </w:rPr>
        <w:t>Silva</w:t>
      </w:r>
      <w:r>
        <w:rPr>
          <w:rFonts w:ascii="Arial" w:eastAsia="Arial" w:hAnsi="Arial" w:cs="Arial"/>
          <w:color w:val="000000"/>
          <w:sz w:val="18"/>
        </w:rPr>
        <w:t>, 856 F.3d at 835. Rather, the opportunity must focus on whether the plaintiff is receiving an equal opportunity to participate in the overall informational exchange. RA, 45 C.F.R. § 84.52(d)(1); ACA, 45 C.F.R. § 92.102(b). In this case, we must consider these statutory requirements in light of the additional burden that Francois show intent.</w:t>
      </w:r>
    </w:p>
  </w:footnote>
  <w:footnote w:id="221">
    <w:p w:rsidR="00022B47" w:rsidRDefault="00000000">
      <w:pPr>
        <w:pStyle w:val="Normal46"/>
        <w:widowControl w:val="0"/>
        <w:spacing w:before="120" w:line="240" w:lineRule="atLeast"/>
        <w:jc w:val="both"/>
      </w:pPr>
      <w:r>
        <w:rPr>
          <w:rFonts w:ascii="Arial" w:eastAsia="Arial" w:hAnsi="Arial" w:cs="Arial"/>
          <w:color w:val="000000"/>
          <w:sz w:val="18"/>
          <w:vertAlign w:val="superscript"/>
        </w:rPr>
        <w:t>9 </w:t>
      </w:r>
      <w:bookmarkStart w:id="7133" w:name="Bookmark_fnpara_9_9"/>
      <w:bookmarkEnd w:id="7133"/>
      <w:r>
        <w:rPr>
          <w:rFonts w:ascii="Arial" w:eastAsia="Arial" w:hAnsi="Arial" w:cs="Arial"/>
          <w:color w:val="000000"/>
          <w:sz w:val="18"/>
        </w:rPr>
        <w:t>The policy states that "[i]nterpreter services will be provided in all necessary circumstances where there is a need for complex diagnostic or treatment information to be communicated effectively with a sensory-impaired patient." It also states that circumstances which "may" require an interpreter include, among other things, "[d]iscussing presenting symptoms, medications, [and] medical history," as well as "[e]xplaining diagnosis, prognosis[,] or treatment options."</w:t>
      </w:r>
    </w:p>
  </w:footnote>
  <w:footnote w:id="222">
    <w:p w:rsidR="00022B47" w:rsidRDefault="00000000">
      <w:pPr>
        <w:pStyle w:val="Normal48"/>
        <w:widowControl w:val="0"/>
        <w:spacing w:before="120" w:line="240" w:lineRule="atLeast"/>
        <w:jc w:val="both"/>
      </w:pPr>
      <w:r>
        <w:rPr>
          <w:rFonts w:ascii="Arial" w:eastAsia="Arial" w:hAnsi="Arial" w:cs="Arial"/>
          <w:color w:val="000000"/>
          <w:sz w:val="18"/>
          <w:vertAlign w:val="superscript"/>
        </w:rPr>
        <w:t>1 </w:t>
      </w:r>
      <w:bookmarkStart w:id="7193" w:name="Bookmark_fnpara_1_40"/>
      <w:bookmarkEnd w:id="7193"/>
      <w:r>
        <w:rPr>
          <w:rFonts w:ascii="Arial" w:eastAsia="Arial" w:hAnsi="Arial" w:cs="Arial"/>
          <w:color w:val="000000"/>
          <w:sz w:val="18"/>
        </w:rPr>
        <w:t>According to Coral Ridge's complaint, SPLC defines "hate groups" as organizations that have "beliefs or practices that attack or malign an entire class of people, typically for their immutable characteristics."</w:t>
      </w:r>
    </w:p>
  </w:footnote>
  <w:footnote w:id="223">
    <w:p w:rsidR="00022B47" w:rsidRDefault="00000000">
      <w:pPr>
        <w:pStyle w:val="Normal48"/>
        <w:widowControl w:val="0"/>
        <w:spacing w:before="120" w:line="240" w:lineRule="atLeast"/>
        <w:jc w:val="both"/>
      </w:pPr>
      <w:r>
        <w:rPr>
          <w:rFonts w:ascii="Arial" w:eastAsia="Arial" w:hAnsi="Arial" w:cs="Arial"/>
          <w:color w:val="000000"/>
          <w:sz w:val="18"/>
          <w:vertAlign w:val="superscript"/>
        </w:rPr>
        <w:t>2 </w:t>
      </w:r>
      <w:bookmarkStart w:id="7194" w:name="Bookmark_fnpara_2_35"/>
      <w:bookmarkEnd w:id="7194"/>
      <w:r>
        <w:rPr>
          <w:rFonts w:ascii="Arial" w:eastAsia="Arial" w:hAnsi="Arial" w:cs="Arial"/>
          <w:color w:val="000000"/>
          <w:sz w:val="18"/>
        </w:rPr>
        <w:t>LGBTQ is an acronym referring to lesbian, gay, bisexual, transgender, and queer people.</w:t>
      </w:r>
    </w:p>
  </w:footnote>
  <w:footnote w:id="224">
    <w:p w:rsidR="00022B47" w:rsidRDefault="00000000">
      <w:pPr>
        <w:pStyle w:val="Normal48"/>
        <w:widowControl w:val="0"/>
        <w:spacing w:before="120" w:line="240" w:lineRule="atLeast"/>
        <w:jc w:val="both"/>
      </w:pPr>
      <w:r>
        <w:rPr>
          <w:rFonts w:ascii="Arial" w:eastAsia="Arial" w:hAnsi="Arial" w:cs="Arial"/>
          <w:color w:val="000000"/>
          <w:sz w:val="18"/>
          <w:vertAlign w:val="superscript"/>
        </w:rPr>
        <w:t>3 </w:t>
      </w:r>
      <w:bookmarkStart w:id="7196" w:name="Bookmark_fnpara_3_30"/>
      <w:bookmarkEnd w:id="7196"/>
      <w:r>
        <w:rPr>
          <w:rFonts w:ascii="Arial" w:eastAsia="Arial" w:hAnsi="Arial" w:cs="Arial"/>
          <w:color w:val="000000"/>
          <w:sz w:val="18"/>
        </w:rPr>
        <w:t>Coral Ridge also brought claims against SPLC under the Lanham Act, 15 U.S.C. § 1125. The district court dismissed these claims and Coral Ridge does not appeal that dismissal. Additionally, Coral Ridge brought a negligence claim against Amazon. It concedes that this claim hinges on its Title II claim. Because we affirm the district court's dismissal of Coral Ridge's Title II claim, we do not address this negligence claim on appeal.</w:t>
      </w:r>
    </w:p>
  </w:footnote>
  <w:footnote w:id="225">
    <w:p w:rsidR="00022B47" w:rsidRDefault="00000000">
      <w:pPr>
        <w:pStyle w:val="Normal48"/>
        <w:widowControl w:val="0"/>
        <w:spacing w:before="120" w:line="240" w:lineRule="atLeast"/>
        <w:jc w:val="both"/>
      </w:pPr>
      <w:r>
        <w:rPr>
          <w:rFonts w:ascii="Arial" w:eastAsia="Arial" w:hAnsi="Arial" w:cs="Arial"/>
          <w:color w:val="000000"/>
          <w:sz w:val="18"/>
          <w:vertAlign w:val="superscript"/>
        </w:rPr>
        <w:t>4 </w:t>
      </w:r>
      <w:bookmarkStart w:id="7197" w:name="Bookmark_fnpara_4_23"/>
      <w:bookmarkEnd w:id="7197"/>
      <w:r>
        <w:rPr>
          <w:rFonts w:ascii="Arial" w:eastAsia="Arial" w:hAnsi="Arial" w:cs="Arial"/>
          <w:color w:val="000000"/>
          <w:sz w:val="18"/>
        </w:rPr>
        <w:t>On appeal, Coral Ridge puts forward a different definition that combines the definitions for "hate" and "group." Therefore, according to Coral Ridge a hate group is commonly understood as "a 'group' that 'hates.'"</w:t>
      </w:r>
    </w:p>
  </w:footnote>
  <w:footnote w:id="226">
    <w:p w:rsidR="00022B47" w:rsidRDefault="00000000">
      <w:pPr>
        <w:pStyle w:val="Normal48"/>
        <w:widowControl w:val="0"/>
        <w:spacing w:before="120" w:line="240" w:lineRule="atLeast"/>
        <w:jc w:val="both"/>
      </w:pPr>
      <w:r>
        <w:rPr>
          <w:rFonts w:ascii="Arial" w:eastAsia="Arial" w:hAnsi="Arial" w:cs="Arial"/>
          <w:color w:val="000000"/>
          <w:sz w:val="18"/>
          <w:vertAlign w:val="superscript"/>
        </w:rPr>
        <w:t>5 </w:t>
      </w:r>
      <w:bookmarkStart w:id="7217" w:name="Bookmark_fnpara_5_16"/>
      <w:bookmarkEnd w:id="7217"/>
      <w:r>
        <w:rPr>
          <w:rFonts w:ascii="Arial" w:eastAsia="Arial" w:hAnsi="Arial" w:cs="Arial"/>
          <w:color w:val="000000"/>
          <w:sz w:val="18"/>
        </w:rPr>
        <w:t>Coral Ridge concedes that it is a public figure for the purposes of this case.</w:t>
      </w:r>
    </w:p>
  </w:footnote>
  <w:footnote w:id="227">
    <w:p w:rsidR="00022B47" w:rsidRDefault="00000000">
      <w:pPr>
        <w:pStyle w:val="Normal48"/>
        <w:widowControl w:val="0"/>
        <w:spacing w:before="120" w:line="240" w:lineRule="atLeast"/>
        <w:jc w:val="both"/>
      </w:pPr>
      <w:r>
        <w:rPr>
          <w:rFonts w:ascii="Arial" w:eastAsia="Arial" w:hAnsi="Arial" w:cs="Arial"/>
          <w:color w:val="000000"/>
          <w:sz w:val="18"/>
          <w:vertAlign w:val="superscript"/>
        </w:rPr>
        <w:t>6 </w:t>
      </w:r>
      <w:bookmarkStart w:id="7227" w:name="Bookmark_fnpara_6_13"/>
      <w:bookmarkEnd w:id="7227"/>
      <w:r>
        <w:rPr>
          <w:rFonts w:ascii="Arial" w:eastAsia="Arial" w:hAnsi="Arial" w:cs="Arial"/>
          <w:color w:val="000000"/>
          <w:sz w:val="18"/>
        </w:rPr>
        <w:t>Because the district court found that the term hate group was not provable as false, it also held that Coral Ridge did not plausibly allege that the defamatory statement was false.</w:t>
      </w:r>
    </w:p>
  </w:footnote>
  <w:footnote w:id="228">
    <w:p w:rsidR="00022B47" w:rsidRDefault="00000000">
      <w:pPr>
        <w:pStyle w:val="Normal48"/>
        <w:widowControl w:val="0"/>
        <w:spacing w:before="120" w:line="240" w:lineRule="atLeast"/>
        <w:jc w:val="both"/>
      </w:pPr>
      <w:r>
        <w:rPr>
          <w:rFonts w:ascii="Arial" w:eastAsia="Arial" w:hAnsi="Arial" w:cs="Arial"/>
          <w:color w:val="000000"/>
          <w:sz w:val="18"/>
          <w:vertAlign w:val="superscript"/>
        </w:rPr>
        <w:t>7 </w:t>
      </w:r>
      <w:bookmarkStart w:id="7228" w:name="Bookmark_fnpara_7_13"/>
      <w:bookmarkEnd w:id="7228"/>
      <w:r>
        <w:rPr>
          <w:rFonts w:ascii="Arial" w:eastAsia="Arial" w:hAnsi="Arial" w:cs="Arial"/>
          <w:color w:val="000000"/>
          <w:sz w:val="18"/>
        </w:rPr>
        <w:t>There is a fair debate about whether the term hate group is definable in such a way that it is provable as false. That debate is complicated in this case by the fact that SPLC put its own definition of the term on its website. In any event, our finding that Coral Ridge failed to adequately plead actual malice is sufficient to affirm the dismissal of the defamation claim. Therefore, we need not reach the district court's alternative holding that the term hate group is not sufficiently factual as to be proven true or false.</w:t>
      </w:r>
    </w:p>
  </w:footnote>
  <w:footnote w:id="229">
    <w:p w:rsidR="00022B47" w:rsidRDefault="00000000">
      <w:pPr>
        <w:pStyle w:val="Normal48"/>
        <w:widowControl w:val="0"/>
        <w:spacing w:before="200" w:line="240" w:lineRule="atLeast"/>
        <w:jc w:val="both"/>
      </w:pPr>
      <w:r>
        <w:rPr>
          <w:rFonts w:ascii="Arial" w:eastAsia="Arial" w:hAnsi="Arial" w:cs="Arial"/>
          <w:color w:val="000000"/>
          <w:sz w:val="18"/>
          <w:vertAlign w:val="superscript"/>
        </w:rPr>
        <w:t>8 </w:t>
      </w:r>
      <w:bookmarkStart w:id="7241" w:name="Bookmark_fnpara_8_13"/>
      <w:bookmarkStart w:id="7242" w:name="Bookmark_I63893WC2D6MWK0030000400"/>
      <w:bookmarkEnd w:id="7241"/>
      <w:bookmarkEnd w:id="7242"/>
      <w:r>
        <w:rPr>
          <w:rFonts w:ascii="Arial" w:eastAsia="Arial" w:hAnsi="Arial" w:cs="Arial"/>
          <w:color w:val="000000"/>
          <w:sz w:val="18"/>
        </w:rPr>
        <w:t xml:space="preserve">Coral Ridge also pleaded that SPLC intended to harm its reputation by making the designation and that its aim is to "completely destroy" hate groups. </w:t>
      </w:r>
      <w:bookmarkStart w:id="7243" w:name="Bookmark_LNHNREFclscc4_40"/>
      <w:bookmarkEnd w:id="7243"/>
      <w:r>
        <w:rPr>
          <w:rFonts w:ascii="Arial" w:eastAsia="Arial" w:hAnsi="Arial" w:cs="Arial"/>
          <w:color w:val="000000"/>
          <w:sz w:val="18"/>
        </w:rPr>
        <w:t xml:space="preserve">But the actual malice standard is not about whether the speaker had evil intent or a motive arising from ill will; it is about whether the speaker subjectively doubts the truth of the publication. </w:t>
      </w:r>
      <w:bookmarkStart w:id="7244" w:name="Bookmark_I63893WC2D6MWK0050000400"/>
      <w:bookmarkStart w:id="7245" w:name="Bookmark_I63893WC2D6MWK0020000400"/>
      <w:bookmarkEnd w:id="7244"/>
      <w:bookmarkEnd w:id="7245"/>
      <w:r>
        <w:rPr>
          <w:rFonts w:ascii="Arial" w:eastAsia="Arial" w:hAnsi="Arial" w:cs="Arial"/>
          <w:i/>
          <w:color w:val="000000"/>
          <w:sz w:val="18"/>
        </w:rPr>
        <w:t>Masson v. New Yorker Mag., Inc.</w:t>
      </w:r>
      <w:r>
        <w:rPr>
          <w:rFonts w:ascii="Arial" w:eastAsia="Arial" w:hAnsi="Arial" w:cs="Arial"/>
          <w:color w:val="000000"/>
          <w:sz w:val="18"/>
        </w:rPr>
        <w:t xml:space="preserve">, 501 U.S. 496, 510-11, 111 S. Ct. 2419, 115 L. Ed. 2d 447 (1991). </w:t>
      </w:r>
      <w:bookmarkStart w:id="7246" w:name="Bookmark_I63893WC2D6MWK0050000400_2"/>
      <w:bookmarkEnd w:id="7246"/>
      <w:r>
        <w:rPr>
          <w:rFonts w:ascii="Arial" w:eastAsia="Arial" w:hAnsi="Arial" w:cs="Arial"/>
          <w:color w:val="000000"/>
          <w:sz w:val="18"/>
        </w:rPr>
        <w:t xml:space="preserve">These allegations do not give rise to a reasonable inference that SPLC seriously doubted the accuracy of its designation. </w:t>
      </w:r>
      <w:r>
        <w:rPr>
          <w:rFonts w:ascii="Arial" w:eastAsia="Arial" w:hAnsi="Arial" w:cs="Arial"/>
          <w:i/>
          <w:color w:val="000000"/>
          <w:sz w:val="18"/>
        </w:rPr>
        <w:t xml:space="preserve">See </w:t>
      </w:r>
      <w:bookmarkStart w:id="7247" w:name="Bookmark_I63893WC2D6MWK0040000400"/>
      <w:bookmarkEnd w:id="7247"/>
      <w:r>
        <w:rPr>
          <w:rFonts w:ascii="Arial" w:eastAsia="Arial" w:hAnsi="Arial" w:cs="Arial"/>
          <w:i/>
          <w:color w:val="000000"/>
          <w:sz w:val="18"/>
        </w:rPr>
        <w:t>Berisha</w:t>
      </w:r>
      <w:r>
        <w:rPr>
          <w:rFonts w:ascii="Arial" w:eastAsia="Arial" w:hAnsi="Arial" w:cs="Arial"/>
          <w:color w:val="000000"/>
          <w:sz w:val="18"/>
        </w:rPr>
        <w:t>, 973 F.3d at 1304.</w:t>
      </w:r>
    </w:p>
  </w:footnote>
  <w:footnote w:id="230">
    <w:p w:rsidR="00022B47" w:rsidRDefault="00000000">
      <w:pPr>
        <w:pStyle w:val="Normal48"/>
        <w:widowControl w:val="0"/>
        <w:spacing w:before="200" w:line="240" w:lineRule="atLeast"/>
        <w:jc w:val="both"/>
      </w:pPr>
      <w:r>
        <w:rPr>
          <w:rFonts w:ascii="Arial" w:eastAsia="Arial" w:hAnsi="Arial" w:cs="Arial"/>
          <w:color w:val="000000"/>
          <w:sz w:val="18"/>
          <w:vertAlign w:val="superscript"/>
        </w:rPr>
        <w:t>9 </w:t>
      </w:r>
      <w:bookmarkStart w:id="7249" w:name="Bookmark_fnpara_9_10"/>
      <w:bookmarkStart w:id="7250" w:name="Bookmark_I63893WC2N1RBC0020000400"/>
      <w:bookmarkEnd w:id="7249"/>
      <w:bookmarkEnd w:id="7250"/>
      <w:r>
        <w:rPr>
          <w:rFonts w:ascii="Arial" w:eastAsia="Arial" w:hAnsi="Arial" w:cs="Arial"/>
          <w:color w:val="000000"/>
          <w:sz w:val="18"/>
        </w:rPr>
        <w:t xml:space="preserve">Coral Ridge also asks us, for the first time on appeal, to get rid of the actual malice requirement. But even if this argument were not waived, we could not grant the relief Coral Ridge seeks. </w:t>
      </w:r>
      <w:bookmarkStart w:id="7251" w:name="Bookmark_I63893WC2N1RBC0040000400"/>
      <w:bookmarkEnd w:id="7251"/>
      <w:r>
        <w:rPr>
          <w:rFonts w:ascii="Arial" w:eastAsia="Arial" w:hAnsi="Arial" w:cs="Arial"/>
          <w:i/>
          <w:color w:val="000000"/>
          <w:sz w:val="18"/>
        </w:rPr>
        <w:t xml:space="preserve">See </w:t>
      </w:r>
      <w:bookmarkStart w:id="7252" w:name="Bookmark_I63893WC2N1RBC0010000400"/>
      <w:bookmarkEnd w:id="7252"/>
      <w:r>
        <w:rPr>
          <w:rFonts w:ascii="Arial" w:eastAsia="Arial" w:hAnsi="Arial" w:cs="Arial"/>
          <w:i/>
          <w:color w:val="000000"/>
          <w:sz w:val="18"/>
        </w:rPr>
        <w:t>Bryant v. Jones</w:t>
      </w:r>
      <w:r>
        <w:rPr>
          <w:rFonts w:ascii="Arial" w:eastAsia="Arial" w:hAnsi="Arial" w:cs="Arial"/>
          <w:color w:val="000000"/>
          <w:sz w:val="18"/>
        </w:rPr>
        <w:t xml:space="preserve">, 575 F.3d 1281, 1308 (11th Cir. 2009). </w:t>
      </w:r>
      <w:bookmarkStart w:id="7253" w:name="Bookmark_I63893WC2N1RBC0040000400_2"/>
      <w:bookmarkStart w:id="7254" w:name="Bookmark_LNHNREFclscc5_39"/>
      <w:bookmarkEnd w:id="7253"/>
      <w:bookmarkEnd w:id="7254"/>
      <w:r>
        <w:rPr>
          <w:rFonts w:ascii="Arial" w:eastAsia="Arial" w:hAnsi="Arial" w:cs="Arial"/>
          <w:color w:val="000000"/>
          <w:sz w:val="18"/>
        </w:rPr>
        <w:t xml:space="preserve">A circuit court is not at liberty to decline to follow the decisions of the Supreme Court. </w:t>
      </w:r>
      <w:bookmarkStart w:id="7255" w:name="Bookmark_I63893WC2N1RBC0030000400"/>
      <w:bookmarkEnd w:id="7255"/>
      <w:r>
        <w:rPr>
          <w:rFonts w:ascii="Arial" w:eastAsia="Arial" w:hAnsi="Arial" w:cs="Arial"/>
          <w:i/>
          <w:color w:val="000000"/>
          <w:sz w:val="18"/>
        </w:rPr>
        <w:t>United States v. Gibson</w:t>
      </w:r>
      <w:r>
        <w:rPr>
          <w:rFonts w:ascii="Arial" w:eastAsia="Arial" w:hAnsi="Arial" w:cs="Arial"/>
          <w:color w:val="000000"/>
          <w:sz w:val="18"/>
        </w:rPr>
        <w:t>, 434 F.3d 1234, 1246 (11th Cir. 2006).</w:t>
      </w:r>
    </w:p>
  </w:footnote>
  <w:footnote w:id="231">
    <w:p w:rsidR="00022B47" w:rsidRDefault="00000000">
      <w:pPr>
        <w:pStyle w:val="Normal48"/>
        <w:widowControl w:val="0"/>
        <w:spacing w:before="200" w:line="240" w:lineRule="atLeast"/>
        <w:jc w:val="both"/>
      </w:pPr>
      <w:r>
        <w:rPr>
          <w:rFonts w:ascii="Arial" w:eastAsia="Arial" w:hAnsi="Arial" w:cs="Arial"/>
          <w:color w:val="000000"/>
          <w:sz w:val="18"/>
          <w:vertAlign w:val="superscript"/>
        </w:rPr>
        <w:t>10 </w:t>
      </w:r>
      <w:bookmarkStart w:id="7305" w:name="Bookmark_fnpara_10_6"/>
      <w:bookmarkEnd w:id="7305"/>
      <w:r>
        <w:rPr>
          <w:rFonts w:ascii="Arial" w:eastAsia="Arial" w:hAnsi="Arial" w:cs="Arial"/>
          <w:color w:val="000000"/>
          <w:sz w:val="18"/>
        </w:rPr>
        <w:t xml:space="preserve">In </w:t>
      </w:r>
      <w:bookmarkStart w:id="7306" w:name="Bookmark_I63893WT2N1RCW0020000400"/>
      <w:bookmarkEnd w:id="7306"/>
      <w:r>
        <w:rPr>
          <w:rFonts w:ascii="Arial" w:eastAsia="Arial" w:hAnsi="Arial" w:cs="Arial"/>
          <w:i/>
          <w:color w:val="000000"/>
          <w:sz w:val="18"/>
        </w:rPr>
        <w:t>Bonner v. City of Prichard</w:t>
      </w:r>
      <w:r>
        <w:rPr>
          <w:rFonts w:ascii="Arial" w:eastAsia="Arial" w:hAnsi="Arial" w:cs="Arial"/>
          <w:color w:val="000000"/>
          <w:sz w:val="18"/>
        </w:rPr>
        <w:t>, 661 F.2d 1206, 1207 (11th Cir. 1981) (en banc), we adopted as binding precedent all decisions of the former Fifth Circuit handed down prior to the close of business on September 30, 1981.</w:t>
      </w:r>
    </w:p>
  </w:footnote>
  <w:footnote w:id="232">
    <w:p w:rsidR="00022B47" w:rsidRDefault="00000000">
      <w:pPr>
        <w:pStyle w:val="Normal48"/>
        <w:widowControl w:val="0"/>
        <w:spacing w:before="120" w:line="240" w:lineRule="atLeast"/>
        <w:jc w:val="both"/>
      </w:pPr>
      <w:r>
        <w:rPr>
          <w:rFonts w:ascii="Arial" w:eastAsia="Arial" w:hAnsi="Arial" w:cs="Arial"/>
          <w:color w:val="000000"/>
          <w:sz w:val="18"/>
          <w:vertAlign w:val="superscript"/>
        </w:rPr>
        <w:t>11 </w:t>
      </w:r>
      <w:bookmarkStart w:id="7309" w:name="Bookmark_fnpara_11_3"/>
      <w:bookmarkEnd w:id="7309"/>
      <w:r>
        <w:rPr>
          <w:rFonts w:ascii="Arial" w:eastAsia="Arial" w:hAnsi="Arial" w:cs="Arial"/>
          <w:color w:val="000000"/>
          <w:sz w:val="18"/>
        </w:rPr>
        <w:t>The district court offered a helpful, concrete example demonstrating the negative implications of accepting Coral Ridge's interpretation of Title II:</w:t>
      </w:r>
    </w:p>
    <w:p w:rsidR="00022B47" w:rsidRDefault="00000000">
      <w:pPr>
        <w:pStyle w:val="Normal48"/>
        <w:widowControl w:val="0"/>
        <w:spacing w:before="200" w:line="240" w:lineRule="atLeast"/>
        <w:ind w:left="400"/>
        <w:jc w:val="both"/>
      </w:pPr>
      <w:bookmarkStart w:id="7310" w:name="Bookmark_para_25_29"/>
      <w:bookmarkEnd w:id="7310"/>
      <w:r>
        <w:rPr>
          <w:rFonts w:ascii="Arial" w:eastAsia="Arial" w:hAnsi="Arial" w:cs="Arial"/>
          <w:color w:val="000000"/>
          <w:sz w:val="18"/>
        </w:rPr>
        <w:t xml:space="preserve">By way of comparison, assume that a closely held fast-food restaurant chain, whose owners are Christian and object to homosexuality based on their religious beliefs, initiates a "charity match" program. Under the program, consumers who purchase a certain number of sandwiches may donate up to $5.00 to the charity of their choice, subject to certain restrictions, and the corporation will match the donation. According to Coral Ridge's interpretation of Title II, the fast-food chain could be compelled—over their objection—to match donations to, for example, a church whose central mission is promoting the Christian acceptance of homosexuality; the Church of Satan; or any number of religious organizations whose purpose and activities run directly contrary to the business's deeply held convictions. </w:t>
      </w:r>
      <w:bookmarkStart w:id="7311" w:name="Bookmark_I63893WT2N1RCW0050000400"/>
      <w:bookmarkEnd w:id="7311"/>
      <w:r>
        <w:rPr>
          <w:rFonts w:ascii="Arial" w:eastAsia="Arial" w:hAnsi="Arial" w:cs="Arial"/>
          <w:color w:val="000000"/>
          <w:sz w:val="18"/>
        </w:rPr>
        <w:t>Even though the consumer initiated the transaction that would ultimately lead to the business donating [**16]  money, it is still the business's money being donated, and the business retains its say as to where it goes.</w:t>
      </w:r>
    </w:p>
    <w:p w:rsidR="00022B47" w:rsidRDefault="00000000">
      <w:pPr>
        <w:pStyle w:val="Normal48"/>
        <w:widowControl w:val="0"/>
        <w:spacing w:before="200" w:line="240" w:lineRule="atLeast"/>
        <w:jc w:val="both"/>
      </w:pPr>
      <w:bookmarkStart w:id="7312" w:name="Bookmark_I63893WT2N1RCW0050000400_2"/>
      <w:bookmarkStart w:id="7313" w:name="Bookmark_I63893WT2N1RCW0040000400"/>
      <w:bookmarkEnd w:id="7312"/>
      <w:bookmarkEnd w:id="7313"/>
      <w:r>
        <w:rPr>
          <w:rFonts w:ascii="Arial" w:eastAsia="Arial" w:hAnsi="Arial" w:cs="Arial"/>
          <w:i/>
          <w:color w:val="000000"/>
          <w:sz w:val="18"/>
        </w:rPr>
        <w:t>Coral Ridge Ministries Media, Inc. v. Amazon.com, Inc.</w:t>
      </w:r>
      <w:r>
        <w:rPr>
          <w:rFonts w:ascii="Arial" w:eastAsia="Arial" w:hAnsi="Arial" w:cs="Arial"/>
          <w:color w:val="000000"/>
          <w:sz w:val="18"/>
        </w:rPr>
        <w:t>, 406 F. Supp. 3d 1258, 1303 (M.D. Ala. 2019).</w:t>
      </w:r>
    </w:p>
  </w:footnote>
  <w:footnote w:id="233">
    <w:p w:rsidR="00022B47" w:rsidRDefault="00000000">
      <w:pPr>
        <w:pStyle w:val="Normal48"/>
        <w:widowControl w:val="0"/>
        <w:spacing w:before="200" w:line="240" w:lineRule="atLeast"/>
        <w:jc w:val="both"/>
      </w:pPr>
      <w:r>
        <w:rPr>
          <w:rFonts w:ascii="Arial" w:eastAsia="Arial" w:hAnsi="Arial" w:cs="Arial"/>
          <w:color w:val="000000"/>
          <w:sz w:val="18"/>
          <w:vertAlign w:val="superscript"/>
        </w:rPr>
        <w:t>12 </w:t>
      </w:r>
      <w:bookmarkStart w:id="7318" w:name="Bookmark_fnpara_12_3"/>
      <w:bookmarkEnd w:id="7318"/>
      <w:r>
        <w:rPr>
          <w:rFonts w:ascii="Arial" w:eastAsia="Arial" w:hAnsi="Arial" w:cs="Arial"/>
          <w:color w:val="000000"/>
          <w:sz w:val="18"/>
        </w:rPr>
        <w:t xml:space="preserve">We have not determined if non-physical spaces, like websites, qualify as places of public accommodation under Title II. </w:t>
      </w:r>
      <w:bookmarkStart w:id="7319" w:name="Bookmark_LNHNREFclscc10_22"/>
      <w:bookmarkEnd w:id="7319"/>
      <w:r>
        <w:rPr>
          <w:rFonts w:ascii="Arial" w:eastAsia="Arial" w:hAnsi="Arial" w:cs="Arial"/>
          <w:color w:val="000000"/>
          <w:sz w:val="18"/>
        </w:rPr>
        <w:t xml:space="preserve">However, in </w:t>
      </w:r>
      <w:bookmarkStart w:id="7320" w:name="Bookmark_I63893WT2D6MY70010000400"/>
      <w:bookmarkEnd w:id="7320"/>
      <w:r>
        <w:rPr>
          <w:rFonts w:ascii="Arial" w:eastAsia="Arial" w:hAnsi="Arial" w:cs="Arial"/>
          <w:i/>
          <w:color w:val="000000"/>
          <w:sz w:val="18"/>
        </w:rPr>
        <w:t>Gil v. Winn-Dixie Stores, Inc.</w:t>
      </w:r>
      <w:r>
        <w:rPr>
          <w:rFonts w:ascii="Arial" w:eastAsia="Arial" w:hAnsi="Arial" w:cs="Arial"/>
          <w:color w:val="000000"/>
          <w:sz w:val="18"/>
        </w:rPr>
        <w:t xml:space="preserve">, 993 F.3d 1266, 1277 (11th Cir. 2021), we held that websites are not places of public accommodation under Title III of the Americans with Disabilities Act (ADA), 42 U.S.C. §12182. While we recognize that the relevant statutory language in the ADA is similar to that of Title II, we do not decide whether </w:t>
      </w:r>
      <w:r>
        <w:rPr>
          <w:rFonts w:ascii="Arial" w:eastAsia="Arial" w:hAnsi="Arial" w:cs="Arial"/>
          <w:i/>
          <w:color w:val="000000"/>
          <w:sz w:val="18"/>
        </w:rPr>
        <w:t>Gil</w:t>
      </w:r>
      <w:r>
        <w:rPr>
          <w:rFonts w:ascii="Arial" w:eastAsia="Arial" w:hAnsi="Arial" w:cs="Arial"/>
          <w:color w:val="000000"/>
          <w:sz w:val="18"/>
        </w:rPr>
        <w:t xml:space="preserve"> is applicable here because we find Coral Ridge's claim fails regardless on First Amendment grounds.</w:t>
      </w:r>
    </w:p>
  </w:footnote>
  <w:footnote w:id="234">
    <w:p w:rsidR="00022B47" w:rsidRDefault="00000000">
      <w:pPr>
        <w:pStyle w:val="Normal49"/>
        <w:widowControl w:val="0"/>
        <w:spacing w:before="200" w:line="240" w:lineRule="atLeast"/>
        <w:jc w:val="both"/>
      </w:pPr>
      <w:r>
        <w:rPr>
          <w:rFonts w:ascii="Arial" w:eastAsia="Arial" w:hAnsi="Arial" w:cs="Arial"/>
          <w:color w:val="000000"/>
          <w:sz w:val="18"/>
          <w:vertAlign w:val="superscript"/>
        </w:rPr>
        <w:t>1 </w:t>
      </w:r>
      <w:bookmarkStart w:id="7334" w:name="Bookmark_fnpara_1_41"/>
      <w:bookmarkStart w:id="7335" w:name="Bookmark_I63893HW2N1RGR0020000400"/>
      <w:bookmarkEnd w:id="7334"/>
      <w:bookmarkEnd w:id="7335"/>
      <w:r>
        <w:rPr>
          <w:rFonts w:ascii="Arial" w:eastAsia="Arial" w:hAnsi="Arial" w:cs="Arial"/>
          <w:color w:val="000000"/>
          <w:sz w:val="18"/>
        </w:rPr>
        <w:t xml:space="preserve">Since the Prims are the non-movants, we construe the evidence in the light most favorable to them. </w:t>
      </w:r>
      <w:r>
        <w:rPr>
          <w:rFonts w:ascii="Arial" w:eastAsia="Arial" w:hAnsi="Arial" w:cs="Arial"/>
          <w:i/>
          <w:color w:val="000000"/>
          <w:sz w:val="18"/>
        </w:rPr>
        <w:t xml:space="preserve">See </w:t>
      </w:r>
      <w:bookmarkStart w:id="7336" w:name="Bookmark_I63893HW2N1RGR0010000400"/>
      <w:bookmarkEnd w:id="7336"/>
      <w:r>
        <w:rPr>
          <w:rFonts w:ascii="Arial" w:eastAsia="Arial" w:hAnsi="Arial" w:cs="Arial"/>
          <w:i/>
          <w:color w:val="000000"/>
          <w:sz w:val="18"/>
        </w:rPr>
        <w:t>Adickes v. S.H. Kress &amp; Co.</w:t>
      </w:r>
      <w:r>
        <w:rPr>
          <w:rFonts w:ascii="Arial" w:eastAsia="Arial" w:hAnsi="Arial" w:cs="Arial"/>
          <w:color w:val="000000"/>
          <w:sz w:val="18"/>
        </w:rPr>
        <w:t>, 398 U.S. 144, 158-59, 90 S. Ct. 1598, 26 L. Ed. 2d 142 (1970).</w:t>
      </w:r>
    </w:p>
  </w:footnote>
  <w:footnote w:id="235">
    <w:p w:rsidR="00022B47" w:rsidRDefault="00000000">
      <w:pPr>
        <w:pStyle w:val="Normal49"/>
        <w:widowControl w:val="0"/>
        <w:spacing w:before="120" w:line="240" w:lineRule="atLeast"/>
        <w:jc w:val="both"/>
      </w:pPr>
      <w:r>
        <w:rPr>
          <w:rFonts w:ascii="Arial" w:eastAsia="Arial" w:hAnsi="Arial" w:cs="Arial"/>
          <w:color w:val="000000"/>
          <w:sz w:val="18"/>
          <w:vertAlign w:val="superscript"/>
        </w:rPr>
        <w:t>2 </w:t>
      </w:r>
      <w:bookmarkStart w:id="7338" w:name="Bookmark_fnpara_2_36"/>
      <w:bookmarkEnd w:id="7338"/>
      <w:r>
        <w:rPr>
          <w:rFonts w:ascii="Arial" w:eastAsia="Arial" w:hAnsi="Arial" w:cs="Arial"/>
          <w:color w:val="000000"/>
          <w:sz w:val="18"/>
        </w:rPr>
        <w:t>The Pavilion is also known as the Center for the Performing Arts at the Woodlands.</w:t>
      </w:r>
    </w:p>
  </w:footnote>
  <w:footnote w:id="236">
    <w:p w:rsidR="00022B47" w:rsidRDefault="00000000">
      <w:pPr>
        <w:pStyle w:val="Normal49"/>
        <w:widowControl w:val="0"/>
        <w:spacing w:before="120" w:line="240" w:lineRule="atLeast"/>
        <w:jc w:val="both"/>
      </w:pPr>
      <w:r>
        <w:rPr>
          <w:rFonts w:ascii="Arial" w:eastAsia="Arial" w:hAnsi="Arial" w:cs="Arial"/>
          <w:color w:val="000000"/>
          <w:sz w:val="18"/>
          <w:vertAlign w:val="superscript"/>
        </w:rPr>
        <w:t>3 </w:t>
      </w:r>
      <w:bookmarkStart w:id="7340" w:name="Bookmark_fnpara_3_31"/>
      <w:bookmarkEnd w:id="7340"/>
      <w:r>
        <w:rPr>
          <w:rFonts w:ascii="Arial" w:eastAsia="Arial" w:hAnsi="Arial" w:cs="Arial"/>
          <w:color w:val="000000"/>
          <w:sz w:val="18"/>
        </w:rPr>
        <w:t>Dinner occurred sometime between 4 and 7pm on June 17, 2018.</w:t>
      </w:r>
    </w:p>
  </w:footnote>
  <w:footnote w:id="237">
    <w:p w:rsidR="00022B47" w:rsidRDefault="00000000">
      <w:pPr>
        <w:pStyle w:val="Normal49"/>
        <w:widowControl w:val="0"/>
        <w:spacing w:before="200" w:line="240" w:lineRule="atLeast"/>
        <w:jc w:val="both"/>
      </w:pPr>
      <w:r>
        <w:rPr>
          <w:rFonts w:ascii="Arial" w:eastAsia="Arial" w:hAnsi="Arial" w:cs="Arial"/>
          <w:color w:val="000000"/>
          <w:sz w:val="18"/>
          <w:vertAlign w:val="superscript"/>
        </w:rPr>
        <w:t>4 </w:t>
      </w:r>
      <w:bookmarkStart w:id="7345" w:name="Bookmark_fnpara_4_24"/>
      <w:bookmarkStart w:id="7346" w:name="Bookmark_I63893HW2N1RGR0040000400"/>
      <w:bookmarkEnd w:id="7345"/>
      <w:bookmarkEnd w:id="7346"/>
      <w:r>
        <w:rPr>
          <w:rFonts w:ascii="Arial" w:eastAsia="Arial" w:hAnsi="Arial" w:cs="Arial"/>
          <w:color w:val="000000"/>
          <w:sz w:val="18"/>
        </w:rPr>
        <w:t xml:space="preserve">The Prims do not present an argument that the district court erred in granting summary judgment on their claim for intentional infliction of emotional distress. Any potential argument has been abandoned on appeal. </w:t>
      </w:r>
      <w:r>
        <w:rPr>
          <w:rFonts w:ascii="Arial" w:eastAsia="Arial" w:hAnsi="Arial" w:cs="Arial"/>
          <w:i/>
          <w:color w:val="000000"/>
          <w:sz w:val="18"/>
        </w:rPr>
        <w:t xml:space="preserve">See </w:t>
      </w:r>
      <w:bookmarkStart w:id="7347" w:name="Bookmark_I63893HW2N1RGR0030000400"/>
      <w:bookmarkEnd w:id="7347"/>
      <w:r>
        <w:rPr>
          <w:rFonts w:ascii="Arial" w:eastAsia="Arial" w:hAnsi="Arial" w:cs="Arial"/>
          <w:i/>
          <w:color w:val="000000"/>
          <w:sz w:val="18"/>
        </w:rPr>
        <w:t>Mackey v. Astrue</w:t>
      </w:r>
      <w:r>
        <w:rPr>
          <w:rFonts w:ascii="Arial" w:eastAsia="Arial" w:hAnsi="Arial" w:cs="Arial"/>
          <w:color w:val="000000"/>
          <w:sz w:val="18"/>
        </w:rPr>
        <w:t>, 486 F. App'x 421, 423 (5th Cir. 2012) (per curiam).</w:t>
      </w:r>
    </w:p>
  </w:footnote>
  <w:footnote w:id="238">
    <w:p w:rsidR="00022B47" w:rsidRDefault="00000000">
      <w:pPr>
        <w:pStyle w:val="Normal49"/>
        <w:widowControl w:val="0"/>
        <w:spacing w:before="120" w:line="240" w:lineRule="atLeast"/>
        <w:jc w:val="both"/>
      </w:pPr>
      <w:r>
        <w:rPr>
          <w:rFonts w:ascii="Arial" w:eastAsia="Arial" w:hAnsi="Arial" w:cs="Arial"/>
          <w:color w:val="000000"/>
          <w:sz w:val="18"/>
          <w:vertAlign w:val="superscript"/>
        </w:rPr>
        <w:t>5 </w:t>
      </w:r>
      <w:bookmarkStart w:id="7435" w:name="Bookmark_fnpara_5_17"/>
      <w:bookmarkEnd w:id="7435"/>
      <w:r>
        <w:rPr>
          <w:rFonts w:ascii="Arial" w:eastAsia="Arial" w:hAnsi="Arial" w:cs="Arial"/>
          <w:color w:val="000000"/>
          <w:sz w:val="18"/>
        </w:rPr>
        <w:t>The Prims did not present evidence that Eric has a disability within the meaning of the ADA.</w:t>
      </w:r>
    </w:p>
  </w:footnote>
  <w:footnote w:id="239">
    <w:p w:rsidR="00022B47" w:rsidRDefault="00000000">
      <w:pPr>
        <w:pStyle w:val="Normal49"/>
        <w:widowControl w:val="0"/>
        <w:spacing w:before="120" w:line="240" w:lineRule="atLeast"/>
        <w:jc w:val="both"/>
      </w:pPr>
      <w:r>
        <w:rPr>
          <w:rFonts w:ascii="Arial" w:eastAsia="Arial" w:hAnsi="Arial" w:cs="Arial"/>
          <w:color w:val="000000"/>
          <w:sz w:val="18"/>
          <w:vertAlign w:val="superscript"/>
        </w:rPr>
        <w:t>6 </w:t>
      </w:r>
      <w:bookmarkStart w:id="7449" w:name="Bookmark_fnpara_6_14"/>
      <w:bookmarkEnd w:id="7449"/>
      <w:r>
        <w:rPr>
          <w:rFonts w:ascii="Arial" w:eastAsia="Arial" w:hAnsi="Arial" w:cs="Arial"/>
          <w:color w:val="000000"/>
          <w:sz w:val="18"/>
        </w:rPr>
        <w:t>Janet points to several features of the Pavilion including the spotlights and strobe lights that are used during concerts.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0"/>
          </w:pPr>
        </w:p>
      </w:tc>
    </w:tr>
    <w:tr w:rsidR="00022B47">
      <w:trPr>
        <w:jc w:val="center"/>
      </w:trPr>
      <w:tc>
        <w:tcPr>
          <w:tcW w:w="10080" w:type="dxa"/>
        </w:tcPr>
        <w:p w:rsidR="00022B47" w:rsidRDefault="00000000">
          <w:pPr>
            <w:pStyle w:val="Normal0"/>
            <w:spacing w:before="60" w:after="200"/>
            <w:jc w:val="center"/>
          </w:pPr>
          <w:r>
            <w:rPr>
              <w:rFonts w:ascii="Arial" w:eastAsia="Arial" w:hAnsi="Arial" w:cs="Arial"/>
              <w:sz w:val="20"/>
            </w:rPr>
            <w:t>Mastaw v. W. Fla. Med. Ctr. Clinic, PA, 2023 U.S. App. LEXIS 22208</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1"/>
          </w:pPr>
        </w:p>
      </w:tc>
    </w:tr>
    <w:tr w:rsidR="00022B47">
      <w:trPr>
        <w:jc w:val="center"/>
      </w:trPr>
      <w:tc>
        <w:tcPr>
          <w:tcW w:w="10080" w:type="dxa"/>
        </w:tcPr>
        <w:p w:rsidR="00022B47" w:rsidRDefault="00000000">
          <w:pPr>
            <w:pStyle w:val="Normal1"/>
            <w:spacing w:before="60" w:after="200"/>
            <w:jc w:val="center"/>
          </w:pPr>
          <w:r>
            <w:rPr>
              <w:rFonts w:ascii="Arial" w:eastAsia="Arial" w:hAnsi="Arial" w:cs="Arial"/>
              <w:sz w:val="20"/>
            </w:rPr>
            <w:t>Hall v. Higgins, 2023 U.S. App. LEXIS 21174</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2"/>
          </w:pPr>
        </w:p>
      </w:tc>
    </w:tr>
    <w:tr w:rsidR="00022B47">
      <w:trPr>
        <w:jc w:val="center"/>
      </w:trPr>
      <w:tc>
        <w:tcPr>
          <w:tcW w:w="10080" w:type="dxa"/>
        </w:tcPr>
        <w:p w:rsidR="00022B47" w:rsidRDefault="00000000">
          <w:pPr>
            <w:pStyle w:val="Normal2"/>
            <w:spacing w:before="60" w:after="200"/>
            <w:jc w:val="center"/>
          </w:pPr>
          <w:r>
            <w:rPr>
              <w:rFonts w:ascii="Arial" w:eastAsia="Arial" w:hAnsi="Arial" w:cs="Arial"/>
              <w:sz w:val="20"/>
            </w:rPr>
            <w:t>EEOC v. Charter Commc'ns, LLC, 75 F.4th 729</w:t>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3"/>
          </w:pPr>
        </w:p>
      </w:tc>
    </w:tr>
    <w:tr w:rsidR="00022B47">
      <w:trPr>
        <w:jc w:val="center"/>
      </w:trPr>
      <w:tc>
        <w:tcPr>
          <w:tcW w:w="10080" w:type="dxa"/>
        </w:tcPr>
        <w:p w:rsidR="00022B47" w:rsidRDefault="00000000">
          <w:pPr>
            <w:pStyle w:val="Normal3"/>
            <w:spacing w:before="60" w:after="200"/>
            <w:jc w:val="center"/>
          </w:pPr>
          <w:r>
            <w:rPr>
              <w:rFonts w:ascii="Arial" w:eastAsia="Arial" w:hAnsi="Arial" w:cs="Arial"/>
              <w:sz w:val="20"/>
            </w:rPr>
            <w:t>Garcia v. City of Lubbock, 2023 U.S. App. LEXIS 18513</w:t>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4"/>
          </w:pPr>
        </w:p>
      </w:tc>
    </w:tr>
    <w:tr w:rsidR="00022B47">
      <w:trPr>
        <w:jc w:val="center"/>
      </w:trPr>
      <w:tc>
        <w:tcPr>
          <w:tcW w:w="10080" w:type="dxa"/>
        </w:tcPr>
        <w:p w:rsidR="00022B47" w:rsidRDefault="00000000">
          <w:pPr>
            <w:pStyle w:val="Normal4"/>
            <w:spacing w:before="60" w:after="200"/>
            <w:jc w:val="center"/>
          </w:pPr>
          <w:r>
            <w:rPr>
              <w:rFonts w:ascii="Arial" w:eastAsia="Arial" w:hAnsi="Arial" w:cs="Arial"/>
              <w:sz w:val="20"/>
            </w:rPr>
            <w:t>Hannah v. UPS, 72 F.4th 630</w:t>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5"/>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5"/>
          </w:pPr>
        </w:p>
      </w:tc>
    </w:tr>
    <w:tr w:rsidR="00022B47">
      <w:trPr>
        <w:jc w:val="center"/>
      </w:trPr>
      <w:tc>
        <w:tcPr>
          <w:tcW w:w="10080" w:type="dxa"/>
        </w:tcPr>
        <w:p w:rsidR="00022B47" w:rsidRDefault="00000000">
          <w:pPr>
            <w:pStyle w:val="Normal5"/>
            <w:spacing w:before="60" w:after="200"/>
            <w:jc w:val="center"/>
          </w:pPr>
          <w:r>
            <w:rPr>
              <w:rFonts w:ascii="Arial" w:eastAsia="Arial" w:hAnsi="Arial" w:cs="Arial"/>
              <w:sz w:val="20"/>
            </w:rPr>
            <w:t>Campbell v. Universal City Dev. Partners, LTD, 72 F.4th 1245</w:t>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5"/>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6"/>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6"/>
          </w:pPr>
        </w:p>
      </w:tc>
    </w:tr>
    <w:tr w:rsidR="00022B47">
      <w:trPr>
        <w:jc w:val="center"/>
      </w:trPr>
      <w:tc>
        <w:tcPr>
          <w:tcW w:w="10080" w:type="dxa"/>
        </w:tcPr>
        <w:p w:rsidR="00022B47" w:rsidRDefault="00000000">
          <w:pPr>
            <w:pStyle w:val="Normal6"/>
            <w:spacing w:before="60" w:after="200"/>
            <w:jc w:val="center"/>
          </w:pPr>
          <w:r>
            <w:rPr>
              <w:rFonts w:ascii="Arial" w:eastAsia="Arial" w:hAnsi="Arial" w:cs="Arial"/>
              <w:sz w:val="20"/>
            </w:rPr>
            <w:t>Hopman v. Union Pac. R.R., 68 F.4th 394</w:t>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6"/>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7"/>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7"/>
          </w:pPr>
        </w:p>
      </w:tc>
    </w:tr>
    <w:tr w:rsidR="00022B47">
      <w:trPr>
        <w:jc w:val="center"/>
      </w:trPr>
      <w:tc>
        <w:tcPr>
          <w:tcW w:w="10080" w:type="dxa"/>
        </w:tcPr>
        <w:p w:rsidR="00022B47" w:rsidRDefault="00000000">
          <w:pPr>
            <w:pStyle w:val="Normal7"/>
            <w:spacing w:before="60" w:after="200"/>
            <w:jc w:val="center"/>
          </w:pPr>
          <w:r>
            <w:rPr>
              <w:rFonts w:ascii="Arial" w:eastAsia="Arial" w:hAnsi="Arial" w:cs="Arial"/>
              <w:sz w:val="20"/>
            </w:rPr>
            <w:t>Reinoehl v. Whitmer, 2023 U.S. App. LEXIS 9153</w:t>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7"/>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8"/>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8"/>
          </w:pPr>
        </w:p>
      </w:tc>
    </w:tr>
    <w:tr w:rsidR="00022B47">
      <w:trPr>
        <w:jc w:val="center"/>
      </w:trPr>
      <w:tc>
        <w:tcPr>
          <w:tcW w:w="10080" w:type="dxa"/>
        </w:tcPr>
        <w:p w:rsidR="00022B47" w:rsidRDefault="00000000">
          <w:pPr>
            <w:pStyle w:val="Normal8"/>
            <w:spacing w:before="60" w:after="200"/>
            <w:jc w:val="center"/>
          </w:pPr>
          <w:r>
            <w:rPr>
              <w:rFonts w:ascii="Arial" w:eastAsia="Arial" w:hAnsi="Arial" w:cs="Arial"/>
              <w:sz w:val="20"/>
            </w:rPr>
            <w:t>Clark v. La., Dep't of Pub. Safety, 63 F.4th 466</w:t>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8"/>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9"/>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9"/>
          </w:pPr>
        </w:p>
      </w:tc>
    </w:tr>
    <w:tr w:rsidR="00022B47">
      <w:trPr>
        <w:jc w:val="center"/>
      </w:trPr>
      <w:tc>
        <w:tcPr>
          <w:tcW w:w="10080" w:type="dxa"/>
        </w:tcPr>
        <w:p w:rsidR="00022B47" w:rsidRDefault="00000000">
          <w:pPr>
            <w:pStyle w:val="Normal9"/>
            <w:spacing w:before="60" w:after="200"/>
            <w:jc w:val="center"/>
          </w:pPr>
          <w:r>
            <w:rPr>
              <w:rFonts w:ascii="Arial" w:eastAsia="Arial" w:hAnsi="Arial" w:cs="Arial"/>
              <w:sz w:val="20"/>
            </w:rPr>
            <w:t>Laufer v. Naranda Hotels, LLC, 60 F.4th 156</w:t>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9"/>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10"/>
          </w:pPr>
        </w:p>
      </w:tc>
    </w:tr>
    <w:tr w:rsidR="00022B47">
      <w:trPr>
        <w:jc w:val="center"/>
      </w:trPr>
      <w:tc>
        <w:tcPr>
          <w:tcW w:w="10080" w:type="dxa"/>
        </w:tcPr>
        <w:p w:rsidR="00022B47" w:rsidRDefault="00000000">
          <w:pPr>
            <w:pStyle w:val="Normal10"/>
            <w:spacing w:before="60" w:after="200"/>
            <w:jc w:val="center"/>
          </w:pPr>
          <w:r>
            <w:rPr>
              <w:rFonts w:ascii="Arial" w:eastAsia="Arial" w:hAnsi="Arial" w:cs="Arial"/>
              <w:sz w:val="20"/>
            </w:rPr>
            <w:t>Lewis v. Georgia Power Co., 2023 U.S. App. LEXIS 3084</w:t>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1"/>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11"/>
          </w:pPr>
        </w:p>
      </w:tc>
    </w:tr>
    <w:tr w:rsidR="00022B47">
      <w:trPr>
        <w:jc w:val="center"/>
      </w:trPr>
      <w:tc>
        <w:tcPr>
          <w:tcW w:w="10080" w:type="dxa"/>
        </w:tcPr>
        <w:p w:rsidR="00022B47" w:rsidRDefault="00000000">
          <w:pPr>
            <w:pStyle w:val="Normal11"/>
            <w:spacing w:before="60" w:after="200"/>
            <w:jc w:val="center"/>
          </w:pPr>
          <w:r>
            <w:rPr>
              <w:rFonts w:ascii="Arial" w:eastAsia="Arial" w:hAnsi="Arial" w:cs="Arial"/>
              <w:sz w:val="20"/>
            </w:rPr>
            <w:t>Tomlinson v. Krauss-Maffei Corp., 2023 U.S. App. LEXIS 2949</w:t>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1"/>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2"/>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12"/>
          </w:pPr>
        </w:p>
      </w:tc>
    </w:tr>
    <w:tr w:rsidR="00022B47">
      <w:trPr>
        <w:jc w:val="center"/>
      </w:trPr>
      <w:tc>
        <w:tcPr>
          <w:tcW w:w="10080" w:type="dxa"/>
        </w:tcPr>
        <w:p w:rsidR="00022B47" w:rsidRDefault="00000000">
          <w:pPr>
            <w:pStyle w:val="Normal12"/>
            <w:spacing w:before="60" w:after="200"/>
            <w:jc w:val="center"/>
          </w:pPr>
          <w:r>
            <w:rPr>
              <w:rFonts w:ascii="Arial" w:eastAsia="Arial" w:hAnsi="Arial" w:cs="Arial"/>
              <w:sz w:val="20"/>
            </w:rPr>
            <w:t>Antolini v. Thurman, 2023 U.S. App. LEXIS 2419</w:t>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2"/>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3"/>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13"/>
          </w:pPr>
        </w:p>
      </w:tc>
    </w:tr>
    <w:tr w:rsidR="00022B47">
      <w:trPr>
        <w:jc w:val="center"/>
      </w:trPr>
      <w:tc>
        <w:tcPr>
          <w:tcW w:w="10080" w:type="dxa"/>
        </w:tcPr>
        <w:p w:rsidR="00022B47" w:rsidRDefault="00000000">
          <w:pPr>
            <w:pStyle w:val="Normal13"/>
            <w:spacing w:before="60" w:after="200"/>
            <w:jc w:val="center"/>
          </w:pPr>
          <w:r>
            <w:rPr>
              <w:rFonts w:ascii="Arial" w:eastAsia="Arial" w:hAnsi="Arial" w:cs="Arial"/>
              <w:sz w:val="20"/>
            </w:rPr>
            <w:t>Hernandez v. Hunger, 2022 U.S. App. LEXIS 36000</w:t>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3"/>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4"/>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14"/>
          </w:pPr>
        </w:p>
      </w:tc>
    </w:tr>
    <w:tr w:rsidR="00022B47">
      <w:trPr>
        <w:jc w:val="center"/>
      </w:trPr>
      <w:tc>
        <w:tcPr>
          <w:tcW w:w="10080" w:type="dxa"/>
        </w:tcPr>
        <w:p w:rsidR="00022B47" w:rsidRDefault="00000000">
          <w:pPr>
            <w:pStyle w:val="Normal14"/>
            <w:spacing w:before="60" w:after="200"/>
            <w:jc w:val="center"/>
          </w:pPr>
          <w:r>
            <w:rPr>
              <w:rFonts w:ascii="Arial" w:eastAsia="Arial" w:hAnsi="Arial" w:cs="Arial"/>
              <w:sz w:val="20"/>
            </w:rPr>
            <w:t>Basta v. Novant Health Inc., 56 F.4th 307</w:t>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4"/>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5"/>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15"/>
          </w:pPr>
        </w:p>
      </w:tc>
    </w:tr>
    <w:tr w:rsidR="00022B47">
      <w:trPr>
        <w:jc w:val="center"/>
      </w:trPr>
      <w:tc>
        <w:tcPr>
          <w:tcW w:w="10080" w:type="dxa"/>
        </w:tcPr>
        <w:p w:rsidR="00022B47" w:rsidRDefault="00000000">
          <w:pPr>
            <w:pStyle w:val="Normal15"/>
            <w:spacing w:before="60" w:after="200"/>
            <w:jc w:val="center"/>
          </w:pPr>
          <w:r>
            <w:rPr>
              <w:rFonts w:ascii="Arial" w:eastAsia="Arial" w:hAnsi="Arial" w:cs="Arial"/>
              <w:sz w:val="20"/>
            </w:rPr>
            <w:t>Richardson v. Clarke, 52 F.4th 614</w:t>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5"/>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6"/>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16"/>
          </w:pPr>
        </w:p>
      </w:tc>
    </w:tr>
    <w:tr w:rsidR="00022B47">
      <w:trPr>
        <w:jc w:val="center"/>
      </w:trPr>
      <w:tc>
        <w:tcPr>
          <w:tcW w:w="10080" w:type="dxa"/>
        </w:tcPr>
        <w:p w:rsidR="00022B47" w:rsidRDefault="00000000">
          <w:pPr>
            <w:pStyle w:val="Normal16"/>
            <w:spacing w:before="60" w:after="200"/>
            <w:jc w:val="center"/>
          </w:pPr>
          <w:r>
            <w:rPr>
              <w:rFonts w:ascii="Arial" w:eastAsia="Arial" w:hAnsi="Arial" w:cs="Arial"/>
              <w:sz w:val="20"/>
            </w:rPr>
            <w:t>Phillips v. Shelby Cnty., 2022 U.S. App. LEXIS 30613</w:t>
          </w:r>
        </w:p>
      </w:tc>
    </w:tr>
  </w:tbl>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6"/>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7"/>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17"/>
          </w:pPr>
        </w:p>
      </w:tc>
    </w:tr>
    <w:tr w:rsidR="00022B47">
      <w:trPr>
        <w:jc w:val="center"/>
      </w:trPr>
      <w:tc>
        <w:tcPr>
          <w:tcW w:w="10080" w:type="dxa"/>
        </w:tcPr>
        <w:p w:rsidR="00022B47" w:rsidRDefault="00000000">
          <w:pPr>
            <w:pStyle w:val="Normal17"/>
            <w:spacing w:before="60" w:after="200"/>
            <w:jc w:val="center"/>
          </w:pPr>
          <w:r>
            <w:rPr>
              <w:rFonts w:ascii="Arial" w:eastAsia="Arial" w:hAnsi="Arial" w:cs="Arial"/>
              <w:sz w:val="20"/>
            </w:rPr>
            <w:t>Laufer v. Acheson Hotels, LLC, 50 F.4th 259</w:t>
          </w:r>
        </w:p>
      </w:tc>
    </w:tr>
  </w:tbl>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7"/>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8"/>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18"/>
          </w:pPr>
        </w:p>
      </w:tc>
    </w:tr>
    <w:tr w:rsidR="00022B47">
      <w:trPr>
        <w:jc w:val="center"/>
      </w:trPr>
      <w:tc>
        <w:tcPr>
          <w:tcW w:w="10080" w:type="dxa"/>
        </w:tcPr>
        <w:p w:rsidR="00022B47" w:rsidRDefault="00000000">
          <w:pPr>
            <w:pStyle w:val="Normal18"/>
            <w:spacing w:before="60" w:after="200"/>
            <w:jc w:val="center"/>
          </w:pPr>
          <w:r>
            <w:rPr>
              <w:rFonts w:ascii="Arial" w:eastAsia="Arial" w:hAnsi="Arial" w:cs="Arial"/>
              <w:sz w:val="20"/>
            </w:rPr>
            <w:t>Koslosky v. Am. Airlines, Inc., 2022 U.S. App. LEXIS 26967</w:t>
          </w:r>
        </w:p>
      </w:tc>
    </w:tr>
  </w:tbl>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8"/>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9"/>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19"/>
          </w:pPr>
        </w:p>
      </w:tc>
    </w:tr>
    <w:tr w:rsidR="00022B47">
      <w:trPr>
        <w:jc w:val="center"/>
      </w:trPr>
      <w:tc>
        <w:tcPr>
          <w:tcW w:w="10080" w:type="dxa"/>
        </w:tcPr>
        <w:p w:rsidR="00022B47" w:rsidRDefault="00000000">
          <w:pPr>
            <w:pStyle w:val="Normal19"/>
            <w:spacing w:before="60" w:after="200"/>
            <w:jc w:val="center"/>
          </w:pPr>
          <w:r>
            <w:rPr>
              <w:rFonts w:ascii="Arial" w:eastAsia="Arial" w:hAnsi="Arial" w:cs="Arial"/>
              <w:sz w:val="20"/>
            </w:rPr>
            <w:t>Sailboat Bend Sober Living, LLC v. City of Fort Lauderadale, 46 F.4th 1268</w:t>
          </w:r>
        </w:p>
      </w:tc>
    </w:tr>
  </w:tbl>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19"/>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0"/>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20"/>
          </w:pPr>
        </w:p>
      </w:tc>
    </w:tr>
    <w:tr w:rsidR="00022B47">
      <w:trPr>
        <w:jc w:val="center"/>
      </w:trPr>
      <w:tc>
        <w:tcPr>
          <w:tcW w:w="10080" w:type="dxa"/>
        </w:tcPr>
        <w:p w:rsidR="00022B47" w:rsidRDefault="00000000">
          <w:pPr>
            <w:pStyle w:val="Normal20"/>
            <w:spacing w:before="60" w:after="200"/>
            <w:jc w:val="center"/>
          </w:pPr>
          <w:r>
            <w:rPr>
              <w:rFonts w:ascii="Arial" w:eastAsia="Arial" w:hAnsi="Arial" w:cs="Arial"/>
              <w:sz w:val="20"/>
            </w:rPr>
            <w:t>EEOC v. Cash Depot, Ltd., 2022 U.S. App. LEXIS 23743</w:t>
          </w:r>
        </w:p>
      </w:tc>
    </w:tr>
  </w:tbl>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0"/>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1"/>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21"/>
          </w:pPr>
        </w:p>
      </w:tc>
    </w:tr>
    <w:tr w:rsidR="00022B47">
      <w:trPr>
        <w:jc w:val="center"/>
      </w:trPr>
      <w:tc>
        <w:tcPr>
          <w:tcW w:w="10080" w:type="dxa"/>
        </w:tcPr>
        <w:p w:rsidR="00022B47" w:rsidRDefault="00000000">
          <w:pPr>
            <w:pStyle w:val="Normal21"/>
            <w:spacing w:before="60" w:after="200"/>
            <w:jc w:val="center"/>
          </w:pPr>
          <w:r>
            <w:rPr>
              <w:rFonts w:ascii="Arial" w:eastAsia="Arial" w:hAnsi="Arial" w:cs="Arial"/>
              <w:sz w:val="20"/>
            </w:rPr>
            <w:t>Luke v. Texas, 46 F.4th 301</w:t>
          </w:r>
        </w:p>
      </w:tc>
    </w:tr>
  </w:tbl>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1"/>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2"/>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22"/>
          </w:pPr>
        </w:p>
      </w:tc>
    </w:tr>
    <w:tr w:rsidR="00022B47">
      <w:trPr>
        <w:jc w:val="center"/>
      </w:trPr>
      <w:tc>
        <w:tcPr>
          <w:tcW w:w="10080" w:type="dxa"/>
        </w:tcPr>
        <w:p w:rsidR="00022B47" w:rsidRDefault="00000000">
          <w:pPr>
            <w:pStyle w:val="Normal22"/>
            <w:spacing w:before="60" w:after="200"/>
            <w:jc w:val="center"/>
          </w:pPr>
          <w:r>
            <w:rPr>
              <w:rFonts w:ascii="Arial" w:eastAsia="Arial" w:hAnsi="Arial" w:cs="Arial"/>
              <w:sz w:val="20"/>
            </w:rPr>
            <w:t>Greenbaum v. N.Y. City Transit Auth., 2022 U.S. App. LEXIS 22589</w:t>
          </w:r>
        </w:p>
      </w:tc>
    </w:tr>
  </w:tbl>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2"/>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3"/>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23"/>
          </w:pPr>
        </w:p>
      </w:tc>
    </w:tr>
    <w:tr w:rsidR="00022B47">
      <w:trPr>
        <w:jc w:val="center"/>
      </w:trPr>
      <w:tc>
        <w:tcPr>
          <w:tcW w:w="10080" w:type="dxa"/>
        </w:tcPr>
        <w:p w:rsidR="00022B47" w:rsidRDefault="00000000">
          <w:pPr>
            <w:pStyle w:val="Normal23"/>
            <w:spacing w:before="60" w:after="200"/>
            <w:jc w:val="center"/>
          </w:pPr>
          <w:r>
            <w:rPr>
              <w:rFonts w:ascii="Arial" w:eastAsia="Arial" w:hAnsi="Arial" w:cs="Arial"/>
              <w:sz w:val="20"/>
            </w:rPr>
            <w:t>Douglas v. Muzzin, 2022 U.S. App. LEXIS 21529</w:t>
          </w:r>
        </w:p>
      </w:tc>
    </w:tr>
  </w:tbl>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3"/>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4"/>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24"/>
          </w:pPr>
        </w:p>
      </w:tc>
    </w:tr>
    <w:tr w:rsidR="00022B47">
      <w:trPr>
        <w:jc w:val="center"/>
      </w:trPr>
      <w:tc>
        <w:tcPr>
          <w:tcW w:w="10080" w:type="dxa"/>
        </w:tcPr>
        <w:p w:rsidR="00022B47" w:rsidRDefault="00000000">
          <w:pPr>
            <w:pStyle w:val="Normal24"/>
            <w:spacing w:before="60" w:after="200"/>
            <w:jc w:val="center"/>
          </w:pPr>
          <w:r>
            <w:rPr>
              <w:rFonts w:ascii="Arial" w:eastAsia="Arial" w:hAnsi="Arial" w:cs="Arial"/>
              <w:sz w:val="20"/>
            </w:rPr>
            <w:t>Dansie v. Union Pac. R.R. Co., 42 F.4th 1184</w:t>
          </w:r>
        </w:p>
      </w:tc>
    </w:tr>
  </w:tbl>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4"/>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5"/>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25"/>
          </w:pPr>
        </w:p>
      </w:tc>
    </w:tr>
    <w:tr w:rsidR="00022B47">
      <w:trPr>
        <w:jc w:val="center"/>
      </w:trPr>
      <w:tc>
        <w:tcPr>
          <w:tcW w:w="10080" w:type="dxa"/>
        </w:tcPr>
        <w:p w:rsidR="00022B47" w:rsidRDefault="00000000">
          <w:pPr>
            <w:pStyle w:val="Normal25"/>
            <w:spacing w:before="60" w:after="200"/>
            <w:jc w:val="center"/>
          </w:pPr>
          <w:r>
            <w:rPr>
              <w:rFonts w:ascii="Arial" w:eastAsia="Arial" w:hAnsi="Arial" w:cs="Arial"/>
              <w:sz w:val="20"/>
            </w:rPr>
            <w:t>Love v. Marriott Hotel Servs., 40 F.4th 1043</w:t>
          </w:r>
        </w:p>
      </w:tc>
    </w:tr>
  </w:tbl>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5"/>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6"/>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26"/>
          </w:pPr>
        </w:p>
      </w:tc>
    </w:tr>
    <w:tr w:rsidR="00022B47">
      <w:trPr>
        <w:jc w:val="center"/>
      </w:trPr>
      <w:tc>
        <w:tcPr>
          <w:tcW w:w="10080" w:type="dxa"/>
        </w:tcPr>
        <w:p w:rsidR="00022B47" w:rsidRDefault="00000000">
          <w:pPr>
            <w:pStyle w:val="Normal26"/>
            <w:spacing w:before="60" w:after="200"/>
            <w:jc w:val="center"/>
          </w:pPr>
          <w:r>
            <w:rPr>
              <w:rFonts w:ascii="Arial" w:eastAsia="Arial" w:hAnsi="Arial" w:cs="Arial"/>
              <w:sz w:val="20"/>
            </w:rPr>
            <w:t>Guess v. St. Martinus Univ., 2022 U.S. App. LEXIS 11466</w:t>
          </w:r>
        </w:p>
      </w:tc>
    </w:tr>
  </w:tbl>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6"/>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7"/>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27"/>
          </w:pPr>
        </w:p>
      </w:tc>
    </w:tr>
    <w:tr w:rsidR="00022B47">
      <w:trPr>
        <w:jc w:val="center"/>
      </w:trPr>
      <w:tc>
        <w:tcPr>
          <w:tcW w:w="10080" w:type="dxa"/>
        </w:tcPr>
        <w:p w:rsidR="00022B47" w:rsidRDefault="00000000">
          <w:pPr>
            <w:pStyle w:val="Normal27"/>
            <w:spacing w:before="60" w:after="200"/>
            <w:jc w:val="center"/>
          </w:pPr>
          <w:r>
            <w:rPr>
              <w:rFonts w:ascii="Arial" w:eastAsia="Arial" w:hAnsi="Arial" w:cs="Arial"/>
              <w:sz w:val="20"/>
            </w:rPr>
            <w:t>Segal v. Metro. Council, 29 F.4th 399</w:t>
          </w:r>
        </w:p>
      </w:tc>
    </w:tr>
  </w:tbl>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7"/>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8"/>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28"/>
          </w:pPr>
        </w:p>
      </w:tc>
    </w:tr>
    <w:tr w:rsidR="00022B47">
      <w:trPr>
        <w:jc w:val="center"/>
      </w:trPr>
      <w:tc>
        <w:tcPr>
          <w:tcW w:w="10080" w:type="dxa"/>
        </w:tcPr>
        <w:p w:rsidR="00022B47" w:rsidRDefault="00000000">
          <w:pPr>
            <w:pStyle w:val="Normal28"/>
            <w:spacing w:before="60" w:after="200"/>
            <w:jc w:val="center"/>
          </w:pPr>
          <w:r>
            <w:rPr>
              <w:rFonts w:ascii="Arial" w:eastAsia="Arial" w:hAnsi="Arial" w:cs="Arial"/>
              <w:sz w:val="20"/>
            </w:rPr>
            <w:t>Laguerre v. Nat'l Grid USA, 2022 U.S. App. LEXIS 6328</w:t>
          </w:r>
        </w:p>
      </w:tc>
    </w:tr>
  </w:tbl>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8"/>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9"/>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29"/>
          </w:pPr>
        </w:p>
      </w:tc>
    </w:tr>
    <w:tr w:rsidR="00022B47">
      <w:trPr>
        <w:jc w:val="center"/>
      </w:trPr>
      <w:tc>
        <w:tcPr>
          <w:tcW w:w="10080" w:type="dxa"/>
        </w:tcPr>
        <w:p w:rsidR="00022B47" w:rsidRDefault="00000000">
          <w:pPr>
            <w:pStyle w:val="Normal29"/>
            <w:spacing w:before="60" w:after="200"/>
            <w:jc w:val="center"/>
          </w:pPr>
          <w:r>
            <w:rPr>
              <w:rFonts w:ascii="Arial" w:eastAsia="Arial" w:hAnsi="Arial" w:cs="Arial"/>
              <w:sz w:val="20"/>
            </w:rPr>
            <w:t>Allen v. Adams, 2022 U.S. App. LEXIS 6001</w:t>
          </w:r>
        </w:p>
      </w:tc>
    </w:tr>
  </w:tbl>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29"/>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0"/>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30"/>
          </w:pPr>
        </w:p>
      </w:tc>
    </w:tr>
    <w:tr w:rsidR="00022B47">
      <w:trPr>
        <w:jc w:val="center"/>
      </w:trPr>
      <w:tc>
        <w:tcPr>
          <w:tcW w:w="10080" w:type="dxa"/>
        </w:tcPr>
        <w:p w:rsidR="00022B47" w:rsidRDefault="00000000">
          <w:pPr>
            <w:pStyle w:val="Normal30"/>
            <w:spacing w:before="60" w:after="200"/>
            <w:jc w:val="center"/>
          </w:pPr>
          <w:r>
            <w:rPr>
              <w:rFonts w:ascii="Arial" w:eastAsia="Arial" w:hAnsi="Arial" w:cs="Arial"/>
              <w:sz w:val="20"/>
            </w:rPr>
            <w:t>Laufer v. Looper, 22 F.4th 871</w:t>
          </w:r>
        </w:p>
      </w:tc>
    </w:tr>
  </w:tbl>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0"/>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1"/>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31"/>
          </w:pPr>
        </w:p>
      </w:tc>
    </w:tr>
    <w:tr w:rsidR="00022B47">
      <w:trPr>
        <w:jc w:val="center"/>
      </w:trPr>
      <w:tc>
        <w:tcPr>
          <w:tcW w:w="10080" w:type="dxa"/>
        </w:tcPr>
        <w:p w:rsidR="00022B47" w:rsidRDefault="00000000">
          <w:pPr>
            <w:pStyle w:val="Normal31"/>
            <w:spacing w:before="60" w:after="200"/>
            <w:jc w:val="center"/>
          </w:pPr>
          <w:r>
            <w:rPr>
              <w:rFonts w:ascii="Arial" w:eastAsia="Arial" w:hAnsi="Arial" w:cs="Arial"/>
              <w:sz w:val="20"/>
            </w:rPr>
            <w:t>Van Vorst v. Healthcare, 2021 U.S. App. LEXIS 37887</w:t>
          </w:r>
        </w:p>
      </w:tc>
    </w:tr>
  </w:tbl>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1"/>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2"/>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32"/>
          </w:pPr>
        </w:p>
      </w:tc>
    </w:tr>
    <w:tr w:rsidR="00022B47">
      <w:trPr>
        <w:jc w:val="center"/>
      </w:trPr>
      <w:tc>
        <w:tcPr>
          <w:tcW w:w="10080" w:type="dxa"/>
        </w:tcPr>
        <w:p w:rsidR="00022B47" w:rsidRDefault="00000000">
          <w:pPr>
            <w:pStyle w:val="Normal32"/>
            <w:spacing w:before="60" w:after="200"/>
            <w:jc w:val="center"/>
          </w:pPr>
          <w:r>
            <w:rPr>
              <w:rFonts w:ascii="Arial" w:eastAsia="Arial" w:hAnsi="Arial" w:cs="Arial"/>
              <w:sz w:val="20"/>
            </w:rPr>
            <w:t>Feemster v. Beard, 2021 U.S. App. LEXIS 37292</w:t>
          </w:r>
        </w:p>
      </w:tc>
    </w:tr>
  </w:tbl>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2"/>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3"/>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33"/>
          </w:pPr>
        </w:p>
      </w:tc>
    </w:tr>
    <w:tr w:rsidR="00022B47">
      <w:trPr>
        <w:jc w:val="center"/>
      </w:trPr>
      <w:tc>
        <w:tcPr>
          <w:tcW w:w="10080" w:type="dxa"/>
        </w:tcPr>
        <w:p w:rsidR="00022B47" w:rsidRDefault="00000000">
          <w:pPr>
            <w:pStyle w:val="Normal33"/>
            <w:spacing w:before="60" w:after="200"/>
            <w:jc w:val="center"/>
          </w:pPr>
          <w:r>
            <w:rPr>
              <w:rFonts w:ascii="Arial" w:eastAsia="Arial" w:hAnsi="Arial" w:cs="Arial"/>
              <w:sz w:val="20"/>
            </w:rPr>
            <w:t>Powell v. Columbus Med. Enters., LLC, 2021 U.S. App. LEXIS 36781</w:t>
          </w:r>
        </w:p>
      </w:tc>
    </w:tr>
  </w:tbl>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3"/>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4"/>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34"/>
          </w:pPr>
        </w:p>
      </w:tc>
    </w:tr>
    <w:tr w:rsidR="00022B47">
      <w:trPr>
        <w:jc w:val="center"/>
      </w:trPr>
      <w:tc>
        <w:tcPr>
          <w:tcW w:w="10080" w:type="dxa"/>
        </w:tcPr>
        <w:p w:rsidR="00022B47" w:rsidRDefault="00000000">
          <w:pPr>
            <w:pStyle w:val="Normal34"/>
            <w:spacing w:before="60" w:after="200"/>
            <w:jc w:val="center"/>
          </w:pPr>
          <w:r>
            <w:rPr>
              <w:rFonts w:ascii="Arial" w:eastAsia="Arial" w:hAnsi="Arial" w:cs="Arial"/>
              <w:sz w:val="20"/>
            </w:rPr>
            <w:t>Cooks v. Contra Costa Cty., 2021 U.S. App. LEXIS 34803</w:t>
          </w:r>
        </w:p>
      </w:tc>
    </w:tr>
  </w:tbl>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4"/>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5"/>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35"/>
          </w:pPr>
        </w:p>
      </w:tc>
    </w:tr>
    <w:tr w:rsidR="00022B47">
      <w:trPr>
        <w:jc w:val="center"/>
      </w:trPr>
      <w:tc>
        <w:tcPr>
          <w:tcW w:w="10080" w:type="dxa"/>
        </w:tcPr>
        <w:p w:rsidR="00022B47" w:rsidRDefault="00000000">
          <w:pPr>
            <w:pStyle w:val="Normal35"/>
            <w:spacing w:before="60" w:after="200"/>
            <w:jc w:val="center"/>
          </w:pPr>
          <w:r>
            <w:rPr>
              <w:rFonts w:ascii="Arial" w:eastAsia="Arial" w:hAnsi="Arial" w:cs="Arial"/>
              <w:sz w:val="20"/>
            </w:rPr>
            <w:t>Dayton Veterans Residences Ltd. P'ship v. Dayton Metro. Hous. Auth., 2021 U.S. App. LEXIS 34511</w:t>
          </w:r>
        </w:p>
      </w:tc>
    </w:tr>
  </w:tbl>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5"/>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6"/>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36"/>
          </w:pPr>
        </w:p>
      </w:tc>
    </w:tr>
    <w:tr w:rsidR="00022B47">
      <w:trPr>
        <w:jc w:val="center"/>
      </w:trPr>
      <w:tc>
        <w:tcPr>
          <w:tcW w:w="10080" w:type="dxa"/>
        </w:tcPr>
        <w:p w:rsidR="00022B47" w:rsidRDefault="00000000">
          <w:pPr>
            <w:pStyle w:val="Normal36"/>
            <w:spacing w:before="60" w:after="200"/>
            <w:jc w:val="center"/>
          </w:pPr>
          <w:r>
            <w:rPr>
              <w:rFonts w:ascii="Arial" w:eastAsia="Arial" w:hAnsi="Arial" w:cs="Arial"/>
              <w:sz w:val="20"/>
            </w:rPr>
            <w:t>Karantsalis v. City of Miami Springs, 17 F.4th 1316</w:t>
          </w:r>
        </w:p>
      </w:tc>
    </w:tr>
  </w:tbl>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6"/>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7"/>
    </w:pP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37"/>
          </w:pPr>
        </w:p>
      </w:tc>
    </w:tr>
    <w:tr w:rsidR="00022B47">
      <w:trPr>
        <w:jc w:val="center"/>
      </w:trPr>
      <w:tc>
        <w:tcPr>
          <w:tcW w:w="10080" w:type="dxa"/>
        </w:tcPr>
        <w:p w:rsidR="00022B47" w:rsidRDefault="00000000">
          <w:pPr>
            <w:pStyle w:val="Normal37"/>
            <w:spacing w:before="60" w:after="200"/>
            <w:jc w:val="center"/>
          </w:pPr>
          <w:r>
            <w:rPr>
              <w:rFonts w:ascii="Arial" w:eastAsia="Arial" w:hAnsi="Arial" w:cs="Arial"/>
              <w:sz w:val="20"/>
            </w:rPr>
            <w:t>Whitaker v. 370 N. Canon Drive. LP, 2021 U.S. App. LEXIS 31535</w:t>
          </w:r>
        </w:p>
      </w:tc>
    </w:tr>
  </w:tbl>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7"/>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8"/>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38"/>
          </w:pPr>
        </w:p>
      </w:tc>
    </w:tr>
    <w:tr w:rsidR="00022B47">
      <w:trPr>
        <w:jc w:val="center"/>
      </w:trPr>
      <w:tc>
        <w:tcPr>
          <w:tcW w:w="10080" w:type="dxa"/>
        </w:tcPr>
        <w:p w:rsidR="00022B47" w:rsidRDefault="00000000">
          <w:pPr>
            <w:pStyle w:val="Normal38"/>
            <w:spacing w:before="60" w:after="200"/>
            <w:jc w:val="center"/>
          </w:pPr>
          <w:r>
            <w:rPr>
              <w:rFonts w:ascii="Arial" w:eastAsia="Arial" w:hAnsi="Arial" w:cs="Arial"/>
              <w:sz w:val="20"/>
            </w:rPr>
            <w:t>LA Alliance for Human Rights v. Cty. of L.A., 14 F.4th 947</w:t>
          </w:r>
        </w:p>
      </w:tc>
    </w:tr>
  </w:tbl>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8"/>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9"/>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39"/>
          </w:pPr>
        </w:p>
      </w:tc>
    </w:tr>
    <w:tr w:rsidR="00022B47">
      <w:trPr>
        <w:jc w:val="center"/>
      </w:trPr>
      <w:tc>
        <w:tcPr>
          <w:tcW w:w="10080" w:type="dxa"/>
        </w:tcPr>
        <w:p w:rsidR="00022B47" w:rsidRDefault="00000000">
          <w:pPr>
            <w:pStyle w:val="Normal39"/>
            <w:spacing w:before="60" w:after="200"/>
            <w:jc w:val="center"/>
          </w:pPr>
          <w:r>
            <w:rPr>
              <w:rFonts w:ascii="Arial" w:eastAsia="Arial" w:hAnsi="Arial" w:cs="Arial"/>
              <w:sz w:val="20"/>
            </w:rPr>
            <w:t>Murphy v. Kamphuis, 858 Fed. Appx. 939</w:t>
          </w:r>
        </w:p>
      </w:tc>
    </w:tr>
  </w:tbl>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39"/>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0"/>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40"/>
          </w:pPr>
        </w:p>
      </w:tc>
    </w:tr>
    <w:tr w:rsidR="00022B47">
      <w:trPr>
        <w:jc w:val="center"/>
      </w:trPr>
      <w:tc>
        <w:tcPr>
          <w:tcW w:w="10080" w:type="dxa"/>
        </w:tcPr>
        <w:p w:rsidR="00022B47" w:rsidRDefault="00000000">
          <w:pPr>
            <w:pStyle w:val="Normal40"/>
            <w:spacing w:before="60" w:after="200"/>
            <w:jc w:val="center"/>
          </w:pPr>
          <w:r>
            <w:rPr>
              <w:rFonts w:ascii="Arial" w:eastAsia="Arial" w:hAnsi="Arial" w:cs="Arial"/>
              <w:sz w:val="20"/>
            </w:rPr>
            <w:t>Brooks v. Colo. Dep't of Corr., 12 F.4th 1160</w:t>
          </w:r>
        </w:p>
      </w:tc>
    </w:tr>
  </w:tbl>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0"/>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1"/>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41"/>
          </w:pPr>
        </w:p>
      </w:tc>
    </w:tr>
    <w:tr w:rsidR="00022B47">
      <w:trPr>
        <w:jc w:val="center"/>
      </w:trPr>
      <w:tc>
        <w:tcPr>
          <w:tcW w:w="10080" w:type="dxa"/>
        </w:tcPr>
        <w:p w:rsidR="00022B47" w:rsidRDefault="00000000">
          <w:pPr>
            <w:pStyle w:val="Normal41"/>
            <w:spacing w:before="60" w:after="200"/>
            <w:jc w:val="center"/>
          </w:pPr>
          <w:r>
            <w:rPr>
              <w:rFonts w:ascii="Arial" w:eastAsia="Arial" w:hAnsi="Arial" w:cs="Arial"/>
              <w:sz w:val="20"/>
            </w:rPr>
            <w:t>Breyer v. Pac. Univ., 2021 U.S. App. LEXIS 25937</w:t>
          </w:r>
        </w:p>
      </w:tc>
    </w:tr>
  </w:tbl>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1"/>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2"/>
    </w:pP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42"/>
          </w:pPr>
        </w:p>
      </w:tc>
    </w:tr>
    <w:tr w:rsidR="00022B47">
      <w:trPr>
        <w:jc w:val="center"/>
      </w:trPr>
      <w:tc>
        <w:tcPr>
          <w:tcW w:w="10080" w:type="dxa"/>
        </w:tcPr>
        <w:p w:rsidR="00022B47" w:rsidRDefault="00000000">
          <w:pPr>
            <w:pStyle w:val="Normal42"/>
            <w:spacing w:before="60" w:after="200"/>
            <w:jc w:val="center"/>
          </w:pPr>
          <w:r>
            <w:rPr>
              <w:rFonts w:ascii="Arial" w:eastAsia="Arial" w:hAnsi="Arial" w:cs="Arial"/>
              <w:sz w:val="20"/>
            </w:rPr>
            <w:t>Friedel v. Sun Cmtys., Inc., 2021 U.S. App. LEXIS 25384</w:t>
          </w:r>
        </w:p>
      </w:tc>
    </w:tr>
  </w:tbl>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2"/>
    </w:pP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3"/>
    </w:pP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43"/>
          </w:pPr>
        </w:p>
      </w:tc>
    </w:tr>
    <w:tr w:rsidR="00022B47">
      <w:trPr>
        <w:jc w:val="center"/>
      </w:trPr>
      <w:tc>
        <w:tcPr>
          <w:tcW w:w="10080" w:type="dxa"/>
        </w:tcPr>
        <w:p w:rsidR="00022B47" w:rsidRDefault="00000000">
          <w:pPr>
            <w:pStyle w:val="Normal43"/>
            <w:spacing w:before="60" w:after="200"/>
            <w:jc w:val="center"/>
          </w:pPr>
          <w:r>
            <w:rPr>
              <w:rFonts w:ascii="Arial" w:eastAsia="Arial" w:hAnsi="Arial" w:cs="Arial"/>
              <w:sz w:val="20"/>
            </w:rPr>
            <w:t>Brooklyn Ctr. for Independence of the Disabled v. Metro. Transp. Auth., 11 F.4th 55</w:t>
          </w:r>
        </w:p>
      </w:tc>
    </w:tr>
  </w:tbl>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3"/>
    </w:pP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4"/>
    </w:pP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44"/>
          </w:pPr>
        </w:p>
      </w:tc>
    </w:tr>
    <w:tr w:rsidR="00022B47">
      <w:trPr>
        <w:jc w:val="center"/>
      </w:trPr>
      <w:tc>
        <w:tcPr>
          <w:tcW w:w="10080" w:type="dxa"/>
        </w:tcPr>
        <w:p w:rsidR="00022B47" w:rsidRDefault="00000000">
          <w:pPr>
            <w:pStyle w:val="Normal44"/>
            <w:spacing w:before="60" w:after="200"/>
            <w:jc w:val="center"/>
          </w:pPr>
          <w:r>
            <w:rPr>
              <w:rFonts w:ascii="Arial" w:eastAsia="Arial" w:hAnsi="Arial" w:cs="Arial"/>
              <w:sz w:val="20"/>
            </w:rPr>
            <w:t>Revol v. Wellington Reg'l Med. Ctr., 855 Fed. Appx. 658</w:t>
          </w:r>
        </w:p>
      </w:tc>
    </w:tr>
  </w:tbl>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4"/>
    </w:pP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5"/>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45"/>
          </w:pPr>
        </w:p>
      </w:tc>
    </w:tr>
    <w:tr w:rsidR="00022B47">
      <w:trPr>
        <w:jc w:val="center"/>
      </w:trPr>
      <w:tc>
        <w:tcPr>
          <w:tcW w:w="10080" w:type="dxa"/>
        </w:tcPr>
        <w:p w:rsidR="00022B47" w:rsidRDefault="00000000">
          <w:pPr>
            <w:pStyle w:val="Normal45"/>
            <w:spacing w:before="60" w:after="200"/>
            <w:jc w:val="center"/>
          </w:pPr>
          <w:r>
            <w:rPr>
              <w:rFonts w:ascii="Arial" w:eastAsia="Arial" w:hAnsi="Arial" w:cs="Arial"/>
              <w:sz w:val="20"/>
            </w:rPr>
            <w:t>Hale v. Harrison Cty. Bd. of Supervisors, 8 F.4th 399</w:t>
          </w:r>
        </w:p>
      </w:tc>
    </w:tr>
  </w:tbl>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5"/>
    </w:pP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6"/>
    </w:pP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46"/>
          </w:pPr>
        </w:p>
      </w:tc>
    </w:tr>
    <w:tr w:rsidR="00022B47">
      <w:trPr>
        <w:jc w:val="center"/>
      </w:trPr>
      <w:tc>
        <w:tcPr>
          <w:tcW w:w="10080" w:type="dxa"/>
        </w:tcPr>
        <w:p w:rsidR="00022B47" w:rsidRDefault="00000000">
          <w:pPr>
            <w:pStyle w:val="Normal46"/>
            <w:spacing w:before="60" w:after="200"/>
            <w:jc w:val="center"/>
          </w:pPr>
          <w:r>
            <w:rPr>
              <w:rFonts w:ascii="Arial" w:eastAsia="Arial" w:hAnsi="Arial" w:cs="Arial"/>
              <w:sz w:val="20"/>
            </w:rPr>
            <w:t>Francois v. Our Lady of the Lake Hosp., Inc., 8 F.4th 370</w:t>
          </w:r>
        </w:p>
      </w:tc>
    </w:tr>
  </w:tbl>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6"/>
    </w:pP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7"/>
    </w:pP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47"/>
          </w:pPr>
        </w:p>
      </w:tc>
    </w:tr>
    <w:tr w:rsidR="00022B47">
      <w:trPr>
        <w:jc w:val="center"/>
      </w:trPr>
      <w:tc>
        <w:tcPr>
          <w:tcW w:w="10080" w:type="dxa"/>
        </w:tcPr>
        <w:p w:rsidR="00022B47" w:rsidRDefault="00000000">
          <w:pPr>
            <w:pStyle w:val="Normal47"/>
            <w:spacing w:before="60" w:after="200"/>
            <w:jc w:val="center"/>
          </w:pPr>
          <w:r>
            <w:rPr>
              <w:rFonts w:ascii="Arial" w:eastAsia="Arial" w:hAnsi="Arial" w:cs="Arial"/>
              <w:sz w:val="20"/>
            </w:rPr>
            <w:t>Baldassarre v. Norfolk Southern Ry., 854 Fed. Appx. 540</w:t>
          </w:r>
        </w:p>
      </w:tc>
    </w:tr>
  </w:tbl>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7"/>
    </w:pP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8"/>
    </w:pP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48"/>
          </w:pPr>
        </w:p>
      </w:tc>
    </w:tr>
    <w:tr w:rsidR="00022B47">
      <w:trPr>
        <w:jc w:val="center"/>
      </w:trPr>
      <w:tc>
        <w:tcPr>
          <w:tcW w:w="10080" w:type="dxa"/>
        </w:tcPr>
        <w:p w:rsidR="00022B47" w:rsidRDefault="00000000">
          <w:pPr>
            <w:pStyle w:val="Normal48"/>
            <w:spacing w:before="60" w:after="200"/>
            <w:jc w:val="center"/>
          </w:pPr>
          <w:r>
            <w:rPr>
              <w:rFonts w:ascii="Arial" w:eastAsia="Arial" w:hAnsi="Arial" w:cs="Arial"/>
              <w:sz w:val="20"/>
            </w:rPr>
            <w:t>Coral Ridge Ministries Media, Inc. v. Amazon.com, Inc., 6 F.4th 1247</w:t>
          </w:r>
        </w:p>
      </w:tc>
    </w:tr>
  </w:tbl>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8"/>
    </w:pP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9"/>
    </w:pP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22B47">
      <w:trPr>
        <w:jc w:val="center"/>
      </w:trPr>
      <w:tc>
        <w:tcPr>
          <w:tcW w:w="10080" w:type="dxa"/>
          <w:vAlign w:val="center"/>
        </w:tcPr>
        <w:p w:rsidR="00022B47" w:rsidRDefault="00022B47">
          <w:pPr>
            <w:pStyle w:val="Normal49"/>
          </w:pPr>
        </w:p>
      </w:tc>
    </w:tr>
    <w:tr w:rsidR="00022B47">
      <w:trPr>
        <w:jc w:val="center"/>
      </w:trPr>
      <w:tc>
        <w:tcPr>
          <w:tcW w:w="10080" w:type="dxa"/>
        </w:tcPr>
        <w:p w:rsidR="00022B47" w:rsidRDefault="00000000">
          <w:pPr>
            <w:pStyle w:val="Normal49"/>
            <w:spacing w:before="60" w:after="200"/>
            <w:jc w:val="center"/>
          </w:pPr>
          <w:r>
            <w:rPr>
              <w:rFonts w:ascii="Arial" w:eastAsia="Arial" w:hAnsi="Arial" w:cs="Arial"/>
              <w:sz w:val="20"/>
            </w:rPr>
            <w:t>Prim v. Stein, 6 F.4th 584</w:t>
          </w:r>
        </w:p>
      </w:tc>
    </w:tr>
  </w:tbl>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2B47" w:rsidRDefault="00022B47">
    <w:pPr>
      <w:pStyle w:val="Normal4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22B47"/>
    <w:rsid w:val="0025213E"/>
    <w:rsid w:val="00692BAD"/>
    <w:rsid w:val="007832EE"/>
    <w:rsid w:val="00A77B3E"/>
    <w:rsid w:val="00CA2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AA537A2-AE86-482E-A866-85C9D93F4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_0"/>
    <w:qFormat/>
    <w:rPr>
      <w:sz w:val="24"/>
      <w:szCs w:val="24"/>
    </w:rPr>
  </w:style>
  <w:style w:type="paragraph" w:customStyle="1" w:styleId="Normal1">
    <w:name w:val="Normal_1"/>
    <w:qFormat/>
    <w:rPr>
      <w:sz w:val="24"/>
      <w:szCs w:val="24"/>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rPr>
  </w:style>
  <w:style w:type="paragraph" w:customStyle="1" w:styleId="Normal2">
    <w:name w:val="Normal_2"/>
    <w:qFormat/>
    <w:rPr>
      <w:sz w:val="24"/>
      <w:szCs w:val="24"/>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rPr>
  </w:style>
  <w:style w:type="paragraph" w:customStyle="1" w:styleId="Normal3">
    <w:name w:val="Normal_3"/>
    <w:qFormat/>
    <w:rPr>
      <w:sz w:val="24"/>
      <w:szCs w:val="24"/>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rPr>
  </w:style>
  <w:style w:type="paragraph" w:customStyle="1" w:styleId="Normal4">
    <w:name w:val="Normal_4"/>
    <w:qFormat/>
    <w:rPr>
      <w:sz w:val="24"/>
      <w:szCs w:val="24"/>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rPr>
  </w:style>
  <w:style w:type="paragraph" w:customStyle="1" w:styleId="Normal5">
    <w:name w:val="Normal_5"/>
    <w:qFormat/>
    <w:rPr>
      <w:sz w:val="24"/>
      <w:szCs w:val="24"/>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rPr>
  </w:style>
  <w:style w:type="paragraph" w:customStyle="1" w:styleId="Normal6">
    <w:name w:val="Normal_6"/>
    <w:qFormat/>
    <w:rPr>
      <w:sz w:val="24"/>
      <w:szCs w:val="24"/>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rPr>
  </w:style>
  <w:style w:type="paragraph" w:customStyle="1" w:styleId="Normal7">
    <w:name w:val="Normal_7"/>
    <w:qFormat/>
    <w:rPr>
      <w:sz w:val="24"/>
      <w:szCs w:val="24"/>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rPr>
  </w:style>
  <w:style w:type="paragraph" w:customStyle="1" w:styleId="Normal8">
    <w:name w:val="Normal_8"/>
    <w:qFormat/>
    <w:rPr>
      <w:sz w:val="24"/>
      <w:szCs w:val="24"/>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rPr>
  </w:style>
  <w:style w:type="paragraph" w:customStyle="1" w:styleId="Normal9">
    <w:name w:val="Normal_9"/>
    <w:qFormat/>
    <w:rPr>
      <w:sz w:val="24"/>
      <w:szCs w:val="24"/>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rPr>
  </w:style>
  <w:style w:type="paragraph" w:customStyle="1" w:styleId="Normal10">
    <w:name w:val="Normal_10"/>
    <w:qFormat/>
    <w:rPr>
      <w:sz w:val="24"/>
      <w:szCs w:val="24"/>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rPr>
  </w:style>
  <w:style w:type="paragraph" w:customStyle="1" w:styleId="Normal11">
    <w:name w:val="Normal_11"/>
    <w:qFormat/>
    <w:rPr>
      <w:sz w:val="24"/>
      <w:szCs w:val="24"/>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rPr>
  </w:style>
  <w:style w:type="paragraph" w:customStyle="1" w:styleId="Normal12">
    <w:name w:val="Normal_12"/>
    <w:qFormat/>
    <w:rPr>
      <w:sz w:val="24"/>
      <w:szCs w:val="24"/>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rPr>
  </w:style>
  <w:style w:type="paragraph" w:customStyle="1" w:styleId="Normal13">
    <w:name w:val="Normal_13"/>
    <w:qFormat/>
    <w:rPr>
      <w:sz w:val="24"/>
      <w:szCs w:val="24"/>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rPr>
  </w:style>
  <w:style w:type="paragraph" w:customStyle="1" w:styleId="Normal14">
    <w:name w:val="Normal_14"/>
    <w:qFormat/>
    <w:rPr>
      <w:sz w:val="24"/>
      <w:szCs w:val="24"/>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rPr>
  </w:style>
  <w:style w:type="paragraph" w:customStyle="1" w:styleId="Normal15">
    <w:name w:val="Normal_15"/>
    <w:qFormat/>
    <w:rPr>
      <w:sz w:val="24"/>
      <w:szCs w:val="24"/>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rPr>
  </w:style>
  <w:style w:type="paragraph" w:customStyle="1" w:styleId="Normal16">
    <w:name w:val="Normal_16"/>
    <w:qFormat/>
    <w:rPr>
      <w:sz w:val="24"/>
      <w:szCs w:val="24"/>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rPr>
  </w:style>
  <w:style w:type="paragraph" w:customStyle="1" w:styleId="Normal17">
    <w:name w:val="Normal_17"/>
    <w:qFormat/>
    <w:rPr>
      <w:sz w:val="24"/>
      <w:szCs w:val="24"/>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rPr>
  </w:style>
  <w:style w:type="paragraph" w:customStyle="1" w:styleId="Normal18">
    <w:name w:val="Normal_18"/>
    <w:qFormat/>
    <w:rPr>
      <w:sz w:val="24"/>
      <w:szCs w:val="24"/>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rPr>
  </w:style>
  <w:style w:type="paragraph" w:customStyle="1" w:styleId="Normal19">
    <w:name w:val="Normal_19"/>
    <w:qFormat/>
    <w:rPr>
      <w:sz w:val="24"/>
      <w:szCs w:val="24"/>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rPr>
  </w:style>
  <w:style w:type="paragraph" w:customStyle="1" w:styleId="Normal20">
    <w:name w:val="Normal_20"/>
    <w:qFormat/>
    <w:rPr>
      <w:sz w:val="24"/>
      <w:szCs w:val="24"/>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rPr>
  </w:style>
  <w:style w:type="paragraph" w:customStyle="1" w:styleId="Normal21">
    <w:name w:val="Normal_21"/>
    <w:qFormat/>
    <w:rPr>
      <w:sz w:val="24"/>
      <w:szCs w:val="24"/>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rPr>
  </w:style>
  <w:style w:type="paragraph" w:customStyle="1" w:styleId="Normal22">
    <w:name w:val="Normal_22"/>
    <w:qFormat/>
    <w:rPr>
      <w:sz w:val="24"/>
      <w:szCs w:val="24"/>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rPr>
  </w:style>
  <w:style w:type="paragraph" w:customStyle="1" w:styleId="Normal23">
    <w:name w:val="Normal_23"/>
    <w:qFormat/>
    <w:rPr>
      <w:sz w:val="24"/>
      <w:szCs w:val="24"/>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rPr>
  </w:style>
  <w:style w:type="paragraph" w:customStyle="1" w:styleId="Normal24">
    <w:name w:val="Normal_24"/>
    <w:qFormat/>
    <w:rPr>
      <w:sz w:val="24"/>
      <w:szCs w:val="24"/>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rPr>
  </w:style>
  <w:style w:type="paragraph" w:customStyle="1" w:styleId="Normal25">
    <w:name w:val="Normal_25"/>
    <w:qFormat/>
    <w:rPr>
      <w:sz w:val="24"/>
      <w:szCs w:val="24"/>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rPr>
  </w:style>
  <w:style w:type="paragraph" w:customStyle="1" w:styleId="Normal26">
    <w:name w:val="Normal_26"/>
    <w:qFormat/>
    <w:rPr>
      <w:sz w:val="24"/>
      <w:szCs w:val="24"/>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rPr>
  </w:style>
  <w:style w:type="paragraph" w:customStyle="1" w:styleId="Normal27">
    <w:name w:val="Normal_27"/>
    <w:qFormat/>
    <w:rPr>
      <w:sz w:val="24"/>
      <w:szCs w:val="24"/>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rPr>
  </w:style>
  <w:style w:type="paragraph" w:customStyle="1" w:styleId="Normal28">
    <w:name w:val="Normal_28"/>
    <w:qFormat/>
    <w:rPr>
      <w:sz w:val="24"/>
      <w:szCs w:val="24"/>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rPr>
  </w:style>
  <w:style w:type="paragraph" w:customStyle="1" w:styleId="Normal29">
    <w:name w:val="Normal_29"/>
    <w:qFormat/>
    <w:rPr>
      <w:sz w:val="24"/>
      <w:szCs w:val="24"/>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rPr>
  </w:style>
  <w:style w:type="paragraph" w:customStyle="1" w:styleId="Normal30">
    <w:name w:val="Normal_30"/>
    <w:qFormat/>
    <w:rPr>
      <w:sz w:val="24"/>
      <w:szCs w:val="24"/>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rPr>
  </w:style>
  <w:style w:type="paragraph" w:customStyle="1" w:styleId="Normal31">
    <w:name w:val="Normal_31"/>
    <w:qFormat/>
    <w:rPr>
      <w:sz w:val="24"/>
      <w:szCs w:val="24"/>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rPr>
  </w:style>
  <w:style w:type="paragraph" w:customStyle="1" w:styleId="Normal32">
    <w:name w:val="Normal_32"/>
    <w:qFormat/>
    <w:rPr>
      <w:sz w:val="24"/>
      <w:szCs w:val="24"/>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rPr>
  </w:style>
  <w:style w:type="paragraph" w:customStyle="1" w:styleId="Normal33">
    <w:name w:val="Normal_33"/>
    <w:qFormat/>
    <w:rPr>
      <w:sz w:val="24"/>
      <w:szCs w:val="24"/>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rPr>
  </w:style>
  <w:style w:type="paragraph" w:customStyle="1" w:styleId="Normal34">
    <w:name w:val="Normal_34"/>
    <w:qFormat/>
    <w:rPr>
      <w:sz w:val="24"/>
      <w:szCs w:val="24"/>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rPr>
  </w:style>
  <w:style w:type="paragraph" w:customStyle="1" w:styleId="Normal35">
    <w:name w:val="Normal_35"/>
    <w:qFormat/>
    <w:rPr>
      <w:sz w:val="24"/>
      <w:szCs w:val="24"/>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rPr>
  </w:style>
  <w:style w:type="paragraph" w:customStyle="1" w:styleId="Normal36">
    <w:name w:val="Normal_36"/>
    <w:qFormat/>
    <w:rPr>
      <w:sz w:val="24"/>
      <w:szCs w:val="24"/>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rPr>
  </w:style>
  <w:style w:type="paragraph" w:customStyle="1" w:styleId="Normal37">
    <w:name w:val="Normal_37"/>
    <w:qFormat/>
    <w:rPr>
      <w:sz w:val="24"/>
      <w:szCs w:val="24"/>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rPr>
  </w:style>
  <w:style w:type="paragraph" w:customStyle="1" w:styleId="Normal38">
    <w:name w:val="Normal_38"/>
    <w:qFormat/>
    <w:rPr>
      <w:sz w:val="24"/>
      <w:szCs w:val="24"/>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rPr>
  </w:style>
  <w:style w:type="paragraph" w:customStyle="1" w:styleId="Normal39">
    <w:name w:val="Normal_39"/>
    <w:qFormat/>
    <w:rPr>
      <w:sz w:val="24"/>
      <w:szCs w:val="24"/>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rPr>
  </w:style>
  <w:style w:type="paragraph" w:customStyle="1" w:styleId="Normal40">
    <w:name w:val="Normal_40"/>
    <w:qFormat/>
    <w:rPr>
      <w:sz w:val="24"/>
      <w:szCs w:val="24"/>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rPr>
  </w:style>
  <w:style w:type="paragraph" w:customStyle="1" w:styleId="Normal41">
    <w:name w:val="Normal_41"/>
    <w:qFormat/>
    <w:rPr>
      <w:sz w:val="24"/>
      <w:szCs w:val="24"/>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rPr>
  </w:style>
  <w:style w:type="paragraph" w:customStyle="1" w:styleId="Normal42">
    <w:name w:val="Normal_42"/>
    <w:qFormat/>
    <w:rPr>
      <w:sz w:val="24"/>
      <w:szCs w:val="24"/>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rPr>
  </w:style>
  <w:style w:type="paragraph" w:customStyle="1" w:styleId="Normal43">
    <w:name w:val="Normal_43"/>
    <w:qFormat/>
    <w:rPr>
      <w:sz w:val="24"/>
      <w:szCs w:val="24"/>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rPr>
  </w:style>
  <w:style w:type="paragraph" w:customStyle="1" w:styleId="Normal44">
    <w:name w:val="Normal_44"/>
    <w:qFormat/>
    <w:rPr>
      <w:sz w:val="24"/>
      <w:szCs w:val="24"/>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rPr>
  </w:style>
  <w:style w:type="paragraph" w:customStyle="1" w:styleId="Normal45">
    <w:name w:val="Normal_45"/>
    <w:qFormat/>
    <w:rPr>
      <w:sz w:val="24"/>
      <w:szCs w:val="24"/>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rPr>
  </w:style>
  <w:style w:type="paragraph" w:customStyle="1" w:styleId="Normal46">
    <w:name w:val="Normal_46"/>
    <w:qFormat/>
    <w:rPr>
      <w:sz w:val="24"/>
      <w:szCs w:val="24"/>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rPr>
  </w:style>
  <w:style w:type="paragraph" w:customStyle="1" w:styleId="Normal47">
    <w:name w:val="Normal_47"/>
    <w:qFormat/>
    <w:rPr>
      <w:sz w:val="24"/>
      <w:szCs w:val="24"/>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rPr>
  </w:style>
  <w:style w:type="paragraph" w:customStyle="1" w:styleId="Normal48">
    <w:name w:val="Normal_48"/>
    <w:qFormat/>
    <w:rPr>
      <w:sz w:val="24"/>
      <w:szCs w:val="24"/>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rPr>
  </w:style>
  <w:style w:type="paragraph" w:customStyle="1" w:styleId="Normal49">
    <w:name w:val="Normal_49"/>
    <w:qFormat/>
    <w:rPr>
      <w:sz w:val="24"/>
      <w:szCs w:val="24"/>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footer" Target="footer55.xml"/><Relationship Id="rId299" Type="http://schemas.openxmlformats.org/officeDocument/2006/relationships/header" Target="header147.xml"/><Relationship Id="rId21" Type="http://schemas.openxmlformats.org/officeDocument/2006/relationships/footer" Target="footer8.xml"/><Relationship Id="rId63" Type="http://schemas.openxmlformats.org/officeDocument/2006/relationships/footer" Target="footer28.xml"/><Relationship Id="rId159" Type="http://schemas.openxmlformats.org/officeDocument/2006/relationships/footer" Target="footer76.xml"/><Relationship Id="rId170" Type="http://schemas.openxmlformats.org/officeDocument/2006/relationships/header" Target="header83.xml"/><Relationship Id="rId226" Type="http://schemas.openxmlformats.org/officeDocument/2006/relationships/footer" Target="footer110.xml"/><Relationship Id="rId268" Type="http://schemas.openxmlformats.org/officeDocument/2006/relationships/footer" Target="footer131.xml"/><Relationship Id="rId32" Type="http://schemas.openxmlformats.org/officeDocument/2006/relationships/footer" Target="footer13.xml"/><Relationship Id="rId74" Type="http://schemas.openxmlformats.org/officeDocument/2006/relationships/header" Target="header35.xml"/><Relationship Id="rId128" Type="http://schemas.openxmlformats.org/officeDocument/2006/relationships/header" Target="header62.xml"/><Relationship Id="rId5" Type="http://schemas.openxmlformats.org/officeDocument/2006/relationships/endnotes" Target="endnotes.xml"/><Relationship Id="rId181" Type="http://schemas.openxmlformats.org/officeDocument/2006/relationships/header" Target="header88.xml"/><Relationship Id="rId237" Type="http://schemas.openxmlformats.org/officeDocument/2006/relationships/footer" Target="footer115.xml"/><Relationship Id="rId279" Type="http://schemas.openxmlformats.org/officeDocument/2006/relationships/footer" Target="footer136.xml"/><Relationship Id="rId43" Type="http://schemas.openxmlformats.org/officeDocument/2006/relationships/header" Target="header19.xml"/><Relationship Id="rId139" Type="http://schemas.openxmlformats.org/officeDocument/2006/relationships/header" Target="header67.xml"/><Relationship Id="rId290" Type="http://schemas.openxmlformats.org/officeDocument/2006/relationships/header" Target="header143.xml"/><Relationship Id="rId304" Type="http://schemas.openxmlformats.org/officeDocument/2006/relationships/footer" Target="footer149.xml"/><Relationship Id="rId85" Type="http://schemas.openxmlformats.org/officeDocument/2006/relationships/header" Target="header40.xml"/><Relationship Id="rId150" Type="http://schemas.openxmlformats.org/officeDocument/2006/relationships/footer" Target="footer72.xml"/><Relationship Id="rId192" Type="http://schemas.openxmlformats.org/officeDocument/2006/relationships/footer" Target="footer93.xml"/><Relationship Id="rId206" Type="http://schemas.openxmlformats.org/officeDocument/2006/relationships/header" Target="header101.xml"/><Relationship Id="rId248" Type="http://schemas.openxmlformats.org/officeDocument/2006/relationships/header" Target="header122.xml"/><Relationship Id="rId12" Type="http://schemas.openxmlformats.org/officeDocument/2006/relationships/header" Target="header4.xml"/><Relationship Id="rId108" Type="http://schemas.openxmlformats.org/officeDocument/2006/relationships/footer" Target="footer51.xml"/><Relationship Id="rId54" Type="http://schemas.openxmlformats.org/officeDocument/2006/relationships/footer" Target="footer24.xml"/><Relationship Id="rId96" Type="http://schemas.openxmlformats.org/officeDocument/2006/relationships/footer" Target="footer45.xml"/><Relationship Id="rId161" Type="http://schemas.openxmlformats.org/officeDocument/2006/relationships/header" Target="header78.xml"/><Relationship Id="rId217" Type="http://schemas.openxmlformats.org/officeDocument/2006/relationships/header" Target="header106.xml"/><Relationship Id="rId259" Type="http://schemas.openxmlformats.org/officeDocument/2006/relationships/header" Target="header127.xml"/><Relationship Id="rId23" Type="http://schemas.openxmlformats.org/officeDocument/2006/relationships/footer" Target="footer9.xml"/><Relationship Id="rId119" Type="http://schemas.openxmlformats.org/officeDocument/2006/relationships/header" Target="header57.xml"/><Relationship Id="rId270" Type="http://schemas.openxmlformats.org/officeDocument/2006/relationships/footer" Target="footer132.xml"/><Relationship Id="rId291" Type="http://schemas.openxmlformats.org/officeDocument/2006/relationships/footer" Target="footer142.xml"/><Relationship Id="rId305" Type="http://schemas.openxmlformats.org/officeDocument/2006/relationships/header" Target="header150.xml"/><Relationship Id="rId44" Type="http://schemas.openxmlformats.org/officeDocument/2006/relationships/header" Target="header20.xml"/><Relationship Id="rId65" Type="http://schemas.openxmlformats.org/officeDocument/2006/relationships/header" Target="header30.xml"/><Relationship Id="rId86" Type="http://schemas.openxmlformats.org/officeDocument/2006/relationships/header" Target="header41.xml"/><Relationship Id="rId130" Type="http://schemas.openxmlformats.org/officeDocument/2006/relationships/footer" Target="footer62.xml"/><Relationship Id="rId151" Type="http://schemas.openxmlformats.org/officeDocument/2006/relationships/header" Target="header73.xml"/><Relationship Id="rId172" Type="http://schemas.openxmlformats.org/officeDocument/2006/relationships/footer" Target="footer83.xml"/><Relationship Id="rId193" Type="http://schemas.openxmlformats.org/officeDocument/2006/relationships/header" Target="header94.xml"/><Relationship Id="rId207" Type="http://schemas.openxmlformats.org/officeDocument/2006/relationships/footer" Target="footer100.xml"/><Relationship Id="rId228" Type="http://schemas.openxmlformats.org/officeDocument/2006/relationships/footer" Target="footer111.xml"/><Relationship Id="rId249" Type="http://schemas.openxmlformats.org/officeDocument/2006/relationships/footer" Target="footer121.xml"/><Relationship Id="rId13" Type="http://schemas.openxmlformats.org/officeDocument/2006/relationships/header" Target="header5.xml"/><Relationship Id="rId109" Type="http://schemas.openxmlformats.org/officeDocument/2006/relationships/header" Target="header52.xml"/><Relationship Id="rId260" Type="http://schemas.openxmlformats.org/officeDocument/2006/relationships/header" Target="header128.xml"/><Relationship Id="rId281" Type="http://schemas.openxmlformats.org/officeDocument/2006/relationships/header" Target="header138.xml"/><Relationship Id="rId34" Type="http://schemas.openxmlformats.org/officeDocument/2006/relationships/header" Target="header15.xml"/><Relationship Id="rId55" Type="http://schemas.openxmlformats.org/officeDocument/2006/relationships/header" Target="header25.xml"/><Relationship Id="rId76" Type="http://schemas.openxmlformats.org/officeDocument/2006/relationships/footer" Target="footer35.xml"/><Relationship Id="rId97" Type="http://schemas.openxmlformats.org/officeDocument/2006/relationships/header" Target="header46.xml"/><Relationship Id="rId120" Type="http://schemas.openxmlformats.org/officeDocument/2006/relationships/footer" Target="footer57.xml"/><Relationship Id="rId141" Type="http://schemas.openxmlformats.org/officeDocument/2006/relationships/footer" Target="footer67.xml"/><Relationship Id="rId7" Type="http://schemas.openxmlformats.org/officeDocument/2006/relationships/header" Target="header2.xml"/><Relationship Id="rId162" Type="http://schemas.openxmlformats.org/officeDocument/2006/relationships/footer" Target="footer78.xml"/><Relationship Id="rId183" Type="http://schemas.openxmlformats.org/officeDocument/2006/relationships/footer" Target="footer88.xml"/><Relationship Id="rId218" Type="http://schemas.openxmlformats.org/officeDocument/2006/relationships/header" Target="header107.xml"/><Relationship Id="rId239" Type="http://schemas.openxmlformats.org/officeDocument/2006/relationships/header" Target="header117.xml"/><Relationship Id="rId250" Type="http://schemas.openxmlformats.org/officeDocument/2006/relationships/footer" Target="footer122.xml"/><Relationship Id="rId271" Type="http://schemas.openxmlformats.org/officeDocument/2006/relationships/header" Target="header133.xml"/><Relationship Id="rId292" Type="http://schemas.openxmlformats.org/officeDocument/2006/relationships/footer" Target="footer143.xml"/><Relationship Id="rId306" Type="http://schemas.openxmlformats.org/officeDocument/2006/relationships/footer" Target="footer150.xml"/><Relationship Id="rId24" Type="http://schemas.openxmlformats.org/officeDocument/2006/relationships/header" Target="header10.xml"/><Relationship Id="rId45" Type="http://schemas.openxmlformats.org/officeDocument/2006/relationships/footer" Target="footer19.xml"/><Relationship Id="rId66" Type="http://schemas.openxmlformats.org/officeDocument/2006/relationships/footer" Target="footer30.xml"/><Relationship Id="rId87" Type="http://schemas.openxmlformats.org/officeDocument/2006/relationships/footer" Target="footer40.xml"/><Relationship Id="rId110" Type="http://schemas.openxmlformats.org/officeDocument/2006/relationships/header" Target="header53.xml"/><Relationship Id="rId131" Type="http://schemas.openxmlformats.org/officeDocument/2006/relationships/header" Target="header63.xml"/><Relationship Id="rId152" Type="http://schemas.openxmlformats.org/officeDocument/2006/relationships/header" Target="header74.xml"/><Relationship Id="rId173" Type="http://schemas.openxmlformats.org/officeDocument/2006/relationships/header" Target="header84.xml"/><Relationship Id="rId194" Type="http://schemas.openxmlformats.org/officeDocument/2006/relationships/header" Target="header95.xml"/><Relationship Id="rId208" Type="http://schemas.openxmlformats.org/officeDocument/2006/relationships/footer" Target="footer101.xml"/><Relationship Id="rId229" Type="http://schemas.openxmlformats.org/officeDocument/2006/relationships/header" Target="header112.xml"/><Relationship Id="rId240" Type="http://schemas.openxmlformats.org/officeDocument/2006/relationships/footer" Target="footer117.xml"/><Relationship Id="rId261" Type="http://schemas.openxmlformats.org/officeDocument/2006/relationships/footer" Target="footer127.xml"/><Relationship Id="rId14" Type="http://schemas.openxmlformats.org/officeDocument/2006/relationships/footer" Target="footer4.xml"/><Relationship Id="rId35" Type="http://schemas.openxmlformats.org/officeDocument/2006/relationships/footer" Target="footer15.xml"/><Relationship Id="rId56" Type="http://schemas.openxmlformats.org/officeDocument/2006/relationships/header" Target="header26.xml"/><Relationship Id="rId77" Type="http://schemas.openxmlformats.org/officeDocument/2006/relationships/header" Target="header36.xml"/><Relationship Id="rId100" Type="http://schemas.openxmlformats.org/officeDocument/2006/relationships/footer" Target="footer47.xml"/><Relationship Id="rId282" Type="http://schemas.openxmlformats.org/officeDocument/2006/relationships/footer" Target="footer138.xml"/><Relationship Id="rId8" Type="http://schemas.openxmlformats.org/officeDocument/2006/relationships/footer" Target="footer1.xml"/><Relationship Id="rId98" Type="http://schemas.openxmlformats.org/officeDocument/2006/relationships/header" Target="header47.xml"/><Relationship Id="rId121" Type="http://schemas.openxmlformats.org/officeDocument/2006/relationships/header" Target="header58.xml"/><Relationship Id="rId142" Type="http://schemas.openxmlformats.org/officeDocument/2006/relationships/footer" Target="footer68.xml"/><Relationship Id="rId163" Type="http://schemas.openxmlformats.org/officeDocument/2006/relationships/header" Target="header79.xml"/><Relationship Id="rId184" Type="http://schemas.openxmlformats.org/officeDocument/2006/relationships/footer" Target="footer89.xml"/><Relationship Id="rId219" Type="http://schemas.openxmlformats.org/officeDocument/2006/relationships/footer" Target="footer106.xml"/><Relationship Id="rId230" Type="http://schemas.openxmlformats.org/officeDocument/2006/relationships/header" Target="header113.xml"/><Relationship Id="rId251" Type="http://schemas.openxmlformats.org/officeDocument/2006/relationships/header" Target="header123.xml"/><Relationship Id="rId25" Type="http://schemas.openxmlformats.org/officeDocument/2006/relationships/header" Target="header11.xml"/><Relationship Id="rId46" Type="http://schemas.openxmlformats.org/officeDocument/2006/relationships/footer" Target="footer20.xml"/><Relationship Id="rId67" Type="http://schemas.openxmlformats.org/officeDocument/2006/relationships/header" Target="header31.xml"/><Relationship Id="rId272" Type="http://schemas.openxmlformats.org/officeDocument/2006/relationships/header" Target="header134.xml"/><Relationship Id="rId293" Type="http://schemas.openxmlformats.org/officeDocument/2006/relationships/header" Target="header144.xml"/><Relationship Id="rId307" Type="http://schemas.openxmlformats.org/officeDocument/2006/relationships/fontTable" Target="fontTable.xml"/><Relationship Id="rId88" Type="http://schemas.openxmlformats.org/officeDocument/2006/relationships/footer" Target="footer41.xml"/><Relationship Id="rId111" Type="http://schemas.openxmlformats.org/officeDocument/2006/relationships/footer" Target="footer52.xml"/><Relationship Id="rId132" Type="http://schemas.openxmlformats.org/officeDocument/2006/relationships/footer" Target="footer63.xml"/><Relationship Id="rId153" Type="http://schemas.openxmlformats.org/officeDocument/2006/relationships/footer" Target="footer73.xml"/><Relationship Id="rId174" Type="http://schemas.openxmlformats.org/officeDocument/2006/relationships/footer" Target="footer84.xml"/><Relationship Id="rId195" Type="http://schemas.openxmlformats.org/officeDocument/2006/relationships/footer" Target="footer94.xml"/><Relationship Id="rId209" Type="http://schemas.openxmlformats.org/officeDocument/2006/relationships/header" Target="header102.xml"/><Relationship Id="rId220" Type="http://schemas.openxmlformats.org/officeDocument/2006/relationships/footer" Target="footer107.xml"/><Relationship Id="rId241" Type="http://schemas.openxmlformats.org/officeDocument/2006/relationships/header" Target="header118.xml"/><Relationship Id="rId15" Type="http://schemas.openxmlformats.org/officeDocument/2006/relationships/footer" Target="footer5.xml"/><Relationship Id="rId36" Type="http://schemas.openxmlformats.org/officeDocument/2006/relationships/header" Target="header16.xml"/><Relationship Id="rId57" Type="http://schemas.openxmlformats.org/officeDocument/2006/relationships/footer" Target="footer25.xml"/><Relationship Id="rId262" Type="http://schemas.openxmlformats.org/officeDocument/2006/relationships/footer" Target="footer128.xml"/><Relationship Id="rId283" Type="http://schemas.openxmlformats.org/officeDocument/2006/relationships/header" Target="header139.xml"/><Relationship Id="rId78" Type="http://schemas.openxmlformats.org/officeDocument/2006/relationships/footer" Target="footer36.xml"/><Relationship Id="rId99" Type="http://schemas.openxmlformats.org/officeDocument/2006/relationships/footer" Target="footer46.xml"/><Relationship Id="rId101" Type="http://schemas.openxmlformats.org/officeDocument/2006/relationships/header" Target="header48.xml"/><Relationship Id="rId122" Type="http://schemas.openxmlformats.org/officeDocument/2006/relationships/header" Target="header59.xml"/><Relationship Id="rId143" Type="http://schemas.openxmlformats.org/officeDocument/2006/relationships/header" Target="header69.xml"/><Relationship Id="rId164" Type="http://schemas.openxmlformats.org/officeDocument/2006/relationships/header" Target="header80.xml"/><Relationship Id="rId185" Type="http://schemas.openxmlformats.org/officeDocument/2006/relationships/header" Target="header90.xml"/><Relationship Id="rId9" Type="http://schemas.openxmlformats.org/officeDocument/2006/relationships/footer" Target="footer2.xml"/><Relationship Id="rId210" Type="http://schemas.openxmlformats.org/officeDocument/2006/relationships/footer" Target="footer102.xml"/><Relationship Id="rId26" Type="http://schemas.openxmlformats.org/officeDocument/2006/relationships/footer" Target="footer10.xml"/><Relationship Id="rId231" Type="http://schemas.openxmlformats.org/officeDocument/2006/relationships/footer" Target="footer112.xml"/><Relationship Id="rId252" Type="http://schemas.openxmlformats.org/officeDocument/2006/relationships/footer" Target="footer123.xml"/><Relationship Id="rId273" Type="http://schemas.openxmlformats.org/officeDocument/2006/relationships/footer" Target="footer133.xml"/><Relationship Id="rId294" Type="http://schemas.openxmlformats.org/officeDocument/2006/relationships/footer" Target="footer144.xml"/><Relationship Id="rId308" Type="http://schemas.openxmlformats.org/officeDocument/2006/relationships/theme" Target="theme/theme1.xml"/><Relationship Id="rId47" Type="http://schemas.openxmlformats.org/officeDocument/2006/relationships/header" Target="header21.xml"/><Relationship Id="rId68" Type="http://schemas.openxmlformats.org/officeDocument/2006/relationships/header" Target="header32.xml"/><Relationship Id="rId89" Type="http://schemas.openxmlformats.org/officeDocument/2006/relationships/header" Target="header42.xml"/><Relationship Id="rId112" Type="http://schemas.openxmlformats.org/officeDocument/2006/relationships/footer" Target="footer53.xml"/><Relationship Id="rId133" Type="http://schemas.openxmlformats.org/officeDocument/2006/relationships/header" Target="header64.xml"/><Relationship Id="rId154" Type="http://schemas.openxmlformats.org/officeDocument/2006/relationships/footer" Target="footer74.xml"/><Relationship Id="rId175" Type="http://schemas.openxmlformats.org/officeDocument/2006/relationships/header" Target="header85.xml"/><Relationship Id="rId196" Type="http://schemas.openxmlformats.org/officeDocument/2006/relationships/footer" Target="footer95.xml"/><Relationship Id="rId200" Type="http://schemas.openxmlformats.org/officeDocument/2006/relationships/header" Target="header98.xml"/><Relationship Id="rId16" Type="http://schemas.openxmlformats.org/officeDocument/2006/relationships/header" Target="header6.xml"/><Relationship Id="rId221" Type="http://schemas.openxmlformats.org/officeDocument/2006/relationships/header" Target="header108.xml"/><Relationship Id="rId242" Type="http://schemas.openxmlformats.org/officeDocument/2006/relationships/header" Target="header119.xml"/><Relationship Id="rId263" Type="http://schemas.openxmlformats.org/officeDocument/2006/relationships/header" Target="header129.xml"/><Relationship Id="rId284" Type="http://schemas.openxmlformats.org/officeDocument/2006/relationships/header" Target="header140.xml"/><Relationship Id="rId37" Type="http://schemas.openxmlformats.org/officeDocument/2006/relationships/header" Target="header17.xml"/><Relationship Id="rId58" Type="http://schemas.openxmlformats.org/officeDocument/2006/relationships/footer" Target="footer26.xml"/><Relationship Id="rId79" Type="http://schemas.openxmlformats.org/officeDocument/2006/relationships/header" Target="header37.xml"/><Relationship Id="rId102" Type="http://schemas.openxmlformats.org/officeDocument/2006/relationships/footer" Target="footer48.xml"/><Relationship Id="rId123" Type="http://schemas.openxmlformats.org/officeDocument/2006/relationships/footer" Target="footer58.xml"/><Relationship Id="rId144" Type="http://schemas.openxmlformats.org/officeDocument/2006/relationships/footer" Target="footer69.xml"/><Relationship Id="rId90" Type="http://schemas.openxmlformats.org/officeDocument/2006/relationships/footer" Target="footer42.xml"/><Relationship Id="rId165" Type="http://schemas.openxmlformats.org/officeDocument/2006/relationships/footer" Target="footer79.xml"/><Relationship Id="rId186" Type="http://schemas.openxmlformats.org/officeDocument/2006/relationships/footer" Target="footer90.xml"/><Relationship Id="rId211" Type="http://schemas.openxmlformats.org/officeDocument/2006/relationships/header" Target="header103.xml"/><Relationship Id="rId232" Type="http://schemas.openxmlformats.org/officeDocument/2006/relationships/footer" Target="footer113.xml"/><Relationship Id="rId253" Type="http://schemas.openxmlformats.org/officeDocument/2006/relationships/header" Target="header124.xml"/><Relationship Id="rId274" Type="http://schemas.openxmlformats.org/officeDocument/2006/relationships/footer" Target="footer134.xml"/><Relationship Id="rId295" Type="http://schemas.openxmlformats.org/officeDocument/2006/relationships/header" Target="header145.xml"/><Relationship Id="rId27" Type="http://schemas.openxmlformats.org/officeDocument/2006/relationships/footer" Target="footer11.xml"/><Relationship Id="rId48" Type="http://schemas.openxmlformats.org/officeDocument/2006/relationships/footer" Target="footer21.xml"/><Relationship Id="rId69" Type="http://schemas.openxmlformats.org/officeDocument/2006/relationships/footer" Target="footer31.xml"/><Relationship Id="rId113" Type="http://schemas.openxmlformats.org/officeDocument/2006/relationships/header" Target="header54.xml"/><Relationship Id="rId134" Type="http://schemas.openxmlformats.org/officeDocument/2006/relationships/header" Target="header65.xml"/><Relationship Id="rId80" Type="http://schemas.openxmlformats.org/officeDocument/2006/relationships/header" Target="header38.xml"/><Relationship Id="rId155" Type="http://schemas.openxmlformats.org/officeDocument/2006/relationships/header" Target="header75.xml"/><Relationship Id="rId176" Type="http://schemas.openxmlformats.org/officeDocument/2006/relationships/header" Target="header86.xml"/><Relationship Id="rId197" Type="http://schemas.openxmlformats.org/officeDocument/2006/relationships/header" Target="header96.xml"/><Relationship Id="rId201" Type="http://schemas.openxmlformats.org/officeDocument/2006/relationships/footer" Target="footer97.xml"/><Relationship Id="rId222" Type="http://schemas.openxmlformats.org/officeDocument/2006/relationships/footer" Target="footer108.xml"/><Relationship Id="rId243" Type="http://schemas.openxmlformats.org/officeDocument/2006/relationships/footer" Target="footer118.xml"/><Relationship Id="rId264" Type="http://schemas.openxmlformats.org/officeDocument/2006/relationships/footer" Target="footer129.xml"/><Relationship Id="rId285" Type="http://schemas.openxmlformats.org/officeDocument/2006/relationships/footer" Target="footer139.xml"/><Relationship Id="rId17" Type="http://schemas.openxmlformats.org/officeDocument/2006/relationships/footer" Target="footer6.xml"/><Relationship Id="rId38" Type="http://schemas.openxmlformats.org/officeDocument/2006/relationships/footer" Target="footer16.xml"/><Relationship Id="rId59" Type="http://schemas.openxmlformats.org/officeDocument/2006/relationships/header" Target="header27.xml"/><Relationship Id="rId103" Type="http://schemas.openxmlformats.org/officeDocument/2006/relationships/header" Target="header49.xml"/><Relationship Id="rId124" Type="http://schemas.openxmlformats.org/officeDocument/2006/relationships/footer" Target="footer59.xml"/><Relationship Id="rId70" Type="http://schemas.openxmlformats.org/officeDocument/2006/relationships/footer" Target="footer32.xml"/><Relationship Id="rId91" Type="http://schemas.openxmlformats.org/officeDocument/2006/relationships/header" Target="header43.xml"/><Relationship Id="rId145" Type="http://schemas.openxmlformats.org/officeDocument/2006/relationships/header" Target="header70.xml"/><Relationship Id="rId166" Type="http://schemas.openxmlformats.org/officeDocument/2006/relationships/footer" Target="footer80.xml"/><Relationship Id="rId187" Type="http://schemas.openxmlformats.org/officeDocument/2006/relationships/header" Target="header91.xml"/><Relationship Id="rId1" Type="http://schemas.openxmlformats.org/officeDocument/2006/relationships/styles" Target="styles.xml"/><Relationship Id="rId212" Type="http://schemas.openxmlformats.org/officeDocument/2006/relationships/header" Target="header104.xml"/><Relationship Id="rId233" Type="http://schemas.openxmlformats.org/officeDocument/2006/relationships/header" Target="header114.xml"/><Relationship Id="rId254" Type="http://schemas.openxmlformats.org/officeDocument/2006/relationships/header" Target="header125.xml"/><Relationship Id="rId28" Type="http://schemas.openxmlformats.org/officeDocument/2006/relationships/header" Target="header12.xml"/><Relationship Id="rId49" Type="http://schemas.openxmlformats.org/officeDocument/2006/relationships/header" Target="header22.xml"/><Relationship Id="rId114" Type="http://schemas.openxmlformats.org/officeDocument/2006/relationships/footer" Target="footer54.xml"/><Relationship Id="rId275" Type="http://schemas.openxmlformats.org/officeDocument/2006/relationships/header" Target="header135.xml"/><Relationship Id="rId296" Type="http://schemas.openxmlformats.org/officeDocument/2006/relationships/header" Target="header146.xml"/><Relationship Id="rId300" Type="http://schemas.openxmlformats.org/officeDocument/2006/relationships/footer" Target="footer147.xml"/><Relationship Id="rId60" Type="http://schemas.openxmlformats.org/officeDocument/2006/relationships/footer" Target="footer27.xml"/><Relationship Id="rId81" Type="http://schemas.openxmlformats.org/officeDocument/2006/relationships/footer" Target="footer37.xml"/><Relationship Id="rId135" Type="http://schemas.openxmlformats.org/officeDocument/2006/relationships/footer" Target="footer64.xml"/><Relationship Id="rId156" Type="http://schemas.openxmlformats.org/officeDocument/2006/relationships/footer" Target="footer75.xml"/><Relationship Id="rId177" Type="http://schemas.openxmlformats.org/officeDocument/2006/relationships/footer" Target="footer85.xml"/><Relationship Id="rId198" Type="http://schemas.openxmlformats.org/officeDocument/2006/relationships/footer" Target="footer96.xml"/><Relationship Id="rId202" Type="http://schemas.openxmlformats.org/officeDocument/2006/relationships/footer" Target="footer98.xml"/><Relationship Id="rId223" Type="http://schemas.openxmlformats.org/officeDocument/2006/relationships/header" Target="header109.xml"/><Relationship Id="rId244" Type="http://schemas.openxmlformats.org/officeDocument/2006/relationships/footer" Target="footer119.xml"/><Relationship Id="rId18" Type="http://schemas.openxmlformats.org/officeDocument/2006/relationships/header" Target="header7.xml"/><Relationship Id="rId39" Type="http://schemas.openxmlformats.org/officeDocument/2006/relationships/footer" Target="footer17.xml"/><Relationship Id="rId265" Type="http://schemas.openxmlformats.org/officeDocument/2006/relationships/header" Target="header130.xml"/><Relationship Id="rId286" Type="http://schemas.openxmlformats.org/officeDocument/2006/relationships/footer" Target="footer140.xml"/><Relationship Id="rId50" Type="http://schemas.openxmlformats.org/officeDocument/2006/relationships/header" Target="header23.xml"/><Relationship Id="rId104" Type="http://schemas.openxmlformats.org/officeDocument/2006/relationships/header" Target="header50.xml"/><Relationship Id="rId125" Type="http://schemas.openxmlformats.org/officeDocument/2006/relationships/header" Target="header60.xml"/><Relationship Id="rId146" Type="http://schemas.openxmlformats.org/officeDocument/2006/relationships/header" Target="header71.xml"/><Relationship Id="rId167" Type="http://schemas.openxmlformats.org/officeDocument/2006/relationships/header" Target="header81.xml"/><Relationship Id="rId188" Type="http://schemas.openxmlformats.org/officeDocument/2006/relationships/header" Target="header92.xml"/><Relationship Id="rId71" Type="http://schemas.openxmlformats.org/officeDocument/2006/relationships/header" Target="header33.xml"/><Relationship Id="rId92" Type="http://schemas.openxmlformats.org/officeDocument/2006/relationships/header" Target="header44.xml"/><Relationship Id="rId213" Type="http://schemas.openxmlformats.org/officeDocument/2006/relationships/footer" Target="footer103.xml"/><Relationship Id="rId234" Type="http://schemas.openxmlformats.org/officeDocument/2006/relationships/footer" Target="footer114.xml"/><Relationship Id="rId2" Type="http://schemas.openxmlformats.org/officeDocument/2006/relationships/settings" Target="settings.xml"/><Relationship Id="rId29" Type="http://schemas.openxmlformats.org/officeDocument/2006/relationships/footer" Target="footer12.xml"/><Relationship Id="rId255" Type="http://schemas.openxmlformats.org/officeDocument/2006/relationships/footer" Target="footer124.xml"/><Relationship Id="rId276" Type="http://schemas.openxmlformats.org/officeDocument/2006/relationships/footer" Target="footer135.xml"/><Relationship Id="rId297" Type="http://schemas.openxmlformats.org/officeDocument/2006/relationships/footer" Target="footer145.xml"/><Relationship Id="rId40" Type="http://schemas.openxmlformats.org/officeDocument/2006/relationships/header" Target="header18.xml"/><Relationship Id="rId115" Type="http://schemas.openxmlformats.org/officeDocument/2006/relationships/header" Target="header55.xml"/><Relationship Id="rId136" Type="http://schemas.openxmlformats.org/officeDocument/2006/relationships/footer" Target="footer65.xml"/><Relationship Id="rId157" Type="http://schemas.openxmlformats.org/officeDocument/2006/relationships/header" Target="header76.xml"/><Relationship Id="rId178" Type="http://schemas.openxmlformats.org/officeDocument/2006/relationships/footer" Target="footer86.xml"/><Relationship Id="rId301" Type="http://schemas.openxmlformats.org/officeDocument/2006/relationships/header" Target="header148.xml"/><Relationship Id="rId61" Type="http://schemas.openxmlformats.org/officeDocument/2006/relationships/header" Target="header28.xml"/><Relationship Id="rId82" Type="http://schemas.openxmlformats.org/officeDocument/2006/relationships/footer" Target="footer38.xml"/><Relationship Id="rId199" Type="http://schemas.openxmlformats.org/officeDocument/2006/relationships/header" Target="header97.xml"/><Relationship Id="rId203" Type="http://schemas.openxmlformats.org/officeDocument/2006/relationships/header" Target="header99.xml"/><Relationship Id="rId19" Type="http://schemas.openxmlformats.org/officeDocument/2006/relationships/header" Target="header8.xml"/><Relationship Id="rId224" Type="http://schemas.openxmlformats.org/officeDocument/2006/relationships/header" Target="header110.xml"/><Relationship Id="rId245" Type="http://schemas.openxmlformats.org/officeDocument/2006/relationships/header" Target="header120.xml"/><Relationship Id="rId266" Type="http://schemas.openxmlformats.org/officeDocument/2006/relationships/header" Target="header131.xml"/><Relationship Id="rId287" Type="http://schemas.openxmlformats.org/officeDocument/2006/relationships/header" Target="header141.xml"/><Relationship Id="rId30" Type="http://schemas.openxmlformats.org/officeDocument/2006/relationships/header" Target="header13.xml"/><Relationship Id="rId105" Type="http://schemas.openxmlformats.org/officeDocument/2006/relationships/footer" Target="footer49.xml"/><Relationship Id="rId126" Type="http://schemas.openxmlformats.org/officeDocument/2006/relationships/footer" Target="footer60.xml"/><Relationship Id="rId147" Type="http://schemas.openxmlformats.org/officeDocument/2006/relationships/footer" Target="footer70.xml"/><Relationship Id="rId168" Type="http://schemas.openxmlformats.org/officeDocument/2006/relationships/footer" Target="footer81.xml"/><Relationship Id="rId51" Type="http://schemas.openxmlformats.org/officeDocument/2006/relationships/footer" Target="footer22.xml"/><Relationship Id="rId72" Type="http://schemas.openxmlformats.org/officeDocument/2006/relationships/footer" Target="footer33.xml"/><Relationship Id="rId93" Type="http://schemas.openxmlformats.org/officeDocument/2006/relationships/footer" Target="footer43.xml"/><Relationship Id="rId189" Type="http://schemas.openxmlformats.org/officeDocument/2006/relationships/footer" Target="footer91.xml"/><Relationship Id="rId3" Type="http://schemas.openxmlformats.org/officeDocument/2006/relationships/webSettings" Target="webSettings.xml"/><Relationship Id="rId214" Type="http://schemas.openxmlformats.org/officeDocument/2006/relationships/footer" Target="footer104.xml"/><Relationship Id="rId235" Type="http://schemas.openxmlformats.org/officeDocument/2006/relationships/header" Target="header115.xml"/><Relationship Id="rId256" Type="http://schemas.openxmlformats.org/officeDocument/2006/relationships/footer" Target="footer125.xml"/><Relationship Id="rId277" Type="http://schemas.openxmlformats.org/officeDocument/2006/relationships/header" Target="header136.xml"/><Relationship Id="rId298" Type="http://schemas.openxmlformats.org/officeDocument/2006/relationships/footer" Target="footer146.xml"/><Relationship Id="rId116" Type="http://schemas.openxmlformats.org/officeDocument/2006/relationships/header" Target="header56.xml"/><Relationship Id="rId137" Type="http://schemas.openxmlformats.org/officeDocument/2006/relationships/header" Target="header66.xml"/><Relationship Id="rId158" Type="http://schemas.openxmlformats.org/officeDocument/2006/relationships/header" Target="header77.xml"/><Relationship Id="rId302" Type="http://schemas.openxmlformats.org/officeDocument/2006/relationships/header" Target="header149.xml"/><Relationship Id="rId20" Type="http://schemas.openxmlformats.org/officeDocument/2006/relationships/footer" Target="footer7.xml"/><Relationship Id="rId41" Type="http://schemas.openxmlformats.org/officeDocument/2006/relationships/footer" Target="footer18.xml"/><Relationship Id="rId62" Type="http://schemas.openxmlformats.org/officeDocument/2006/relationships/header" Target="header29.xml"/><Relationship Id="rId83" Type="http://schemas.openxmlformats.org/officeDocument/2006/relationships/header" Target="header39.xml"/><Relationship Id="rId179" Type="http://schemas.openxmlformats.org/officeDocument/2006/relationships/header" Target="header87.xml"/><Relationship Id="rId190" Type="http://schemas.openxmlformats.org/officeDocument/2006/relationships/footer" Target="footer92.xml"/><Relationship Id="rId204" Type="http://schemas.openxmlformats.org/officeDocument/2006/relationships/footer" Target="footer99.xml"/><Relationship Id="rId225" Type="http://schemas.openxmlformats.org/officeDocument/2006/relationships/footer" Target="footer109.xml"/><Relationship Id="rId246" Type="http://schemas.openxmlformats.org/officeDocument/2006/relationships/footer" Target="footer120.xml"/><Relationship Id="rId267" Type="http://schemas.openxmlformats.org/officeDocument/2006/relationships/footer" Target="footer130.xml"/><Relationship Id="rId288" Type="http://schemas.openxmlformats.org/officeDocument/2006/relationships/footer" Target="footer141.xml"/><Relationship Id="rId106" Type="http://schemas.openxmlformats.org/officeDocument/2006/relationships/footer" Target="footer50.xml"/><Relationship Id="rId127" Type="http://schemas.openxmlformats.org/officeDocument/2006/relationships/header" Target="header61.xml"/><Relationship Id="rId10" Type="http://schemas.openxmlformats.org/officeDocument/2006/relationships/header" Target="header3.xml"/><Relationship Id="rId31" Type="http://schemas.openxmlformats.org/officeDocument/2006/relationships/header" Target="header14.xml"/><Relationship Id="rId52" Type="http://schemas.openxmlformats.org/officeDocument/2006/relationships/footer" Target="footer23.xml"/><Relationship Id="rId73" Type="http://schemas.openxmlformats.org/officeDocument/2006/relationships/header" Target="header34.xml"/><Relationship Id="rId94" Type="http://schemas.openxmlformats.org/officeDocument/2006/relationships/footer" Target="footer44.xml"/><Relationship Id="rId148" Type="http://schemas.openxmlformats.org/officeDocument/2006/relationships/footer" Target="footer71.xml"/><Relationship Id="rId169" Type="http://schemas.openxmlformats.org/officeDocument/2006/relationships/header" Target="header82.xml"/><Relationship Id="rId4" Type="http://schemas.openxmlformats.org/officeDocument/2006/relationships/footnotes" Target="footnotes.xml"/><Relationship Id="rId180" Type="http://schemas.openxmlformats.org/officeDocument/2006/relationships/footer" Target="footer87.xml"/><Relationship Id="rId215" Type="http://schemas.openxmlformats.org/officeDocument/2006/relationships/header" Target="header105.xml"/><Relationship Id="rId236" Type="http://schemas.openxmlformats.org/officeDocument/2006/relationships/header" Target="header116.xml"/><Relationship Id="rId257" Type="http://schemas.openxmlformats.org/officeDocument/2006/relationships/header" Target="header126.xml"/><Relationship Id="rId278" Type="http://schemas.openxmlformats.org/officeDocument/2006/relationships/header" Target="header137.xml"/><Relationship Id="rId303" Type="http://schemas.openxmlformats.org/officeDocument/2006/relationships/footer" Target="footer148.xml"/><Relationship Id="rId42" Type="http://schemas.openxmlformats.org/officeDocument/2006/relationships/image" Target="media/image1.png"/><Relationship Id="rId84" Type="http://schemas.openxmlformats.org/officeDocument/2006/relationships/footer" Target="footer39.xml"/><Relationship Id="rId138" Type="http://schemas.openxmlformats.org/officeDocument/2006/relationships/footer" Target="footer66.xml"/><Relationship Id="rId191" Type="http://schemas.openxmlformats.org/officeDocument/2006/relationships/header" Target="header93.xml"/><Relationship Id="rId205" Type="http://schemas.openxmlformats.org/officeDocument/2006/relationships/header" Target="header100.xml"/><Relationship Id="rId247" Type="http://schemas.openxmlformats.org/officeDocument/2006/relationships/header" Target="header121.xml"/><Relationship Id="rId107" Type="http://schemas.openxmlformats.org/officeDocument/2006/relationships/header" Target="header51.xml"/><Relationship Id="rId289" Type="http://schemas.openxmlformats.org/officeDocument/2006/relationships/header" Target="header142.xml"/><Relationship Id="rId11" Type="http://schemas.openxmlformats.org/officeDocument/2006/relationships/footer" Target="footer3.xml"/><Relationship Id="rId53" Type="http://schemas.openxmlformats.org/officeDocument/2006/relationships/header" Target="header24.xml"/><Relationship Id="rId149" Type="http://schemas.openxmlformats.org/officeDocument/2006/relationships/header" Target="header72.xml"/><Relationship Id="rId95" Type="http://schemas.openxmlformats.org/officeDocument/2006/relationships/header" Target="header45.xml"/><Relationship Id="rId160" Type="http://schemas.openxmlformats.org/officeDocument/2006/relationships/footer" Target="footer77.xml"/><Relationship Id="rId216" Type="http://schemas.openxmlformats.org/officeDocument/2006/relationships/footer" Target="footer105.xml"/><Relationship Id="rId258" Type="http://schemas.openxmlformats.org/officeDocument/2006/relationships/footer" Target="footer126.xml"/><Relationship Id="rId22" Type="http://schemas.openxmlformats.org/officeDocument/2006/relationships/header" Target="header9.xml"/><Relationship Id="rId64" Type="http://schemas.openxmlformats.org/officeDocument/2006/relationships/footer" Target="footer29.xml"/><Relationship Id="rId118" Type="http://schemas.openxmlformats.org/officeDocument/2006/relationships/footer" Target="footer56.xml"/><Relationship Id="rId171" Type="http://schemas.openxmlformats.org/officeDocument/2006/relationships/footer" Target="footer82.xml"/><Relationship Id="rId227" Type="http://schemas.openxmlformats.org/officeDocument/2006/relationships/header" Target="header111.xml"/><Relationship Id="rId269" Type="http://schemas.openxmlformats.org/officeDocument/2006/relationships/header" Target="header132.xml"/><Relationship Id="rId33" Type="http://schemas.openxmlformats.org/officeDocument/2006/relationships/footer" Target="footer14.xml"/><Relationship Id="rId129" Type="http://schemas.openxmlformats.org/officeDocument/2006/relationships/footer" Target="footer61.xml"/><Relationship Id="rId280" Type="http://schemas.openxmlformats.org/officeDocument/2006/relationships/footer" Target="footer137.xml"/><Relationship Id="rId75" Type="http://schemas.openxmlformats.org/officeDocument/2006/relationships/footer" Target="footer34.xml"/><Relationship Id="rId140" Type="http://schemas.openxmlformats.org/officeDocument/2006/relationships/header" Target="header68.xml"/><Relationship Id="rId182" Type="http://schemas.openxmlformats.org/officeDocument/2006/relationships/header" Target="header89.xml"/><Relationship Id="rId6" Type="http://schemas.openxmlformats.org/officeDocument/2006/relationships/header" Target="header1.xml"/><Relationship Id="rId238" Type="http://schemas.openxmlformats.org/officeDocument/2006/relationships/footer" Target="footer1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183530</Words>
  <Characters>1046125</Characters>
  <Application>Microsoft Office Word</Application>
  <DocSecurity>0</DocSecurity>
  <Lines>8717</Lines>
  <Paragraphs>2454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 v. Stein, 6 F.4th 584</dc:title>
  <dc:creator>Connor Mitchell</dc:creator>
  <cp:lastModifiedBy>Connor Mitchell</cp:lastModifiedBy>
  <cp:revision>2</cp:revision>
  <dcterms:created xsi:type="dcterms:W3CDTF">2023-08-29T15:26:00Z</dcterms:created>
  <dcterms:modified xsi:type="dcterms:W3CDTF">2023-08-29T15:26:00Z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204589980</vt:lpwstr>
  </property>
  <property fmtid="{D5CDD505-2E9C-101B-9397-08002B2CF9AE}" pid="3" name="LADocCount">
    <vt:i4>50</vt:i4>
  </property>
  <property fmtid="{D5CDD505-2E9C-101B-9397-08002B2CF9AE}" pid="4" name="LADocumentID:urn:contentItem:637N-MSX1-JSJC-X28P-00000-00">
    <vt:lpwstr>Doc::/shared/document|contextualFeaturePermID::1521360</vt:lpwstr>
  </property>
  <property fmtid="{D5CDD505-2E9C-101B-9397-08002B2CF9AE}" pid="5" name="LADocumentID:urn:contentItem:637R-YFD1-FBFS-S3WC-00000-00">
    <vt:lpwstr>Doc::/shared/document|contextualFeaturePermID::1521360</vt:lpwstr>
  </property>
  <property fmtid="{D5CDD505-2E9C-101B-9397-08002B2CF9AE}" pid="6" name="LADocumentID:urn:contentItem:6380-37M1-JC5P-G3KH-00000-00">
    <vt:lpwstr>Doc::/shared/document|contextualFeaturePermID::1521360</vt:lpwstr>
  </property>
  <property fmtid="{D5CDD505-2E9C-101B-9397-08002B2CF9AE}" pid="7" name="LADocumentID:urn:contentItem:63B7-90N1-JT42-S46Y-00000-00">
    <vt:lpwstr>Doc::/shared/document|contextualFeaturePermID::1521360</vt:lpwstr>
  </property>
  <property fmtid="{D5CDD505-2E9C-101B-9397-08002B2CF9AE}" pid="8" name="LADocumentID:urn:contentItem:63BF-8JC1-F016-S4TW-00000-00">
    <vt:lpwstr>Doc::/shared/document|contextualFeaturePermID::1521360</vt:lpwstr>
  </property>
  <property fmtid="{D5CDD505-2E9C-101B-9397-08002B2CF9AE}" pid="9" name="LADocumentID:urn:contentItem:63BR-NVV1-K0BB-S0Y4-00000-00">
    <vt:lpwstr>Doc::/shared/document|contextualFeaturePermID::1521360</vt:lpwstr>
  </property>
  <property fmtid="{D5CDD505-2E9C-101B-9397-08002B2CF9AE}" pid="10" name="LADocumentID:urn:contentItem:63F8-1S11-JJD0-G0H3-00000-00">
    <vt:lpwstr>Doc::/shared/document|contextualFeaturePermID::1521360</vt:lpwstr>
  </property>
  <property fmtid="{D5CDD505-2E9C-101B-9397-08002B2CF9AE}" pid="11" name="LADocumentID:urn:contentItem:63FH-8V11-FBV7-B44Y-00000-00">
    <vt:lpwstr>Doc::/shared/document|contextualFeaturePermID::1521360</vt:lpwstr>
  </property>
  <property fmtid="{D5CDD505-2E9C-101B-9397-08002B2CF9AE}" pid="12" name="LADocumentID:urn:contentItem:63G4-F131-FFMK-M3T8-00000-00">
    <vt:lpwstr>Doc::/shared/document|contextualFeaturePermID::1521360</vt:lpwstr>
  </property>
  <property fmtid="{D5CDD505-2E9C-101B-9397-08002B2CF9AE}" pid="13" name="LADocumentID:urn:contentItem:63JP-8Y41-F5KY-B3JS-00000-00">
    <vt:lpwstr>Doc::/shared/document|contextualFeaturePermID::1521360</vt:lpwstr>
  </property>
  <property fmtid="{D5CDD505-2E9C-101B-9397-08002B2CF9AE}" pid="14" name="LADocumentID:urn:contentItem:63M0-J881-F956-S1VK-00000-00">
    <vt:lpwstr>Doc::/shared/document|contextualFeaturePermID::1521360</vt:lpwstr>
  </property>
  <property fmtid="{D5CDD505-2E9C-101B-9397-08002B2CF9AE}" pid="15" name="LADocumentID:urn:contentItem:63NW-MK01-FH4C-X4CS-00000-00">
    <vt:lpwstr>Doc::/shared/document|contextualFeaturePermID::1521360</vt:lpwstr>
  </property>
  <property fmtid="{D5CDD505-2E9C-101B-9397-08002B2CF9AE}" pid="16" name="LADocumentID:urn:contentItem:63WM-VX41-JNCK-20JS-00000-00">
    <vt:lpwstr>Doc::/shared/document|contextualFeaturePermID::1521360</vt:lpwstr>
  </property>
  <property fmtid="{D5CDD505-2E9C-101B-9397-08002B2CF9AE}" pid="17" name="LADocumentID:urn:contentItem:642J-TTX1-FH4C-X274-00000-00">
    <vt:lpwstr>Doc::/shared/document|contextualFeaturePermID::1521360</vt:lpwstr>
  </property>
  <property fmtid="{D5CDD505-2E9C-101B-9397-08002B2CF9AE}" pid="18" name="LADocumentID:urn:contentItem:6442-FTH1-JC0G-64C5-00000-00">
    <vt:lpwstr>Doc::/shared/document|contextualFeaturePermID::1521360</vt:lpwstr>
  </property>
  <property fmtid="{D5CDD505-2E9C-101B-9397-08002B2CF9AE}" pid="19" name="LADocumentID:urn:contentItem:644W-VSS1-F4W2-648G-00000-00">
    <vt:lpwstr>Doc::/shared/document|contextualFeaturePermID::1521360</vt:lpwstr>
  </property>
  <property fmtid="{D5CDD505-2E9C-101B-9397-08002B2CF9AE}" pid="20" name="LADocumentID:urn:contentItem:649B-P9J1-FC6N-X3KD-00000-00">
    <vt:lpwstr>Doc::/shared/document|contextualFeaturePermID::1521360</vt:lpwstr>
  </property>
  <property fmtid="{D5CDD505-2E9C-101B-9397-08002B2CF9AE}" pid="21" name="LADocumentID:urn:contentItem:64B1-9661-F956-S50G-00000-00">
    <vt:lpwstr>Doc::/shared/document|contextualFeaturePermID::1521360</vt:lpwstr>
  </property>
  <property fmtid="{D5CDD505-2E9C-101B-9397-08002B2CF9AE}" pid="22" name="LADocumentID:urn:contentItem:64C3-4751-JXNB-61D1-00000-00">
    <vt:lpwstr>Doc::/shared/document|contextualFeaturePermID::1521360</vt:lpwstr>
  </property>
  <property fmtid="{D5CDD505-2E9C-101B-9397-08002B2CF9AE}" pid="23" name="LADocumentID:urn:contentItem:64G6-S1R1-F900-G4GC-00000-00">
    <vt:lpwstr>Doc::/shared/document|contextualFeaturePermID::1521360</vt:lpwstr>
  </property>
  <property fmtid="{D5CDD505-2E9C-101B-9397-08002B2CF9AE}" pid="24" name="LADocumentID:urn:contentItem:64YD-YGK1-JP4G-60WN-00000-00">
    <vt:lpwstr>Doc::/shared/document|contextualFeaturePermID::1521360</vt:lpwstr>
  </property>
  <property fmtid="{D5CDD505-2E9C-101B-9397-08002B2CF9AE}" pid="25" name="LADocumentID:urn:contentItem:64YX-R2Y1-JP4G-61GV-00000-00">
    <vt:lpwstr>Doc::/shared/document|contextualFeaturePermID::1521360</vt:lpwstr>
  </property>
  <property fmtid="{D5CDD505-2E9C-101B-9397-08002B2CF9AE}" pid="26" name="LADocumentID:urn:contentItem:653H-PYP1-JCJ5-2173-00000-00">
    <vt:lpwstr>Doc::/shared/document|contextualFeaturePermID::1521360</vt:lpwstr>
  </property>
  <property fmtid="{D5CDD505-2E9C-101B-9397-08002B2CF9AE}" pid="27" name="LADocumentID:urn:contentItem:659S-1DJ1-JG59-21SY-00000-00">
    <vt:lpwstr>Doc::/shared/document|contextualFeaturePermID::1521360</vt:lpwstr>
  </property>
  <property fmtid="{D5CDD505-2E9C-101B-9397-08002B2CF9AE}" pid="28" name="LADocumentID:urn:contentItem:6608-TN51-FD4T-B0TX-00000-00">
    <vt:lpwstr>Doc::/shared/document|contextualFeaturePermID::1521360</vt:lpwstr>
  </property>
  <property fmtid="{D5CDD505-2E9C-101B-9397-08002B2CF9AE}" pid="29" name="LADocumentID:urn:contentItem:662M-BXX1-FGJR-226N-00000-00">
    <vt:lpwstr>Doc::/shared/document|contextualFeaturePermID::1521360</vt:lpwstr>
  </property>
  <property fmtid="{D5CDD505-2E9C-101B-9397-08002B2CF9AE}" pid="30" name="LADocumentID:urn:contentItem:662V-MHJ1-DYFH-X1NG-00000-00">
    <vt:lpwstr>Doc::/shared/document|contextualFeaturePermID::1521360</vt:lpwstr>
  </property>
  <property fmtid="{D5CDD505-2E9C-101B-9397-08002B2CF9AE}" pid="31" name="LADocumentID:urn:contentItem:665D-4G61-JJ1H-X1YS-00000-00">
    <vt:lpwstr>Doc::/shared/document|contextualFeaturePermID::1521360</vt:lpwstr>
  </property>
  <property fmtid="{D5CDD505-2E9C-101B-9397-08002B2CF9AE}" pid="32" name="LADocumentID:urn:contentItem:666T-SPM1-F81W-20TH-00000-00">
    <vt:lpwstr>Doc::/shared/document|contextualFeaturePermID::1521360</vt:lpwstr>
  </property>
  <property fmtid="{D5CDD505-2E9C-101B-9397-08002B2CF9AE}" pid="33" name="LADocumentID:urn:contentItem:667F-P991-DXWW-21T1-00000-00">
    <vt:lpwstr>Doc::/shared/document|contextualFeaturePermID::1521360</vt:lpwstr>
  </property>
  <property fmtid="{D5CDD505-2E9C-101B-9397-08002B2CF9AE}" pid="34" name="LADocumentID:urn:contentItem:667S-FKH1-JCJ5-2484-00000-00">
    <vt:lpwstr>Doc::/shared/document|contextualFeaturePermID::1521360</vt:lpwstr>
  </property>
  <property fmtid="{D5CDD505-2E9C-101B-9397-08002B2CF9AE}" pid="35" name="LADocumentID:urn:contentItem:66GJ-PKP1-DXPM-S2TX-00000-00">
    <vt:lpwstr>Doc::/shared/document|contextualFeaturePermID::1521360</vt:lpwstr>
  </property>
  <property fmtid="{D5CDD505-2E9C-101B-9397-08002B2CF9AE}" pid="36" name="LADocumentID:urn:contentItem:66J9-91M1-JG59-221C-00000-00">
    <vt:lpwstr>Doc::/shared/document|contextualFeaturePermID::1521360</vt:lpwstr>
  </property>
  <property fmtid="{D5CDD505-2E9C-101B-9397-08002B2CF9AE}" pid="37" name="LADocumentID:urn:contentItem:66SM-F6J1-JS5Y-B381-00000-00">
    <vt:lpwstr>Doc::/shared/document|contextualFeaturePermID::1521360</vt:lpwstr>
  </property>
  <property fmtid="{D5CDD505-2E9C-101B-9397-08002B2CF9AE}" pid="38" name="LADocumentID:urn:contentItem:66TB-5961-JWBS-6504-00000-00">
    <vt:lpwstr>Doc::/shared/document|contextualFeaturePermID::1521360</vt:lpwstr>
  </property>
  <property fmtid="{D5CDD505-2E9C-101B-9397-08002B2CF9AE}" pid="39" name="LADocumentID:urn:contentItem:6760-PHJ1-F1P7-B45N-00000-00">
    <vt:lpwstr>Doc::/shared/document|contextualFeaturePermID::1521360</vt:lpwstr>
  </property>
  <property fmtid="{D5CDD505-2E9C-101B-9397-08002B2CF9AE}" pid="40" name="LADocumentID:urn:contentItem:6776-78S1-JWBS-61M4-00000-00">
    <vt:lpwstr>Doc::/shared/document|contextualFeaturePermID::1521360</vt:lpwstr>
  </property>
  <property fmtid="{D5CDD505-2E9C-101B-9397-08002B2CF9AE}" pid="41" name="LADocumentID:urn:contentItem:67FF-64F1-JGPY-X3V0-00000-00">
    <vt:lpwstr>Doc::/shared/document|contextualFeaturePermID::1521360</vt:lpwstr>
  </property>
  <property fmtid="{D5CDD505-2E9C-101B-9397-08002B2CF9AE}" pid="42" name="LADocumentID:urn:contentItem:67GR-NFG1-DYV0-G0GP-00000-00">
    <vt:lpwstr>Doc::/shared/document|contextualFeaturePermID::1521360</vt:lpwstr>
  </property>
  <property fmtid="{D5CDD505-2E9C-101B-9397-08002B2CF9AE}" pid="43" name="LADocumentID:urn:contentItem:67H5-M0Y1-DXPM-S1NM-00000-00">
    <vt:lpwstr>Doc::/shared/document|contextualFeaturePermID::1521360</vt:lpwstr>
  </property>
  <property fmtid="{D5CDD505-2E9C-101B-9397-08002B2CF9AE}" pid="44" name="LADocumentID:urn:contentItem:67JN-7MB1-JGBH-B4GR-00000-00">
    <vt:lpwstr>Doc::/shared/document|contextualFeaturePermID::1521360</vt:lpwstr>
  </property>
  <property fmtid="{D5CDD505-2E9C-101B-9397-08002B2CF9AE}" pid="45" name="LADocumentID:urn:contentItem:67WH-CWY1-F5DR-24F0-00000-00">
    <vt:lpwstr>Doc::/shared/document|contextualFeaturePermID::1521360</vt:lpwstr>
  </property>
  <property fmtid="{D5CDD505-2E9C-101B-9397-08002B2CF9AE}" pid="46" name="LADocumentID:urn:contentItem:681V-WPM1-JTNR-M1WY-00000-00">
    <vt:lpwstr>Doc::/shared/document|contextualFeaturePermID::1521360</vt:lpwstr>
  </property>
  <property fmtid="{D5CDD505-2E9C-101B-9397-08002B2CF9AE}" pid="47" name="LADocumentID:urn:contentItem:688F-J4D1-JPP5-22SD-00000-00">
    <vt:lpwstr>Doc::/shared/document|contextualFeaturePermID::1521360</vt:lpwstr>
  </property>
  <property fmtid="{D5CDD505-2E9C-101B-9397-08002B2CF9AE}" pid="48" name="LADocumentID:urn:contentItem:68MY-89G1-JN6B-S4RN-00000-00">
    <vt:lpwstr>Doc::/shared/document|contextualFeaturePermID::1521360</vt:lpwstr>
  </property>
  <property fmtid="{D5CDD505-2E9C-101B-9397-08002B2CF9AE}" pid="49" name="LADocumentID:urn:contentItem:68NK-18N1-JPP5-24WJ-00000-00">
    <vt:lpwstr>Doc::/shared/document|contextualFeaturePermID::1521360</vt:lpwstr>
  </property>
  <property fmtid="{D5CDD505-2E9C-101B-9397-08002B2CF9AE}" pid="50" name="LADocumentID:urn:contentItem:68RV-2TV1-F8D9-M3MK-00000-00">
    <vt:lpwstr>Doc::/shared/document|contextualFeaturePermID::1521360</vt:lpwstr>
  </property>
  <property fmtid="{D5CDD505-2E9C-101B-9397-08002B2CF9AE}" pid="51" name="LADocumentID:urn:contentItem:68TH-1DJ1-FG68-G42W-00000-00">
    <vt:lpwstr>Doc::/shared/document|contextualFeaturePermID::1521360</vt:lpwstr>
  </property>
  <property fmtid="{D5CDD505-2E9C-101B-9397-08002B2CF9AE}" pid="52" name="LADocumentID:urn:contentItem:68Y7-09H1-JW5H-X0HH-00000-00">
    <vt:lpwstr>Doc::/shared/document|contextualFeaturePermID::1521360</vt:lpwstr>
  </property>
  <property fmtid="{D5CDD505-2E9C-101B-9397-08002B2CF9AE}" pid="53" name="LADocumentID:urn:contentItem:690Y-WXX1-JP9P-G437-00000-00">
    <vt:lpwstr>Doc::/shared/document|contextualFeaturePermID::1521360</vt:lpwstr>
  </property>
  <property fmtid="{D5CDD505-2E9C-101B-9397-08002B2CF9AE}" pid="54" name="UserPermID">
    <vt:lpwstr>urn:user:PA191081579</vt:lpwstr>
  </property>
</Properties>
</file>