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038D" w:rsidRDefault="006E038D">
      <w:pPr>
        <w:pStyle w:val="Normal0"/>
        <w:sectPr w:rsidR="006E038D">
          <w:headerReference w:type="even" r:id="rId6"/>
          <w:headerReference w:type="default" r:id="rId7"/>
          <w:footerReference w:type="even" r:id="rId8"/>
          <w:footerReference w:type="default" r:id="rId9"/>
          <w:headerReference w:type="first" r:id="rId10"/>
          <w:footerReference w:type="first" r:id="rId11"/>
          <w:pgSz w:w="12240" w:h="15840"/>
          <w:pgMar w:top="840" w:right="1000" w:bottom="840" w:left="1000" w:header="400" w:footer="400" w:gutter="0"/>
          <w:cols w:space="720"/>
          <w:titlePg/>
        </w:sectPr>
      </w:pPr>
    </w:p>
    <w:p w:rsidR="006E038D" w:rsidRDefault="006E038D">
      <w:pPr>
        <w:pStyle w:val="Normal0"/>
      </w:pPr>
    </w:p>
    <w:p w:rsidR="006E038D" w:rsidRDefault="00000000">
      <w:pPr>
        <w:pStyle w:val="Heading1"/>
        <w:keepNext w:val="0"/>
        <w:widowControl w:val="0"/>
        <w:spacing w:after="200" w:line="340" w:lineRule="atLeast"/>
        <w:jc w:val="center"/>
      </w:pPr>
      <w:r>
        <w:rPr>
          <w:rFonts w:eastAsia="Arial"/>
          <w:color w:val="000000"/>
          <w:sz w:val="28"/>
        </w:rPr>
        <w:t>McTernan v. City of York</w:t>
      </w:r>
    </w:p>
    <w:p w:rsidR="006E038D" w:rsidRDefault="00000000">
      <w:pPr>
        <w:pStyle w:val="Normal0"/>
        <w:widowControl w:val="0"/>
        <w:spacing w:before="120" w:line="260" w:lineRule="atLeast"/>
        <w:jc w:val="center"/>
      </w:pPr>
      <w:r>
        <w:rPr>
          <w:rFonts w:ascii="Arial" w:eastAsia="Arial" w:hAnsi="Arial" w:cs="Arial"/>
          <w:color w:val="000000"/>
          <w:sz w:val="20"/>
        </w:rPr>
        <w:t>United States Court of Appeals for the Third Circuit</w:t>
      </w:r>
    </w:p>
    <w:p w:rsidR="006E038D" w:rsidRDefault="00000000">
      <w:pPr>
        <w:pStyle w:val="Normal0"/>
        <w:widowControl w:val="0"/>
        <w:spacing w:before="120" w:line="260" w:lineRule="atLeast"/>
        <w:jc w:val="center"/>
      </w:pPr>
      <w:r>
        <w:rPr>
          <w:rFonts w:ascii="Arial" w:eastAsia="Arial" w:hAnsi="Arial" w:cs="Arial"/>
          <w:color w:val="000000"/>
          <w:sz w:val="20"/>
        </w:rPr>
        <w:t>January 12, 2009, Submitted Under Third Circuit LAR 34.1(a); August 24, 2009, Filed</w:t>
      </w:r>
    </w:p>
    <w:p w:rsidR="006E038D" w:rsidRDefault="00000000">
      <w:pPr>
        <w:pStyle w:val="Normal0"/>
        <w:widowControl w:val="0"/>
        <w:spacing w:before="120" w:line="260" w:lineRule="atLeast"/>
        <w:jc w:val="center"/>
        <w:sectPr w:rsidR="006E038D">
          <w:type w:val="continuous"/>
          <w:pgSz w:w="12240" w:h="15840"/>
          <w:pgMar w:top="840" w:right="1000" w:bottom="840" w:left="1000" w:header="400" w:footer="400" w:gutter="0"/>
          <w:cols w:space="240"/>
        </w:sectPr>
      </w:pPr>
      <w:r>
        <w:rPr>
          <w:rFonts w:ascii="Arial" w:eastAsia="Arial" w:hAnsi="Arial" w:cs="Arial"/>
          <w:color w:val="000000"/>
          <w:sz w:val="20"/>
        </w:rPr>
        <w:t>No. 07-2670</w:t>
      </w:r>
    </w:p>
    <w:p w:rsidR="006E038D" w:rsidRDefault="006E038D">
      <w:pPr>
        <w:pStyle w:val="Normal0"/>
        <w:widowControl w:val="0"/>
        <w:spacing w:line="240" w:lineRule="atLeast"/>
        <w:jc w:val="both"/>
      </w:pPr>
      <w:bookmarkStart w:id="0" w:name="Bookmark_1"/>
      <w:bookmarkEnd w:id="0"/>
    </w:p>
    <w:p w:rsidR="006E038D" w:rsidRDefault="00000000">
      <w:pPr>
        <w:pStyle w:val="Normal0"/>
        <w:widowControl w:val="0"/>
        <w:spacing w:before="200" w:line="240" w:lineRule="atLeast"/>
      </w:pPr>
      <w:bookmarkStart w:id="1" w:name="Reporter"/>
      <w:bookmarkEnd w:id="1"/>
      <w:r>
        <w:rPr>
          <w:rFonts w:ascii="Arial" w:eastAsia="Arial" w:hAnsi="Arial" w:cs="Arial"/>
          <w:b/>
          <w:color w:val="000000"/>
          <w:sz w:val="18"/>
        </w:rPr>
        <w:t>Reporter</w:t>
      </w:r>
    </w:p>
    <w:p w:rsidR="006E038D" w:rsidRDefault="00000000">
      <w:pPr>
        <w:pStyle w:val="Normal0"/>
        <w:widowControl w:val="0"/>
        <w:spacing w:line="240" w:lineRule="atLeast"/>
        <w:sectPr w:rsidR="006E038D">
          <w:type w:val="continuous"/>
          <w:pgSz w:w="12240" w:h="15840"/>
          <w:pgMar w:top="840" w:right="1000" w:bottom="840" w:left="1000" w:header="400" w:footer="400" w:gutter="0"/>
          <w:cols w:space="240"/>
        </w:sectPr>
      </w:pPr>
      <w:r>
        <w:rPr>
          <w:rFonts w:ascii="Arial" w:eastAsia="Arial" w:hAnsi="Arial" w:cs="Arial"/>
          <w:color w:val="000000"/>
          <w:sz w:val="18"/>
        </w:rPr>
        <w:t>577 F.3d 521 *; 2009 U.S. App. LEXIS 18942 **</w:t>
      </w:r>
    </w:p>
    <w:p w:rsidR="006E038D" w:rsidRDefault="00000000">
      <w:pPr>
        <w:pStyle w:val="Normal0"/>
        <w:widowControl w:val="0"/>
        <w:spacing w:before="120" w:line="260" w:lineRule="atLeast"/>
      </w:pPr>
      <w:r>
        <w:rPr>
          <w:rFonts w:ascii="Arial" w:eastAsia="Arial" w:hAnsi="Arial" w:cs="Arial"/>
          <w:color w:val="000000"/>
          <w:sz w:val="20"/>
        </w:rPr>
        <w:t>JOHN MCTERNAN; EDWARD D. SNELL; JOHN WOOD; LUANNE C. FERGUSON, Appellants v. CITY OF YORK, PENNSYLVANIA; MARK L. WHITMAN, POLICE COMMISSIONER, IN HIS OFFICIAL CAPACITY; JASON JAY, OFFICER, IN HIS OFFICIAL CAPACITY, PLANNED PARENTHOOD OF CENTRAL PENNSYLVANIA, Intervenor in District Court</w:t>
      </w:r>
    </w:p>
    <w:p w:rsidR="006E038D" w:rsidRDefault="00000000">
      <w:pPr>
        <w:pStyle w:val="Normal0"/>
        <w:widowControl w:val="0"/>
        <w:spacing w:before="240" w:line="260" w:lineRule="atLeast"/>
        <w:jc w:val="both"/>
      </w:pPr>
      <w:bookmarkStart w:id="2" w:name="Prior_History"/>
      <w:bookmarkEnd w:id="2"/>
      <w:r>
        <w:rPr>
          <w:rFonts w:ascii="Arial" w:eastAsia="Arial" w:hAnsi="Arial" w:cs="Arial"/>
          <w:b/>
          <w:color w:val="000000"/>
          <w:sz w:val="20"/>
        </w:rPr>
        <w:t>Prior History:</w:t>
      </w:r>
      <w:r>
        <w:rPr>
          <w:rFonts w:ascii="Arial" w:eastAsia="Arial" w:hAnsi="Arial" w:cs="Arial"/>
          <w:color w:val="000000"/>
          <w:sz w:val="20"/>
        </w:rPr>
        <w:t>  [**1] </w:t>
      </w:r>
      <w:bookmarkStart w:id="3" w:name="Bookmark_para_1"/>
      <w:bookmarkEnd w:id="3"/>
      <w:r>
        <w:rPr>
          <w:rFonts w:ascii="Arial" w:eastAsia="Arial" w:hAnsi="Arial" w:cs="Arial"/>
          <w:color w:val="000000"/>
          <w:sz w:val="20"/>
        </w:rPr>
        <w:t>On Appeal from the United States District Court for the Middle District of Pennsylvania. (D.C. No. 07-cv-00088). District Judge: Honorable John E. Jones, III.</w:t>
      </w:r>
    </w:p>
    <w:p w:rsidR="006E038D" w:rsidRDefault="00000000">
      <w:pPr>
        <w:pStyle w:val="Normal0"/>
        <w:widowControl w:val="0"/>
        <w:spacing w:before="120" w:line="260" w:lineRule="atLeast"/>
      </w:pPr>
      <w:r>
        <w:rPr>
          <w:rFonts w:ascii="Arial" w:eastAsia="Arial" w:hAnsi="Arial" w:cs="Arial"/>
          <w:color w:val="000000"/>
          <w:sz w:val="20"/>
        </w:rPr>
        <w:t>McTernan v. City of York, 2007 U.S. Dist. LEXIS 37238 (M.D. Pa., May 22, 2007)</w:t>
      </w:r>
    </w:p>
    <w:p w:rsidR="006E038D" w:rsidRDefault="00000000">
      <w:pPr>
        <w:pStyle w:val="Normal0"/>
        <w:widowControl w:val="0"/>
        <w:spacing w:before="120" w:line="260" w:lineRule="atLeast"/>
      </w:pPr>
      <w:r>
        <w:rPr>
          <w:rFonts w:ascii="Arial" w:eastAsia="Arial" w:hAnsi="Arial" w:cs="Arial"/>
          <w:color w:val="000000"/>
          <w:sz w:val="20"/>
        </w:rPr>
        <w:t>McTernan v. City of York, 486 F. Supp. 2d 466, 2007 U.S. Dist. LEXIS 36907 (M.D. Pa., 2007)</w:t>
      </w:r>
    </w:p>
    <w:p w:rsidR="006E038D" w:rsidRDefault="00000000">
      <w:pPr>
        <w:pStyle w:val="Normal0"/>
        <w:widowControl w:val="0"/>
        <w:spacing w:before="240" w:line="260" w:lineRule="atLeast"/>
      </w:pPr>
      <w:bookmarkStart w:id="4" w:name="Counsel"/>
      <w:bookmarkEnd w:id="4"/>
      <w:r>
        <w:rPr>
          <w:rFonts w:ascii="Arial" w:eastAsia="Arial" w:hAnsi="Arial" w:cs="Arial"/>
          <w:b/>
          <w:color w:val="000000"/>
          <w:sz w:val="20"/>
        </w:rPr>
        <w:t>Counsel:</w:t>
      </w:r>
      <w:r>
        <w:rPr>
          <w:rFonts w:ascii="Arial" w:eastAsia="Arial" w:hAnsi="Arial" w:cs="Arial"/>
          <w:color w:val="000000"/>
          <w:sz w:val="20"/>
        </w:rPr>
        <w:t> Dennis E. Boyle, Randall L. Wenger, Boyle, Neblett &amp; Wenger, Camp Hill, PA, Attorneys for Appellants.</w:t>
      </w:r>
    </w:p>
    <w:p w:rsidR="006E038D" w:rsidRDefault="00000000">
      <w:pPr>
        <w:pStyle w:val="Normal0"/>
        <w:widowControl w:val="0"/>
        <w:spacing w:before="120" w:line="260" w:lineRule="atLeast"/>
      </w:pPr>
      <w:r>
        <w:rPr>
          <w:rFonts w:ascii="Arial" w:eastAsia="Arial" w:hAnsi="Arial" w:cs="Arial"/>
          <w:color w:val="000000"/>
          <w:sz w:val="20"/>
        </w:rPr>
        <w:t>Frank J. Lavery, Jr., James D. Young, Lavery, Faherty, Young &amp; Patterson, Harrisburg, PA, Attorneys for Appellees.</w:t>
      </w:r>
    </w:p>
    <w:p w:rsidR="006E038D" w:rsidRDefault="00000000">
      <w:pPr>
        <w:pStyle w:val="Normal0"/>
        <w:widowControl w:val="0"/>
        <w:spacing w:before="120" w:line="260" w:lineRule="atLeast"/>
      </w:pPr>
      <w:r>
        <w:rPr>
          <w:rFonts w:ascii="Arial" w:eastAsia="Arial" w:hAnsi="Arial" w:cs="Arial"/>
          <w:color w:val="000000"/>
          <w:sz w:val="20"/>
        </w:rPr>
        <w:t>Sean E. Summers, Barley Snyder, York, PA, Attorney for Intervenor.</w:t>
      </w:r>
    </w:p>
    <w:p w:rsidR="006E038D" w:rsidRDefault="00000000">
      <w:pPr>
        <w:pStyle w:val="Normal0"/>
        <w:widowControl w:val="0"/>
        <w:spacing w:before="240" w:line="260" w:lineRule="atLeast"/>
      </w:pPr>
      <w:bookmarkStart w:id="5" w:name="Judges"/>
      <w:bookmarkEnd w:id="5"/>
      <w:r>
        <w:rPr>
          <w:rFonts w:ascii="Arial" w:eastAsia="Arial" w:hAnsi="Arial" w:cs="Arial"/>
          <w:b/>
          <w:color w:val="000000"/>
          <w:sz w:val="20"/>
        </w:rPr>
        <w:t>Judges:</w:t>
      </w:r>
      <w:r>
        <w:rPr>
          <w:rFonts w:ascii="Arial" w:eastAsia="Arial" w:hAnsi="Arial" w:cs="Arial"/>
          <w:color w:val="000000"/>
          <w:sz w:val="20"/>
        </w:rPr>
        <w:t xml:space="preserve"> Before: SLOVITER and BARRY, Circuit Judges, and POLLAK </w:t>
      </w:r>
      <w:r>
        <w:rPr>
          <w:rFonts w:ascii="Arial" w:eastAsia="Arial" w:hAnsi="Arial" w:cs="Arial"/>
          <w:vertAlign w:val="superscript"/>
        </w:rPr>
        <w:footnoteReference w:customMarkFollows="1" w:id="1"/>
        <w:t>*</w:t>
      </w:r>
      <w:r>
        <w:rPr>
          <w:rFonts w:ascii="Arial" w:eastAsia="Arial" w:hAnsi="Arial" w:cs="Arial"/>
          <w:color w:val="000000"/>
          <w:sz w:val="20"/>
        </w:rPr>
        <w:t>, District Judge.</w:t>
      </w:r>
    </w:p>
    <w:p w:rsidR="006E038D" w:rsidRDefault="00000000">
      <w:pPr>
        <w:pStyle w:val="Normal0"/>
        <w:widowControl w:val="0"/>
        <w:spacing w:before="240" w:line="260" w:lineRule="atLeast"/>
      </w:pPr>
      <w:bookmarkStart w:id="7" w:name="Opinion_by"/>
      <w:bookmarkEnd w:id="7"/>
      <w:r>
        <w:rPr>
          <w:rFonts w:ascii="Arial" w:eastAsia="Arial" w:hAnsi="Arial" w:cs="Arial"/>
          <w:b/>
          <w:color w:val="000000"/>
          <w:sz w:val="20"/>
        </w:rPr>
        <w:t>Opinion by:</w:t>
      </w:r>
      <w:r>
        <w:rPr>
          <w:rFonts w:ascii="Arial" w:eastAsia="Arial" w:hAnsi="Arial" w:cs="Arial"/>
          <w:color w:val="000000"/>
          <w:sz w:val="20"/>
        </w:rPr>
        <w:t> SLOVITER</w:t>
      </w:r>
    </w:p>
    <w:p w:rsidR="006E038D" w:rsidRDefault="00000000">
      <w:pPr>
        <w:pStyle w:val="Normal0"/>
        <w:keepNext/>
        <w:widowControl w:val="0"/>
        <w:spacing w:before="240" w:line="340" w:lineRule="atLeast"/>
      </w:pPr>
      <w:bookmarkStart w:id="8" w:name="Opinion"/>
      <w:bookmarkEnd w:id="8"/>
      <w:r>
        <w:rPr>
          <w:rFonts w:ascii="Arial" w:eastAsia="Arial" w:hAnsi="Arial" w:cs="Arial"/>
          <w:b/>
          <w:color w:val="000000"/>
          <w:sz w:val="28"/>
        </w:rPr>
        <w:t>Opinion</w:t>
      </w:r>
    </w:p>
    <w:p w:rsidR="006E038D" w:rsidRDefault="008C3211">
      <w:pPr>
        <w:pStyle w:val="Normal0"/>
        <w:spacing w:line="60" w:lineRule="exact"/>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25400</wp:posOffset>
                </wp:positionV>
                <wp:extent cx="3187700" cy="0"/>
                <wp:effectExtent l="21590" t="17780" r="19685" b="20320"/>
                <wp:wrapTopAndBottom/>
                <wp:docPr id="8853497"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3A087E" id="Line 2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6E038D" w:rsidRDefault="006E038D">
      <w:pPr>
        <w:pStyle w:val="Normal0"/>
      </w:pPr>
    </w:p>
    <w:p w:rsidR="006E038D" w:rsidRDefault="00000000">
      <w:pPr>
        <w:pStyle w:val="Normal0"/>
        <w:widowControl w:val="0"/>
        <w:spacing w:before="200" w:line="260" w:lineRule="atLeast"/>
        <w:jc w:val="both"/>
      </w:pPr>
      <w:bookmarkStart w:id="9" w:name="Bookmark_para_2"/>
      <w:bookmarkEnd w:id="9"/>
      <w:r>
        <w:rPr>
          <w:rFonts w:ascii="Arial" w:eastAsia="Arial" w:hAnsi="Arial" w:cs="Arial"/>
          <w:color w:val="000000"/>
          <w:sz w:val="20"/>
        </w:rPr>
        <w:t> [*523]  OPINION OF THE COURT</w:t>
      </w:r>
    </w:p>
    <w:p w:rsidR="006E038D" w:rsidRDefault="00000000">
      <w:pPr>
        <w:pStyle w:val="Normal0"/>
        <w:widowControl w:val="0"/>
        <w:spacing w:before="200" w:line="260" w:lineRule="atLeast"/>
        <w:jc w:val="both"/>
      </w:pPr>
      <w:bookmarkStart w:id="10" w:name="Bookmark_para_3"/>
      <w:bookmarkEnd w:id="10"/>
      <w:r>
        <w:rPr>
          <w:rFonts w:ascii="Arial" w:eastAsia="Arial" w:hAnsi="Arial" w:cs="Arial"/>
          <w:color w:val="000000"/>
          <w:sz w:val="20"/>
        </w:rPr>
        <w:t xml:space="preserve">SLOVITER, </w:t>
      </w:r>
      <w:r>
        <w:rPr>
          <w:rFonts w:ascii="Arial" w:eastAsia="Arial" w:hAnsi="Arial" w:cs="Arial"/>
          <w:color w:val="000000"/>
          <w:sz w:val="20"/>
          <w:u w:val="single"/>
        </w:rPr>
        <w:t>Circuit Judge</w:t>
      </w:r>
      <w:r>
        <w:rPr>
          <w:rFonts w:ascii="Arial" w:eastAsia="Arial" w:hAnsi="Arial" w:cs="Arial"/>
          <w:color w:val="000000"/>
          <w:sz w:val="20"/>
        </w:rPr>
        <w:t>.</w:t>
      </w:r>
    </w:p>
    <w:p w:rsidR="006E038D" w:rsidRDefault="00000000">
      <w:pPr>
        <w:pStyle w:val="Normal0"/>
        <w:widowControl w:val="0"/>
        <w:spacing w:before="200" w:line="260" w:lineRule="atLeast"/>
        <w:jc w:val="both"/>
      </w:pPr>
      <w:bookmarkStart w:id="11" w:name="Bookmark_para_4"/>
      <w:bookmarkStart w:id="12" w:name="Bookmark_I4X77MX10K1MNJ54H0000400"/>
      <w:bookmarkEnd w:id="11"/>
      <w:bookmarkEnd w:id="12"/>
      <w:r>
        <w:rPr>
          <w:rFonts w:ascii="Arial" w:eastAsia="Arial" w:hAnsi="Arial" w:cs="Arial"/>
          <w:color w:val="000000"/>
          <w:sz w:val="20"/>
        </w:rPr>
        <w:t xml:space="preserve">We address this case in light of our recent decisions in </w:t>
      </w:r>
      <w:bookmarkStart w:id="13" w:name="Bookmark_I4X77MX10K1MNJ54G0000400"/>
      <w:bookmarkEnd w:id="13"/>
      <w:r>
        <w:rPr>
          <w:rFonts w:ascii="Arial" w:eastAsia="Arial" w:hAnsi="Arial" w:cs="Arial"/>
          <w:i/>
          <w:color w:val="000000"/>
          <w:sz w:val="20"/>
        </w:rPr>
        <w:t>McTernan v. City of York</w:t>
      </w:r>
      <w:r>
        <w:rPr>
          <w:rFonts w:ascii="Arial" w:eastAsia="Arial" w:hAnsi="Arial" w:cs="Arial"/>
          <w:color w:val="000000"/>
          <w:sz w:val="20"/>
        </w:rPr>
        <w:t xml:space="preserve">, 564 F.3d 636 (3d Cir. 2009), </w:t>
      </w:r>
      <w:bookmarkStart w:id="14" w:name="Bookmark_I4X77MX10K1MNJ54J0000400"/>
      <w:bookmarkEnd w:id="14"/>
      <w:r>
        <w:rPr>
          <w:rFonts w:ascii="Arial" w:eastAsia="Arial" w:hAnsi="Arial" w:cs="Arial"/>
          <w:i/>
          <w:color w:val="000000"/>
          <w:sz w:val="20"/>
        </w:rPr>
        <w:t>Holman v. City of York</w:t>
      </w:r>
      <w:r>
        <w:rPr>
          <w:rFonts w:ascii="Arial" w:eastAsia="Arial" w:hAnsi="Arial" w:cs="Arial"/>
          <w:color w:val="000000"/>
          <w:sz w:val="20"/>
        </w:rPr>
        <w:t xml:space="preserve">, 564 F.3d 225 (3d Cir. 2009), and </w:t>
      </w:r>
      <w:bookmarkStart w:id="15" w:name="Bookmark_I4X77MX10K1MNJ54M0000400"/>
      <w:bookmarkEnd w:id="15"/>
      <w:r>
        <w:rPr>
          <w:rFonts w:ascii="Arial" w:eastAsia="Arial" w:hAnsi="Arial" w:cs="Arial"/>
          <w:i/>
          <w:color w:val="000000"/>
          <w:sz w:val="20"/>
        </w:rPr>
        <w:t>Snell v. City of York</w:t>
      </w:r>
      <w:r>
        <w:rPr>
          <w:rFonts w:ascii="Arial" w:eastAsia="Arial" w:hAnsi="Arial" w:cs="Arial"/>
          <w:color w:val="000000"/>
          <w:sz w:val="20"/>
        </w:rPr>
        <w:t>, 564 F.3d 659 (3d Cir. 2009). Although this case, like those cases, involves protestors at a health facility  [*524]  where abortions are performed, in this case the protestors seek to protest on a handicapped entrance ramp to the facility. Because doing so would block handicapped access to the ramp, and the protestors have  [**2] the opportunity to stand immediately next to the ramp on the public sidewalk and communicate to those entering the facility, we affirm the District Court's decisions denying the preliminary injunction Plaintiffs sought and dismissing their action.</w:t>
      </w:r>
    </w:p>
    <w:p w:rsidR="006E038D" w:rsidRDefault="00000000">
      <w:pPr>
        <w:pStyle w:val="Normal0"/>
        <w:widowControl w:val="0"/>
        <w:spacing w:before="200" w:line="260" w:lineRule="atLeast"/>
        <w:jc w:val="both"/>
      </w:pPr>
      <w:bookmarkStart w:id="16" w:name="Bookmark_para_5"/>
      <w:bookmarkEnd w:id="16"/>
      <w:r>
        <w:rPr>
          <w:rFonts w:ascii="Arial" w:eastAsia="Arial" w:hAnsi="Arial" w:cs="Arial"/>
          <w:b/>
          <w:color w:val="000000"/>
          <w:sz w:val="20"/>
        </w:rPr>
        <w:t>I</w:t>
      </w:r>
      <w:r>
        <w:rPr>
          <w:rFonts w:ascii="Arial" w:eastAsia="Arial" w:hAnsi="Arial" w:cs="Arial"/>
          <w:color w:val="000000"/>
          <w:sz w:val="20"/>
        </w:rPr>
        <w:t>.</w:t>
      </w:r>
    </w:p>
    <w:p w:rsidR="006E038D" w:rsidRDefault="00000000">
      <w:pPr>
        <w:pStyle w:val="Normal0"/>
        <w:widowControl w:val="0"/>
        <w:spacing w:before="240" w:line="260" w:lineRule="atLeast"/>
      </w:pPr>
      <w:r>
        <w:br/>
      </w:r>
      <w:r>
        <w:rPr>
          <w:rFonts w:ascii="Arial" w:eastAsia="Arial" w:hAnsi="Arial" w:cs="Arial"/>
          <w:b/>
          <w:color w:val="000000"/>
          <w:sz w:val="20"/>
        </w:rPr>
        <w:t>Factual Background</w:t>
      </w:r>
    </w:p>
    <w:p w:rsidR="006E038D" w:rsidRDefault="00000000">
      <w:pPr>
        <w:pStyle w:val="Normal0"/>
        <w:widowControl w:val="0"/>
        <w:spacing w:before="200" w:line="260" w:lineRule="atLeast"/>
        <w:jc w:val="both"/>
      </w:pPr>
      <w:bookmarkStart w:id="17" w:name="Bookmark_para_6"/>
      <w:bookmarkEnd w:id="17"/>
      <w:r>
        <w:rPr>
          <w:rFonts w:ascii="Arial" w:eastAsia="Arial" w:hAnsi="Arial" w:cs="Arial"/>
          <w:color w:val="000000"/>
          <w:sz w:val="20"/>
        </w:rPr>
        <w:t>The complaint alleges that the four plaintiffs (appellants on appeal), John McTernan, Edward D. Snell, John Wood, and Luanne C. Ferguson (collectively, the "Plaintiffs"), profess devout Christian beliefs, including a belief that their religion requires them to share these beliefs with others. Based on these religious beliefs, Plaintiffs protested against abortions outside a Planned Parenthood facility in the City of York, Pennsylvania (the "Facility").</w:t>
      </w:r>
    </w:p>
    <w:p w:rsidR="006E038D" w:rsidRDefault="00000000">
      <w:pPr>
        <w:pStyle w:val="Normal0"/>
        <w:widowControl w:val="0"/>
        <w:spacing w:before="200" w:line="260" w:lineRule="atLeast"/>
        <w:jc w:val="both"/>
      </w:pPr>
      <w:bookmarkStart w:id="18" w:name="Bookmark_para_7"/>
      <w:bookmarkEnd w:id="18"/>
      <w:r>
        <w:rPr>
          <w:rFonts w:ascii="Arial" w:eastAsia="Arial" w:hAnsi="Arial" w:cs="Arial"/>
          <w:color w:val="000000"/>
          <w:sz w:val="20"/>
        </w:rPr>
        <w:t>The Facility is situated next to a public sidewalk and has a ramp leading to its front entrance that runs parallel to the sidewalk. The ramp has handrails on either side as well as a canopy above. A survey conducted by Plaintiffs showed that 2.9 feet of the ramp were constructed on the public right of way.</w:t>
      </w:r>
    </w:p>
    <w:p w:rsidR="006E038D" w:rsidRDefault="00000000">
      <w:pPr>
        <w:pStyle w:val="Normal0"/>
        <w:widowControl w:val="0"/>
        <w:spacing w:before="200" w:line="260" w:lineRule="atLeast"/>
        <w:jc w:val="both"/>
      </w:pPr>
      <w:bookmarkStart w:id="19" w:name="Bookmark_para_8"/>
      <w:bookmarkEnd w:id="19"/>
      <w:r>
        <w:rPr>
          <w:rFonts w:ascii="Arial" w:eastAsia="Arial" w:hAnsi="Arial" w:cs="Arial"/>
          <w:color w:val="000000"/>
          <w:sz w:val="20"/>
        </w:rPr>
        <w:t>Based on this survey, McTernan sent a letter dated November 22, 2006, to Mark L. Whitman, the Commissioner of the York City Police Department, "requesting that [Whitman]  [**3] require [Planned Parenthood] to . . . remove the section that encroaches and extends over the property line." App. at 65. In this letter, McTernan also stated that he had notified the CEO of Planned Parenthood of the violation and requested that she cease hanging banners, at least one of which stated, inter alia, "Pledge-A-Protestor Campaign in Effect Today," App. at 66, between the canopy and the railing of the ramp. McTernan's letter noted that when the banners were still hanging two days later, he asked the on-site supervisor to remove them because they were in the public right of way. She declined to do so.</w:t>
      </w:r>
    </w:p>
    <w:p w:rsidR="006E038D" w:rsidRDefault="00000000">
      <w:pPr>
        <w:pStyle w:val="Normal0"/>
        <w:widowControl w:val="0"/>
        <w:spacing w:before="200" w:line="260" w:lineRule="atLeast"/>
        <w:jc w:val="both"/>
      </w:pPr>
      <w:bookmarkStart w:id="20" w:name="Bookmark_para_9"/>
      <w:bookmarkEnd w:id="20"/>
      <w:r>
        <w:rPr>
          <w:rFonts w:ascii="Arial" w:eastAsia="Arial" w:hAnsi="Arial" w:cs="Arial"/>
          <w:color w:val="000000"/>
          <w:sz w:val="20"/>
        </w:rPr>
        <w:t>On November 29, 2006, Jason Jay, an officer with the City of York Police Department, was on duty outside the Facility. Plaintiffs, noting that a portion of the ramp and the banner was located on the public right of way, sought permission from Officer Jay to go on the ramp to communicate with clients entering the Facility. Officer Jay refused them permission, telling Plaintiffs that he would arrest them for trespass if they went on the ramp.</w:t>
      </w:r>
    </w:p>
    <w:p w:rsidR="006E038D" w:rsidRDefault="00000000">
      <w:pPr>
        <w:pStyle w:val="Normal0"/>
        <w:widowControl w:val="0"/>
        <w:spacing w:before="200" w:line="260" w:lineRule="atLeast"/>
        <w:jc w:val="both"/>
      </w:pPr>
      <w:bookmarkStart w:id="21" w:name="Bookmark_para_10"/>
      <w:bookmarkEnd w:id="21"/>
      <w:r>
        <w:rPr>
          <w:rFonts w:ascii="Arial" w:eastAsia="Arial" w:hAnsi="Arial" w:cs="Arial"/>
          <w:color w:val="000000"/>
          <w:sz w:val="20"/>
        </w:rPr>
        <w:t>These allegations formed the basis of Plaintiffs' suit against Officer Jay, Commissioner Whitman, and the City of York, Pennsylvania (collectively,  [**4] the "Defendants"), claiming violations of Plaintiffs' rights to the free exercise of religion, peaceful assembly, and freedom of speech. Plaintiffs sought (1) a declaratory judgment that Defendants' failure to allow them on the ramp was unconstitutional, (2) temporary and permanent injunctions restraining Defendants from prohibiting Plaintiffs access to the ramp, and (3) nominal damages, and costs and attorneys' fees.</w:t>
      </w:r>
    </w:p>
    <w:p w:rsidR="006E038D" w:rsidRDefault="00000000">
      <w:pPr>
        <w:pStyle w:val="Normal0"/>
        <w:widowControl w:val="0"/>
        <w:spacing w:before="200" w:line="260" w:lineRule="atLeast"/>
        <w:jc w:val="both"/>
      </w:pPr>
      <w:bookmarkStart w:id="22" w:name="Bookmark_para_11"/>
      <w:bookmarkEnd w:id="22"/>
      <w:r>
        <w:rPr>
          <w:rFonts w:ascii="Arial" w:eastAsia="Arial" w:hAnsi="Arial" w:cs="Arial"/>
          <w:color w:val="000000"/>
          <w:sz w:val="20"/>
        </w:rPr>
        <w:t xml:space="preserve">The same day the complaint was filed, Plaintiffs filed a motion for a preliminary injunction to prevent Defendants from interfering with their "free exercise rights" and "First Amendment rights." App. at 77-78. The District Court held an evidentiary hearing on the preliminary injunction request. Shortly thereafter, Defendants filed a motion to dismiss, relying on federal regulations issued under the Americans with Disabilities Act ("ADA") governing handicapped accessible ramps. They cited, for example, </w:t>
      </w:r>
      <w:bookmarkStart w:id="23" w:name="Bookmark_LNHNREFclscc1"/>
      <w:bookmarkEnd w:id="23"/>
      <w:r>
        <w:rPr>
          <w:rFonts w:ascii="Arial" w:eastAsia="Arial" w:hAnsi="Arial" w:cs="Arial"/>
          <w:color w:val="000000"/>
          <w:sz w:val="20"/>
        </w:rPr>
        <w:t xml:space="preserve">28 C.F.R. Part 36, App. A,  [*525]  which requires that ramps for handicapped accessible buildings and facilities include a clear width of 36 inches, 28 C.F.R. Part 36, App. A § 4.8.3, a level landing at both the bottom and the top of the ramp, </w:t>
      </w:r>
      <w:r>
        <w:rPr>
          <w:rFonts w:ascii="Arial" w:eastAsia="Arial" w:hAnsi="Arial" w:cs="Arial"/>
          <w:i/>
          <w:color w:val="000000"/>
          <w:sz w:val="20"/>
        </w:rPr>
        <w:t>id</w:t>
      </w:r>
      <w:r>
        <w:rPr>
          <w:rFonts w:ascii="Arial" w:eastAsia="Arial" w:hAnsi="Arial" w:cs="Arial"/>
          <w:color w:val="000000"/>
          <w:sz w:val="20"/>
        </w:rPr>
        <w:t xml:space="preserve">. at § 4.8.4, edge protection for  [**5] ramps like the one in question, which has a dropoff, </w:t>
      </w:r>
      <w:r>
        <w:rPr>
          <w:rFonts w:ascii="Arial" w:eastAsia="Arial" w:hAnsi="Arial" w:cs="Arial"/>
          <w:i/>
          <w:color w:val="000000"/>
          <w:sz w:val="20"/>
        </w:rPr>
        <w:t>id</w:t>
      </w:r>
      <w:r>
        <w:rPr>
          <w:rFonts w:ascii="Arial" w:eastAsia="Arial" w:hAnsi="Arial" w:cs="Arial"/>
          <w:color w:val="000000"/>
          <w:sz w:val="20"/>
        </w:rPr>
        <w:t xml:space="preserve">. at § 4.8.7, and handrails along both sides of the ramp, </w:t>
      </w:r>
      <w:r>
        <w:rPr>
          <w:rFonts w:ascii="Arial" w:eastAsia="Arial" w:hAnsi="Arial" w:cs="Arial"/>
          <w:i/>
          <w:color w:val="000000"/>
          <w:sz w:val="20"/>
        </w:rPr>
        <w:t>id</w:t>
      </w:r>
      <w:r>
        <w:rPr>
          <w:rFonts w:ascii="Arial" w:eastAsia="Arial" w:hAnsi="Arial" w:cs="Arial"/>
          <w:color w:val="000000"/>
          <w:sz w:val="20"/>
        </w:rPr>
        <w:t xml:space="preserve"> at § 4.8.5(1). All of the requirements are applicable to the Facility. Additionally, as the Facility provides medical services, the ramp leading to the Facility must have an overhead canopy or overhanging roof. </w:t>
      </w:r>
      <w:r>
        <w:rPr>
          <w:rFonts w:ascii="Arial" w:eastAsia="Arial" w:hAnsi="Arial" w:cs="Arial"/>
          <w:i/>
          <w:color w:val="000000"/>
          <w:sz w:val="20"/>
        </w:rPr>
        <w:t>Id</w:t>
      </w:r>
      <w:r>
        <w:rPr>
          <w:rFonts w:ascii="Arial" w:eastAsia="Arial" w:hAnsi="Arial" w:cs="Arial"/>
          <w:color w:val="000000"/>
          <w:sz w:val="20"/>
        </w:rPr>
        <w:t>. at § 6.2.</w:t>
      </w:r>
    </w:p>
    <w:p w:rsidR="006E038D" w:rsidRDefault="00000000">
      <w:pPr>
        <w:pStyle w:val="Normal0"/>
        <w:widowControl w:val="0"/>
        <w:spacing w:before="200" w:line="260" w:lineRule="atLeast"/>
        <w:jc w:val="both"/>
      </w:pPr>
      <w:bookmarkStart w:id="24" w:name="Bookmark_para_12"/>
      <w:bookmarkEnd w:id="24"/>
      <w:r>
        <w:rPr>
          <w:rFonts w:ascii="Arial" w:eastAsia="Arial" w:hAnsi="Arial" w:cs="Arial"/>
          <w:color w:val="000000"/>
          <w:sz w:val="20"/>
        </w:rPr>
        <w:t>At the preliminary injunction hearing, Defendants presented testimony from David Redshaw, who had been the Building Code Inspector for the City of York from September 2004 to December 2004, during which time he oversaw the renovation of the front of the Facility, including the construction of the ramp. Prior to working as the Building Code Inspector, Redshaw "was the rehab specialist for the Bureau of Housing Services for nearly five years." App. at 255. During that period, Redshaw became familiar with the various state and federal codes and regulations related to accessibility requirements.</w:t>
      </w:r>
    </w:p>
    <w:p w:rsidR="006E038D" w:rsidRDefault="00000000">
      <w:pPr>
        <w:pStyle w:val="Normal0"/>
        <w:widowControl w:val="0"/>
        <w:spacing w:before="200" w:line="260" w:lineRule="atLeast"/>
        <w:jc w:val="both"/>
      </w:pPr>
      <w:bookmarkStart w:id="25" w:name="Bookmark_para_13"/>
      <w:bookmarkEnd w:id="25"/>
      <w:r>
        <w:rPr>
          <w:rFonts w:ascii="Arial" w:eastAsia="Arial" w:hAnsi="Arial" w:cs="Arial"/>
          <w:color w:val="000000"/>
          <w:sz w:val="20"/>
        </w:rPr>
        <w:t>Redshaw testified that it was York policy to permit an encroachment onto the public right of way when the intrusion was de minimis and was necessary to allow construction of a handicapped accessibility ramp. An intrusion was considered de minimus when the ramp encroached  [**6] no more than three feet onto the sidewalk and left at least five feet of sidewalk remaining. Redshaw was personally aware of at least two other businesses in York with handicapped ramps encroaching in this manner on the public right of way, and had noticed other buildings encroaching on the sidewalk in a similar manner.</w:t>
      </w:r>
    </w:p>
    <w:p w:rsidR="006E038D" w:rsidRDefault="00000000">
      <w:pPr>
        <w:pStyle w:val="Normal0"/>
        <w:widowControl w:val="0"/>
        <w:spacing w:before="200" w:line="260" w:lineRule="atLeast"/>
        <w:jc w:val="both"/>
      </w:pPr>
      <w:bookmarkStart w:id="26" w:name="Bookmark_para_14"/>
      <w:bookmarkEnd w:id="26"/>
      <w:r>
        <w:rPr>
          <w:rFonts w:ascii="Arial" w:eastAsia="Arial" w:hAnsi="Arial" w:cs="Arial"/>
          <w:color w:val="000000"/>
          <w:sz w:val="20"/>
        </w:rPr>
        <w:t xml:space="preserve">When Redshaw was asked "Are there any accessability issues, based on your experience, with people standing or congregating on a handicap accessible ramp that are not issues with the public sidewalk?", he replied that "[t]he building codes state that you may not obstruct or reduce the accessibility of this means of egress." App. at 268-69. Indeed, a regulation promulgated in connection with the ADA provides: </w:t>
      </w:r>
      <w:bookmarkStart w:id="27" w:name="Bookmark_LNHNREFclscc2"/>
      <w:bookmarkEnd w:id="27"/>
      <w:r>
        <w:rPr>
          <w:rFonts w:ascii="Arial" w:eastAsia="Arial" w:hAnsi="Arial" w:cs="Arial"/>
          <w:color w:val="000000"/>
          <w:sz w:val="20"/>
        </w:rPr>
        <w:t xml:space="preserve">"In buildings or facilities, or portions of buildings or facilities, required to be accessible, accessible means of egress shall be provided in the same number as required for exits by local building/life safety regulations." 28 C.F.R. Part 36, App. A § 4.1.3(9). </w:t>
      </w:r>
      <w:bookmarkStart w:id="28" w:name="Bookmark_LNHNREFclscc3"/>
      <w:bookmarkEnd w:id="28"/>
      <w:r>
        <w:rPr>
          <w:rFonts w:ascii="Arial" w:eastAsia="Arial" w:hAnsi="Arial" w:cs="Arial"/>
          <w:color w:val="000000"/>
          <w:sz w:val="20"/>
        </w:rPr>
        <w:t xml:space="preserve">The regulation also defines "means of egress" as "[a] continuous and unobstructed way of exit travel from any point in a building or facility to a public way." </w:t>
      </w:r>
      <w:r>
        <w:rPr>
          <w:rFonts w:ascii="Arial" w:eastAsia="Arial" w:hAnsi="Arial" w:cs="Arial"/>
          <w:i/>
          <w:color w:val="000000"/>
          <w:sz w:val="20"/>
        </w:rPr>
        <w:t>Id</w:t>
      </w:r>
      <w:r>
        <w:rPr>
          <w:rFonts w:ascii="Arial" w:eastAsia="Arial" w:hAnsi="Arial" w:cs="Arial"/>
          <w:color w:val="000000"/>
          <w:sz w:val="20"/>
        </w:rPr>
        <w:t>. at § 3.5.</w:t>
      </w:r>
    </w:p>
    <w:p w:rsidR="006E038D" w:rsidRDefault="00000000">
      <w:pPr>
        <w:pStyle w:val="Normal0"/>
        <w:widowControl w:val="0"/>
        <w:spacing w:before="200" w:line="260" w:lineRule="atLeast"/>
        <w:jc w:val="both"/>
      </w:pPr>
      <w:bookmarkStart w:id="29" w:name="Bookmark_para_15"/>
      <w:bookmarkEnd w:id="29"/>
      <w:r>
        <w:rPr>
          <w:rFonts w:ascii="Arial" w:eastAsia="Arial" w:hAnsi="Arial" w:cs="Arial"/>
          <w:color w:val="000000"/>
          <w:sz w:val="20"/>
        </w:rPr>
        <w:t>After the hearing, the District  [**7] Court denied the motion, finding that the ramp was a nonpublic forum. The Court concluded that because the static presence of a person on the ramp area, even if solely over the public right of way, would impede access, "it is entirely reasonable for Officer Jay to instruct individuals not to stand or congregate on the ramp." App. at 15. The Court further stated, "It is plain common sense that if an individual other than the fictional Ichabod Crane stood in the area of the ramp that encroaches onto the public right-of-way, there would necessarily be less than the required minimum clear width of 36 inches between the handrails as required by the ADA." App. at 12.</w:t>
      </w:r>
    </w:p>
    <w:p w:rsidR="006E038D" w:rsidRDefault="00000000">
      <w:pPr>
        <w:pStyle w:val="Normal0"/>
        <w:widowControl w:val="0"/>
        <w:spacing w:before="200" w:line="260" w:lineRule="atLeast"/>
        <w:jc w:val="both"/>
      </w:pPr>
      <w:bookmarkStart w:id="30" w:name="Bookmark_para_16"/>
      <w:bookmarkEnd w:id="30"/>
      <w:r>
        <w:rPr>
          <w:rFonts w:ascii="Arial" w:eastAsia="Arial" w:hAnsi="Arial" w:cs="Arial"/>
          <w:color w:val="000000"/>
          <w:sz w:val="20"/>
        </w:rPr>
        <w:t>The District Court also held that, because Plaintiffs "are not hindered in delivering their message in the vicinity of [the Facility]," they would not be denied their First Amendment rights if the injunction were not granted. App. at 17. Moreover, the Court concluded that the City of York would be harmed if handicapped access to buildings were affected, a concern that was also within the public interest. The District Court therefore denied the preliminary  [*526]  injunction. Based on its ruling that the ramp was a nonpublic forum and  [**8] that Plaintiffs had therefore suffered no constitutional injury, the District Court granted the motion to dismiss shortly thereafter.</w:t>
      </w:r>
    </w:p>
    <w:p w:rsidR="006E038D" w:rsidRDefault="00000000">
      <w:pPr>
        <w:pStyle w:val="Normal0"/>
        <w:widowControl w:val="0"/>
        <w:spacing w:before="200" w:line="260" w:lineRule="atLeast"/>
        <w:jc w:val="both"/>
      </w:pPr>
      <w:bookmarkStart w:id="31" w:name="Bookmark_para_17"/>
      <w:bookmarkEnd w:id="31"/>
      <w:r>
        <w:rPr>
          <w:rFonts w:ascii="Arial" w:eastAsia="Arial" w:hAnsi="Arial" w:cs="Arial"/>
          <w:b/>
          <w:color w:val="000000"/>
          <w:sz w:val="20"/>
        </w:rPr>
        <w:t>II</w:t>
      </w:r>
      <w:r>
        <w:rPr>
          <w:rFonts w:ascii="Arial" w:eastAsia="Arial" w:hAnsi="Arial" w:cs="Arial"/>
          <w:color w:val="000000"/>
          <w:sz w:val="20"/>
        </w:rPr>
        <w:t>.</w:t>
      </w:r>
    </w:p>
    <w:p w:rsidR="006E038D" w:rsidRDefault="00000000">
      <w:pPr>
        <w:pStyle w:val="Normal0"/>
        <w:widowControl w:val="0"/>
        <w:spacing w:before="240" w:line="260" w:lineRule="atLeast"/>
      </w:pPr>
      <w:r>
        <w:br/>
      </w:r>
      <w:r>
        <w:rPr>
          <w:rFonts w:ascii="Arial" w:eastAsia="Arial" w:hAnsi="Arial" w:cs="Arial"/>
          <w:b/>
          <w:color w:val="000000"/>
          <w:sz w:val="20"/>
        </w:rPr>
        <w:t>Standard of Review</w:t>
      </w:r>
    </w:p>
    <w:p w:rsidR="006E038D" w:rsidRDefault="00000000">
      <w:pPr>
        <w:pStyle w:val="Normal0"/>
        <w:widowControl w:val="0"/>
        <w:spacing w:before="200" w:line="260" w:lineRule="atLeast"/>
        <w:jc w:val="both"/>
      </w:pPr>
      <w:bookmarkStart w:id="32" w:name="Bookmark_para_18"/>
      <w:bookmarkStart w:id="33" w:name="Bookmark_I4X77MYV0K1MNJ0190000400"/>
      <w:bookmarkStart w:id="34" w:name="Bookmark_I4X77MYV0K1MNJ01C0000400"/>
      <w:bookmarkEnd w:id="32"/>
      <w:bookmarkEnd w:id="33"/>
      <w:bookmarkEnd w:id="34"/>
      <w:r>
        <w:rPr>
          <w:rFonts w:ascii="Arial" w:eastAsia="Arial" w:hAnsi="Arial" w:cs="Arial"/>
          <w:color w:val="000000"/>
          <w:sz w:val="20"/>
        </w:rPr>
        <w:t xml:space="preserve">The appeal was timely filed and this court properly has jurisdiction over both issues under 28 U.S.C. § 1291. </w:t>
      </w:r>
      <w:bookmarkStart w:id="35" w:name="Bookmark_LNHNREFclscc4"/>
      <w:bookmarkStart w:id="36" w:name="Bookmark_I4X77MYV0K1MNJ0370000400"/>
      <w:bookmarkEnd w:id="35"/>
      <w:bookmarkEnd w:id="36"/>
      <w:r>
        <w:rPr>
          <w:rFonts w:ascii="Arial" w:eastAsia="Arial" w:hAnsi="Arial" w:cs="Arial"/>
          <w:color w:val="000000"/>
          <w:sz w:val="20"/>
        </w:rPr>
        <w:t xml:space="preserve">This court reviews the District Court's decision on a motion to dismiss de novo. </w:t>
      </w:r>
      <w:bookmarkStart w:id="37" w:name="Bookmark_I4X77MYV0K1MNJ0180000400"/>
      <w:bookmarkEnd w:id="37"/>
      <w:r>
        <w:rPr>
          <w:rFonts w:ascii="Arial" w:eastAsia="Arial" w:hAnsi="Arial" w:cs="Arial"/>
          <w:i/>
          <w:color w:val="000000"/>
          <w:sz w:val="20"/>
        </w:rPr>
        <w:t>AT&amp;T v. JMC Telecom, LLC</w:t>
      </w:r>
      <w:r>
        <w:rPr>
          <w:rFonts w:ascii="Arial" w:eastAsia="Arial" w:hAnsi="Arial" w:cs="Arial"/>
          <w:color w:val="000000"/>
          <w:sz w:val="20"/>
        </w:rPr>
        <w:t xml:space="preserve">, 470 F.3d 525, 530 (3d Cir. 2006). We have stated that, "[i]n deciding a motion to dismiss, all well-pleaded allegations of the complaint must be taken as true and interpreted in the light most favorable to the plaintiffs, and all inferences must be drawn in favor of them." </w:t>
      </w:r>
      <w:bookmarkStart w:id="38" w:name="Bookmark_I4X77MYV0K1MNJ01B0000400"/>
      <w:bookmarkEnd w:id="38"/>
      <w:r>
        <w:rPr>
          <w:rFonts w:ascii="Arial" w:eastAsia="Arial" w:hAnsi="Arial" w:cs="Arial"/>
          <w:i/>
          <w:color w:val="000000"/>
          <w:sz w:val="20"/>
        </w:rPr>
        <w:t>Schrob v. Catterson</w:t>
      </w:r>
      <w:r>
        <w:rPr>
          <w:rFonts w:ascii="Arial" w:eastAsia="Arial" w:hAnsi="Arial" w:cs="Arial"/>
          <w:color w:val="000000"/>
          <w:sz w:val="20"/>
        </w:rPr>
        <w:t xml:space="preserve">, 948 F.2d 1402, 1408 (3d Cir. 1991) (citation omitted). </w:t>
      </w:r>
      <w:bookmarkStart w:id="39" w:name="Bookmark_I4X77MYV0K1MNJ0370000400_2"/>
      <w:bookmarkEnd w:id="39"/>
      <w:r>
        <w:rPr>
          <w:rFonts w:ascii="Arial" w:eastAsia="Arial" w:hAnsi="Arial" w:cs="Arial"/>
          <w:color w:val="000000"/>
          <w:sz w:val="20"/>
        </w:rPr>
        <w:t xml:space="preserve">In addition to the complaint itself, the court can review documents attached to the complaint and matters of public record, </w:t>
      </w:r>
      <w:bookmarkStart w:id="40" w:name="Bookmark_I4X77MYV0K1MNJ0360000400"/>
      <w:bookmarkEnd w:id="40"/>
      <w:r>
        <w:rPr>
          <w:rFonts w:ascii="Arial" w:eastAsia="Arial" w:hAnsi="Arial" w:cs="Arial"/>
          <w:i/>
          <w:color w:val="000000"/>
          <w:sz w:val="20"/>
        </w:rPr>
        <w:t>Lum v. Bank of America</w:t>
      </w:r>
      <w:r>
        <w:rPr>
          <w:rFonts w:ascii="Arial" w:eastAsia="Arial" w:hAnsi="Arial" w:cs="Arial"/>
          <w:color w:val="000000"/>
          <w:sz w:val="20"/>
        </w:rPr>
        <w:t>, 361 F.3d 217, 221 n.3 (3d Cir. 2004), and a court may take judicial notice of a prior judicial opinion.</w:t>
      </w:r>
    </w:p>
    <w:p w:rsidR="006E038D" w:rsidRDefault="00000000">
      <w:pPr>
        <w:pStyle w:val="Normal0"/>
        <w:widowControl w:val="0"/>
        <w:spacing w:before="200" w:line="260" w:lineRule="atLeast"/>
        <w:jc w:val="both"/>
      </w:pPr>
      <w:bookmarkStart w:id="41" w:name="Bookmark_para_19"/>
      <w:bookmarkStart w:id="42" w:name="Bookmark_LNHNREFclscc5"/>
      <w:bookmarkStart w:id="43" w:name="Bookmark_I4X77MYV0K1MNJ0390000400"/>
      <w:bookmarkEnd w:id="41"/>
      <w:bookmarkEnd w:id="42"/>
      <w:bookmarkEnd w:id="43"/>
      <w:r>
        <w:rPr>
          <w:rFonts w:ascii="Arial" w:eastAsia="Arial" w:hAnsi="Arial" w:cs="Arial"/>
          <w:color w:val="000000"/>
          <w:sz w:val="20"/>
        </w:rPr>
        <w:t xml:space="preserve">Ordinarily, when reviewing a decision to grant or deny a preliminary injunction, this court reviews a district court's findings of fact for clear error, conclusions of law de novo, and the ultimate decision to grant or deny the  [**9] preliminary injunction for an abuse of discretion. </w:t>
      </w:r>
      <w:bookmarkStart w:id="44" w:name="Bookmark_I4X77MYV0K1MNJ0380000400"/>
      <w:bookmarkEnd w:id="44"/>
      <w:r>
        <w:rPr>
          <w:rFonts w:ascii="Arial" w:eastAsia="Arial" w:hAnsi="Arial" w:cs="Arial"/>
          <w:i/>
          <w:color w:val="000000"/>
          <w:sz w:val="20"/>
        </w:rPr>
        <w:t>Child Evangelism Fellowship of N.J. v. Stafford Twp. Sch. Dist</w:t>
      </w:r>
      <w:r>
        <w:rPr>
          <w:rFonts w:ascii="Arial" w:eastAsia="Arial" w:hAnsi="Arial" w:cs="Arial"/>
          <w:color w:val="000000"/>
          <w:sz w:val="20"/>
        </w:rPr>
        <w:t xml:space="preserve">., 386 F.3d 514, 524 (3d Cir. 2004). However, when First Amendment rights are implicated, this court must conduct an independent examination of the factual record as a whole. </w:t>
      </w:r>
      <w:r>
        <w:rPr>
          <w:rFonts w:ascii="Arial" w:eastAsia="Arial" w:hAnsi="Arial" w:cs="Arial"/>
          <w:i/>
          <w:color w:val="000000"/>
          <w:sz w:val="20"/>
        </w:rPr>
        <w:t>Id</w:t>
      </w:r>
      <w:r>
        <w:rPr>
          <w:rFonts w:ascii="Arial" w:eastAsia="Arial" w:hAnsi="Arial" w:cs="Arial"/>
          <w:color w:val="000000"/>
          <w:sz w:val="20"/>
        </w:rPr>
        <w:t>.</w:t>
      </w:r>
    </w:p>
    <w:p w:rsidR="006E038D" w:rsidRDefault="00000000">
      <w:pPr>
        <w:pStyle w:val="Normal0"/>
        <w:widowControl w:val="0"/>
        <w:spacing w:before="200" w:line="260" w:lineRule="atLeast"/>
        <w:jc w:val="both"/>
      </w:pPr>
      <w:bookmarkStart w:id="45" w:name="Bookmark_para_20"/>
      <w:bookmarkEnd w:id="45"/>
      <w:r>
        <w:rPr>
          <w:rFonts w:ascii="Arial" w:eastAsia="Arial" w:hAnsi="Arial" w:cs="Arial"/>
          <w:b/>
          <w:color w:val="000000"/>
          <w:sz w:val="20"/>
        </w:rPr>
        <w:t>III</w:t>
      </w:r>
      <w:r>
        <w:rPr>
          <w:rFonts w:ascii="Arial" w:eastAsia="Arial" w:hAnsi="Arial" w:cs="Arial"/>
          <w:color w:val="000000"/>
          <w:sz w:val="20"/>
        </w:rPr>
        <w:t>.</w:t>
      </w:r>
    </w:p>
    <w:p w:rsidR="006E038D" w:rsidRDefault="00000000">
      <w:pPr>
        <w:pStyle w:val="Normal0"/>
        <w:widowControl w:val="0"/>
        <w:spacing w:before="240" w:line="260" w:lineRule="atLeast"/>
      </w:pPr>
      <w:r>
        <w:br/>
      </w:r>
      <w:r>
        <w:rPr>
          <w:rFonts w:ascii="Arial" w:eastAsia="Arial" w:hAnsi="Arial" w:cs="Arial"/>
          <w:b/>
          <w:color w:val="000000"/>
          <w:sz w:val="20"/>
        </w:rPr>
        <w:t>Discussion</w:t>
      </w:r>
    </w:p>
    <w:p w:rsidR="006E038D" w:rsidRDefault="00000000">
      <w:pPr>
        <w:pStyle w:val="Normal0"/>
        <w:widowControl w:val="0"/>
        <w:spacing w:before="200" w:line="260" w:lineRule="atLeast"/>
        <w:jc w:val="both"/>
      </w:pPr>
      <w:bookmarkStart w:id="46" w:name="Bookmark_para_21"/>
      <w:bookmarkEnd w:id="46"/>
      <w:r>
        <w:rPr>
          <w:rFonts w:ascii="Arial" w:eastAsia="Arial" w:hAnsi="Arial" w:cs="Arial"/>
          <w:color w:val="000000"/>
          <w:sz w:val="20"/>
        </w:rPr>
        <w:t>This appeal concerns a preliminary injunction and a related motion to dismiss. We will address the preliminary injunction first, following the order in which they were addressed by the District Court.</w:t>
      </w:r>
    </w:p>
    <w:p w:rsidR="006E038D" w:rsidRDefault="00000000">
      <w:pPr>
        <w:pStyle w:val="Normal0"/>
        <w:widowControl w:val="0"/>
        <w:spacing w:before="240" w:line="260" w:lineRule="atLeast"/>
      </w:pPr>
      <w:r>
        <w:br/>
      </w:r>
      <w:r>
        <w:rPr>
          <w:rFonts w:ascii="Arial" w:eastAsia="Arial" w:hAnsi="Arial" w:cs="Arial"/>
          <w:b/>
          <w:color w:val="000000"/>
          <w:sz w:val="20"/>
        </w:rPr>
        <w:t>A. The Preliminary Injunction</w:t>
      </w:r>
    </w:p>
    <w:p w:rsidR="006E038D" w:rsidRDefault="00000000">
      <w:pPr>
        <w:pStyle w:val="Normal0"/>
        <w:widowControl w:val="0"/>
        <w:spacing w:before="200" w:line="260" w:lineRule="atLeast"/>
        <w:jc w:val="both"/>
      </w:pPr>
      <w:bookmarkStart w:id="47" w:name="Bookmark_para_22"/>
      <w:bookmarkStart w:id="48" w:name="Bookmark_LNHNREFclscc6"/>
      <w:bookmarkStart w:id="49" w:name="Bookmark_I5PTYW2CYV4000RG2XW001NT"/>
      <w:bookmarkStart w:id="50" w:name="Bookmark_I4X77MYV0K1MNJ0430000400"/>
      <w:bookmarkEnd w:id="47"/>
      <w:bookmarkEnd w:id="48"/>
      <w:bookmarkEnd w:id="49"/>
      <w:bookmarkEnd w:id="50"/>
      <w:r>
        <w:rPr>
          <w:rFonts w:ascii="Arial" w:eastAsia="Arial" w:hAnsi="Arial" w:cs="Arial"/>
          <w:color w:val="000000"/>
          <w:sz w:val="20"/>
        </w:rPr>
        <w:t xml:space="preserve">When deciding whether to issue a preliminary injunction, a district court must consider: "(1) whether the movant has shown a reasonable probability of success on the merits; (2) whether the movant will be irreparably injured by denial of the relief; (3) whether granting preliminary relief will result in even greater harm to the nonmoving party; and (4) whether granting the preliminary relief will be in the public interest." </w:t>
      </w:r>
      <w:bookmarkStart w:id="51" w:name="Bookmark_I4X77MYV0K1MNJ03B0000400"/>
      <w:bookmarkEnd w:id="51"/>
      <w:r>
        <w:rPr>
          <w:rFonts w:ascii="Arial" w:eastAsia="Arial" w:hAnsi="Arial" w:cs="Arial"/>
          <w:i/>
          <w:color w:val="000000"/>
          <w:sz w:val="20"/>
        </w:rPr>
        <w:t>United States v. Bell</w:t>
      </w:r>
      <w:r>
        <w:rPr>
          <w:rFonts w:ascii="Arial" w:eastAsia="Arial" w:hAnsi="Arial" w:cs="Arial"/>
          <w:color w:val="000000"/>
          <w:sz w:val="20"/>
        </w:rPr>
        <w:t>, 414 F.3d 474, 478 n.4 (3d Cir. 2005).</w:t>
      </w:r>
    </w:p>
    <w:p w:rsidR="006E038D" w:rsidRDefault="00000000">
      <w:pPr>
        <w:pStyle w:val="Normal0"/>
        <w:widowControl w:val="0"/>
        <w:spacing w:before="240" w:line="260" w:lineRule="atLeast"/>
      </w:pPr>
      <w:r>
        <w:br/>
      </w:r>
      <w:r>
        <w:rPr>
          <w:rFonts w:ascii="Arial" w:eastAsia="Arial" w:hAnsi="Arial" w:cs="Arial"/>
          <w:b/>
          <w:color w:val="000000"/>
          <w:sz w:val="20"/>
        </w:rPr>
        <w:t>1. Probability of Success on the Merits</w:t>
      </w:r>
    </w:p>
    <w:p w:rsidR="006E038D" w:rsidRDefault="00000000">
      <w:pPr>
        <w:pStyle w:val="Normal0"/>
        <w:widowControl w:val="0"/>
        <w:spacing w:before="200" w:line="260" w:lineRule="atLeast"/>
        <w:jc w:val="both"/>
      </w:pPr>
      <w:bookmarkStart w:id="52" w:name="Bookmark_para_23"/>
      <w:bookmarkEnd w:id="52"/>
      <w:r>
        <w:rPr>
          <w:rFonts w:ascii="Arial" w:eastAsia="Arial" w:hAnsi="Arial" w:cs="Arial"/>
          <w:color w:val="000000"/>
          <w:sz w:val="20"/>
        </w:rPr>
        <w:t>Plaintiffs' motion for the preliminary injunction asked the Court to enjoin the City and its officials from interfering with the "Plaintiffs[']  [**10] free exercise rights in front of the Planned Parenthood facility" and to "[e]njoin the City of York from enforcing trespass statutes against the Plaintiffs in areas where they are not physically on Planned Parenthood's property." App. at 77-78.</w:t>
      </w:r>
    </w:p>
    <w:p w:rsidR="006E038D" w:rsidRDefault="00000000">
      <w:pPr>
        <w:pStyle w:val="Normal0"/>
        <w:widowControl w:val="0"/>
        <w:spacing w:before="200" w:line="260" w:lineRule="atLeast"/>
        <w:jc w:val="both"/>
      </w:pPr>
      <w:bookmarkStart w:id="53" w:name="Bookmark_para_24"/>
      <w:bookmarkStart w:id="54" w:name="Bookmark_LNHNREFclscc7"/>
      <w:bookmarkEnd w:id="53"/>
      <w:bookmarkEnd w:id="54"/>
      <w:r>
        <w:rPr>
          <w:rFonts w:ascii="Arial" w:eastAsia="Arial" w:hAnsi="Arial" w:cs="Arial"/>
          <w:color w:val="000000"/>
          <w:sz w:val="20"/>
        </w:rPr>
        <w:t xml:space="preserve">Defiant trespass is defined under Pennsylvania law to include "enter[ing] or remain[ing] in any place as to which notice against trespass is given by . . . actual communication to the actor." 18 Pa. C.S.A. § 3503(b)(1). It is a defense to defiant trespass that "the premises were at the time open to members of the public and the actor complied with all lawful conditions imposed on access to or remaining in the premises." </w:t>
      </w:r>
      <w:r>
        <w:rPr>
          <w:rFonts w:ascii="Arial" w:eastAsia="Arial" w:hAnsi="Arial" w:cs="Arial"/>
          <w:i/>
          <w:color w:val="000000"/>
          <w:sz w:val="20"/>
        </w:rPr>
        <w:t>Id. at</w:t>
      </w:r>
      <w:r>
        <w:rPr>
          <w:rFonts w:ascii="Arial" w:eastAsia="Arial" w:hAnsi="Arial" w:cs="Arial"/>
          <w:color w:val="000000"/>
          <w:sz w:val="20"/>
        </w:rPr>
        <w:t xml:space="preserve"> § 3503(c)(2). As it is undisputed that Plaintiffs had been told not to stand on the ramp, the question becomes whether the premises were open to members of the public and, if so, whether the conditions placed on the use of those premises that restrict the protestors' First Amendment  [*527]  rights survive the appropriate level of scrutiny.</w:t>
      </w:r>
    </w:p>
    <w:p w:rsidR="006E038D" w:rsidRDefault="00000000">
      <w:pPr>
        <w:pStyle w:val="Normal0"/>
        <w:widowControl w:val="0"/>
        <w:spacing w:before="200" w:line="260" w:lineRule="atLeast"/>
        <w:jc w:val="both"/>
      </w:pPr>
      <w:bookmarkStart w:id="55" w:name="Bookmark_para_25"/>
      <w:bookmarkEnd w:id="55"/>
      <w:r>
        <w:rPr>
          <w:rFonts w:ascii="Arial" w:eastAsia="Arial" w:hAnsi="Arial" w:cs="Arial"/>
          <w:b/>
          <w:color w:val="000000"/>
          <w:sz w:val="20"/>
        </w:rPr>
        <w:t>a. The Type of Forum at Issue</w:t>
      </w:r>
    </w:p>
    <w:p w:rsidR="006E038D" w:rsidRDefault="00000000">
      <w:pPr>
        <w:pStyle w:val="Normal0"/>
        <w:widowControl w:val="0"/>
        <w:spacing w:before="200" w:line="260" w:lineRule="atLeast"/>
        <w:jc w:val="both"/>
      </w:pPr>
      <w:bookmarkStart w:id="56" w:name="Bookmark_para_26"/>
      <w:bookmarkEnd w:id="56"/>
      <w:r>
        <w:rPr>
          <w:rFonts w:ascii="Arial" w:eastAsia="Arial" w:hAnsi="Arial" w:cs="Arial"/>
          <w:color w:val="000000"/>
          <w:sz w:val="20"/>
        </w:rPr>
        <w:t xml:space="preserve">The City offers no support for its assertion that the ramp should be considered private property. </w:t>
      </w:r>
      <w:bookmarkStart w:id="57" w:name="Bookmark_I4X77MYV0K1MNJ0450000400"/>
      <w:bookmarkEnd w:id="57"/>
      <w:r>
        <w:rPr>
          <w:rFonts w:ascii="Arial" w:eastAsia="Arial" w:hAnsi="Arial" w:cs="Arial"/>
          <w:color w:val="000000"/>
          <w:sz w:val="20"/>
        </w:rPr>
        <w:t xml:space="preserve">We will therefore accept that a portion of the ramp is located on  [**11] public property. That is not dispositive, however, because we must first determine the type of forum that is at issue. </w:t>
      </w:r>
      <w:bookmarkStart w:id="58" w:name="Bookmark_I4X77MYV0K1MNJ0440000400"/>
      <w:bookmarkEnd w:id="58"/>
      <w:r>
        <w:rPr>
          <w:rFonts w:ascii="Arial" w:eastAsia="Arial" w:hAnsi="Arial" w:cs="Arial"/>
          <w:i/>
          <w:color w:val="000000"/>
          <w:sz w:val="20"/>
        </w:rPr>
        <w:t>Arkansas Educ. Television Comm'n v. Forbes</w:t>
      </w:r>
      <w:r>
        <w:rPr>
          <w:rFonts w:ascii="Arial" w:eastAsia="Arial" w:hAnsi="Arial" w:cs="Arial"/>
          <w:color w:val="000000"/>
          <w:sz w:val="20"/>
        </w:rPr>
        <w:t>, 523 U.S. 666, 677, 118 S. Ct. 1633, 140 L. Ed. 2d 875 (1998).</w:t>
      </w:r>
    </w:p>
    <w:p w:rsidR="006E038D" w:rsidRDefault="00000000">
      <w:pPr>
        <w:pStyle w:val="Normal0"/>
        <w:widowControl w:val="0"/>
        <w:spacing w:before="200" w:line="260" w:lineRule="atLeast"/>
        <w:jc w:val="both"/>
      </w:pPr>
      <w:bookmarkStart w:id="59" w:name="Bookmark_para_27"/>
      <w:bookmarkStart w:id="60" w:name="Bookmark_LNHNREFclscc8"/>
      <w:bookmarkStart w:id="61" w:name="Bookmark_I5PTYW2D3N8000RG2XW001NV"/>
      <w:bookmarkStart w:id="62" w:name="Bookmark_I5PTYW2G3SP000RG2XW001PB"/>
      <w:bookmarkStart w:id="63" w:name="Bookmark_I4X77MYV0K1MNJ0470000400"/>
      <w:bookmarkStart w:id="64" w:name="Bookmark_I5PTYW2D7GD000RG2XW001NW"/>
      <w:bookmarkStart w:id="65" w:name="Bookmark_I4X77MYV0K1MNJ0600000400"/>
      <w:bookmarkEnd w:id="59"/>
      <w:bookmarkEnd w:id="60"/>
      <w:bookmarkEnd w:id="61"/>
      <w:bookmarkEnd w:id="62"/>
      <w:bookmarkEnd w:id="63"/>
      <w:bookmarkEnd w:id="64"/>
      <w:bookmarkEnd w:id="65"/>
      <w:r>
        <w:rPr>
          <w:rFonts w:ascii="Arial" w:eastAsia="Arial" w:hAnsi="Arial" w:cs="Arial"/>
          <w:color w:val="000000"/>
          <w:sz w:val="20"/>
        </w:rPr>
        <w:t xml:space="preserve">The Supreme Court has identified three types of fora: "the traditional public forum, the public forum created by government designation, and the nonpublic forum." </w:t>
      </w:r>
      <w:bookmarkStart w:id="66" w:name="Bookmark_I4X77MYV0K1MNJ0460000400"/>
      <w:bookmarkEnd w:id="66"/>
      <w:r>
        <w:rPr>
          <w:rFonts w:ascii="Arial" w:eastAsia="Arial" w:hAnsi="Arial" w:cs="Arial"/>
          <w:i/>
          <w:color w:val="000000"/>
          <w:sz w:val="20"/>
        </w:rPr>
        <w:t>Id</w:t>
      </w:r>
      <w:r>
        <w:rPr>
          <w:rFonts w:ascii="Arial" w:eastAsia="Arial" w:hAnsi="Arial" w:cs="Arial"/>
          <w:color w:val="000000"/>
          <w:sz w:val="20"/>
        </w:rPr>
        <w:t xml:space="preserve">. (quoting </w:t>
      </w:r>
      <w:bookmarkStart w:id="67" w:name="Bookmark_I4X77MYV0K1MNJ05W0000400"/>
      <w:bookmarkEnd w:id="67"/>
      <w:r>
        <w:rPr>
          <w:rFonts w:ascii="Arial" w:eastAsia="Arial" w:hAnsi="Arial" w:cs="Arial"/>
          <w:i/>
          <w:color w:val="000000"/>
          <w:sz w:val="20"/>
        </w:rPr>
        <w:t>Cornelius v. NAACP Legal Def. &amp; Educ. Fund, Inc</w:t>
      </w:r>
      <w:r>
        <w:rPr>
          <w:rFonts w:ascii="Arial" w:eastAsia="Arial" w:hAnsi="Arial" w:cs="Arial"/>
          <w:color w:val="000000"/>
          <w:sz w:val="20"/>
        </w:rPr>
        <w:t xml:space="preserve">., 473 U.S. 788, 802, 105 S. Ct. 3439, 87 L. Ed. 2d 567 (1985)). Designated public fora must be "created by purposeful governmental action." </w:t>
      </w:r>
      <w:bookmarkStart w:id="68" w:name="Bookmark_I4X77MYV0K1MNJ05Y0000400"/>
      <w:bookmarkEnd w:id="68"/>
      <w:r>
        <w:rPr>
          <w:rFonts w:ascii="Arial" w:eastAsia="Arial" w:hAnsi="Arial" w:cs="Arial"/>
          <w:i/>
          <w:color w:val="000000"/>
          <w:sz w:val="20"/>
        </w:rPr>
        <w:t>Arkansas Educ. Television Comm'n</w:t>
      </w:r>
      <w:r>
        <w:rPr>
          <w:rFonts w:ascii="Arial" w:eastAsia="Arial" w:hAnsi="Arial" w:cs="Arial"/>
          <w:color w:val="000000"/>
          <w:sz w:val="20"/>
        </w:rPr>
        <w:t>, 523 U.S. at 677. As none of the parties argue that the government has made the ramp in this case a designated public forum, it must be either a traditional public forum or a nonpublic forum.</w:t>
      </w:r>
    </w:p>
    <w:p w:rsidR="006E038D" w:rsidRDefault="00000000">
      <w:pPr>
        <w:pStyle w:val="Normal0"/>
        <w:widowControl w:val="0"/>
        <w:spacing w:before="200" w:line="260" w:lineRule="atLeast"/>
        <w:jc w:val="both"/>
      </w:pPr>
      <w:bookmarkStart w:id="69" w:name="Bookmark_para_28"/>
      <w:bookmarkStart w:id="70" w:name="Bookmark_LNHNREFclscc9"/>
      <w:bookmarkStart w:id="71" w:name="Bookmark_I4X77MYV0K1MNJ06Y0000400"/>
      <w:bookmarkStart w:id="72" w:name="Bookmark_I4X77MYV0K1MNJ0710000400"/>
      <w:bookmarkStart w:id="73" w:name="Bookmark_I4X77MYV0K1MNJ0730000400"/>
      <w:bookmarkEnd w:id="69"/>
      <w:bookmarkEnd w:id="70"/>
      <w:bookmarkEnd w:id="71"/>
      <w:bookmarkEnd w:id="72"/>
      <w:bookmarkEnd w:id="73"/>
      <w:r>
        <w:rPr>
          <w:rFonts w:ascii="Arial" w:eastAsia="Arial" w:hAnsi="Arial" w:cs="Arial"/>
          <w:color w:val="000000"/>
          <w:sz w:val="20"/>
        </w:rPr>
        <w:t xml:space="preserve">Although public sidewalks have long been considered traditional public fora, </w:t>
      </w:r>
      <w:bookmarkStart w:id="74" w:name="Bookmark_I4X77MYV0K1MNJ0610000400"/>
      <w:bookmarkEnd w:id="74"/>
      <w:r>
        <w:rPr>
          <w:rFonts w:ascii="Arial" w:eastAsia="Arial" w:hAnsi="Arial" w:cs="Arial"/>
          <w:i/>
          <w:color w:val="000000"/>
          <w:sz w:val="20"/>
        </w:rPr>
        <w:t>Madsen v. Women's Health Center, Inc</w:t>
      </w:r>
      <w:r>
        <w:rPr>
          <w:rFonts w:ascii="Arial" w:eastAsia="Arial" w:hAnsi="Arial" w:cs="Arial"/>
          <w:color w:val="000000"/>
          <w:sz w:val="20"/>
        </w:rPr>
        <w:t xml:space="preserve">., 512 U.S. 753, 761, 114 S. Ct. 2516, 129 L. Ed. 2d 593 (1994), the Supreme Court has clarified that not all public sidewalks are public fora. In </w:t>
      </w:r>
      <w:r>
        <w:rPr>
          <w:rFonts w:ascii="Arial" w:eastAsia="Arial" w:hAnsi="Arial" w:cs="Arial"/>
          <w:i/>
          <w:color w:val="000000"/>
          <w:sz w:val="20"/>
        </w:rPr>
        <w:t>United States v. Kokinda</w:t>
      </w:r>
      <w:r>
        <w:rPr>
          <w:rFonts w:ascii="Arial" w:eastAsia="Arial" w:hAnsi="Arial" w:cs="Arial"/>
          <w:color w:val="000000"/>
          <w:sz w:val="20"/>
        </w:rPr>
        <w:t xml:space="preserve">, the Court distinguished a sidewalk that ran between a post office parking lot and a post office from a quintessential public sidewalk because, rather than being part of the transportation grid of the city, the  [**12] sidewalk "was constructed solely to provide for the passage of individuals engaged in postal business." 497 U.S. 720, 727-28, 110 S. Ct. 3115, 111 L. Ed. 2d 571 (1990). The Court specifically noted that "[p]ostal entryways . . . may be open to the public, but that fact alone does not establish that such areas must be treated as traditional public fora under the First Amendment." </w:t>
      </w:r>
      <w:bookmarkStart w:id="75" w:name="Bookmark_I4X77MYV0K1MNJ0700000400"/>
      <w:bookmarkEnd w:id="75"/>
      <w:r>
        <w:rPr>
          <w:rFonts w:ascii="Arial" w:eastAsia="Arial" w:hAnsi="Arial" w:cs="Arial"/>
          <w:i/>
          <w:color w:val="000000"/>
          <w:sz w:val="20"/>
        </w:rPr>
        <w:t>Id</w:t>
      </w:r>
      <w:r>
        <w:rPr>
          <w:rFonts w:ascii="Arial" w:eastAsia="Arial" w:hAnsi="Arial" w:cs="Arial"/>
          <w:color w:val="000000"/>
          <w:sz w:val="20"/>
        </w:rPr>
        <w:t xml:space="preserve">. at 729. "Because the 'sidewalk at issue [did] not have the characteristics of public sidewalks traditionally open to expressive activity,' the Court held that it was a nonpublic forum." </w:t>
      </w:r>
      <w:r>
        <w:rPr>
          <w:rFonts w:ascii="Arial" w:eastAsia="Arial" w:hAnsi="Arial" w:cs="Arial"/>
          <w:i/>
          <w:color w:val="000000"/>
          <w:sz w:val="20"/>
        </w:rPr>
        <w:t xml:space="preserve">See </w:t>
      </w:r>
      <w:bookmarkStart w:id="76" w:name="Bookmark_I4X77MYV0K1MNJ0720000400"/>
      <w:bookmarkEnd w:id="76"/>
      <w:r>
        <w:rPr>
          <w:rFonts w:ascii="Arial" w:eastAsia="Arial" w:hAnsi="Arial" w:cs="Arial"/>
          <w:i/>
          <w:color w:val="000000"/>
          <w:sz w:val="20"/>
        </w:rPr>
        <w:t>Kokinda</w:t>
      </w:r>
      <w:r>
        <w:rPr>
          <w:rFonts w:ascii="Arial" w:eastAsia="Arial" w:hAnsi="Arial" w:cs="Arial"/>
          <w:color w:val="000000"/>
          <w:sz w:val="20"/>
        </w:rPr>
        <w:t>, 497 U.S. at 727.</w:t>
      </w:r>
    </w:p>
    <w:p w:rsidR="006E038D" w:rsidRDefault="00000000">
      <w:pPr>
        <w:pStyle w:val="Normal0"/>
        <w:widowControl w:val="0"/>
        <w:spacing w:before="200" w:line="260" w:lineRule="atLeast"/>
        <w:jc w:val="both"/>
      </w:pPr>
      <w:bookmarkStart w:id="77" w:name="Bookmark_para_29"/>
      <w:bookmarkEnd w:id="77"/>
      <w:r>
        <w:rPr>
          <w:rFonts w:ascii="Arial" w:eastAsia="Arial" w:hAnsi="Arial" w:cs="Arial"/>
          <w:color w:val="000000"/>
          <w:sz w:val="20"/>
        </w:rPr>
        <w:t xml:space="preserve">Here, the District Court analogized the sidewalk at issue to the postal sidewalk considered in </w:t>
      </w:r>
      <w:r>
        <w:rPr>
          <w:rFonts w:ascii="Arial" w:eastAsia="Arial" w:hAnsi="Arial" w:cs="Arial"/>
          <w:i/>
          <w:color w:val="000000"/>
          <w:sz w:val="20"/>
        </w:rPr>
        <w:t>Kokinda</w:t>
      </w:r>
      <w:r>
        <w:rPr>
          <w:rFonts w:ascii="Arial" w:eastAsia="Arial" w:hAnsi="Arial" w:cs="Arial"/>
          <w:color w:val="000000"/>
          <w:sz w:val="20"/>
        </w:rPr>
        <w:t>, stating:</w:t>
      </w:r>
    </w:p>
    <w:p w:rsidR="006E038D" w:rsidRDefault="00000000">
      <w:pPr>
        <w:pStyle w:val="Normal0"/>
        <w:widowControl w:val="0"/>
        <w:spacing w:before="200" w:line="260" w:lineRule="atLeast"/>
        <w:ind w:left="400"/>
        <w:jc w:val="both"/>
      </w:pPr>
      <w:bookmarkStart w:id="78" w:name="Bookmark_para_30"/>
      <w:bookmarkEnd w:id="78"/>
      <w:r>
        <w:rPr>
          <w:rFonts w:ascii="Arial" w:eastAsia="Arial" w:hAnsi="Arial" w:cs="Arial"/>
          <w:color w:val="000000"/>
          <w:sz w:val="20"/>
        </w:rPr>
        <w:t xml:space="preserve">The Planned Parenthood ramp bears a striking resemblance to the sidewalk in </w:t>
      </w:r>
      <w:r>
        <w:rPr>
          <w:rFonts w:ascii="Arial" w:eastAsia="Arial" w:hAnsi="Arial" w:cs="Arial"/>
          <w:i/>
          <w:color w:val="000000"/>
          <w:sz w:val="20"/>
        </w:rPr>
        <w:t>Kokinda</w:t>
      </w:r>
      <w:r>
        <w:rPr>
          <w:rFonts w:ascii="Arial" w:eastAsia="Arial" w:hAnsi="Arial" w:cs="Arial"/>
          <w:color w:val="000000"/>
          <w:sz w:val="20"/>
        </w:rPr>
        <w:t xml:space="preserve">. Like the </w:t>
      </w:r>
      <w:r>
        <w:rPr>
          <w:rFonts w:ascii="Arial" w:eastAsia="Arial" w:hAnsi="Arial" w:cs="Arial"/>
          <w:i/>
          <w:color w:val="000000"/>
          <w:sz w:val="20"/>
        </w:rPr>
        <w:t>Kokinda</w:t>
      </w:r>
      <w:r>
        <w:rPr>
          <w:rFonts w:ascii="Arial" w:eastAsia="Arial" w:hAnsi="Arial" w:cs="Arial"/>
          <w:color w:val="000000"/>
          <w:sz w:val="20"/>
        </w:rPr>
        <w:t xml:space="preserve"> sidewalk, the Planned Parenthood ramp runs parallel to the street-level sidewalk, which is a public passageway. They both lead from the parking area to the front door of the facility and were constructed solely for the passage of individuals engaged in business at the facility. Additionally, the Planned Parenthood ramp was constructed for the </w:t>
      </w:r>
      <w:r>
        <w:rPr>
          <w:rFonts w:ascii="Arial" w:eastAsia="Arial" w:hAnsi="Arial" w:cs="Arial"/>
          <w:i/>
          <w:color w:val="000000"/>
          <w:sz w:val="20"/>
        </w:rPr>
        <w:t>specific</w:t>
      </w:r>
      <w:r>
        <w:rPr>
          <w:rFonts w:ascii="Arial" w:eastAsia="Arial" w:hAnsi="Arial" w:cs="Arial"/>
          <w:color w:val="000000"/>
          <w:sz w:val="20"/>
        </w:rPr>
        <w:t xml:space="preserve"> purpose of complying with the ADA, thereby ensuring that disabled patrons  [**13] of the facility were able to negotiate the space between the parking area and the entrance of the facility. There is nothing in the record establishing that the ramp was constructed to facilitate expressive activity, daily commerce, or the life of the neighborhood. To the contrary, the ramp's purpose was singular, to effectuate access of patrons, both able and disabled, to the Planned Parenthood facility. To find otherwise would be absurd.</w:t>
      </w:r>
    </w:p>
    <w:p w:rsidR="006E038D" w:rsidRDefault="00000000">
      <w:pPr>
        <w:pStyle w:val="Normal0"/>
        <w:widowControl w:val="0"/>
        <w:spacing w:line="260" w:lineRule="atLeast"/>
        <w:jc w:val="both"/>
      </w:pPr>
      <w:r>
        <w:rPr>
          <w:rFonts w:ascii="Arial" w:eastAsia="Arial" w:hAnsi="Arial" w:cs="Arial"/>
          <w:color w:val="000000"/>
          <w:sz w:val="20"/>
        </w:rPr>
        <w:t>App. at 14-15 (emphasis in original).</w:t>
      </w:r>
    </w:p>
    <w:p w:rsidR="006E038D" w:rsidRDefault="00000000">
      <w:pPr>
        <w:pStyle w:val="Normal0"/>
        <w:widowControl w:val="0"/>
        <w:spacing w:before="200" w:line="260" w:lineRule="atLeast"/>
        <w:jc w:val="both"/>
      </w:pPr>
      <w:bookmarkStart w:id="79" w:name="Bookmark_para_31"/>
      <w:bookmarkEnd w:id="79"/>
      <w:r>
        <w:rPr>
          <w:rFonts w:ascii="Arial" w:eastAsia="Arial" w:hAnsi="Arial" w:cs="Arial"/>
          <w:color w:val="000000"/>
          <w:sz w:val="20"/>
        </w:rPr>
        <w:t>We agree with the reasoning of the District Court. The diagram and images of the ramp in question in the appendix make clear that there is no way to build an entrance ramp to the Facility that would comply with the ADA that would not rest  [*528]  on top of a portion of what was formerly a public sidewalk. However, the ramp is distinct from the sidewalk and serves a separate purpose. We agree with the District Court that any other conclusion would be "absurd." App. at 15. We conclude, as did the District Court, that the ramp is a nonpublic forum.</w:t>
      </w:r>
    </w:p>
    <w:p w:rsidR="006E038D" w:rsidRDefault="00000000">
      <w:pPr>
        <w:pStyle w:val="Normal0"/>
        <w:widowControl w:val="0"/>
        <w:spacing w:before="200" w:line="260" w:lineRule="atLeast"/>
        <w:jc w:val="both"/>
      </w:pPr>
      <w:bookmarkStart w:id="80" w:name="Bookmark_para_32"/>
      <w:bookmarkEnd w:id="80"/>
      <w:r>
        <w:rPr>
          <w:rFonts w:ascii="Arial" w:eastAsia="Arial" w:hAnsi="Arial" w:cs="Arial"/>
          <w:b/>
          <w:color w:val="000000"/>
          <w:sz w:val="20"/>
        </w:rPr>
        <w:t>b. The Relevant Level of Scrutiny</w:t>
      </w:r>
    </w:p>
    <w:p w:rsidR="006E038D" w:rsidRDefault="00000000">
      <w:pPr>
        <w:pStyle w:val="Normal0"/>
        <w:widowControl w:val="0"/>
        <w:spacing w:before="200" w:line="260" w:lineRule="atLeast"/>
        <w:jc w:val="both"/>
      </w:pPr>
      <w:bookmarkStart w:id="81" w:name="Bookmark_para_33"/>
      <w:bookmarkStart w:id="82" w:name="Bookmark_I4X77MYV0K1MNJ08D0000400"/>
      <w:bookmarkStart w:id="83" w:name="Bookmark_I5PTYW2DDK8000RG2XW001NX"/>
      <w:bookmarkStart w:id="84" w:name="Bookmark_I5PTYW2DJDD000RG2XW001NY"/>
      <w:bookmarkStart w:id="85" w:name="Bookmark_I4X77MYV0K1MNJ08G0000400"/>
      <w:bookmarkEnd w:id="81"/>
      <w:bookmarkEnd w:id="82"/>
      <w:bookmarkEnd w:id="83"/>
      <w:bookmarkEnd w:id="84"/>
      <w:bookmarkEnd w:id="85"/>
      <w:r>
        <w:rPr>
          <w:rFonts w:ascii="Arial" w:eastAsia="Arial" w:hAnsi="Arial" w:cs="Arial"/>
          <w:color w:val="000000"/>
          <w:sz w:val="20"/>
        </w:rPr>
        <w:t xml:space="preserve">We must next consider whether the restriction placed on that nonpublic forum, preventing the protestors from standing on it, is reasonable and not  [**14] an effort to block expression merely because the government disagrees with the view of the speaker. </w:t>
      </w:r>
      <w:bookmarkStart w:id="86" w:name="Bookmark_I4X77MYV0K1MNJ08C0000400"/>
      <w:bookmarkEnd w:id="86"/>
      <w:r>
        <w:rPr>
          <w:rFonts w:ascii="Arial" w:eastAsia="Arial" w:hAnsi="Arial" w:cs="Arial"/>
          <w:i/>
          <w:color w:val="000000"/>
          <w:sz w:val="20"/>
        </w:rPr>
        <w:t>Kokinda</w:t>
      </w:r>
      <w:r>
        <w:rPr>
          <w:rFonts w:ascii="Arial" w:eastAsia="Arial" w:hAnsi="Arial" w:cs="Arial"/>
          <w:color w:val="000000"/>
          <w:sz w:val="20"/>
        </w:rPr>
        <w:t xml:space="preserve">, 497 U.S. at 730. </w:t>
      </w:r>
      <w:bookmarkStart w:id="87" w:name="Bookmark_LNHNREFclscc10"/>
      <w:bookmarkEnd w:id="87"/>
      <w:r>
        <w:rPr>
          <w:rFonts w:ascii="Arial" w:eastAsia="Arial" w:hAnsi="Arial" w:cs="Arial"/>
          <w:color w:val="000000"/>
          <w:sz w:val="20"/>
        </w:rPr>
        <w:t xml:space="preserve">"[C]onsideration of a forum's special attributes is relevant to the constitutionality of a regulation since the significance of the governmental interest must be assessed in light of the characteristic nature and function of the particular forum involved." </w:t>
      </w:r>
      <w:bookmarkStart w:id="88" w:name="Bookmark_I4X77MYV0K1MNJ08F0000400"/>
      <w:bookmarkEnd w:id="88"/>
      <w:r>
        <w:rPr>
          <w:rFonts w:ascii="Arial" w:eastAsia="Arial" w:hAnsi="Arial" w:cs="Arial"/>
          <w:i/>
          <w:color w:val="000000"/>
          <w:sz w:val="20"/>
        </w:rPr>
        <w:t>Id</w:t>
      </w:r>
      <w:r>
        <w:rPr>
          <w:rFonts w:ascii="Arial" w:eastAsia="Arial" w:hAnsi="Arial" w:cs="Arial"/>
          <w:color w:val="000000"/>
          <w:sz w:val="20"/>
        </w:rPr>
        <w:t xml:space="preserve">. at 732 (alteration in original) (quoting </w:t>
      </w:r>
      <w:bookmarkStart w:id="89" w:name="Bookmark_I4X77MYV0K1MNJ08H0000400"/>
      <w:bookmarkEnd w:id="89"/>
      <w:r>
        <w:rPr>
          <w:rFonts w:ascii="Arial" w:eastAsia="Arial" w:hAnsi="Arial" w:cs="Arial"/>
          <w:i/>
          <w:color w:val="000000"/>
          <w:sz w:val="20"/>
        </w:rPr>
        <w:t>Heffron v. Int'l Soc. for Krishna Consciousness, Inc</w:t>
      </w:r>
      <w:r>
        <w:rPr>
          <w:rFonts w:ascii="Arial" w:eastAsia="Arial" w:hAnsi="Arial" w:cs="Arial"/>
          <w:color w:val="000000"/>
          <w:sz w:val="20"/>
        </w:rPr>
        <w:t>., 452 U.S. 640, 650-51, 101 S. Ct. 2559, 69 L. Ed. 2d 298 (1981)).</w:t>
      </w:r>
    </w:p>
    <w:p w:rsidR="006E038D" w:rsidRDefault="00000000">
      <w:pPr>
        <w:pStyle w:val="Normal0"/>
        <w:widowControl w:val="0"/>
        <w:spacing w:before="200" w:line="260" w:lineRule="atLeast"/>
        <w:jc w:val="both"/>
      </w:pPr>
      <w:bookmarkStart w:id="90" w:name="Bookmark_para_34"/>
      <w:bookmarkEnd w:id="90"/>
      <w:r>
        <w:rPr>
          <w:rFonts w:ascii="Arial" w:eastAsia="Arial" w:hAnsi="Arial" w:cs="Arial"/>
          <w:color w:val="000000"/>
          <w:sz w:val="20"/>
        </w:rPr>
        <w:t>In this case, the ramp is the size required for a handicapped accessible ramp and is designed for people to enter and exit the Planned Parenthood Facility. The record shows that if a person were to stand on the ramp it would no longer have the required handicapped clearance and the presence of a static body would block access to one of the two required handrails. It is also relevant that because the ramp parallels the sidewalk, a protestor can walk next to someone entering the building and continue talking to that person. In light of the availability of a protestor's access to the desired audience, it is certainly not unreasonable to preclude the protestor from standing on the ramp  [**15] itself, thereby blocking the handicapped accessibility of the structure.</w:t>
      </w:r>
    </w:p>
    <w:p w:rsidR="006E038D" w:rsidRDefault="00000000">
      <w:pPr>
        <w:pStyle w:val="Normal0"/>
        <w:widowControl w:val="0"/>
        <w:spacing w:before="200" w:line="260" w:lineRule="atLeast"/>
        <w:jc w:val="both"/>
      </w:pPr>
      <w:bookmarkStart w:id="91" w:name="Bookmark_para_35"/>
      <w:bookmarkStart w:id="92" w:name="Bookmark_I5PTYW2DP7J000RG2XW001P0"/>
      <w:bookmarkStart w:id="93" w:name="Bookmark_I4X77MYV0K1MNJ0F30000400"/>
      <w:bookmarkEnd w:id="91"/>
      <w:bookmarkEnd w:id="92"/>
      <w:bookmarkEnd w:id="93"/>
      <w:r>
        <w:rPr>
          <w:rFonts w:ascii="Arial" w:eastAsia="Arial" w:hAnsi="Arial" w:cs="Arial"/>
          <w:color w:val="000000"/>
          <w:sz w:val="20"/>
        </w:rPr>
        <w:t xml:space="preserve">This case therefore differs from our prior </w:t>
      </w:r>
      <w:r>
        <w:rPr>
          <w:rFonts w:ascii="Arial" w:eastAsia="Arial" w:hAnsi="Arial" w:cs="Arial"/>
          <w:i/>
          <w:color w:val="000000"/>
          <w:sz w:val="20"/>
        </w:rPr>
        <w:t>McTernan</w:t>
      </w:r>
      <w:r>
        <w:rPr>
          <w:rFonts w:ascii="Arial" w:eastAsia="Arial" w:hAnsi="Arial" w:cs="Arial"/>
          <w:color w:val="000000"/>
          <w:sz w:val="20"/>
        </w:rPr>
        <w:t xml:space="preserve"> decision, which held that the reasonableness of prohibiting a protestor from walking in an alley adjacent to the Facility while allowing persons associated with the Facility to walk in the alley was a jury question. </w:t>
      </w:r>
      <w:bookmarkStart w:id="94" w:name="Bookmark_I4X77MYV0K1MNJ0F20000400"/>
      <w:bookmarkEnd w:id="94"/>
      <w:r>
        <w:rPr>
          <w:rFonts w:ascii="Arial" w:eastAsia="Arial" w:hAnsi="Arial" w:cs="Arial"/>
          <w:i/>
          <w:color w:val="000000"/>
          <w:sz w:val="20"/>
        </w:rPr>
        <w:t>McTernan</w:t>
      </w:r>
      <w:r>
        <w:rPr>
          <w:rFonts w:ascii="Arial" w:eastAsia="Arial" w:hAnsi="Arial" w:cs="Arial"/>
          <w:color w:val="000000"/>
          <w:sz w:val="20"/>
        </w:rPr>
        <w:t xml:space="preserve">, 564 F.3d at 656. Not only was the alley in that case a traditional public forum, but questions remained as to whether the restrictions imposed were necessary for the safety of those in the alley, which depended on the traffic level and protestor activity, among other factors. </w:t>
      </w:r>
      <w:r>
        <w:rPr>
          <w:rFonts w:ascii="Arial" w:eastAsia="Arial" w:hAnsi="Arial" w:cs="Arial"/>
          <w:i/>
          <w:color w:val="000000"/>
          <w:sz w:val="20"/>
        </w:rPr>
        <w:t>Id</w:t>
      </w:r>
      <w:r>
        <w:rPr>
          <w:rFonts w:ascii="Arial" w:eastAsia="Arial" w:hAnsi="Arial" w:cs="Arial"/>
          <w:color w:val="000000"/>
          <w:sz w:val="20"/>
        </w:rPr>
        <w:t xml:space="preserve">. No such questions are present in this case, where the forum is non public, and the restrictions are the reasonable and necessary response to ADA regulations. </w:t>
      </w:r>
      <w:r>
        <w:rPr>
          <w:rFonts w:ascii="Arial" w:eastAsia="Arial" w:hAnsi="Arial" w:cs="Arial"/>
          <w:i/>
          <w:color w:val="000000"/>
          <w:sz w:val="20"/>
        </w:rPr>
        <w:t>See</w:t>
      </w:r>
      <w:r>
        <w:rPr>
          <w:rFonts w:ascii="Arial" w:eastAsia="Arial" w:hAnsi="Arial" w:cs="Arial"/>
          <w:color w:val="000000"/>
          <w:sz w:val="20"/>
        </w:rPr>
        <w:t xml:space="preserve"> 28 C.F.R. Part 36, App. A §§ 3.5, 4.1.3(9).</w:t>
      </w:r>
    </w:p>
    <w:p w:rsidR="006E038D" w:rsidRDefault="00000000">
      <w:pPr>
        <w:pStyle w:val="Normal0"/>
        <w:widowControl w:val="0"/>
        <w:spacing w:before="200" w:line="260" w:lineRule="atLeast"/>
        <w:jc w:val="both"/>
      </w:pPr>
      <w:bookmarkStart w:id="95" w:name="Bookmark_para_36"/>
      <w:bookmarkEnd w:id="95"/>
      <w:r>
        <w:rPr>
          <w:rFonts w:ascii="Arial" w:eastAsia="Arial" w:hAnsi="Arial" w:cs="Arial"/>
          <w:color w:val="000000"/>
          <w:sz w:val="20"/>
        </w:rPr>
        <w:t>The District Court did not hold merely that Plaintiffs were unlikely to succeed on the merits; it held instead that they had no chance of success on the merits. We see no reason to disturb those conclusions. Although that holding is dispositive on the appeal of the order denying the preliminary injunction, we turn to the remaining factors relevant to the preliminary  [**16] injunction as they may also have an impact on our review of the dismissal order.</w:t>
      </w:r>
    </w:p>
    <w:p w:rsidR="006E038D" w:rsidRDefault="00000000">
      <w:pPr>
        <w:pStyle w:val="Normal0"/>
        <w:widowControl w:val="0"/>
        <w:spacing w:before="240" w:line="260" w:lineRule="atLeast"/>
      </w:pPr>
      <w:r>
        <w:br/>
      </w:r>
      <w:r>
        <w:rPr>
          <w:rFonts w:ascii="Arial" w:eastAsia="Arial" w:hAnsi="Arial" w:cs="Arial"/>
          <w:b/>
          <w:color w:val="000000"/>
          <w:sz w:val="20"/>
        </w:rPr>
        <w:t>2. Irreparable Injury</w:t>
      </w:r>
    </w:p>
    <w:p w:rsidR="006E038D" w:rsidRDefault="00000000">
      <w:pPr>
        <w:pStyle w:val="Normal0"/>
        <w:widowControl w:val="0"/>
        <w:spacing w:before="200" w:line="260" w:lineRule="atLeast"/>
        <w:jc w:val="both"/>
      </w:pPr>
      <w:bookmarkStart w:id="96" w:name="Bookmark_para_37"/>
      <w:bookmarkEnd w:id="96"/>
      <w:r>
        <w:rPr>
          <w:rFonts w:ascii="Arial" w:eastAsia="Arial" w:hAnsi="Arial" w:cs="Arial"/>
          <w:color w:val="000000"/>
          <w:sz w:val="20"/>
        </w:rPr>
        <w:t xml:space="preserve">The District Court acknowledged that </w:t>
      </w:r>
      <w:bookmarkStart w:id="97" w:name="Bookmark_LNHNREFclscc11"/>
      <w:bookmarkEnd w:id="97"/>
      <w:r>
        <w:rPr>
          <w:rFonts w:ascii="Arial" w:eastAsia="Arial" w:hAnsi="Arial" w:cs="Arial"/>
          <w:color w:val="000000"/>
          <w:sz w:val="20"/>
        </w:rPr>
        <w:t>loss of First Amendment freedom for any period of time can be considered irreparable harm, but stated that such harm had not occurred in this case in light of its holdings that the ramp was not a public forum and the regulation was reasonable.</w:t>
      </w:r>
    </w:p>
    <w:p w:rsidR="006E038D" w:rsidRDefault="00000000">
      <w:pPr>
        <w:pStyle w:val="Normal0"/>
        <w:widowControl w:val="0"/>
        <w:spacing w:before="200" w:line="260" w:lineRule="atLeast"/>
        <w:jc w:val="both"/>
      </w:pPr>
      <w:bookmarkStart w:id="98" w:name="Bookmark_para_38"/>
      <w:bookmarkEnd w:id="98"/>
      <w:r>
        <w:rPr>
          <w:rFonts w:ascii="Arial" w:eastAsia="Arial" w:hAnsi="Arial" w:cs="Arial"/>
          <w:color w:val="000000"/>
          <w:sz w:val="20"/>
        </w:rPr>
        <w:t>We agree with the District Court that there was no irreparable harm because there was no harm of any type. The protestors were told they were allowed to protest on the public sidewalk next to the ramp. We have previously upheld regulations that resulted in a far greater reduction  [*529]  in the ability to communicate, even when the forum at issue was considered a public forum.</w:t>
      </w:r>
    </w:p>
    <w:p w:rsidR="006E038D" w:rsidRDefault="00000000">
      <w:pPr>
        <w:pStyle w:val="Normal0"/>
        <w:widowControl w:val="0"/>
        <w:spacing w:before="200" w:line="260" w:lineRule="atLeast"/>
        <w:jc w:val="both"/>
      </w:pPr>
      <w:bookmarkStart w:id="99" w:name="Bookmark_para_39"/>
      <w:bookmarkStart w:id="100" w:name="Bookmark_I4X77MYV0K1MNJ0F50000400"/>
      <w:bookmarkEnd w:id="99"/>
      <w:bookmarkEnd w:id="100"/>
      <w:r>
        <w:rPr>
          <w:rFonts w:ascii="Arial" w:eastAsia="Arial" w:hAnsi="Arial" w:cs="Arial"/>
          <w:color w:val="000000"/>
          <w:sz w:val="20"/>
        </w:rPr>
        <w:t xml:space="preserve">In </w:t>
      </w:r>
      <w:bookmarkStart w:id="101" w:name="Bookmark_I4X77MYV0K1MNJ0F40000400"/>
      <w:bookmarkEnd w:id="101"/>
      <w:r>
        <w:rPr>
          <w:rFonts w:ascii="Arial" w:eastAsia="Arial" w:hAnsi="Arial" w:cs="Arial"/>
          <w:i/>
          <w:color w:val="000000"/>
          <w:sz w:val="20"/>
        </w:rPr>
        <w:t>Startzell v. City of Philadelphia</w:t>
      </w:r>
      <w:r>
        <w:rPr>
          <w:rFonts w:ascii="Arial" w:eastAsia="Arial" w:hAnsi="Arial" w:cs="Arial"/>
          <w:color w:val="000000"/>
          <w:sz w:val="20"/>
        </w:rPr>
        <w:t xml:space="preserve">, 533 F.3d 183 (3d Cir. 2008), Philly Pride, an organization for lesbian, gay, bisexual, and transgendered ("LGBT") individuals, organized OutFest, an annual street festival to celebrate "National Coming Out Day." </w:t>
      </w:r>
      <w:bookmarkStart w:id="102" w:name="Bookmark_I4X77MYV0K1MNJ0G80000400"/>
      <w:bookmarkEnd w:id="102"/>
      <w:r>
        <w:rPr>
          <w:rFonts w:ascii="Arial" w:eastAsia="Arial" w:hAnsi="Arial" w:cs="Arial"/>
          <w:i/>
          <w:color w:val="000000"/>
          <w:sz w:val="20"/>
        </w:rPr>
        <w:t>Id</w:t>
      </w:r>
      <w:r>
        <w:rPr>
          <w:rFonts w:ascii="Arial" w:eastAsia="Arial" w:hAnsi="Arial" w:cs="Arial"/>
          <w:color w:val="000000"/>
          <w:sz w:val="20"/>
        </w:rPr>
        <w:t xml:space="preserve">. at 189. The event took place on the streets and sidewalks of a number of city blocks, an area which was closed off for the event by permit. </w:t>
      </w:r>
      <w:bookmarkStart w:id="103" w:name="Bookmark_I4X77MYV0K1MNJ0GC0000400"/>
      <w:bookmarkEnd w:id="103"/>
      <w:r>
        <w:rPr>
          <w:rFonts w:ascii="Arial" w:eastAsia="Arial" w:hAnsi="Arial" w:cs="Arial"/>
          <w:i/>
          <w:color w:val="000000"/>
          <w:sz w:val="20"/>
        </w:rPr>
        <w:t>Id</w:t>
      </w:r>
      <w:r>
        <w:rPr>
          <w:rFonts w:ascii="Arial" w:eastAsia="Arial" w:hAnsi="Arial" w:cs="Arial"/>
          <w:color w:val="000000"/>
          <w:sz w:val="20"/>
        </w:rPr>
        <w:t xml:space="preserve">. The events were free and open to the public. </w:t>
      </w:r>
      <w:bookmarkStart w:id="104" w:name="Bookmark_I4X77MYV0K1MNJ0GC0000400_2"/>
      <w:bookmarkStart w:id="105" w:name="Bookmark_I4X77MYV0K1MNJ0HP0000400"/>
      <w:bookmarkEnd w:id="104"/>
      <w:bookmarkEnd w:id="105"/>
      <w:r>
        <w:rPr>
          <w:rFonts w:ascii="Arial" w:eastAsia="Arial" w:hAnsi="Arial" w:cs="Arial"/>
          <w:i/>
          <w:color w:val="000000"/>
          <w:sz w:val="20"/>
        </w:rPr>
        <w:t>Id</w:t>
      </w:r>
      <w:r>
        <w:rPr>
          <w:rFonts w:ascii="Arial" w:eastAsia="Arial" w:hAnsi="Arial" w:cs="Arial"/>
          <w:color w:val="000000"/>
          <w:sz w:val="20"/>
        </w:rPr>
        <w:t xml:space="preserve">. Repent  [**17] America, an organization whose members believe that homosexuality is a sin and that they have a religious duty to share this view with others, entered OutFest to communicate their message. </w:t>
      </w:r>
      <w:bookmarkStart w:id="106" w:name="Bookmark_I4X77MYV0K1MNJ0GB0000400"/>
      <w:bookmarkEnd w:id="106"/>
      <w:r>
        <w:rPr>
          <w:rFonts w:ascii="Arial" w:eastAsia="Arial" w:hAnsi="Arial" w:cs="Arial"/>
          <w:i/>
          <w:color w:val="000000"/>
          <w:sz w:val="20"/>
        </w:rPr>
        <w:t>Id</w:t>
      </w:r>
      <w:r>
        <w:rPr>
          <w:rFonts w:ascii="Arial" w:eastAsia="Arial" w:hAnsi="Arial" w:cs="Arial"/>
          <w:color w:val="000000"/>
          <w:sz w:val="20"/>
        </w:rPr>
        <w:t xml:space="preserve">. at 190-91. </w:t>
      </w:r>
      <w:bookmarkStart w:id="107" w:name="Bookmark_I4X77MYV0K1MNJ0HP0000400_2"/>
      <w:bookmarkEnd w:id="107"/>
      <w:r>
        <w:rPr>
          <w:rFonts w:ascii="Arial" w:eastAsia="Arial" w:hAnsi="Arial" w:cs="Arial"/>
          <w:color w:val="000000"/>
          <w:sz w:val="20"/>
        </w:rPr>
        <w:t xml:space="preserve">They did so by congregating near an OutFest stage and "singing loudly, playing instruments, displaying large signs, and using microphones and bullhorns." </w:t>
      </w:r>
      <w:bookmarkStart w:id="108" w:name="Bookmark_I4X77MYV0K1MNJ0GD0000400"/>
      <w:bookmarkEnd w:id="108"/>
      <w:r>
        <w:rPr>
          <w:rFonts w:ascii="Arial" w:eastAsia="Arial" w:hAnsi="Arial" w:cs="Arial"/>
          <w:i/>
          <w:color w:val="000000"/>
          <w:sz w:val="20"/>
        </w:rPr>
        <w:t>Id</w:t>
      </w:r>
      <w:r>
        <w:rPr>
          <w:rFonts w:ascii="Arial" w:eastAsia="Arial" w:hAnsi="Arial" w:cs="Arial"/>
          <w:color w:val="000000"/>
          <w:sz w:val="20"/>
        </w:rPr>
        <w:t>. at 191.</w:t>
      </w:r>
    </w:p>
    <w:p w:rsidR="006E038D" w:rsidRDefault="00000000">
      <w:pPr>
        <w:pStyle w:val="Normal0"/>
        <w:widowControl w:val="0"/>
        <w:spacing w:before="200" w:line="260" w:lineRule="atLeast"/>
        <w:jc w:val="both"/>
      </w:pPr>
      <w:bookmarkStart w:id="109" w:name="Bookmark_para_40"/>
      <w:bookmarkEnd w:id="109"/>
      <w:r>
        <w:rPr>
          <w:rFonts w:ascii="Arial" w:eastAsia="Arial" w:hAnsi="Arial" w:cs="Arial"/>
          <w:color w:val="000000"/>
          <w:sz w:val="20"/>
        </w:rPr>
        <w:t xml:space="preserve">When a musical program began on the stage, the members of Repent America were ordered by police to move further away from the stage. </w:t>
      </w:r>
      <w:r>
        <w:rPr>
          <w:rFonts w:ascii="Arial" w:eastAsia="Arial" w:hAnsi="Arial" w:cs="Arial"/>
          <w:i/>
          <w:color w:val="000000"/>
          <w:sz w:val="20"/>
        </w:rPr>
        <w:t>Id</w:t>
      </w:r>
      <w:r>
        <w:rPr>
          <w:rFonts w:ascii="Arial" w:eastAsia="Arial" w:hAnsi="Arial" w:cs="Arial"/>
          <w:color w:val="000000"/>
          <w:sz w:val="20"/>
        </w:rPr>
        <w:t xml:space="preserve">. After receiving complaints that the protesters were blocking access to vendors at OutFest, the police requested the protestors to move again. </w:t>
      </w:r>
      <w:r>
        <w:rPr>
          <w:rFonts w:ascii="Arial" w:eastAsia="Arial" w:hAnsi="Arial" w:cs="Arial"/>
          <w:i/>
          <w:color w:val="000000"/>
          <w:sz w:val="20"/>
        </w:rPr>
        <w:t>Id</w:t>
      </w:r>
      <w:r>
        <w:rPr>
          <w:rFonts w:ascii="Arial" w:eastAsia="Arial" w:hAnsi="Arial" w:cs="Arial"/>
          <w:color w:val="000000"/>
          <w:sz w:val="20"/>
        </w:rPr>
        <w:t xml:space="preserve">. They were asked to move to a location near a popular gay bar within the vicinity of OutFest, but they refused. </w:t>
      </w:r>
      <w:r>
        <w:rPr>
          <w:rFonts w:ascii="Arial" w:eastAsia="Arial" w:hAnsi="Arial" w:cs="Arial"/>
          <w:i/>
          <w:color w:val="000000"/>
          <w:sz w:val="20"/>
        </w:rPr>
        <w:t>Id</w:t>
      </w:r>
      <w:r>
        <w:rPr>
          <w:rFonts w:ascii="Arial" w:eastAsia="Arial" w:hAnsi="Arial" w:cs="Arial"/>
          <w:color w:val="000000"/>
          <w:sz w:val="20"/>
        </w:rPr>
        <w:t xml:space="preserve">. After an oral warning by the police, the protestors were arrested for disorderly conduct. </w:t>
      </w:r>
      <w:r>
        <w:rPr>
          <w:rFonts w:ascii="Arial" w:eastAsia="Arial" w:hAnsi="Arial" w:cs="Arial"/>
          <w:i/>
          <w:color w:val="000000"/>
          <w:sz w:val="20"/>
        </w:rPr>
        <w:t>Id</w:t>
      </w:r>
      <w:r>
        <w:rPr>
          <w:rFonts w:ascii="Arial" w:eastAsia="Arial" w:hAnsi="Arial" w:cs="Arial"/>
          <w:color w:val="000000"/>
          <w:sz w:val="20"/>
        </w:rPr>
        <w:t xml:space="preserve">. Of relevance to this appeal, their subsequent suit against the city included a First Amendment claim that Philadelphia had impermissibly prohibited their speech based on content. </w:t>
      </w:r>
      <w:r>
        <w:rPr>
          <w:rFonts w:ascii="Arial" w:eastAsia="Arial" w:hAnsi="Arial" w:cs="Arial"/>
          <w:i/>
          <w:color w:val="000000"/>
          <w:sz w:val="20"/>
        </w:rPr>
        <w:t>Id</w:t>
      </w:r>
      <w:r>
        <w:rPr>
          <w:rFonts w:ascii="Arial" w:eastAsia="Arial" w:hAnsi="Arial" w:cs="Arial"/>
          <w:color w:val="000000"/>
          <w:sz w:val="20"/>
        </w:rPr>
        <w:t>.</w:t>
      </w:r>
    </w:p>
    <w:p w:rsidR="006E038D" w:rsidRDefault="00000000">
      <w:pPr>
        <w:pStyle w:val="Normal0"/>
        <w:widowControl w:val="0"/>
        <w:spacing w:before="200" w:line="260" w:lineRule="atLeast"/>
        <w:jc w:val="both"/>
      </w:pPr>
      <w:bookmarkStart w:id="110" w:name="Bookmark_para_41"/>
      <w:bookmarkStart w:id="111" w:name="Bookmark_I4X77MYV0K1MNJ0HS0000400"/>
      <w:bookmarkEnd w:id="110"/>
      <w:bookmarkEnd w:id="111"/>
      <w:r>
        <w:rPr>
          <w:rFonts w:ascii="Arial" w:eastAsia="Arial" w:hAnsi="Arial" w:cs="Arial"/>
          <w:color w:val="000000"/>
          <w:sz w:val="20"/>
        </w:rPr>
        <w:t>On appeal from an order of dismissal, this court noted that</w:t>
      </w:r>
      <w:bookmarkStart w:id="112" w:name="Bookmark_LNHNREFclscc12"/>
      <w:bookmarkEnd w:id="112"/>
      <w:r>
        <w:rPr>
          <w:rFonts w:ascii="Arial" w:eastAsia="Arial" w:hAnsi="Arial" w:cs="Arial"/>
          <w:color w:val="000000"/>
          <w:sz w:val="20"/>
        </w:rPr>
        <w:t xml:space="preserve"> "'[n]othing in the Constitution requires the Government freely to grant access to all who wish to  [**18] exercise their right to free speech on every type of Government property without regard to the nature of the property or to the disruption that might be caused by the speaker's activities.'" </w:t>
      </w:r>
      <w:bookmarkStart w:id="113" w:name="Bookmark_I4X77MYV0K1MNJ0HR0000400"/>
      <w:bookmarkEnd w:id="113"/>
      <w:r>
        <w:rPr>
          <w:rFonts w:ascii="Arial" w:eastAsia="Arial" w:hAnsi="Arial" w:cs="Arial"/>
          <w:i/>
          <w:color w:val="000000"/>
          <w:sz w:val="20"/>
        </w:rPr>
        <w:t>Id</w:t>
      </w:r>
      <w:r>
        <w:rPr>
          <w:rFonts w:ascii="Arial" w:eastAsia="Arial" w:hAnsi="Arial" w:cs="Arial"/>
          <w:color w:val="000000"/>
          <w:sz w:val="20"/>
        </w:rPr>
        <w:t xml:space="preserve">. at 196 (quoting </w:t>
      </w:r>
      <w:bookmarkStart w:id="114" w:name="Bookmark_I4X77MYV0K1MNJ0HT0000400"/>
      <w:bookmarkEnd w:id="114"/>
      <w:r>
        <w:rPr>
          <w:rFonts w:ascii="Arial" w:eastAsia="Arial" w:hAnsi="Arial" w:cs="Arial"/>
          <w:i/>
          <w:color w:val="000000"/>
          <w:sz w:val="20"/>
        </w:rPr>
        <w:t>Cornelius</w:t>
      </w:r>
      <w:r>
        <w:rPr>
          <w:rFonts w:ascii="Arial" w:eastAsia="Arial" w:hAnsi="Arial" w:cs="Arial"/>
          <w:color w:val="000000"/>
          <w:sz w:val="20"/>
        </w:rPr>
        <w:t>, 473 U.S. at 799-800).</w:t>
      </w:r>
    </w:p>
    <w:p w:rsidR="006E038D" w:rsidRDefault="00000000">
      <w:pPr>
        <w:pStyle w:val="Normal0"/>
        <w:widowControl w:val="0"/>
        <w:spacing w:before="200" w:line="260" w:lineRule="atLeast"/>
        <w:jc w:val="both"/>
      </w:pPr>
      <w:bookmarkStart w:id="115" w:name="Bookmark_para_42"/>
      <w:bookmarkStart w:id="116" w:name="Bookmark_I4X77MYV0K1MNJ0MS0000400"/>
      <w:bookmarkEnd w:id="115"/>
      <w:bookmarkEnd w:id="116"/>
      <w:r>
        <w:rPr>
          <w:rFonts w:ascii="Arial" w:eastAsia="Arial" w:hAnsi="Arial" w:cs="Arial"/>
          <w:color w:val="000000"/>
          <w:sz w:val="20"/>
        </w:rPr>
        <w:t>In analyzing whether the new location had provided the ample alternative channel required for regulation of speech in a public forum, we noted that:</w:t>
      </w:r>
    </w:p>
    <w:p w:rsidR="006E038D" w:rsidRDefault="00000000">
      <w:pPr>
        <w:pStyle w:val="Normal0"/>
        <w:widowControl w:val="0"/>
        <w:spacing w:before="200" w:line="260" w:lineRule="atLeast"/>
        <w:ind w:left="400"/>
        <w:jc w:val="both"/>
      </w:pPr>
      <w:bookmarkStart w:id="117" w:name="Bookmark_para_43"/>
      <w:bookmarkStart w:id="118" w:name="Bookmark_I4X77MYV0K1MNJ0MS0000400_2"/>
      <w:bookmarkEnd w:id="117"/>
      <w:bookmarkEnd w:id="118"/>
      <w:r>
        <w:rPr>
          <w:rFonts w:ascii="Arial" w:eastAsia="Arial" w:hAnsi="Arial" w:cs="Arial"/>
          <w:color w:val="000000"/>
          <w:sz w:val="20"/>
        </w:rPr>
        <w:t xml:space="preserve">Although </w:t>
      </w:r>
      <w:bookmarkStart w:id="119" w:name="Bookmark_LNHNREFclscc13"/>
      <w:bookmarkEnd w:id="119"/>
      <w:r>
        <w:rPr>
          <w:rFonts w:ascii="Arial" w:eastAsia="Arial" w:hAnsi="Arial" w:cs="Arial"/>
          <w:color w:val="000000"/>
          <w:sz w:val="20"/>
        </w:rPr>
        <w:t xml:space="preserve">"[a]n alternative is not ample if the speaker is not permitted to reach the 'intended audience,'" </w:t>
      </w:r>
      <w:bookmarkStart w:id="120" w:name="Bookmark_I4X77MYV0K1MNJ0MR0000400"/>
      <w:bookmarkEnd w:id="120"/>
      <w:r>
        <w:rPr>
          <w:rFonts w:ascii="Arial" w:eastAsia="Arial" w:hAnsi="Arial" w:cs="Arial"/>
          <w:i/>
          <w:color w:val="000000"/>
          <w:sz w:val="20"/>
        </w:rPr>
        <w:t>Bay Area Peace Navy v. United States</w:t>
      </w:r>
      <w:r>
        <w:rPr>
          <w:rFonts w:ascii="Arial" w:eastAsia="Arial" w:hAnsi="Arial" w:cs="Arial"/>
          <w:color w:val="000000"/>
          <w:sz w:val="20"/>
        </w:rPr>
        <w:t xml:space="preserve">, 914 F.2d 1224, 1229 (9th Cir.1990) (citation omitted), that is not what occurred here. Admittedly, Appellants' intended audience was the LGBT OutFest attendees, whom they wanted to instruct about what they believed were the sins of homosexuality. </w:t>
      </w:r>
      <w:bookmarkStart w:id="121" w:name="Bookmark_I4X77MYV0K1MNJ0MV0000400"/>
      <w:bookmarkEnd w:id="121"/>
      <w:r>
        <w:rPr>
          <w:rFonts w:ascii="Arial" w:eastAsia="Arial" w:hAnsi="Arial" w:cs="Arial"/>
          <w:color w:val="000000"/>
          <w:sz w:val="20"/>
        </w:rPr>
        <w:t xml:space="preserve">The police officers' direction that Appellants move to a less congested area, albeit still within OutFest, may have reduced their potential audience. </w:t>
      </w:r>
      <w:bookmarkStart w:id="122" w:name="Bookmark_I4X77MYV0K1MNJ0MV0000400_2"/>
      <w:bookmarkStart w:id="123" w:name="Bookmark_I5PTYW2G7KV000RG2XW001PC"/>
      <w:bookmarkStart w:id="124" w:name="Bookmark_I4X77MYV0K1MNJ0PW0000400"/>
      <w:bookmarkEnd w:id="122"/>
      <w:bookmarkEnd w:id="123"/>
      <w:bookmarkEnd w:id="124"/>
      <w:r>
        <w:rPr>
          <w:rFonts w:ascii="Arial" w:eastAsia="Arial" w:hAnsi="Arial" w:cs="Arial"/>
          <w:color w:val="000000"/>
          <w:sz w:val="20"/>
        </w:rPr>
        <w:t>Nonetheless, Appellants have not demonstrated that the avenues that remained were inadequate.</w:t>
      </w:r>
    </w:p>
    <w:p w:rsidR="006E038D" w:rsidRDefault="00000000">
      <w:pPr>
        <w:pStyle w:val="Normal0"/>
        <w:widowControl w:val="0"/>
        <w:spacing w:before="200" w:line="260" w:lineRule="atLeast"/>
        <w:jc w:val="both"/>
      </w:pPr>
      <w:bookmarkStart w:id="125" w:name="Bookmark_I4X77MYV0K1MNJ0PW0000400_2"/>
      <w:bookmarkStart w:id="126" w:name="Bookmark_I4X77MYV0K1MNJ0MV0000400_3"/>
      <w:bookmarkStart w:id="127" w:name="Bookmark_I4X77MYV0K1MNJ0MT0000400"/>
      <w:bookmarkEnd w:id="125"/>
      <w:bookmarkEnd w:id="126"/>
      <w:bookmarkEnd w:id="127"/>
      <w:r>
        <w:rPr>
          <w:rFonts w:ascii="Arial" w:eastAsia="Arial" w:hAnsi="Arial" w:cs="Arial"/>
          <w:i/>
          <w:color w:val="000000"/>
          <w:sz w:val="20"/>
        </w:rPr>
        <w:t>Id</w:t>
      </w:r>
      <w:r>
        <w:rPr>
          <w:rFonts w:ascii="Arial" w:eastAsia="Arial" w:hAnsi="Arial" w:cs="Arial"/>
          <w:color w:val="000000"/>
          <w:sz w:val="20"/>
        </w:rPr>
        <w:t xml:space="preserve">. at 202. While the protestors in </w:t>
      </w:r>
      <w:bookmarkStart w:id="128" w:name="Bookmark_I4X77MYV0K1MNJ0MW0000400"/>
      <w:bookmarkEnd w:id="128"/>
      <w:r>
        <w:rPr>
          <w:rFonts w:ascii="Arial" w:eastAsia="Arial" w:hAnsi="Arial" w:cs="Arial"/>
          <w:i/>
          <w:color w:val="000000"/>
          <w:sz w:val="20"/>
        </w:rPr>
        <w:t>Startzell</w:t>
      </w:r>
      <w:r>
        <w:rPr>
          <w:rFonts w:ascii="Arial" w:eastAsia="Arial" w:hAnsi="Arial" w:cs="Arial"/>
          <w:color w:val="000000"/>
          <w:sz w:val="20"/>
        </w:rPr>
        <w:t xml:space="preserve"> had admittedly experienced a diminution in their potential audience, nothing of the sort occurred here. The protestors here still  [**19] have access to every person entering the clinic through the ramp, as they can walk alongside the ramp next to that person, mere inches from where they wished to be. We therefore reaffirm that the protestors have suffered no injury from such a restriction.</w:t>
      </w:r>
    </w:p>
    <w:p w:rsidR="006E038D" w:rsidRDefault="00000000">
      <w:pPr>
        <w:pStyle w:val="Normal0"/>
        <w:widowControl w:val="0"/>
        <w:spacing w:before="240" w:line="260" w:lineRule="atLeast"/>
      </w:pPr>
      <w:r>
        <w:br/>
      </w:r>
      <w:r>
        <w:rPr>
          <w:rFonts w:ascii="Arial" w:eastAsia="Arial" w:hAnsi="Arial" w:cs="Arial"/>
          <w:b/>
          <w:color w:val="000000"/>
          <w:sz w:val="20"/>
        </w:rPr>
        <w:t>3. Likelihood of Harm to the Defendants</w:t>
      </w:r>
    </w:p>
    <w:p w:rsidR="006E038D" w:rsidRDefault="00000000">
      <w:pPr>
        <w:pStyle w:val="Normal0"/>
        <w:widowControl w:val="0"/>
        <w:spacing w:before="200" w:line="260" w:lineRule="atLeast"/>
        <w:jc w:val="both"/>
      </w:pPr>
      <w:bookmarkStart w:id="129" w:name="Bookmark_para_44"/>
      <w:bookmarkEnd w:id="129"/>
      <w:r>
        <w:rPr>
          <w:rFonts w:ascii="Arial" w:eastAsia="Arial" w:hAnsi="Arial" w:cs="Arial"/>
          <w:color w:val="000000"/>
          <w:sz w:val="20"/>
        </w:rPr>
        <w:t>Turning to the third issue to be considered in the preliminary injunction inquiry, the District Court noted that allowing the protestors on the ramp would prevent someone in a wheelchair from using the ramp and could lead to violence  [*530]  between protestors and the patrons of the Planned Parenthood Facility. We agree that even a partial blocking of handicapped access to the building is an important harm to the Facility, significant enough to uphold the District Court ruling for that reason alone. We therefore need not consider whether the District Court's concern about possible violence had a basis in the record.</w:t>
      </w:r>
    </w:p>
    <w:p w:rsidR="006E038D" w:rsidRDefault="00000000">
      <w:pPr>
        <w:pStyle w:val="Normal0"/>
        <w:widowControl w:val="0"/>
        <w:spacing w:before="240" w:line="260" w:lineRule="atLeast"/>
      </w:pPr>
      <w:r>
        <w:br/>
      </w:r>
      <w:r>
        <w:rPr>
          <w:rFonts w:ascii="Arial" w:eastAsia="Arial" w:hAnsi="Arial" w:cs="Arial"/>
          <w:b/>
          <w:color w:val="000000"/>
          <w:sz w:val="20"/>
        </w:rPr>
        <w:t>4. The Public Interest</w:t>
      </w:r>
    </w:p>
    <w:p w:rsidR="006E038D" w:rsidRDefault="00000000">
      <w:pPr>
        <w:pStyle w:val="Normal0"/>
        <w:widowControl w:val="0"/>
        <w:spacing w:before="200" w:line="260" w:lineRule="atLeast"/>
        <w:jc w:val="both"/>
      </w:pPr>
      <w:bookmarkStart w:id="130" w:name="Bookmark_para_45"/>
      <w:bookmarkEnd w:id="130"/>
      <w:r>
        <w:rPr>
          <w:rFonts w:ascii="Arial" w:eastAsia="Arial" w:hAnsi="Arial" w:cs="Arial"/>
          <w:color w:val="000000"/>
          <w:sz w:val="20"/>
        </w:rPr>
        <w:t xml:space="preserve">Finally, we look to the public interest. The District Court noted that the public interest favors both guaranteeing First Amendment rights and allowing handicapped access to buildings. However, as discussed </w:t>
      </w:r>
      <w:r>
        <w:rPr>
          <w:rFonts w:ascii="Arial" w:eastAsia="Arial" w:hAnsi="Arial" w:cs="Arial"/>
          <w:i/>
          <w:color w:val="000000"/>
          <w:sz w:val="20"/>
        </w:rPr>
        <w:t>supra</w:t>
      </w:r>
      <w:r>
        <w:rPr>
          <w:rFonts w:ascii="Arial" w:eastAsia="Arial" w:hAnsi="Arial" w:cs="Arial"/>
          <w:color w:val="000000"/>
          <w:sz w:val="20"/>
        </w:rPr>
        <w:t>, the protesters have not experienced a diminution in their  [**20] First Amendment rights because they are allowed to protest in the immediate vicinity of the ramp despite being prohibited on the ramp itself. It follows that the only remaining public interest presented by the case is that of ensuring unrestricted handicapped access to facilities. Thus, the public interest factor also supports denial of the injunction.</w:t>
      </w:r>
    </w:p>
    <w:p w:rsidR="006E038D" w:rsidRDefault="00000000">
      <w:pPr>
        <w:pStyle w:val="Normal0"/>
        <w:widowControl w:val="0"/>
        <w:spacing w:before="200" w:line="260" w:lineRule="atLeast"/>
        <w:jc w:val="both"/>
      </w:pPr>
      <w:bookmarkStart w:id="131" w:name="Bookmark_para_46"/>
      <w:bookmarkEnd w:id="131"/>
      <w:r>
        <w:rPr>
          <w:rFonts w:ascii="Arial" w:eastAsia="Arial" w:hAnsi="Arial" w:cs="Arial"/>
          <w:color w:val="000000"/>
          <w:sz w:val="20"/>
        </w:rPr>
        <w:t>As the protesters have suffered no diminution in their rights, and the interest of Defendants and the public both favor denying the motion for a preliminary injunction, we will affirm the District Court's order denying the motion for a preliminary injunction.</w:t>
      </w:r>
    </w:p>
    <w:p w:rsidR="006E038D" w:rsidRDefault="00000000">
      <w:pPr>
        <w:pStyle w:val="Normal0"/>
        <w:widowControl w:val="0"/>
        <w:spacing w:before="240" w:line="260" w:lineRule="atLeast"/>
      </w:pPr>
      <w:r>
        <w:br/>
      </w:r>
      <w:r>
        <w:rPr>
          <w:rFonts w:ascii="Arial" w:eastAsia="Arial" w:hAnsi="Arial" w:cs="Arial"/>
          <w:b/>
          <w:color w:val="000000"/>
          <w:sz w:val="20"/>
        </w:rPr>
        <w:t>B. The Motion to Dismiss</w:t>
      </w:r>
    </w:p>
    <w:p w:rsidR="006E038D" w:rsidRDefault="00000000">
      <w:pPr>
        <w:pStyle w:val="Normal0"/>
        <w:widowControl w:val="0"/>
        <w:spacing w:before="200" w:line="260" w:lineRule="atLeast"/>
        <w:jc w:val="both"/>
      </w:pPr>
      <w:bookmarkStart w:id="132" w:name="Bookmark_para_47"/>
      <w:bookmarkStart w:id="133" w:name="Bookmark_I5PTYW2DV2P000RG2XW001P1"/>
      <w:bookmarkStart w:id="134" w:name="Bookmark_I4X77MYV0K1MNJ0PY0000400"/>
      <w:bookmarkStart w:id="135" w:name="Bookmark_I4X77MYV0K1MNJ0R10000400"/>
      <w:bookmarkStart w:id="136" w:name="Bookmark_I4X77MYV0K1MNJ0SH0000400"/>
      <w:bookmarkEnd w:id="132"/>
      <w:bookmarkEnd w:id="133"/>
      <w:bookmarkEnd w:id="134"/>
      <w:bookmarkEnd w:id="135"/>
      <w:bookmarkEnd w:id="136"/>
      <w:r>
        <w:rPr>
          <w:rFonts w:ascii="Arial" w:eastAsia="Arial" w:hAnsi="Arial" w:cs="Arial"/>
          <w:color w:val="000000"/>
          <w:sz w:val="20"/>
        </w:rPr>
        <w:t xml:space="preserve">We must review the District Court's grant of the motion to dismiss Plaintiffs' complaint in light of the Supreme Court's recent discussion of motions to dismiss in </w:t>
      </w:r>
      <w:bookmarkStart w:id="137" w:name="Bookmark_I4X77MYV0K1MNJ0PX0000400"/>
      <w:bookmarkEnd w:id="137"/>
      <w:r>
        <w:rPr>
          <w:rFonts w:ascii="Arial" w:eastAsia="Arial" w:hAnsi="Arial" w:cs="Arial"/>
          <w:i/>
          <w:color w:val="000000"/>
          <w:sz w:val="20"/>
        </w:rPr>
        <w:t>Ashcroft v. Iqbal</w:t>
      </w:r>
      <w:r>
        <w:rPr>
          <w:rFonts w:ascii="Arial" w:eastAsia="Arial" w:hAnsi="Arial" w:cs="Arial"/>
          <w:color w:val="000000"/>
          <w:sz w:val="20"/>
        </w:rPr>
        <w:t xml:space="preserve">, </w:t>
      </w:r>
      <w:r>
        <w:rPr>
          <w:rFonts w:ascii="Arial" w:eastAsia="Arial" w:hAnsi="Arial" w:cs="Arial"/>
          <w:color w:val="000000"/>
          <w:sz w:val="20"/>
          <w:u w:val="single"/>
        </w:rPr>
        <w:t>   </w:t>
      </w:r>
      <w:r>
        <w:rPr>
          <w:rFonts w:ascii="Arial" w:eastAsia="Arial" w:hAnsi="Arial" w:cs="Arial"/>
          <w:color w:val="000000"/>
          <w:sz w:val="20"/>
        </w:rPr>
        <w:t xml:space="preserve"> U.S. </w:t>
      </w:r>
      <w:r>
        <w:rPr>
          <w:rFonts w:ascii="Arial" w:eastAsia="Arial" w:hAnsi="Arial" w:cs="Arial"/>
          <w:color w:val="000000"/>
          <w:sz w:val="20"/>
          <w:u w:val="single"/>
        </w:rPr>
        <w:t>   </w:t>
      </w:r>
      <w:r>
        <w:rPr>
          <w:rFonts w:ascii="Arial" w:eastAsia="Arial" w:hAnsi="Arial" w:cs="Arial"/>
          <w:color w:val="000000"/>
          <w:sz w:val="20"/>
        </w:rPr>
        <w:t xml:space="preserve">, 129 S. Ct. 1937, 173 L. Ed. 2d 868 (2009). </w:t>
      </w:r>
      <w:bookmarkStart w:id="138" w:name="Bookmark_I4X77MYV0K1MNJ0V30000400"/>
      <w:bookmarkEnd w:id="138"/>
      <w:r>
        <w:rPr>
          <w:rFonts w:ascii="Arial" w:eastAsia="Arial" w:hAnsi="Arial" w:cs="Arial"/>
          <w:color w:val="000000"/>
          <w:sz w:val="20"/>
        </w:rPr>
        <w:t xml:space="preserve">In that opinion, the Court clarified some of the uncertainty as to the scope of its prior opinion in </w:t>
      </w:r>
      <w:bookmarkStart w:id="139" w:name="Bookmark_I4X77MYV0K1MNJ0R00000400"/>
      <w:bookmarkEnd w:id="139"/>
      <w:r>
        <w:rPr>
          <w:rFonts w:ascii="Arial" w:eastAsia="Arial" w:hAnsi="Arial" w:cs="Arial"/>
          <w:i/>
          <w:color w:val="000000"/>
          <w:sz w:val="20"/>
        </w:rPr>
        <w:t>Bell Atl. Corp. v. Twombly</w:t>
      </w:r>
      <w:r>
        <w:rPr>
          <w:rFonts w:ascii="Arial" w:eastAsia="Arial" w:hAnsi="Arial" w:cs="Arial"/>
          <w:color w:val="000000"/>
          <w:sz w:val="20"/>
        </w:rPr>
        <w:t xml:space="preserve">, 550 U.S. 544, 127 S. Ct. 1955, 167 L. Ed. 2d 929 (2007), and forcefully held that </w:t>
      </w:r>
      <w:r>
        <w:rPr>
          <w:rFonts w:ascii="Arial" w:eastAsia="Arial" w:hAnsi="Arial" w:cs="Arial"/>
          <w:i/>
          <w:color w:val="000000"/>
          <w:sz w:val="20"/>
        </w:rPr>
        <w:t>Twombly</w:t>
      </w:r>
      <w:r>
        <w:rPr>
          <w:rFonts w:ascii="Arial" w:eastAsia="Arial" w:hAnsi="Arial" w:cs="Arial"/>
          <w:color w:val="000000"/>
          <w:sz w:val="20"/>
        </w:rPr>
        <w:t xml:space="preserve"> was not limited to antitrust complaints but instead enunciated the standard applicable to review of all complaints. Thus, </w:t>
      </w:r>
      <w:bookmarkStart w:id="140" w:name="Bookmark_LNHNREFclscc14"/>
      <w:bookmarkEnd w:id="140"/>
      <w:r>
        <w:rPr>
          <w:rFonts w:ascii="Arial" w:eastAsia="Arial" w:hAnsi="Arial" w:cs="Arial"/>
          <w:color w:val="000000"/>
          <w:sz w:val="20"/>
        </w:rPr>
        <w:t xml:space="preserve">"[t]o survive a motion to dismiss,  [**21] a complaint must contain sufficient factual matter, accepted as true, to 'state a claim to relief that is plausible on its face.'" </w:t>
      </w:r>
      <w:bookmarkStart w:id="141" w:name="Bookmark_I4X77MYV0K1MNJ0SG0000400"/>
      <w:bookmarkEnd w:id="141"/>
      <w:r>
        <w:rPr>
          <w:rFonts w:ascii="Arial" w:eastAsia="Arial" w:hAnsi="Arial" w:cs="Arial"/>
          <w:i/>
          <w:color w:val="000000"/>
          <w:sz w:val="20"/>
        </w:rPr>
        <w:t>Iqbal</w:t>
      </w:r>
      <w:r>
        <w:rPr>
          <w:rFonts w:ascii="Arial" w:eastAsia="Arial" w:hAnsi="Arial" w:cs="Arial"/>
          <w:color w:val="000000"/>
          <w:sz w:val="20"/>
        </w:rPr>
        <w:t xml:space="preserve">, 129 S. Ct. at 1949 (citing </w:t>
      </w:r>
      <w:bookmarkStart w:id="142" w:name="Bookmark_I4X77MYV0K1MNJ0SJ0000400"/>
      <w:bookmarkEnd w:id="142"/>
      <w:r>
        <w:rPr>
          <w:rFonts w:ascii="Arial" w:eastAsia="Arial" w:hAnsi="Arial" w:cs="Arial"/>
          <w:i/>
          <w:color w:val="000000"/>
          <w:sz w:val="20"/>
        </w:rPr>
        <w:t>Twombly</w:t>
      </w:r>
      <w:r>
        <w:rPr>
          <w:rFonts w:ascii="Arial" w:eastAsia="Arial" w:hAnsi="Arial" w:cs="Arial"/>
          <w:color w:val="000000"/>
          <w:sz w:val="20"/>
        </w:rPr>
        <w:t xml:space="preserve">, 550 U.S. at 570). </w:t>
      </w:r>
      <w:bookmarkStart w:id="143" w:name="Bookmark_I4X77MYV0K1MNJ0V30000400_2"/>
      <w:bookmarkEnd w:id="143"/>
      <w:r>
        <w:rPr>
          <w:rFonts w:ascii="Arial" w:eastAsia="Arial" w:hAnsi="Arial" w:cs="Arial"/>
          <w:color w:val="000000"/>
          <w:sz w:val="20"/>
        </w:rPr>
        <w:t xml:space="preserve">The Court emphasized that "only a complaint that states a plausible claim for relief survives a motion to dismiss." </w:t>
      </w:r>
      <w:bookmarkStart w:id="144" w:name="Bookmark_I4X77MYV0K1MNJ0SM0000400"/>
      <w:bookmarkEnd w:id="144"/>
      <w:r>
        <w:rPr>
          <w:rFonts w:ascii="Arial" w:eastAsia="Arial" w:hAnsi="Arial" w:cs="Arial"/>
          <w:i/>
          <w:color w:val="000000"/>
          <w:sz w:val="20"/>
        </w:rPr>
        <w:t>Id</w:t>
      </w:r>
      <w:r>
        <w:rPr>
          <w:rFonts w:ascii="Arial" w:eastAsia="Arial" w:hAnsi="Arial" w:cs="Arial"/>
          <w:color w:val="000000"/>
          <w:sz w:val="20"/>
        </w:rPr>
        <w:t xml:space="preserve">. at 1950. Moreover, it continued, "[d]etermining whether a complaint states a plausible claim for relief will . . . be a context-specific task that requires the reviewing court to draw on its judicial experience and common sense." </w:t>
      </w:r>
      <w:r>
        <w:rPr>
          <w:rFonts w:ascii="Arial" w:eastAsia="Arial" w:hAnsi="Arial" w:cs="Arial"/>
          <w:i/>
          <w:color w:val="000000"/>
          <w:sz w:val="20"/>
        </w:rPr>
        <w:t>Id</w:t>
      </w:r>
      <w:r>
        <w:rPr>
          <w:rFonts w:ascii="Arial" w:eastAsia="Arial" w:hAnsi="Arial" w:cs="Arial"/>
          <w:color w:val="000000"/>
          <w:sz w:val="20"/>
        </w:rPr>
        <w:t>. (citation omitted). It is in light of that instruction that we review Plaintiffs' argument that the District Court erred in this case in granting the motion to dismiss.</w:t>
      </w:r>
    </w:p>
    <w:p w:rsidR="006E038D" w:rsidRDefault="00000000">
      <w:pPr>
        <w:pStyle w:val="Normal0"/>
        <w:widowControl w:val="0"/>
        <w:spacing w:before="200" w:line="260" w:lineRule="atLeast"/>
        <w:jc w:val="both"/>
      </w:pPr>
      <w:bookmarkStart w:id="145" w:name="Bookmark_para_48"/>
      <w:bookmarkStart w:id="146" w:name="Bookmark_I5PTYW2DYWV000RG2XW001P2"/>
      <w:bookmarkStart w:id="147" w:name="Bookmark_I4X77MYV0K1MNJ0V50000400"/>
      <w:bookmarkEnd w:id="145"/>
      <w:bookmarkEnd w:id="146"/>
      <w:bookmarkEnd w:id="147"/>
      <w:r>
        <w:rPr>
          <w:rFonts w:ascii="Arial" w:eastAsia="Arial" w:hAnsi="Arial" w:cs="Arial"/>
          <w:color w:val="000000"/>
          <w:sz w:val="20"/>
        </w:rPr>
        <w:t xml:space="preserve">Plaintiffs argue that the District Court erred in relying on the findings and conclusions it reached in its ruling denying Plaintiffs' motion for a preliminary injunction. </w:t>
      </w:r>
      <w:bookmarkStart w:id="148" w:name="Bookmark_I5PTYW2F3R0000RG2XW001P3"/>
      <w:bookmarkStart w:id="149" w:name="Bookmark_I4X77MYV0K1MNJ0V70000400"/>
      <w:bookmarkEnd w:id="148"/>
      <w:bookmarkEnd w:id="149"/>
      <w:r>
        <w:rPr>
          <w:rFonts w:ascii="Arial" w:eastAsia="Arial" w:hAnsi="Arial" w:cs="Arial"/>
          <w:color w:val="000000"/>
          <w:sz w:val="20"/>
        </w:rPr>
        <w:t xml:space="preserve">In most instances, a ruling such as that made by the District Court under Fed. R. Civ. P. 12(b)(6) would have to undergo the more extended process required by Rule 56. However, we have previously suggested that </w:t>
      </w:r>
      <w:bookmarkStart w:id="150" w:name="Bookmark_LNHNREFclscc15"/>
      <w:bookmarkEnd w:id="150"/>
      <w:r>
        <w:rPr>
          <w:rFonts w:ascii="Arial" w:eastAsia="Arial" w:hAnsi="Arial" w:cs="Arial"/>
          <w:color w:val="000000"/>
          <w:sz w:val="20"/>
        </w:rPr>
        <w:t xml:space="preserve">a district court's findings and conclusions on a preliminary injunction motion could "have preclusive effect  [**22] if the circumstances make it likely that the findings are 'sufficiently firm' to persuade the court that there is no compelling reason for permitting them to be litigated again." </w:t>
      </w:r>
      <w:bookmarkStart w:id="151" w:name="Bookmark_I4X77MYV0K1MNJ0V40000400"/>
      <w:bookmarkEnd w:id="151"/>
      <w:r>
        <w:rPr>
          <w:rFonts w:ascii="Arial" w:eastAsia="Arial" w:hAnsi="Arial" w:cs="Arial"/>
          <w:i/>
          <w:color w:val="000000"/>
          <w:sz w:val="20"/>
        </w:rPr>
        <w:t>Hawksbill Sea Turtle v. Federal Emergency Mgmt. Agency</w:t>
      </w:r>
      <w:r>
        <w:rPr>
          <w:rFonts w:ascii="Arial" w:eastAsia="Arial" w:hAnsi="Arial" w:cs="Arial"/>
          <w:color w:val="000000"/>
          <w:sz w:val="20"/>
        </w:rPr>
        <w:t xml:space="preserve">, 126 F.3d 461, 474 n.11, 37 V.I. 526 (3d Cir. 1997) (citations omitted). </w:t>
      </w:r>
      <w:bookmarkStart w:id="152" w:name="Bookmark_I4X77MYV0K1MNJ0V70000400_2"/>
      <w:bookmarkEnd w:id="152"/>
      <w:r>
        <w:rPr>
          <w:rFonts w:ascii="Arial" w:eastAsia="Arial" w:hAnsi="Arial" w:cs="Arial"/>
          <w:color w:val="000000"/>
          <w:sz w:val="20"/>
        </w:rPr>
        <w:t xml:space="preserve">In </w:t>
      </w:r>
      <w:r>
        <w:rPr>
          <w:rFonts w:ascii="Arial" w:eastAsia="Arial" w:hAnsi="Arial" w:cs="Arial"/>
          <w:i/>
          <w:color w:val="000000"/>
          <w:sz w:val="20"/>
        </w:rPr>
        <w:t>Hawksbill</w:t>
      </w:r>
      <w:r>
        <w:rPr>
          <w:rFonts w:ascii="Arial" w:eastAsia="Arial" w:hAnsi="Arial" w:cs="Arial"/>
          <w:color w:val="000000"/>
          <w:sz w:val="20"/>
        </w:rPr>
        <w:t xml:space="preserve">, we noted the language in </w:t>
      </w:r>
      <w:bookmarkStart w:id="153" w:name="Bookmark_I4X77MYV0K1MNJ0V60000400"/>
      <w:bookmarkEnd w:id="153"/>
      <w:r>
        <w:rPr>
          <w:rFonts w:ascii="Arial" w:eastAsia="Arial" w:hAnsi="Arial" w:cs="Arial"/>
          <w:i/>
          <w:color w:val="000000"/>
          <w:sz w:val="20"/>
        </w:rPr>
        <w:t>Commodity Futures Trading Commission v. Board of Trade</w:t>
      </w:r>
      <w:r>
        <w:rPr>
          <w:rFonts w:ascii="Arial" w:eastAsia="Arial" w:hAnsi="Arial" w:cs="Arial"/>
          <w:color w:val="000000"/>
          <w:sz w:val="20"/>
        </w:rPr>
        <w:t xml:space="preserve">, 701 F.2d 653, 657 (7th Cir. 1983), that "findings made in preliminary injunction decisions have preclusive  [*531]  effect 'if the circumstances make it likely that the findings are accurate [and] reliable.'" </w:t>
      </w:r>
      <w:bookmarkStart w:id="154" w:name="Bookmark_I4X77MYV0K1MNJ0W00000400"/>
      <w:bookmarkEnd w:id="154"/>
      <w:r>
        <w:rPr>
          <w:rFonts w:ascii="Arial" w:eastAsia="Arial" w:hAnsi="Arial" w:cs="Arial"/>
          <w:color w:val="000000"/>
          <w:sz w:val="20"/>
        </w:rPr>
        <w:t>126 F.3d at 474 n.11.</w:t>
      </w:r>
    </w:p>
    <w:p w:rsidR="006E038D" w:rsidRDefault="00000000">
      <w:pPr>
        <w:pStyle w:val="Normal0"/>
        <w:widowControl w:val="0"/>
        <w:spacing w:before="200" w:line="260" w:lineRule="atLeast"/>
        <w:jc w:val="both"/>
      </w:pPr>
      <w:bookmarkStart w:id="155" w:name="Bookmark_para_49"/>
      <w:bookmarkEnd w:id="155"/>
      <w:r>
        <w:rPr>
          <w:rFonts w:ascii="Arial" w:eastAsia="Arial" w:hAnsi="Arial" w:cs="Arial"/>
          <w:color w:val="000000"/>
          <w:sz w:val="20"/>
        </w:rPr>
        <w:t>Such cases may be rare, but this is such a case. A central issue in the District Court's decision on the preliminary injunction was whether Plaintiffs had a right to protest on the ramp leading up to the entrance of the Facility. After holding an evidentiary hearing, the District Court held that Plaintiffs had no probability of success on the merits, that the ramp leading to the Facility was a nonpublic forum, and that "it [was] entirely reasonable for Officer Jay to instruct individuals not to stand or congregate on the ramp, because their static presence on the ramp necessarily conflicts  [**23] with the ramp's accessibility requirements." App. at 15-16. After reaching these conclusions, the District Court noted that this decision effectively resolved the issues on Defendants' motion to dismiss.</w:t>
      </w:r>
    </w:p>
    <w:p w:rsidR="006E038D" w:rsidRDefault="00000000">
      <w:pPr>
        <w:pStyle w:val="Normal0"/>
        <w:widowControl w:val="0"/>
        <w:spacing w:before="200" w:line="260" w:lineRule="atLeast"/>
        <w:jc w:val="both"/>
      </w:pPr>
      <w:bookmarkStart w:id="156" w:name="Bookmark_para_50"/>
      <w:bookmarkEnd w:id="156"/>
      <w:r>
        <w:rPr>
          <w:rFonts w:ascii="Arial" w:eastAsia="Arial" w:hAnsi="Arial" w:cs="Arial"/>
          <w:color w:val="000000"/>
          <w:sz w:val="20"/>
        </w:rPr>
        <w:t>As the issues on the two motions were exactly the same, Plaintiffs had a full opportunity to present their arguments at the hearing on the preliminary injunction - i.e., whether the ramp leading to the Facility is a public forum, and there is no reason to prolong the inquiry.</w:t>
      </w:r>
    </w:p>
    <w:p w:rsidR="006E038D" w:rsidRDefault="00000000">
      <w:pPr>
        <w:pStyle w:val="Normal0"/>
        <w:widowControl w:val="0"/>
        <w:spacing w:before="200" w:line="260" w:lineRule="atLeast"/>
        <w:jc w:val="both"/>
      </w:pPr>
      <w:bookmarkStart w:id="157" w:name="Bookmark_para_51"/>
      <w:bookmarkEnd w:id="157"/>
      <w:r>
        <w:rPr>
          <w:rFonts w:ascii="Arial" w:eastAsia="Arial" w:hAnsi="Arial" w:cs="Arial"/>
          <w:color w:val="000000"/>
          <w:sz w:val="20"/>
        </w:rPr>
        <w:t xml:space="preserve">Plaintiffs argue that the District Court was required to accept the statement in the complaint that the ramp at issue was a public forum. </w:t>
      </w:r>
      <w:bookmarkStart w:id="158" w:name="Bookmark_I4X77MYV0K1MNJ0W30000400"/>
      <w:bookmarkEnd w:id="158"/>
      <w:r>
        <w:rPr>
          <w:rFonts w:ascii="Arial" w:eastAsia="Arial" w:hAnsi="Arial" w:cs="Arial"/>
          <w:color w:val="000000"/>
          <w:sz w:val="20"/>
        </w:rPr>
        <w:t xml:space="preserve">We disagree. That allegation in the complaint was a legal conclusion, which the District Court need not accept in ruling on a motion to dismiss. </w:t>
      </w:r>
      <w:bookmarkStart w:id="159" w:name="Bookmark_I4X77MYV0K1MNJ0WW0000400"/>
      <w:bookmarkEnd w:id="159"/>
      <w:r>
        <w:rPr>
          <w:rFonts w:ascii="Arial" w:eastAsia="Arial" w:hAnsi="Arial" w:cs="Arial"/>
          <w:color w:val="000000"/>
          <w:sz w:val="20"/>
        </w:rPr>
        <w:t xml:space="preserve">As the Court stated in </w:t>
      </w:r>
      <w:r>
        <w:rPr>
          <w:rFonts w:ascii="Arial" w:eastAsia="Arial" w:hAnsi="Arial" w:cs="Arial"/>
          <w:i/>
          <w:color w:val="000000"/>
          <w:sz w:val="20"/>
        </w:rPr>
        <w:t>Iqbal</w:t>
      </w:r>
      <w:r>
        <w:rPr>
          <w:rFonts w:ascii="Arial" w:eastAsia="Arial" w:hAnsi="Arial" w:cs="Arial"/>
          <w:color w:val="000000"/>
          <w:sz w:val="20"/>
        </w:rPr>
        <w:t xml:space="preserve">, </w:t>
      </w:r>
      <w:bookmarkStart w:id="160" w:name="Bookmark_LNHNREFclscc16"/>
      <w:bookmarkEnd w:id="160"/>
      <w:r>
        <w:rPr>
          <w:rFonts w:ascii="Arial" w:eastAsia="Arial" w:hAnsi="Arial" w:cs="Arial"/>
          <w:color w:val="000000"/>
          <w:sz w:val="20"/>
        </w:rPr>
        <w:t xml:space="preserve">"[T]he tenet that a court must accept as true all of the allegations contained in a complaint is inapplicable to legal conclusions." </w:t>
      </w:r>
      <w:bookmarkStart w:id="161" w:name="Bookmark_I4X77MYV0K1MNJ0W20000400"/>
      <w:bookmarkEnd w:id="161"/>
      <w:r>
        <w:rPr>
          <w:rFonts w:ascii="Arial" w:eastAsia="Arial" w:hAnsi="Arial" w:cs="Arial"/>
          <w:color w:val="000000"/>
          <w:sz w:val="20"/>
        </w:rPr>
        <w:t xml:space="preserve">129 S. Ct. at 1949. </w:t>
      </w:r>
      <w:bookmarkStart w:id="162" w:name="Bookmark_I4X77MYV0K1MNJ0WW0000400_2"/>
      <w:bookmarkEnd w:id="162"/>
      <w:r>
        <w:rPr>
          <w:rFonts w:ascii="Arial" w:eastAsia="Arial" w:hAnsi="Arial" w:cs="Arial"/>
          <w:color w:val="000000"/>
          <w:sz w:val="20"/>
        </w:rPr>
        <w:t xml:space="preserve">Moreover, Plaintiffs' complaint here included attachments that depicted the ramp at issue and the extent of ramp overlapping the public sidewalk. This permitted the District Court to analogize to </w:t>
      </w:r>
      <w:bookmarkStart w:id="163" w:name="Bookmark_I4X77MYV0K1MNJ0W40000400"/>
      <w:bookmarkEnd w:id="163"/>
      <w:r>
        <w:rPr>
          <w:rFonts w:ascii="Arial" w:eastAsia="Arial" w:hAnsi="Arial" w:cs="Arial"/>
          <w:i/>
          <w:color w:val="000000"/>
          <w:sz w:val="20"/>
        </w:rPr>
        <w:t>Kokinda</w:t>
      </w:r>
      <w:r>
        <w:rPr>
          <w:rFonts w:ascii="Arial" w:eastAsia="Arial" w:hAnsi="Arial" w:cs="Arial"/>
          <w:color w:val="000000"/>
          <w:sz w:val="20"/>
        </w:rPr>
        <w:t>, 497 U.S. at 727-28, in holding that the portion of  [**24] the ramp located on public property was a nonpublic forum.</w:t>
      </w:r>
    </w:p>
    <w:p w:rsidR="006E038D" w:rsidRDefault="00000000">
      <w:pPr>
        <w:pStyle w:val="Normal0"/>
        <w:widowControl w:val="0"/>
        <w:spacing w:before="200" w:line="260" w:lineRule="atLeast"/>
        <w:jc w:val="both"/>
      </w:pPr>
      <w:bookmarkStart w:id="164" w:name="Bookmark_para_52"/>
      <w:bookmarkStart w:id="165" w:name="Bookmark_I4X77MYV0K1MNJ0WY0000400"/>
      <w:bookmarkEnd w:id="164"/>
      <w:bookmarkEnd w:id="165"/>
      <w:r>
        <w:rPr>
          <w:rFonts w:ascii="Arial" w:eastAsia="Arial" w:hAnsi="Arial" w:cs="Arial"/>
          <w:color w:val="000000"/>
          <w:sz w:val="20"/>
        </w:rPr>
        <w:t xml:space="preserve">Plaintiffs' allegations in the complaint of infringement of their First Amendment rights are viable only if the ramp is a public forum. The District Court's finding that it is not, and our affirmance of that finding, is supported by the documents submitted with the complaint. If Plaintiffs were not excluded from a public forum, they have failed "'to state a [First Amendment] claim to relief that is plausible on its face.'" </w:t>
      </w:r>
      <w:bookmarkStart w:id="166" w:name="Bookmark_I4X77MYV0K1MNJ0WX0000400"/>
      <w:bookmarkEnd w:id="166"/>
      <w:r>
        <w:rPr>
          <w:rFonts w:ascii="Arial" w:eastAsia="Arial" w:hAnsi="Arial" w:cs="Arial"/>
          <w:i/>
          <w:color w:val="000000"/>
          <w:sz w:val="20"/>
        </w:rPr>
        <w:t>Iqbal</w:t>
      </w:r>
      <w:r>
        <w:rPr>
          <w:rFonts w:ascii="Arial" w:eastAsia="Arial" w:hAnsi="Arial" w:cs="Arial"/>
          <w:color w:val="000000"/>
          <w:sz w:val="20"/>
        </w:rPr>
        <w:t xml:space="preserve">, 129 S. Ct. at 1949 (quoting </w:t>
      </w:r>
      <w:bookmarkStart w:id="167" w:name="Bookmark_I4X77MYV0K1MNJ0X00000400"/>
      <w:bookmarkEnd w:id="167"/>
      <w:r>
        <w:rPr>
          <w:rFonts w:ascii="Arial" w:eastAsia="Arial" w:hAnsi="Arial" w:cs="Arial"/>
          <w:i/>
          <w:color w:val="000000"/>
          <w:sz w:val="20"/>
        </w:rPr>
        <w:t>Twombly</w:t>
      </w:r>
      <w:r>
        <w:rPr>
          <w:rFonts w:ascii="Arial" w:eastAsia="Arial" w:hAnsi="Arial" w:cs="Arial"/>
          <w:color w:val="000000"/>
          <w:sz w:val="20"/>
        </w:rPr>
        <w:t>, 550 U.S. at 570).</w:t>
      </w:r>
    </w:p>
    <w:p w:rsidR="006E038D" w:rsidRDefault="00000000">
      <w:pPr>
        <w:pStyle w:val="Normal0"/>
        <w:widowControl w:val="0"/>
        <w:spacing w:before="200" w:line="260" w:lineRule="atLeast"/>
        <w:jc w:val="both"/>
      </w:pPr>
      <w:bookmarkStart w:id="168" w:name="Bookmark_para_53"/>
      <w:bookmarkStart w:id="169" w:name="Bookmark_I5PTYW2GH84000RG2XW001PF"/>
      <w:bookmarkStart w:id="170" w:name="Bookmark_I4X77MYV0K1MNJ0XT0000400"/>
      <w:bookmarkEnd w:id="168"/>
      <w:bookmarkEnd w:id="169"/>
      <w:bookmarkEnd w:id="170"/>
      <w:r>
        <w:rPr>
          <w:rFonts w:ascii="Arial" w:eastAsia="Arial" w:hAnsi="Arial" w:cs="Arial"/>
          <w:color w:val="000000"/>
          <w:sz w:val="20"/>
        </w:rPr>
        <w:t xml:space="preserve">Photographs of the ramp in question were attached to the complaint. Those photographs make plain that a protestor can walk alongside the entire duration of the ramp, and thereby converse with patients entering the clinic, while they simultaneously demonstrate that the ramp allows only for passage to and from the Facility. After </w:t>
      </w:r>
      <w:bookmarkStart w:id="171" w:name="Bookmark_I4X77MYV0K1MNJ0XS0000400"/>
      <w:bookmarkEnd w:id="171"/>
      <w:r>
        <w:rPr>
          <w:rFonts w:ascii="Arial" w:eastAsia="Arial" w:hAnsi="Arial" w:cs="Arial"/>
          <w:i/>
          <w:color w:val="000000"/>
          <w:sz w:val="20"/>
        </w:rPr>
        <w:t>Kokinda</w:t>
      </w:r>
      <w:r>
        <w:rPr>
          <w:rFonts w:ascii="Arial" w:eastAsia="Arial" w:hAnsi="Arial" w:cs="Arial"/>
          <w:color w:val="000000"/>
          <w:sz w:val="20"/>
        </w:rPr>
        <w:t>, there can be little doubt that such a structure is a nonpublic forum. That conclusion was reinforced by the testimony in the preliminary injunction hearing that building handicapped ramps onto the public sidewalk was routinely allowed in the City of York as long as any encroachment was minimally intrusive, but that  [**25] testimony was not necessary to reach the conclusion that the ramp at issue was a nonpublic forum. Moreover, Federal Rule of Evidence 201(b)(2) authorizes the District Court to consider the federal regulations governing handicapped access to buildings as adjudicative facts, further supporting the conclusion that the ramp at issue was a nonpublic forum.</w:t>
      </w:r>
    </w:p>
    <w:p w:rsidR="006E038D" w:rsidRDefault="00000000">
      <w:pPr>
        <w:pStyle w:val="Normal0"/>
        <w:widowControl w:val="0"/>
        <w:spacing w:before="200" w:line="260" w:lineRule="atLeast"/>
        <w:jc w:val="both"/>
      </w:pPr>
      <w:bookmarkStart w:id="172" w:name="Bookmark_para_54"/>
      <w:bookmarkStart w:id="173" w:name="Bookmark_I5PTYW2FCC8000RG2XW001P5"/>
      <w:bookmarkStart w:id="174" w:name="Bookmark_I5PTYW2FH6D000RG2XW001P6"/>
      <w:bookmarkStart w:id="175" w:name="Bookmark_I5PTYW2FP98000RG2XW001P7"/>
      <w:bookmarkStart w:id="176" w:name="Bookmark_I4X77MYV0K1MNJ0XW0000400"/>
      <w:bookmarkEnd w:id="172"/>
      <w:bookmarkEnd w:id="173"/>
      <w:bookmarkEnd w:id="174"/>
      <w:bookmarkEnd w:id="175"/>
      <w:bookmarkEnd w:id="176"/>
      <w:r>
        <w:rPr>
          <w:rFonts w:ascii="Arial" w:eastAsia="Arial" w:hAnsi="Arial" w:cs="Arial"/>
          <w:color w:val="000000"/>
          <w:sz w:val="20"/>
        </w:rPr>
        <w:t xml:space="preserve">The small entry ramp at issue here is unlike the alley in </w:t>
      </w:r>
      <w:bookmarkStart w:id="177" w:name="Bookmark_I4X77MYV0K1MNJ0XV0000400"/>
      <w:bookmarkEnd w:id="177"/>
      <w:r>
        <w:rPr>
          <w:rFonts w:ascii="Arial" w:eastAsia="Arial" w:hAnsi="Arial" w:cs="Arial"/>
          <w:i/>
          <w:color w:val="000000"/>
          <w:sz w:val="20"/>
        </w:rPr>
        <w:t>McTernan</w:t>
      </w:r>
      <w:r>
        <w:rPr>
          <w:rFonts w:ascii="Arial" w:eastAsia="Arial" w:hAnsi="Arial" w:cs="Arial"/>
          <w:color w:val="000000"/>
          <w:sz w:val="20"/>
        </w:rPr>
        <w:t xml:space="preserve">, 564 F.3d 636, </w:t>
      </w:r>
      <w:bookmarkStart w:id="178" w:name="Bookmark_I4X77MYV0K1MNJ0XX0000400"/>
      <w:bookmarkEnd w:id="178"/>
      <w:r>
        <w:rPr>
          <w:rFonts w:ascii="Arial" w:eastAsia="Arial" w:hAnsi="Arial" w:cs="Arial"/>
          <w:i/>
          <w:color w:val="000000"/>
          <w:sz w:val="20"/>
        </w:rPr>
        <w:t>Holman</w:t>
      </w:r>
      <w:r>
        <w:rPr>
          <w:rFonts w:ascii="Arial" w:eastAsia="Arial" w:hAnsi="Arial" w:cs="Arial"/>
          <w:color w:val="000000"/>
          <w:sz w:val="20"/>
        </w:rPr>
        <w:t xml:space="preserve">, 564 F.3d 225, and </w:t>
      </w:r>
      <w:bookmarkStart w:id="179" w:name="Bookmark_I4X77MYV0K1MNJ1020000400"/>
      <w:bookmarkEnd w:id="179"/>
      <w:r>
        <w:rPr>
          <w:rFonts w:ascii="Arial" w:eastAsia="Arial" w:hAnsi="Arial" w:cs="Arial"/>
          <w:i/>
          <w:color w:val="000000"/>
          <w:sz w:val="20"/>
        </w:rPr>
        <w:t>Snell</w:t>
      </w:r>
      <w:r>
        <w:rPr>
          <w:rFonts w:ascii="Arial" w:eastAsia="Arial" w:hAnsi="Arial" w:cs="Arial"/>
          <w:color w:val="000000"/>
          <w:sz w:val="20"/>
        </w:rPr>
        <w:t>, 564 F.3d 659, where Plaintiffs alleged that they were treated differently than other people  [*532]  seeking to use the alley. Here, the presence of persons who seek to congregate on the ramp, whether protestors or other, inherently impedes access to the clinic for any person attempting to use the handicapped ramp for access to the building. There is no allegation in the complaint that persons other than protestors are permitted to stand on the ramp to interact with persons entering the Facility while the protestors are not.</w:t>
      </w:r>
    </w:p>
    <w:p w:rsidR="006E038D" w:rsidRDefault="00000000">
      <w:pPr>
        <w:pStyle w:val="Normal0"/>
        <w:widowControl w:val="0"/>
        <w:spacing w:before="200" w:line="260" w:lineRule="atLeast"/>
        <w:jc w:val="both"/>
      </w:pPr>
      <w:bookmarkStart w:id="180" w:name="Bookmark_para_55"/>
      <w:bookmarkEnd w:id="180"/>
      <w:r>
        <w:rPr>
          <w:rFonts w:ascii="Arial" w:eastAsia="Arial" w:hAnsi="Arial" w:cs="Arial"/>
          <w:color w:val="000000"/>
          <w:sz w:val="20"/>
        </w:rPr>
        <w:t xml:space="preserve">Plaintiffs also argue that prohibiting them from the ramp violated their First Amendment right to the free exercise of religion. Defendants do not dispute that Plaintiffs' actions are motivated by sincerely-held  [**26] religious beliefs. </w:t>
      </w:r>
      <w:bookmarkStart w:id="181" w:name="Bookmark_I4X77MYV0K1MNJ1050000400"/>
      <w:bookmarkEnd w:id="181"/>
      <w:r>
        <w:rPr>
          <w:rFonts w:ascii="Arial" w:eastAsia="Arial" w:hAnsi="Arial" w:cs="Arial"/>
          <w:color w:val="000000"/>
          <w:sz w:val="20"/>
        </w:rPr>
        <w:t xml:space="preserve">However, </w:t>
      </w:r>
      <w:bookmarkStart w:id="182" w:name="Bookmark_LNHNREFclscc17"/>
      <w:bookmarkEnd w:id="182"/>
      <w:r>
        <w:rPr>
          <w:rFonts w:ascii="Arial" w:eastAsia="Arial" w:hAnsi="Arial" w:cs="Arial"/>
          <w:color w:val="000000"/>
          <w:sz w:val="20"/>
        </w:rPr>
        <w:t xml:space="preserve">although the free exercise clause does protect religious expression, it does not afford absolute protection. </w:t>
      </w:r>
      <w:bookmarkStart w:id="183" w:name="Bookmark_I4X77MYV0K1MNJ10Y0000400"/>
      <w:bookmarkEnd w:id="183"/>
      <w:r>
        <w:rPr>
          <w:rFonts w:ascii="Arial" w:eastAsia="Arial" w:hAnsi="Arial" w:cs="Arial"/>
          <w:color w:val="000000"/>
          <w:sz w:val="20"/>
        </w:rPr>
        <w:t xml:space="preserve">As we stated in </w:t>
      </w:r>
      <w:r>
        <w:rPr>
          <w:rFonts w:ascii="Arial" w:eastAsia="Arial" w:hAnsi="Arial" w:cs="Arial"/>
          <w:i/>
          <w:color w:val="000000"/>
          <w:sz w:val="20"/>
        </w:rPr>
        <w:t>McTernan</w:t>
      </w:r>
      <w:r>
        <w:rPr>
          <w:rFonts w:ascii="Arial" w:eastAsia="Arial" w:hAnsi="Arial" w:cs="Arial"/>
          <w:color w:val="000000"/>
          <w:sz w:val="20"/>
        </w:rPr>
        <w:t>:</w:t>
      </w:r>
    </w:p>
    <w:p w:rsidR="006E038D" w:rsidRDefault="00000000">
      <w:pPr>
        <w:pStyle w:val="Normal0"/>
        <w:widowControl w:val="0"/>
        <w:spacing w:before="200" w:line="260" w:lineRule="atLeast"/>
        <w:ind w:left="400"/>
        <w:jc w:val="both"/>
      </w:pPr>
      <w:bookmarkStart w:id="184" w:name="Bookmark_para_56"/>
      <w:bookmarkStart w:id="185" w:name="Bookmark_I4X77MYV0K1MNJ10Y0000400_2"/>
      <w:bookmarkStart w:id="186" w:name="Bookmark_I4X77MYV0K1MNJ1050000400_2"/>
      <w:bookmarkEnd w:id="184"/>
      <w:bookmarkEnd w:id="185"/>
      <w:bookmarkEnd w:id="186"/>
      <w:r>
        <w:rPr>
          <w:rFonts w:ascii="Arial" w:eastAsia="Arial" w:hAnsi="Arial" w:cs="Arial"/>
          <w:color w:val="000000"/>
          <w:sz w:val="20"/>
        </w:rPr>
        <w:t xml:space="preserve">Where a law is "neutral and of general applicability[,]" it "need not be justified by a compelling government interest even if the law has the incidental effect of burdening a particular religious practice." </w:t>
      </w:r>
      <w:bookmarkStart w:id="187" w:name="Bookmark_I4X77MYV0K1MNJ1040000400"/>
      <w:bookmarkEnd w:id="187"/>
      <w:r>
        <w:rPr>
          <w:rFonts w:ascii="Arial" w:eastAsia="Arial" w:hAnsi="Arial" w:cs="Arial"/>
          <w:i/>
          <w:color w:val="000000"/>
          <w:sz w:val="20"/>
        </w:rPr>
        <w:t>Church of the Lukumi Babalu Aye, Inc. v. City of Hialeah</w:t>
      </w:r>
      <w:r>
        <w:rPr>
          <w:rFonts w:ascii="Arial" w:eastAsia="Arial" w:hAnsi="Arial" w:cs="Arial"/>
          <w:color w:val="000000"/>
          <w:sz w:val="20"/>
        </w:rPr>
        <w:t xml:space="preserve">, 508 U.S. 520, 531, 113 S. Ct. 2217, 124 L. Ed. 2d 472 (1993) (citing .] </w:t>
      </w:r>
      <w:bookmarkStart w:id="188" w:name="Bookmark_I4X77MYV0K1MNJ1110000400"/>
      <w:bookmarkStart w:id="189" w:name="Bookmark_I4X77MYV0K1MNJ10X0000400"/>
      <w:bookmarkEnd w:id="188"/>
      <w:bookmarkEnd w:id="189"/>
      <w:r>
        <w:rPr>
          <w:rFonts w:ascii="Arial" w:eastAsia="Arial" w:hAnsi="Arial" w:cs="Arial"/>
          <w:i/>
          <w:color w:val="000000"/>
          <w:sz w:val="20"/>
        </w:rPr>
        <w:t>[Employment Div., Dep't. of Human Res. of Or. vSmith</w:t>
      </w:r>
      <w:r>
        <w:rPr>
          <w:rFonts w:ascii="Arial" w:eastAsia="Arial" w:hAnsi="Arial" w:cs="Arial"/>
          <w:color w:val="000000"/>
          <w:sz w:val="20"/>
        </w:rPr>
        <w:t xml:space="preserve"> [494 U.S. 872,] 880, 110 S. Ct. 1595, 108 L. Ed. 2d 876 (1990)). </w:t>
      </w:r>
      <w:bookmarkStart w:id="190" w:name="Bookmark_I4X77MYV0K1MNJ1110000400_2"/>
      <w:bookmarkEnd w:id="190"/>
      <w:r>
        <w:rPr>
          <w:rFonts w:ascii="Arial" w:eastAsia="Arial" w:hAnsi="Arial" w:cs="Arial"/>
          <w:color w:val="000000"/>
          <w:sz w:val="20"/>
        </w:rPr>
        <w:t xml:space="preserve">If, on the other hand, the government action is not neutral and generally applicable, strict scrutiny applies, and the government action violates the Free Exercise Clause unless it is narrowly tailored to advance a compelling government interest. </w:t>
      </w:r>
      <w:bookmarkStart w:id="191" w:name="Bookmark_I4X77MYV0K1MNJ11T0000400"/>
      <w:bookmarkStart w:id="192" w:name="Bookmark_I4X77MYV0K1MNJ1100000400"/>
      <w:bookmarkEnd w:id="191"/>
      <w:bookmarkEnd w:id="192"/>
      <w:r>
        <w:rPr>
          <w:rFonts w:ascii="Arial" w:eastAsia="Arial" w:hAnsi="Arial" w:cs="Arial"/>
          <w:i/>
          <w:color w:val="000000"/>
          <w:sz w:val="20"/>
        </w:rPr>
        <w:t>Tenafly Eruv Ass'n, Inc. v. Borough of Tenafly</w:t>
      </w:r>
      <w:r>
        <w:rPr>
          <w:rFonts w:ascii="Arial" w:eastAsia="Arial" w:hAnsi="Arial" w:cs="Arial"/>
          <w:color w:val="000000"/>
          <w:sz w:val="20"/>
        </w:rPr>
        <w:t xml:space="preserve">, 309 F.3d 144, 165 (3d Cir. 2002). </w:t>
      </w:r>
      <w:bookmarkStart w:id="193" w:name="Bookmark_I4X77MYV0K1MNJ11T0000400_2"/>
      <w:bookmarkStart w:id="194" w:name="Bookmark_I5PTYW2FV4D000RG2XW001P8"/>
      <w:bookmarkStart w:id="195" w:name="Bookmark_I4X77MYV0K1MNJ11Y0000400"/>
      <w:bookmarkEnd w:id="193"/>
      <w:bookmarkEnd w:id="194"/>
      <w:bookmarkEnd w:id="195"/>
      <w:r>
        <w:rPr>
          <w:rFonts w:ascii="Arial" w:eastAsia="Arial" w:hAnsi="Arial" w:cs="Arial"/>
          <w:color w:val="000000"/>
          <w:sz w:val="20"/>
        </w:rPr>
        <w:t xml:space="preserve">Government action is not neutral and generally applicable if it burdens religious conduct because of its religious motivation, or if it burdens religiously motivated conduct but exempts substantial comparable conduct that is not religiously motivated. </w:t>
      </w:r>
      <w:r>
        <w:rPr>
          <w:rFonts w:ascii="Arial" w:eastAsia="Arial" w:hAnsi="Arial" w:cs="Arial"/>
          <w:i/>
          <w:color w:val="000000"/>
          <w:sz w:val="20"/>
        </w:rPr>
        <w:t xml:space="preserve">See </w:t>
      </w:r>
      <w:bookmarkStart w:id="196" w:name="Bookmark_I4X77MYV0K1MNJ1120000400"/>
      <w:bookmarkEnd w:id="196"/>
      <w:r>
        <w:rPr>
          <w:rFonts w:ascii="Arial" w:eastAsia="Arial" w:hAnsi="Arial" w:cs="Arial"/>
          <w:i/>
          <w:color w:val="000000"/>
          <w:sz w:val="20"/>
        </w:rPr>
        <w:t>Hialeah</w:t>
      </w:r>
      <w:r>
        <w:rPr>
          <w:rFonts w:ascii="Arial" w:eastAsia="Arial" w:hAnsi="Arial" w:cs="Arial"/>
          <w:color w:val="000000"/>
          <w:sz w:val="20"/>
        </w:rPr>
        <w:t xml:space="preserve">, 508 U.S. at 543-46; </w:t>
      </w:r>
      <w:bookmarkStart w:id="197" w:name="Bookmark_I4X77MYV0K1MNJ11V0000400"/>
      <w:bookmarkEnd w:id="197"/>
      <w:r>
        <w:rPr>
          <w:rFonts w:ascii="Arial" w:eastAsia="Arial" w:hAnsi="Arial" w:cs="Arial"/>
          <w:i/>
          <w:color w:val="000000"/>
          <w:sz w:val="20"/>
        </w:rPr>
        <w:t>Blackhawk v. Pennsylvania</w:t>
      </w:r>
      <w:r>
        <w:rPr>
          <w:rFonts w:ascii="Arial" w:eastAsia="Arial" w:hAnsi="Arial" w:cs="Arial"/>
          <w:color w:val="000000"/>
          <w:sz w:val="20"/>
        </w:rPr>
        <w:t>, 381 F.3d 202, 209 (3d Cir. 2004).</w:t>
      </w:r>
    </w:p>
    <w:p w:rsidR="006E038D" w:rsidRDefault="00000000">
      <w:pPr>
        <w:pStyle w:val="Normal0"/>
        <w:widowControl w:val="0"/>
        <w:spacing w:before="200" w:line="260" w:lineRule="atLeast"/>
        <w:jc w:val="both"/>
      </w:pPr>
      <w:bookmarkStart w:id="198" w:name="Bookmark_I4X77MYV0K1MNJ11Y0000400_2"/>
      <w:bookmarkStart w:id="199" w:name="Bookmark_I4X77MYV0K1MNJ11X0000400"/>
      <w:bookmarkEnd w:id="198"/>
      <w:bookmarkEnd w:id="199"/>
      <w:r>
        <w:rPr>
          <w:rFonts w:ascii="Arial" w:eastAsia="Arial" w:hAnsi="Arial" w:cs="Arial"/>
          <w:i/>
          <w:color w:val="000000"/>
          <w:sz w:val="20"/>
        </w:rPr>
        <w:t>McTernan</w:t>
      </w:r>
      <w:r>
        <w:rPr>
          <w:rFonts w:ascii="Arial" w:eastAsia="Arial" w:hAnsi="Arial" w:cs="Arial"/>
          <w:color w:val="000000"/>
          <w:sz w:val="20"/>
        </w:rPr>
        <w:t>, 564 F.3d at 647.</w:t>
      </w:r>
    </w:p>
    <w:p w:rsidR="006E038D" w:rsidRDefault="00000000">
      <w:pPr>
        <w:pStyle w:val="Normal0"/>
        <w:widowControl w:val="0"/>
        <w:spacing w:before="200" w:line="260" w:lineRule="atLeast"/>
        <w:jc w:val="both"/>
      </w:pPr>
      <w:bookmarkStart w:id="200" w:name="Bookmark_para_57"/>
      <w:bookmarkStart w:id="201" w:name="Bookmark_I5PTYW2GN38000RG2XW001PG"/>
      <w:bookmarkStart w:id="202" w:name="Bookmark_I4X77MYV0K1MNJ12R0000400"/>
      <w:bookmarkEnd w:id="200"/>
      <w:bookmarkEnd w:id="201"/>
      <w:bookmarkEnd w:id="202"/>
      <w:r>
        <w:rPr>
          <w:rFonts w:ascii="Arial" w:eastAsia="Arial" w:hAnsi="Arial" w:cs="Arial"/>
          <w:color w:val="000000"/>
          <w:sz w:val="20"/>
        </w:rPr>
        <w:t xml:space="preserve">In  [**27] the complaint, Plaintiffs do not allege that they are treated differently than others, and instead claim only that "Defendants' actions target and are intended to chill, restrict, and inhibit Plaintiffs from exercising their religion in this way" and that "Defendants' actions constituted a substantial burden on Plaintiffs['] religious exercise, and Defendants lacked a compelling justification." App. at 48. Once again, these are merely conclusory allegations, and, as the Court stated in </w:t>
      </w:r>
      <w:bookmarkStart w:id="203" w:name="Bookmark_I4X77MYV0K1MNJ12P0000400"/>
      <w:bookmarkEnd w:id="203"/>
      <w:r>
        <w:rPr>
          <w:rFonts w:ascii="Arial" w:eastAsia="Arial" w:hAnsi="Arial" w:cs="Arial"/>
          <w:i/>
          <w:color w:val="000000"/>
          <w:sz w:val="20"/>
        </w:rPr>
        <w:t>Iqbal</w:t>
      </w:r>
      <w:r>
        <w:rPr>
          <w:rFonts w:ascii="Arial" w:eastAsia="Arial" w:hAnsi="Arial" w:cs="Arial"/>
          <w:color w:val="000000"/>
          <w:sz w:val="20"/>
        </w:rPr>
        <w:t xml:space="preserve">, </w:t>
      </w:r>
      <w:bookmarkStart w:id="204" w:name="Bookmark_LNHNREFclscc18"/>
      <w:bookmarkEnd w:id="204"/>
      <w:r>
        <w:rPr>
          <w:rFonts w:ascii="Arial" w:eastAsia="Arial" w:hAnsi="Arial" w:cs="Arial"/>
          <w:color w:val="000000"/>
          <w:sz w:val="20"/>
        </w:rPr>
        <w:t xml:space="preserve">"[t]hreadbare recitals of the elements of a cause of action, supported by mere conclusory statements, do not suffice." </w:t>
      </w:r>
      <w:bookmarkStart w:id="205" w:name="Bookmark_I4X77MYV0K1MNJ12S0000400"/>
      <w:bookmarkEnd w:id="205"/>
      <w:r>
        <w:rPr>
          <w:rFonts w:ascii="Arial" w:eastAsia="Arial" w:hAnsi="Arial" w:cs="Arial"/>
          <w:i/>
          <w:color w:val="000000"/>
          <w:sz w:val="20"/>
        </w:rPr>
        <w:t>Iqbal</w:t>
      </w:r>
      <w:r>
        <w:rPr>
          <w:rFonts w:ascii="Arial" w:eastAsia="Arial" w:hAnsi="Arial" w:cs="Arial"/>
          <w:color w:val="000000"/>
          <w:sz w:val="20"/>
        </w:rPr>
        <w:t xml:space="preserve">, 129 S. Ct. at 1949 (citing </w:t>
      </w:r>
      <w:bookmarkStart w:id="206" w:name="Bookmark_I4X77MYV0K1MNJ12V0000400"/>
      <w:bookmarkEnd w:id="206"/>
      <w:r>
        <w:rPr>
          <w:rFonts w:ascii="Arial" w:eastAsia="Arial" w:hAnsi="Arial" w:cs="Arial"/>
          <w:i/>
          <w:color w:val="000000"/>
          <w:sz w:val="20"/>
        </w:rPr>
        <w:t>Twombly</w:t>
      </w:r>
      <w:r>
        <w:rPr>
          <w:rFonts w:ascii="Arial" w:eastAsia="Arial" w:hAnsi="Arial" w:cs="Arial"/>
          <w:color w:val="000000"/>
          <w:sz w:val="20"/>
        </w:rPr>
        <w:t xml:space="preserve">, 550 U.S. at 555). </w:t>
      </w:r>
      <w:r>
        <w:rPr>
          <w:rFonts w:ascii="Arial" w:eastAsia="Arial" w:hAnsi="Arial" w:cs="Arial"/>
          <w:vertAlign w:val="superscript"/>
        </w:rPr>
        <w:footnoteReference w:customMarkFollows="1" w:id="2"/>
        <w:t>1</w:t>
      </w:r>
      <w:r>
        <w:rPr>
          <w:rFonts w:ascii="Arial" w:eastAsia="Arial" w:hAnsi="Arial" w:cs="Arial"/>
          <w:color w:val="000000"/>
          <w:sz w:val="20"/>
        </w:rPr>
        <w:t xml:space="preserve"> </w:t>
      </w:r>
    </w:p>
    <w:p w:rsidR="006E038D" w:rsidRDefault="00000000">
      <w:pPr>
        <w:pStyle w:val="Normal0"/>
        <w:widowControl w:val="0"/>
        <w:spacing w:before="200" w:line="260" w:lineRule="atLeast"/>
        <w:jc w:val="both"/>
      </w:pPr>
      <w:bookmarkStart w:id="210" w:name="Bookmark_para_58"/>
      <w:bookmarkEnd w:id="210"/>
      <w:r>
        <w:rPr>
          <w:rFonts w:ascii="Arial" w:eastAsia="Arial" w:hAnsi="Arial" w:cs="Arial"/>
          <w:b/>
          <w:color w:val="000000"/>
          <w:sz w:val="20"/>
        </w:rPr>
        <w:t>IV</w:t>
      </w:r>
      <w:r>
        <w:rPr>
          <w:rFonts w:ascii="Arial" w:eastAsia="Arial" w:hAnsi="Arial" w:cs="Arial"/>
          <w:color w:val="000000"/>
          <w:sz w:val="20"/>
        </w:rPr>
        <w:t>.</w:t>
      </w:r>
    </w:p>
    <w:p w:rsidR="006E038D" w:rsidRDefault="00000000">
      <w:pPr>
        <w:pStyle w:val="Normal0"/>
        <w:widowControl w:val="0"/>
        <w:spacing w:before="240" w:line="260" w:lineRule="atLeast"/>
      </w:pPr>
      <w:r>
        <w:br/>
      </w:r>
      <w:r>
        <w:rPr>
          <w:rFonts w:ascii="Arial" w:eastAsia="Arial" w:hAnsi="Arial" w:cs="Arial"/>
          <w:b/>
          <w:color w:val="000000"/>
          <w:sz w:val="20"/>
        </w:rPr>
        <w:t>Conclusion</w:t>
      </w:r>
    </w:p>
    <w:p w:rsidR="006E038D" w:rsidRDefault="00000000">
      <w:pPr>
        <w:pStyle w:val="Normal0"/>
        <w:widowControl w:val="0"/>
        <w:spacing w:before="200" w:line="260" w:lineRule="atLeast"/>
        <w:jc w:val="both"/>
      </w:pPr>
      <w:bookmarkStart w:id="211" w:name="Bookmark_para_59"/>
      <w:bookmarkEnd w:id="211"/>
      <w:r>
        <w:rPr>
          <w:rFonts w:ascii="Arial" w:eastAsia="Arial" w:hAnsi="Arial" w:cs="Arial"/>
          <w:color w:val="000000"/>
          <w:sz w:val="20"/>
        </w:rPr>
        <w:t>For the reasons set forth we  [**28] will affirm the District Court's orders denying Plaintiffs' motion for a preliminary injunction and dismissing the complaint.</w:t>
      </w:r>
    </w:p>
    <w:p w:rsidR="006E038D" w:rsidRDefault="006E038D">
      <w:pPr>
        <w:pStyle w:val="Normal0"/>
      </w:pPr>
    </w:p>
    <w:p w:rsidR="006E038D" w:rsidRDefault="00000000">
      <w:pPr>
        <w:pStyle w:val="Normal0"/>
        <w:ind w:left="200"/>
        <w:sectPr w:rsidR="006E038D">
          <w:type w:val="continuous"/>
          <w:pgSz w:w="12240" w:h="15840"/>
          <w:pgMar w:top="840" w:right="1000" w:bottom="840" w:left="1000" w:header="400" w:footer="400" w:gutter="0"/>
          <w:cols w:num="2" w:space="240"/>
        </w:sectPr>
      </w:pPr>
      <w:r>
        <w:br/>
      </w:r>
      <w:r w:rsidR="008C3211">
        <w:rPr>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27337968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8B50EA"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6E038D" w:rsidRDefault="006E038D">
      <w:pPr>
        <w:pStyle w:val="Normal1"/>
        <w:sectPr w:rsidR="006E038D">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gutter="0"/>
          <w:cols w:space="720"/>
          <w:titlePg/>
        </w:sectPr>
      </w:pPr>
    </w:p>
    <w:p w:rsidR="006E038D" w:rsidRDefault="006E038D">
      <w:pPr>
        <w:pStyle w:val="Normal1"/>
      </w:pPr>
    </w:p>
    <w:p w:rsidR="006E038D" w:rsidRDefault="00000000">
      <w:pPr>
        <w:pStyle w:val="Heading10"/>
        <w:keepNext w:val="0"/>
        <w:widowControl w:val="0"/>
        <w:spacing w:after="200" w:line="340" w:lineRule="atLeast"/>
        <w:jc w:val="center"/>
      </w:pPr>
      <w:r>
        <w:rPr>
          <w:rFonts w:eastAsia="Arial"/>
          <w:color w:val="000000"/>
          <w:sz w:val="28"/>
        </w:rPr>
        <w:t>Chapman v. Pier 1 Imps. (U.S.) Inc.</w:t>
      </w:r>
    </w:p>
    <w:p w:rsidR="006E038D" w:rsidRDefault="00000000">
      <w:pPr>
        <w:pStyle w:val="Normal1"/>
        <w:widowControl w:val="0"/>
        <w:spacing w:before="120" w:line="260" w:lineRule="atLeast"/>
        <w:jc w:val="center"/>
      </w:pPr>
      <w:r>
        <w:rPr>
          <w:rFonts w:ascii="Arial" w:eastAsia="Arial" w:hAnsi="Arial" w:cs="Arial"/>
          <w:color w:val="000000"/>
          <w:sz w:val="20"/>
        </w:rPr>
        <w:t>United States Court of Appeals for the Ninth Circuit</w:t>
      </w:r>
    </w:p>
    <w:p w:rsidR="006E038D" w:rsidRDefault="00000000">
      <w:pPr>
        <w:pStyle w:val="Normal1"/>
        <w:widowControl w:val="0"/>
        <w:spacing w:before="120" w:line="260" w:lineRule="atLeast"/>
        <w:jc w:val="center"/>
      </w:pPr>
      <w:r>
        <w:rPr>
          <w:rFonts w:ascii="Arial" w:eastAsia="Arial" w:hAnsi="Arial" w:cs="Arial"/>
          <w:color w:val="000000"/>
          <w:sz w:val="20"/>
        </w:rPr>
        <w:t>February 11, 2009, Argued and Submitted, San Francisco, California; June 29, 2009, Filed</w:t>
      </w:r>
    </w:p>
    <w:p w:rsidR="006E038D" w:rsidRDefault="00000000">
      <w:pPr>
        <w:pStyle w:val="Normal1"/>
        <w:widowControl w:val="0"/>
        <w:spacing w:before="120" w:line="260" w:lineRule="atLeast"/>
        <w:jc w:val="center"/>
        <w:sectPr w:rsidR="006E038D">
          <w:type w:val="continuous"/>
          <w:pgSz w:w="12240" w:h="15840"/>
          <w:pgMar w:top="840" w:right="1000" w:bottom="840" w:left="1000" w:header="400" w:footer="400" w:gutter="0"/>
          <w:cols w:space="240"/>
        </w:sectPr>
      </w:pPr>
      <w:r>
        <w:rPr>
          <w:rFonts w:ascii="Arial" w:eastAsia="Arial" w:hAnsi="Arial" w:cs="Arial"/>
          <w:color w:val="000000"/>
          <w:sz w:val="20"/>
        </w:rPr>
        <w:t>No. 07-16326</w:t>
      </w:r>
    </w:p>
    <w:p w:rsidR="006E038D" w:rsidRDefault="006E038D">
      <w:pPr>
        <w:pStyle w:val="Normal1"/>
        <w:widowControl w:val="0"/>
        <w:spacing w:line="240" w:lineRule="atLeast"/>
        <w:jc w:val="both"/>
      </w:pPr>
      <w:bookmarkStart w:id="212" w:name="Bookmark_2"/>
      <w:bookmarkEnd w:id="212"/>
    </w:p>
    <w:p w:rsidR="006E038D" w:rsidRDefault="00000000">
      <w:pPr>
        <w:pStyle w:val="Normal1"/>
        <w:widowControl w:val="0"/>
        <w:spacing w:before="200" w:line="240" w:lineRule="atLeast"/>
      </w:pPr>
      <w:bookmarkStart w:id="213" w:name="Reporter_0"/>
      <w:bookmarkEnd w:id="213"/>
      <w:r>
        <w:rPr>
          <w:rFonts w:ascii="Arial" w:eastAsia="Arial" w:hAnsi="Arial" w:cs="Arial"/>
          <w:b/>
          <w:color w:val="000000"/>
          <w:sz w:val="18"/>
        </w:rPr>
        <w:t>Reporter</w:t>
      </w:r>
    </w:p>
    <w:p w:rsidR="006E038D" w:rsidRDefault="00000000">
      <w:pPr>
        <w:pStyle w:val="Normal1"/>
        <w:widowControl w:val="0"/>
        <w:spacing w:line="240" w:lineRule="atLeast"/>
        <w:sectPr w:rsidR="006E038D">
          <w:type w:val="continuous"/>
          <w:pgSz w:w="12240" w:h="15840"/>
          <w:pgMar w:top="840" w:right="1000" w:bottom="840" w:left="1000" w:header="400" w:footer="400" w:gutter="0"/>
          <w:cols w:space="240"/>
        </w:sectPr>
      </w:pPr>
      <w:r>
        <w:rPr>
          <w:rFonts w:ascii="Arial" w:eastAsia="Arial" w:hAnsi="Arial" w:cs="Arial"/>
          <w:color w:val="000000"/>
          <w:sz w:val="18"/>
        </w:rPr>
        <w:t>571 F.3d 853 *; 2009 U.S. App. LEXIS 13918 **; 21 Am. Disabilities Cas. (BNA) 1827</w:t>
      </w:r>
    </w:p>
    <w:p w:rsidR="006E038D" w:rsidRDefault="00000000">
      <w:pPr>
        <w:pStyle w:val="Normal1"/>
        <w:widowControl w:val="0"/>
        <w:spacing w:before="120" w:line="260" w:lineRule="atLeast"/>
      </w:pPr>
      <w:r>
        <w:rPr>
          <w:rFonts w:ascii="Arial" w:eastAsia="Arial" w:hAnsi="Arial" w:cs="Arial"/>
          <w:color w:val="000000"/>
          <w:sz w:val="20"/>
        </w:rPr>
        <w:t>BYRON CHAPMAN, Plaintiff-Appellee, v. PIER 1 IMPORTS (U.S.) INC., dba PIER 1 IMPORTS # 1132, Defendant-Appellant.</w:t>
      </w:r>
    </w:p>
    <w:p w:rsidR="006E038D" w:rsidRDefault="00000000">
      <w:pPr>
        <w:pStyle w:val="Normal1"/>
        <w:widowControl w:val="0"/>
        <w:spacing w:before="240" w:line="260" w:lineRule="atLeast"/>
      </w:pPr>
      <w:bookmarkStart w:id="214" w:name="Subsequent_History"/>
      <w:bookmarkEnd w:id="214"/>
      <w:r>
        <w:rPr>
          <w:rFonts w:ascii="Arial" w:eastAsia="Arial" w:hAnsi="Arial" w:cs="Arial"/>
          <w:b/>
          <w:color w:val="000000"/>
          <w:sz w:val="20"/>
        </w:rPr>
        <w:t>Subsequent History:</w:t>
      </w:r>
      <w:r>
        <w:rPr>
          <w:rFonts w:ascii="Arial" w:eastAsia="Arial" w:hAnsi="Arial" w:cs="Arial"/>
          <w:color w:val="000000"/>
          <w:sz w:val="20"/>
        </w:rPr>
        <w:t> Vacated by, Rehearing granted by, En banc Chapman v. Pier 1 Imps. (U.S.) Inc., 593 F.3d 974, 2010 U.S. App. LEXIS 1858 (9th Cir., Jan. 26, 2010)</w:t>
      </w:r>
    </w:p>
    <w:p w:rsidR="006E038D" w:rsidRDefault="00000000">
      <w:pPr>
        <w:pStyle w:val="Normal1"/>
        <w:widowControl w:val="0"/>
        <w:spacing w:before="240" w:line="260" w:lineRule="atLeast"/>
        <w:jc w:val="both"/>
      </w:pPr>
      <w:bookmarkStart w:id="215" w:name="Prior_History_0"/>
      <w:bookmarkEnd w:id="215"/>
      <w:r>
        <w:rPr>
          <w:rFonts w:ascii="Arial" w:eastAsia="Arial" w:hAnsi="Arial" w:cs="Arial"/>
          <w:b/>
          <w:color w:val="000000"/>
          <w:sz w:val="20"/>
        </w:rPr>
        <w:t>Prior History:</w:t>
      </w:r>
      <w:r>
        <w:rPr>
          <w:rFonts w:ascii="Arial" w:eastAsia="Arial" w:hAnsi="Arial" w:cs="Arial"/>
          <w:color w:val="000000"/>
          <w:sz w:val="20"/>
        </w:rPr>
        <w:t>  [**1] </w:t>
      </w:r>
      <w:bookmarkStart w:id="216" w:name="Bookmark_para_1_0"/>
      <w:bookmarkEnd w:id="216"/>
      <w:r>
        <w:rPr>
          <w:rFonts w:ascii="Arial" w:eastAsia="Arial" w:hAnsi="Arial" w:cs="Arial"/>
          <w:color w:val="000000"/>
          <w:sz w:val="20"/>
        </w:rPr>
        <w:t>Appeal from the United States District Court for the Eastern District of California. D.C. No. CV-04-01339-LKK. Lawrence K. Karlton, District Judge, Presiding.</w:t>
      </w:r>
    </w:p>
    <w:p w:rsidR="006E038D" w:rsidRDefault="00000000">
      <w:pPr>
        <w:pStyle w:val="Normal1"/>
        <w:widowControl w:val="0"/>
        <w:spacing w:before="120" w:line="260" w:lineRule="atLeast"/>
      </w:pPr>
      <w:r>
        <w:rPr>
          <w:rFonts w:ascii="Arial" w:eastAsia="Arial" w:hAnsi="Arial" w:cs="Arial"/>
          <w:color w:val="000000"/>
          <w:sz w:val="20"/>
        </w:rPr>
        <w:t>Chapman v. Pier 1 Imps., 2006 U.S. Dist. LEXIS 43740 (E.D. Cal., June 16, 2006)</w:t>
      </w:r>
    </w:p>
    <w:p w:rsidR="006E038D" w:rsidRDefault="00000000">
      <w:pPr>
        <w:pStyle w:val="Normal1"/>
        <w:widowControl w:val="0"/>
        <w:spacing w:before="240" w:line="260" w:lineRule="atLeast"/>
        <w:jc w:val="both"/>
      </w:pPr>
      <w:bookmarkStart w:id="217" w:name="Disposition"/>
      <w:bookmarkEnd w:id="217"/>
      <w:r>
        <w:rPr>
          <w:rFonts w:ascii="Arial" w:eastAsia="Arial" w:hAnsi="Arial" w:cs="Arial"/>
          <w:b/>
          <w:color w:val="000000"/>
          <w:sz w:val="20"/>
        </w:rPr>
        <w:t>Disposition:</w:t>
      </w:r>
      <w:r>
        <w:rPr>
          <w:rFonts w:ascii="Arial" w:eastAsia="Arial" w:hAnsi="Arial" w:cs="Arial"/>
          <w:color w:val="000000"/>
          <w:sz w:val="20"/>
        </w:rPr>
        <w:t> </w:t>
      </w:r>
      <w:bookmarkStart w:id="218" w:name="Bookmark_clspara_5"/>
      <w:bookmarkEnd w:id="218"/>
      <w:r>
        <w:rPr>
          <w:rFonts w:ascii="Arial" w:eastAsia="Arial" w:hAnsi="Arial" w:cs="Arial"/>
          <w:color w:val="000000"/>
          <w:sz w:val="20"/>
        </w:rPr>
        <w:t>REVERSED.</w:t>
      </w:r>
    </w:p>
    <w:p w:rsidR="006E038D" w:rsidRDefault="00000000">
      <w:pPr>
        <w:pStyle w:val="Normal1"/>
        <w:widowControl w:val="0"/>
        <w:spacing w:before="240" w:line="260" w:lineRule="atLeast"/>
      </w:pPr>
      <w:bookmarkStart w:id="219" w:name="Counsel_0"/>
      <w:bookmarkEnd w:id="219"/>
      <w:r>
        <w:rPr>
          <w:rFonts w:ascii="Arial" w:eastAsia="Arial" w:hAnsi="Arial" w:cs="Arial"/>
          <w:b/>
          <w:color w:val="000000"/>
          <w:sz w:val="20"/>
        </w:rPr>
        <w:t>Counsel:</w:t>
      </w:r>
      <w:r>
        <w:rPr>
          <w:rFonts w:ascii="Arial" w:eastAsia="Arial" w:hAnsi="Arial" w:cs="Arial"/>
          <w:color w:val="000000"/>
          <w:sz w:val="20"/>
        </w:rPr>
        <w:t> Lynn Hubbard III and Scottlynn J. Hubbard IV, Law Offices of Lynn Hubbard, Chico, California, for the plaintiff-appellee.</w:t>
      </w:r>
    </w:p>
    <w:p w:rsidR="006E038D" w:rsidRDefault="00000000">
      <w:pPr>
        <w:pStyle w:val="Normal1"/>
        <w:widowControl w:val="0"/>
        <w:spacing w:before="120" w:line="260" w:lineRule="atLeast"/>
      </w:pPr>
      <w:r>
        <w:rPr>
          <w:rFonts w:ascii="Arial" w:eastAsia="Arial" w:hAnsi="Arial" w:cs="Arial"/>
          <w:color w:val="000000"/>
          <w:sz w:val="20"/>
        </w:rPr>
        <w:t>Laura M. Franze and Richard Cortez, Jr., Akin Gump Strauss Hauer &amp; Feld, LLP, Dallas, Texas, and Roland M. Juarez, Akin Gump Strauss Hauer &amp; Feld, LLP, Los Angeles, California, for the defendant-appellant.</w:t>
      </w:r>
    </w:p>
    <w:p w:rsidR="006E038D" w:rsidRDefault="00000000">
      <w:pPr>
        <w:pStyle w:val="Normal1"/>
        <w:widowControl w:val="0"/>
        <w:spacing w:before="240" w:line="260" w:lineRule="atLeast"/>
      </w:pPr>
      <w:bookmarkStart w:id="220" w:name="Judges_0"/>
      <w:bookmarkEnd w:id="220"/>
      <w:r>
        <w:rPr>
          <w:rFonts w:ascii="Arial" w:eastAsia="Arial" w:hAnsi="Arial" w:cs="Arial"/>
          <w:b/>
          <w:color w:val="000000"/>
          <w:sz w:val="20"/>
        </w:rPr>
        <w:t>Judges:</w:t>
      </w:r>
      <w:r>
        <w:rPr>
          <w:rFonts w:ascii="Arial" w:eastAsia="Arial" w:hAnsi="Arial" w:cs="Arial"/>
          <w:color w:val="000000"/>
          <w:sz w:val="20"/>
        </w:rPr>
        <w:t> Before: John T. Noonan, David R. Thompson and N. Randy Smith, Circuit Judges. Opinion by Judge N.R. Smith.</w:t>
      </w:r>
    </w:p>
    <w:p w:rsidR="006E038D" w:rsidRDefault="00000000">
      <w:pPr>
        <w:pStyle w:val="Normal1"/>
        <w:widowControl w:val="0"/>
        <w:spacing w:before="240" w:line="260" w:lineRule="atLeast"/>
      </w:pPr>
      <w:bookmarkStart w:id="221" w:name="Opinion_by_0"/>
      <w:bookmarkEnd w:id="221"/>
      <w:r>
        <w:rPr>
          <w:rFonts w:ascii="Arial" w:eastAsia="Arial" w:hAnsi="Arial" w:cs="Arial"/>
          <w:b/>
          <w:color w:val="000000"/>
          <w:sz w:val="20"/>
        </w:rPr>
        <w:t>Opinion by:</w:t>
      </w:r>
      <w:r>
        <w:rPr>
          <w:rFonts w:ascii="Arial" w:eastAsia="Arial" w:hAnsi="Arial" w:cs="Arial"/>
          <w:color w:val="000000"/>
          <w:sz w:val="20"/>
        </w:rPr>
        <w:t> N.R. SMITH</w:t>
      </w:r>
    </w:p>
    <w:p w:rsidR="006E038D" w:rsidRDefault="00000000">
      <w:pPr>
        <w:pStyle w:val="Normal1"/>
        <w:keepNext/>
        <w:widowControl w:val="0"/>
        <w:spacing w:before="240" w:line="340" w:lineRule="atLeast"/>
      </w:pPr>
      <w:bookmarkStart w:id="222" w:name="Opinion_0"/>
      <w:bookmarkEnd w:id="222"/>
      <w:r>
        <w:rPr>
          <w:rFonts w:ascii="Arial" w:eastAsia="Arial" w:hAnsi="Arial" w:cs="Arial"/>
          <w:b/>
          <w:color w:val="000000"/>
          <w:sz w:val="28"/>
        </w:rPr>
        <w:t>Opinion</w:t>
      </w:r>
    </w:p>
    <w:p w:rsidR="006E038D" w:rsidRDefault="008C3211">
      <w:pPr>
        <w:pStyle w:val="Normal1"/>
        <w:spacing w:line="60" w:lineRule="exact"/>
      </w:pPr>
      <w:r>
        <w:rPr>
          <w:noProof/>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8523907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36AAD"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6E038D" w:rsidRDefault="006E038D">
      <w:pPr>
        <w:pStyle w:val="Normal1"/>
      </w:pPr>
    </w:p>
    <w:p w:rsidR="006E038D" w:rsidRDefault="00000000">
      <w:pPr>
        <w:pStyle w:val="Normal1"/>
        <w:widowControl w:val="0"/>
        <w:spacing w:before="200" w:line="260" w:lineRule="atLeast"/>
        <w:jc w:val="both"/>
      </w:pPr>
      <w:bookmarkStart w:id="223" w:name="Bookmark_para_2_0"/>
      <w:bookmarkEnd w:id="223"/>
      <w:r>
        <w:rPr>
          <w:rFonts w:ascii="Arial" w:eastAsia="Arial" w:hAnsi="Arial" w:cs="Arial"/>
          <w:color w:val="000000"/>
          <w:sz w:val="20"/>
        </w:rPr>
        <w:t> [*854]  N.R. SMITH, Circuit Judge:</w:t>
      </w:r>
    </w:p>
    <w:p w:rsidR="006E038D" w:rsidRDefault="00000000">
      <w:pPr>
        <w:pStyle w:val="Normal1"/>
        <w:widowControl w:val="0"/>
        <w:spacing w:before="200" w:line="260" w:lineRule="atLeast"/>
        <w:jc w:val="both"/>
      </w:pPr>
      <w:bookmarkStart w:id="224" w:name="Bookmark_para_3_0"/>
      <w:bookmarkEnd w:id="224"/>
      <w:r>
        <w:rPr>
          <w:rFonts w:ascii="Arial" w:eastAsia="Arial" w:hAnsi="Arial" w:cs="Arial"/>
          <w:color w:val="000000"/>
          <w:sz w:val="20"/>
        </w:rPr>
        <w:t xml:space="preserve">Byron Chapman ("Chapman") sued Pier 1 Imports (U.S.), Inc. ("Pier 1 Imports") under the Americans with Disabilities Act, ("ADA") 42 U.S.C. §§ 12101 </w:t>
      </w:r>
      <w:r>
        <w:rPr>
          <w:rFonts w:ascii="Arial" w:eastAsia="Arial" w:hAnsi="Arial" w:cs="Arial"/>
          <w:i/>
          <w:color w:val="000000"/>
          <w:sz w:val="20"/>
        </w:rPr>
        <w:t>et seq</w:t>
      </w:r>
      <w:r>
        <w:rPr>
          <w:rFonts w:ascii="Arial" w:eastAsia="Arial" w:hAnsi="Arial" w:cs="Arial"/>
          <w:color w:val="000000"/>
          <w:sz w:val="20"/>
        </w:rPr>
        <w:t xml:space="preserve">., the Unruh Civil Rights Act, Cal. Civ. Code §§ 51 </w:t>
      </w:r>
      <w:r>
        <w:rPr>
          <w:rFonts w:ascii="Arial" w:eastAsia="Arial" w:hAnsi="Arial" w:cs="Arial"/>
          <w:i/>
          <w:color w:val="000000"/>
          <w:sz w:val="20"/>
        </w:rPr>
        <w:t>et seq</w:t>
      </w:r>
      <w:r>
        <w:rPr>
          <w:rFonts w:ascii="Arial" w:eastAsia="Arial" w:hAnsi="Arial" w:cs="Arial"/>
          <w:color w:val="000000"/>
          <w:sz w:val="20"/>
        </w:rPr>
        <w:t xml:space="preserve">., and the Disabled Persons Act, Cal. Civ. Code §§ 54 </w:t>
      </w:r>
      <w:r>
        <w:rPr>
          <w:rFonts w:ascii="Arial" w:eastAsia="Arial" w:hAnsi="Arial" w:cs="Arial"/>
          <w:i/>
          <w:color w:val="000000"/>
          <w:sz w:val="20"/>
        </w:rPr>
        <w:t>et seq</w:t>
      </w:r>
      <w:r>
        <w:rPr>
          <w:rFonts w:ascii="Arial" w:eastAsia="Arial" w:hAnsi="Arial" w:cs="Arial"/>
          <w:color w:val="000000"/>
          <w:sz w:val="20"/>
        </w:rPr>
        <w:t>., after visiting Pier 1 Imports's Vacaville, California location (the "Store") and encountering five accessibility barriers to his use of the men's restroom facilities. Chapman does not have standing to pursue unencountered barriers under our prudential standing doctrine, because the barriers  [**2] Chapman encountered did not deter him from visiting or shopping in the Store. Because we conclude that Chapman did not have standing to pursue claims for unencountered barriers, and because the district court granted Pier 1 Imports summary judgment on all the barriers Chapman  [*855]  claimed to have encountered, all other appealed issues are moot.</w:t>
      </w:r>
    </w:p>
    <w:p w:rsidR="006E038D" w:rsidRDefault="00000000">
      <w:pPr>
        <w:pStyle w:val="Normal1"/>
        <w:widowControl w:val="0"/>
        <w:spacing w:before="240" w:line="260" w:lineRule="atLeast"/>
      </w:pPr>
      <w:r>
        <w:br/>
      </w:r>
      <w:r>
        <w:rPr>
          <w:rFonts w:ascii="Arial" w:eastAsia="Arial" w:hAnsi="Arial" w:cs="Arial"/>
          <w:b/>
          <w:color w:val="000000"/>
          <w:sz w:val="20"/>
        </w:rPr>
        <w:t>I. BACKGROUND</w:t>
      </w:r>
    </w:p>
    <w:p w:rsidR="006E038D" w:rsidRDefault="00000000">
      <w:pPr>
        <w:pStyle w:val="Normal1"/>
        <w:widowControl w:val="0"/>
        <w:spacing w:before="200" w:line="260" w:lineRule="atLeast"/>
        <w:jc w:val="both"/>
      </w:pPr>
      <w:bookmarkStart w:id="225" w:name="Bookmark_para_4_0"/>
      <w:bookmarkEnd w:id="225"/>
      <w:r>
        <w:rPr>
          <w:rFonts w:ascii="Arial" w:eastAsia="Arial" w:hAnsi="Arial" w:cs="Arial"/>
          <w:color w:val="000000"/>
          <w:sz w:val="20"/>
        </w:rPr>
        <w:t>Chapman suffers from a spinal cord injury that requires him to use a motorized wheelchair to travel in public, and is therefore considered "physically disabled" by California and federal laws. While visiting the Store on either May 22 or June 1, 2004, Chapman encountered five alleged accessibility barriers to his use of the men's restroom (the "encountered alleged barriers").</w:t>
      </w:r>
    </w:p>
    <w:p w:rsidR="006E038D" w:rsidRDefault="00000000">
      <w:pPr>
        <w:pStyle w:val="Normal1"/>
        <w:widowControl w:val="0"/>
        <w:spacing w:before="200" w:line="260" w:lineRule="atLeast"/>
        <w:jc w:val="both"/>
      </w:pPr>
      <w:bookmarkStart w:id="226" w:name="Bookmark_para_5_0"/>
      <w:bookmarkEnd w:id="226"/>
      <w:r>
        <w:rPr>
          <w:rFonts w:ascii="Arial" w:eastAsia="Arial" w:hAnsi="Arial" w:cs="Arial"/>
          <w:color w:val="000000"/>
          <w:sz w:val="20"/>
        </w:rPr>
        <w:t>Chapman did not experience any other alleged barriers during his Store visits. Further, despite encountering these barriers, Chapman testified that he was not deterred from visiting the Store or using the restroom, that he intended to return to the Store in the future, and that he may already have done so.</w:t>
      </w:r>
    </w:p>
    <w:p w:rsidR="006E038D" w:rsidRDefault="00000000">
      <w:pPr>
        <w:pStyle w:val="Normal1"/>
        <w:widowControl w:val="0"/>
        <w:spacing w:before="200" w:line="260" w:lineRule="atLeast"/>
        <w:jc w:val="both"/>
      </w:pPr>
      <w:bookmarkStart w:id="227" w:name="Bookmark_para_6_0"/>
      <w:bookmarkEnd w:id="227"/>
      <w:r>
        <w:rPr>
          <w:rFonts w:ascii="Arial" w:eastAsia="Arial" w:hAnsi="Arial" w:cs="Arial"/>
          <w:color w:val="000000"/>
          <w:sz w:val="20"/>
        </w:rPr>
        <w:t>Chapman filed his unverified Complaint on July 13, 2004, alleging that the Store did not comply with ADA and Unruh Civil Rights Act accessibility requirements. Chapman  [**3] attached a "Survey of Access Code Violations" to his Complaint (the "Accessibility Survey"). Chapman alleges that the Complaint and Accessibility Survey present a "true and accurate list (with photos) of the barriers that denied him access to the Store, or which he seeks to remove on behalf of others." The Accessibility Survey listed twenty-three alleged barriers: the encountered alleged barriers, plus eighteen additional alleged barriers Chapman did not encounter. Though the unverified Complaint claims that Chapman had personal knowledge of the eighteen additional alleged barriers, he testified otherwise at his deposition. There he said that he (1) did not prepare the Accessibility Survey; (2) did not know who prepared the Accessibility Survey; and (3) was generally unfamiliar with the Accessibility Survey's contents.</w:t>
      </w:r>
    </w:p>
    <w:p w:rsidR="006E038D" w:rsidRDefault="00000000">
      <w:pPr>
        <w:pStyle w:val="Normal1"/>
        <w:widowControl w:val="0"/>
        <w:spacing w:before="200" w:line="260" w:lineRule="atLeast"/>
        <w:jc w:val="both"/>
      </w:pPr>
      <w:bookmarkStart w:id="228" w:name="Bookmark_para_7_0"/>
      <w:bookmarkEnd w:id="228"/>
      <w:r>
        <w:rPr>
          <w:rFonts w:ascii="Arial" w:eastAsia="Arial" w:hAnsi="Arial" w:cs="Arial"/>
          <w:color w:val="000000"/>
          <w:sz w:val="20"/>
        </w:rPr>
        <w:t>Approximately ten months after Chapman filed his Complaint, Chapman retained an expert, Joe Card, who inspected the Store and prepared a report (the "Card Report") on August 25, 2005. The Card Report identified thirty alleged accessibility violations, repeating three of the alleged violations found in the Complaint/Accessibility Survey and asserting twenty-seven new alleged  [**4] violations (together with the Accessibility Survey alleged barriers, the "un-encountered alleged barriers").</w:t>
      </w:r>
    </w:p>
    <w:p w:rsidR="006E038D" w:rsidRDefault="00000000">
      <w:pPr>
        <w:pStyle w:val="Normal1"/>
        <w:widowControl w:val="0"/>
        <w:spacing w:before="200" w:line="260" w:lineRule="atLeast"/>
        <w:jc w:val="both"/>
      </w:pPr>
      <w:bookmarkStart w:id="229" w:name="Bookmark_para_8_0"/>
      <w:bookmarkEnd w:id="229"/>
      <w:r>
        <w:rPr>
          <w:rFonts w:ascii="Arial" w:eastAsia="Arial" w:hAnsi="Arial" w:cs="Arial"/>
          <w:color w:val="000000"/>
          <w:sz w:val="20"/>
        </w:rPr>
        <w:t>Pier 1 Imports moved for summary judgment; Chapman opposed the motion and filed a cross-motion for summary judgment. Chapman attached the Card Report to his cross-motion. Chapman's brief, which he filed in the district court, did not (1) oppose Pier 1 Imports's motion for summary judgment, (2) provide evidence to support, or (3) move for summary judgment on four of the five alleged encountered barriers. In his brief, Chapman only discussed eleven of the alleged barriers, leaving the district court to conclude that he was only moving for summary judgment on those eleven barriers.</w:t>
      </w:r>
    </w:p>
    <w:p w:rsidR="006E038D" w:rsidRDefault="00000000">
      <w:pPr>
        <w:pStyle w:val="Normal1"/>
        <w:widowControl w:val="0"/>
        <w:spacing w:before="200" w:line="260" w:lineRule="atLeast"/>
        <w:jc w:val="both"/>
      </w:pPr>
      <w:bookmarkStart w:id="230" w:name="Bookmark_para_9_0"/>
      <w:bookmarkEnd w:id="230"/>
      <w:r>
        <w:rPr>
          <w:rFonts w:ascii="Arial" w:eastAsia="Arial" w:hAnsi="Arial" w:cs="Arial"/>
          <w:color w:val="000000"/>
          <w:sz w:val="20"/>
        </w:rPr>
        <w:t>The district court granted summary judgment for Pier 1 Imports on all of the alleged encountered barriers; a decision Chapman does not appeal. Even though Chapman did not brief four of the five encountered barriers, the district court addressed those barriers.</w:t>
      </w:r>
    </w:p>
    <w:p w:rsidR="006E038D" w:rsidRDefault="00000000">
      <w:pPr>
        <w:pStyle w:val="Normal1"/>
        <w:widowControl w:val="0"/>
        <w:spacing w:before="200" w:line="260" w:lineRule="atLeast"/>
        <w:jc w:val="both"/>
      </w:pPr>
      <w:bookmarkStart w:id="231" w:name="Bookmark_para_10_0"/>
      <w:bookmarkEnd w:id="231"/>
      <w:r>
        <w:rPr>
          <w:rFonts w:ascii="Arial" w:eastAsia="Arial" w:hAnsi="Arial" w:cs="Arial"/>
          <w:color w:val="000000"/>
          <w:sz w:val="20"/>
        </w:rPr>
        <w:t>First, the district court held that Chapman "fail[ed] to cite a relevant ADAAG standard" with respect to his claims that the seat cover dispenser was improperly located over the back grab bar and that the back grab bar was improperly located. Accordingly,  [**5] the district court found that Chapman supplied no legal basis for these claims and granted summary judgment for  [*856]  Pier 1 Imports. Moreover, the court noted that, even if Chapman had cited the relevant ADAAG standards for these claims, Pier 1 Imports "put[s] forth facts that these . . . alleged violations do not, in fact, exist" and Chapman failed to proffer evidence that Pier 1 Imports committed any violation.</w:t>
      </w:r>
    </w:p>
    <w:p w:rsidR="006E038D" w:rsidRDefault="00000000">
      <w:pPr>
        <w:pStyle w:val="Normal1"/>
        <w:widowControl w:val="0"/>
        <w:spacing w:before="200" w:line="260" w:lineRule="atLeast"/>
        <w:jc w:val="both"/>
      </w:pPr>
      <w:bookmarkStart w:id="232" w:name="Bookmark_para_11_0"/>
      <w:bookmarkEnd w:id="232"/>
      <w:r>
        <w:rPr>
          <w:rFonts w:ascii="Arial" w:eastAsia="Arial" w:hAnsi="Arial" w:cs="Arial"/>
          <w:color w:val="000000"/>
          <w:sz w:val="20"/>
        </w:rPr>
        <w:t>Second, though the district court found that Chapman cited to the proper ADAAG standards for Chapman's claims that the toilet tissue dispenser was improperly located and that there was inadequate clear floor space in the men's restroom, the court also ruled that Pier 1 Imports had established that it had not committed any violation with respect to these alleged barriers. In addition, the district court noted that Chapman failed to even mention any of these alleged violations in his opposition, cross-motion, or reply brief.</w:t>
      </w:r>
    </w:p>
    <w:p w:rsidR="006E038D" w:rsidRDefault="00000000">
      <w:pPr>
        <w:pStyle w:val="Normal1"/>
        <w:widowControl w:val="0"/>
        <w:spacing w:before="200" w:line="260" w:lineRule="atLeast"/>
        <w:jc w:val="both"/>
      </w:pPr>
      <w:bookmarkStart w:id="233" w:name="Bookmark_para_12_0"/>
      <w:bookmarkEnd w:id="233"/>
      <w:r>
        <w:rPr>
          <w:rFonts w:ascii="Arial" w:eastAsia="Arial" w:hAnsi="Arial" w:cs="Arial"/>
          <w:color w:val="000000"/>
          <w:sz w:val="20"/>
        </w:rPr>
        <w:t xml:space="preserve">Chapman's cross-motion for summary judgment did discuss one encountered barrier: Chapman's allegation that Pier 1 Imports blocked routes of travel to the restroom and emergency exits with a ladder or merchandise displays. </w:t>
      </w:r>
      <w:bookmarkStart w:id="234" w:name="Bookmark_I4WT9XF80K1MNJ0BB0000400"/>
      <w:bookmarkEnd w:id="234"/>
      <w:r>
        <w:rPr>
          <w:rFonts w:ascii="Arial" w:eastAsia="Arial" w:hAnsi="Arial" w:cs="Arial"/>
          <w:color w:val="000000"/>
          <w:sz w:val="20"/>
        </w:rPr>
        <w:t xml:space="preserve">The district court held, however, that  [**6] any obstructions were only temporary in nature. Because the ADA and ADAAG do not provide regulations regarding movable objects, the district court cited a U.S. Department of Justice publication to conclude that "regular use of an accessible route for storage of supplies would violate [the ADA], but an isolated instance of placement of an object in an accessible route is not a violation [of the ADA] if the object is promptly removed." United States Department of Justice, Civil Rights Division, </w:t>
      </w:r>
      <w:r>
        <w:rPr>
          <w:rFonts w:ascii="Arial" w:eastAsia="Arial" w:hAnsi="Arial" w:cs="Arial"/>
          <w:i/>
          <w:color w:val="000000"/>
          <w:sz w:val="20"/>
        </w:rPr>
        <w:t>The Americans with Disabilities Act: Title III Technical Assistance Manual</w:t>
      </w:r>
      <w:r>
        <w:rPr>
          <w:rFonts w:ascii="Arial" w:eastAsia="Arial" w:hAnsi="Arial" w:cs="Arial"/>
          <w:color w:val="000000"/>
          <w:sz w:val="20"/>
        </w:rPr>
        <w:t xml:space="preserve"> § III-3.70000 (1993). </w:t>
      </w:r>
      <w:r>
        <w:rPr>
          <w:rFonts w:ascii="Arial" w:eastAsia="Arial" w:hAnsi="Arial" w:cs="Arial"/>
          <w:vertAlign w:val="superscript"/>
        </w:rPr>
        <w:footnoteReference w:customMarkFollows="1" w:id="3"/>
        <w:t>1</w:t>
      </w:r>
      <w:r>
        <w:rPr>
          <w:rFonts w:ascii="Arial" w:eastAsia="Arial" w:hAnsi="Arial" w:cs="Arial"/>
          <w:color w:val="000000"/>
          <w:sz w:val="20"/>
        </w:rPr>
        <w:t xml:space="preserve"> The district court held that "isolated failures to maintain access routes or parking spaces, without more, are not covered by the ADA." Accordingly, the district court granted Pier 1 Imports summary judgment on this issue.</w:t>
      </w:r>
    </w:p>
    <w:p w:rsidR="006E038D" w:rsidRDefault="00000000">
      <w:pPr>
        <w:pStyle w:val="Normal1"/>
        <w:widowControl w:val="0"/>
        <w:spacing w:before="200" w:line="260" w:lineRule="atLeast"/>
        <w:jc w:val="both"/>
      </w:pPr>
      <w:bookmarkStart w:id="237" w:name="Bookmark_para_13_0"/>
      <w:bookmarkEnd w:id="237"/>
      <w:r>
        <w:rPr>
          <w:rFonts w:ascii="Arial" w:eastAsia="Arial" w:hAnsi="Arial" w:cs="Arial"/>
          <w:color w:val="000000"/>
          <w:sz w:val="20"/>
        </w:rPr>
        <w:t>In sum, the district court granted Pier 1 Imports summary judgment on all of Chapman's encountered alleged barriers, finding that either (1) the ADA/ADAAG did  [**7] not cover the alleged barrier, or (2) the Store was in compliance with federal guidelines. The district court granted Pier 1 Imports summary judgment on all unencountered barriers but seven, all arising from either the Accessibility Survey or the Card report. Pier 1 Imports appealed, arguing that Chapman (a) did not have standing to seek relief for the alleged violations for which he received summary judgment, and (b) could not seek relief for alleged accessibility violations not included in his Complaint. Pier 1 Imports also asserts that the district court (c) should not have exercised supplemental jurisdiction over Chapman's state law claims, (d) should not have relied on contested testimony in support of Chapman's motion for summary judgment, and (e) erred in awarding Chapman damages and attorneys' fees.</w:t>
      </w:r>
    </w:p>
    <w:p w:rsidR="006E038D" w:rsidRDefault="00000000">
      <w:pPr>
        <w:pStyle w:val="Normal1"/>
        <w:widowControl w:val="0"/>
        <w:spacing w:before="240" w:line="260" w:lineRule="atLeast"/>
      </w:pPr>
      <w:r>
        <w:br/>
      </w:r>
      <w:r>
        <w:rPr>
          <w:rFonts w:ascii="Arial" w:eastAsia="Arial" w:hAnsi="Arial" w:cs="Arial"/>
          <w:b/>
          <w:color w:val="000000"/>
          <w:sz w:val="20"/>
        </w:rPr>
        <w:t>II. STANDARD OF REVIEW</w:t>
      </w:r>
    </w:p>
    <w:p w:rsidR="006E038D" w:rsidRDefault="00000000">
      <w:pPr>
        <w:pStyle w:val="Normal1"/>
        <w:widowControl w:val="0"/>
        <w:spacing w:before="200" w:line="260" w:lineRule="atLeast"/>
        <w:jc w:val="both"/>
      </w:pPr>
      <w:bookmarkStart w:id="238" w:name="Bookmark_para_14_0"/>
      <w:bookmarkStart w:id="239" w:name="Bookmark_I4WT9XF80K1MNJ0BD0000400"/>
      <w:bookmarkEnd w:id="238"/>
      <w:bookmarkEnd w:id="239"/>
      <w:r>
        <w:rPr>
          <w:rFonts w:ascii="Arial" w:eastAsia="Arial" w:hAnsi="Arial" w:cs="Arial"/>
          <w:color w:val="000000"/>
          <w:sz w:val="20"/>
        </w:rPr>
        <w:t>Because we do not have jurisdiction over this case if Chapman does not have standing to bring his claims, we review standing before moving to the other issues on appeal.</w:t>
      </w:r>
      <w:bookmarkStart w:id="240" w:name="Bookmark_LNHNREFclscc1_0"/>
      <w:bookmarkEnd w:id="240"/>
      <w:r>
        <w:rPr>
          <w:rFonts w:ascii="Arial" w:eastAsia="Arial" w:hAnsi="Arial" w:cs="Arial"/>
          <w:color w:val="000000"/>
          <w:sz w:val="20"/>
        </w:rPr>
        <w:t xml:space="preserve"> We review de novo the district court's determination that Chapman had standing to bring his claims. </w:t>
      </w:r>
      <w:bookmarkStart w:id="241" w:name="Bookmark_I4WT9XF80K1MNJ0BC0000400"/>
      <w:bookmarkEnd w:id="241"/>
      <w:r>
        <w:rPr>
          <w:rFonts w:ascii="Arial" w:eastAsia="Arial" w:hAnsi="Arial" w:cs="Arial"/>
          <w:i/>
          <w:color w:val="000000"/>
          <w:sz w:val="20"/>
        </w:rPr>
        <w:t>Doran v. 7-Eleven, Inc</w:t>
      </w:r>
      <w:r>
        <w:rPr>
          <w:rFonts w:ascii="Arial" w:eastAsia="Arial" w:hAnsi="Arial" w:cs="Arial"/>
          <w:color w:val="000000"/>
          <w:sz w:val="20"/>
        </w:rPr>
        <w:t>., 524 F.3d 1034, 1039 (9th Cir. 2008).</w:t>
      </w:r>
    </w:p>
    <w:p w:rsidR="006E038D" w:rsidRDefault="00000000">
      <w:pPr>
        <w:pStyle w:val="Normal1"/>
        <w:widowControl w:val="0"/>
        <w:spacing w:before="240" w:line="260" w:lineRule="atLeast"/>
      </w:pPr>
      <w:r>
        <w:br/>
      </w:r>
      <w:r>
        <w:rPr>
          <w:rFonts w:ascii="Arial" w:eastAsia="Arial" w:hAnsi="Arial" w:cs="Arial"/>
          <w:color w:val="000000"/>
          <w:sz w:val="20"/>
        </w:rPr>
        <w:t xml:space="preserve"> [*857]  </w:t>
      </w:r>
      <w:r>
        <w:rPr>
          <w:rFonts w:ascii="Arial" w:eastAsia="Arial" w:hAnsi="Arial" w:cs="Arial"/>
          <w:b/>
          <w:color w:val="000000"/>
          <w:sz w:val="20"/>
        </w:rPr>
        <w:t>III. DISCUSSION</w:t>
      </w:r>
    </w:p>
    <w:p w:rsidR="006E038D" w:rsidRDefault="00000000">
      <w:pPr>
        <w:pStyle w:val="Normal1"/>
        <w:widowControl w:val="0"/>
        <w:spacing w:before="200" w:line="260" w:lineRule="atLeast"/>
        <w:jc w:val="both"/>
      </w:pPr>
      <w:bookmarkStart w:id="242" w:name="Bookmark_para_15_0"/>
      <w:bookmarkStart w:id="243" w:name="Bookmark_I7NG9W1RSM4000042S700001"/>
      <w:bookmarkStart w:id="244" w:name="Bookmark_I4WT9XF80K1MNJ0C10000400"/>
      <w:bookmarkStart w:id="245" w:name="Bookmark_LNHNREFclscc2_0"/>
      <w:bookmarkEnd w:id="242"/>
      <w:bookmarkEnd w:id="243"/>
      <w:bookmarkEnd w:id="244"/>
      <w:bookmarkEnd w:id="245"/>
      <w:r>
        <w:rPr>
          <w:rFonts w:ascii="Arial" w:eastAsia="Arial" w:hAnsi="Arial" w:cs="Arial"/>
          <w:color w:val="000000"/>
          <w:sz w:val="20"/>
        </w:rPr>
        <w:t xml:space="preserve">Under Article III of the United States Constitution,  [**8] a plaintiff must have standing to bring a case in federal court. In order to have standing, Chapman must show that he suffered an injury in fact, that there is a causal connection between his injury and Pier 1 Imports's conduct, and that it must be likely, as opposed to merely speculative, that Chapman's injury will be redressed by a favorable court decision. </w:t>
      </w:r>
      <w:bookmarkStart w:id="246" w:name="Bookmark_I4WT9XF80K1MNJ0C30000400"/>
      <w:bookmarkStart w:id="247" w:name="Bookmark_I4WT9XF80K1MNJ0BF0000400"/>
      <w:bookmarkEnd w:id="246"/>
      <w:bookmarkEnd w:id="247"/>
      <w:r>
        <w:rPr>
          <w:rFonts w:ascii="Arial" w:eastAsia="Arial" w:hAnsi="Arial" w:cs="Arial"/>
          <w:i/>
          <w:color w:val="000000"/>
          <w:sz w:val="20"/>
        </w:rPr>
        <w:t>Pickern v. Holiday Quality Foods, Inc. (Holiday Quality Foods</w:t>
      </w:r>
      <w:r>
        <w:rPr>
          <w:rFonts w:ascii="Arial" w:eastAsia="Arial" w:hAnsi="Arial" w:cs="Arial"/>
          <w:color w:val="000000"/>
          <w:sz w:val="20"/>
        </w:rPr>
        <w:t xml:space="preserve">), 293 F.3d 1133, 1137 (9th Cir. 2007) (quotations and citations omitted). </w:t>
      </w:r>
      <w:bookmarkStart w:id="248" w:name="Bookmark_I4WT9XF80K1MNJ0C30000400_2"/>
      <w:bookmarkEnd w:id="248"/>
      <w:r>
        <w:rPr>
          <w:rFonts w:ascii="Arial" w:eastAsia="Arial" w:hAnsi="Arial" w:cs="Arial"/>
          <w:color w:val="000000"/>
          <w:sz w:val="20"/>
        </w:rPr>
        <w:t xml:space="preserve">It is clear that Chapman had standing to sue Pier 1 Imports for not complying with the ADA with respect to the five alleged barriers he claimed to have encountered. </w:t>
      </w:r>
      <w:r>
        <w:rPr>
          <w:rFonts w:ascii="Arial" w:eastAsia="Arial" w:hAnsi="Arial" w:cs="Arial"/>
          <w:i/>
          <w:color w:val="000000"/>
          <w:sz w:val="20"/>
        </w:rPr>
        <w:t xml:space="preserve">See, e.g., </w:t>
      </w:r>
      <w:bookmarkStart w:id="249" w:name="Bookmark_I4WT9XF80K1MNJ0C20000400"/>
      <w:bookmarkEnd w:id="249"/>
      <w:r>
        <w:rPr>
          <w:rFonts w:ascii="Arial" w:eastAsia="Arial" w:hAnsi="Arial" w:cs="Arial"/>
          <w:i/>
          <w:color w:val="000000"/>
          <w:sz w:val="20"/>
        </w:rPr>
        <w:t>Doran</w:t>
      </w:r>
      <w:r>
        <w:rPr>
          <w:rFonts w:ascii="Arial" w:eastAsia="Arial" w:hAnsi="Arial" w:cs="Arial"/>
          <w:color w:val="000000"/>
          <w:sz w:val="20"/>
        </w:rPr>
        <w:t xml:space="preserve">, 524 F.3d at 1041-42 (citing </w:t>
      </w:r>
      <w:bookmarkStart w:id="250" w:name="Bookmark_I4WT9XF80K1MNJ0C40000400"/>
      <w:bookmarkEnd w:id="250"/>
      <w:r>
        <w:rPr>
          <w:rFonts w:ascii="Arial" w:eastAsia="Arial" w:hAnsi="Arial" w:cs="Arial"/>
          <w:i/>
          <w:color w:val="000000"/>
          <w:sz w:val="20"/>
        </w:rPr>
        <w:t>Lujan v. Defenders of Wildlife</w:t>
      </w:r>
      <w:r>
        <w:rPr>
          <w:rFonts w:ascii="Arial" w:eastAsia="Arial" w:hAnsi="Arial" w:cs="Arial"/>
          <w:color w:val="000000"/>
          <w:sz w:val="20"/>
        </w:rPr>
        <w:t xml:space="preserve">, 504 U.S. 555, 560, 112 S. Ct. 2130, 119 L. Ed. 2d 351 (1992); </w:t>
      </w:r>
      <w:bookmarkStart w:id="251" w:name="Bookmark_I4WT9XF80K1MNJ0CJ0000400"/>
      <w:bookmarkEnd w:id="251"/>
      <w:r>
        <w:rPr>
          <w:rFonts w:ascii="Arial" w:eastAsia="Arial" w:hAnsi="Arial" w:cs="Arial"/>
          <w:i/>
          <w:color w:val="000000"/>
          <w:sz w:val="20"/>
        </w:rPr>
        <w:t>Holiday Quality Foods</w:t>
      </w:r>
      <w:r>
        <w:rPr>
          <w:rFonts w:ascii="Arial" w:eastAsia="Arial" w:hAnsi="Arial" w:cs="Arial"/>
          <w:color w:val="000000"/>
          <w:sz w:val="20"/>
        </w:rPr>
        <w:t>, 293 F.3d at 1138).</w:t>
      </w:r>
    </w:p>
    <w:p w:rsidR="006E038D" w:rsidRDefault="00000000">
      <w:pPr>
        <w:pStyle w:val="Normal1"/>
        <w:widowControl w:val="0"/>
        <w:spacing w:before="200" w:line="260" w:lineRule="atLeast"/>
        <w:jc w:val="both"/>
      </w:pPr>
      <w:bookmarkStart w:id="252" w:name="Bookmark_para_16_0"/>
      <w:bookmarkStart w:id="253" w:name="Bookmark_I4WT9XF80K1MNJ0CN0000400"/>
      <w:bookmarkEnd w:id="252"/>
      <w:bookmarkEnd w:id="253"/>
      <w:r>
        <w:rPr>
          <w:rFonts w:ascii="Arial" w:eastAsia="Arial" w:hAnsi="Arial" w:cs="Arial"/>
          <w:color w:val="000000"/>
          <w:sz w:val="20"/>
        </w:rPr>
        <w:t xml:space="preserve">Though Chapman had standing to sue Pier 1 Imports for its alleged ADA violations that he personally encountered, "there remains a question, however, about the </w:t>
      </w:r>
      <w:r>
        <w:rPr>
          <w:rFonts w:ascii="Arial" w:eastAsia="Arial" w:hAnsi="Arial" w:cs="Arial"/>
          <w:i/>
          <w:color w:val="000000"/>
          <w:sz w:val="20"/>
        </w:rPr>
        <w:t>scope</w:t>
      </w:r>
      <w:r>
        <w:rPr>
          <w:rFonts w:ascii="Arial" w:eastAsia="Arial" w:hAnsi="Arial" w:cs="Arial"/>
          <w:color w:val="000000"/>
          <w:sz w:val="20"/>
        </w:rPr>
        <w:t xml:space="preserve"> of the barriers that [Chapman] may challenge." </w:t>
      </w:r>
      <w:bookmarkStart w:id="254" w:name="Bookmark_I4WT9XF80K1MNJ0CM0000400"/>
      <w:bookmarkEnd w:id="254"/>
      <w:r>
        <w:rPr>
          <w:rFonts w:ascii="Arial" w:eastAsia="Arial" w:hAnsi="Arial" w:cs="Arial"/>
          <w:i/>
          <w:color w:val="000000"/>
          <w:sz w:val="20"/>
        </w:rPr>
        <w:t>Id</w:t>
      </w:r>
      <w:r>
        <w:rPr>
          <w:rFonts w:ascii="Arial" w:eastAsia="Arial" w:hAnsi="Arial" w:cs="Arial"/>
          <w:color w:val="000000"/>
          <w:sz w:val="20"/>
        </w:rPr>
        <w:t>. at 1042  [**9] (emphasis added). This question of scope concerns whether Chapman had standing to challenge Pier 1 Imports's ADA compliance with respect to un-encountered alleged barriers.</w:t>
      </w:r>
    </w:p>
    <w:p w:rsidR="006E038D" w:rsidRDefault="00000000">
      <w:pPr>
        <w:pStyle w:val="Normal1"/>
        <w:widowControl w:val="0"/>
        <w:spacing w:before="200" w:line="260" w:lineRule="atLeast"/>
        <w:jc w:val="both"/>
      </w:pPr>
      <w:bookmarkStart w:id="255" w:name="Bookmark_para_17_0"/>
      <w:bookmarkStart w:id="256" w:name="Bookmark_I7NG9W1S979000042S700002"/>
      <w:bookmarkStart w:id="257" w:name="Bookmark_I4WT9XF80K1MNJ0CX0000400"/>
      <w:bookmarkEnd w:id="255"/>
      <w:bookmarkEnd w:id="256"/>
      <w:bookmarkEnd w:id="257"/>
      <w:r>
        <w:rPr>
          <w:rFonts w:ascii="Arial" w:eastAsia="Arial" w:hAnsi="Arial" w:cs="Arial"/>
          <w:color w:val="000000"/>
          <w:sz w:val="20"/>
        </w:rPr>
        <w:t xml:space="preserve">In order to show that he has standing to challenge these additional claims, Chapman must make the same showing with respect to these claims as he made with respect to the encountered alleged barriers. He must show that (1) he suffered an injury in fact, (2) there is a causal connection between his injury and the additional claims, and (3) it must be likely, as opposed to merely speculative, that Chapman's injury will be redressed by a favorable court decision. </w:t>
      </w:r>
      <w:bookmarkStart w:id="258" w:name="Bookmark_I4WT9XF80K1MNJ0CP0000400"/>
      <w:bookmarkEnd w:id="258"/>
      <w:r>
        <w:rPr>
          <w:rFonts w:ascii="Arial" w:eastAsia="Arial" w:hAnsi="Arial" w:cs="Arial"/>
          <w:i/>
          <w:color w:val="000000"/>
          <w:sz w:val="20"/>
        </w:rPr>
        <w:t>Holiday Quality Foods</w:t>
      </w:r>
      <w:r>
        <w:rPr>
          <w:rFonts w:ascii="Arial" w:eastAsia="Arial" w:hAnsi="Arial" w:cs="Arial"/>
          <w:color w:val="000000"/>
          <w:sz w:val="20"/>
        </w:rPr>
        <w:t xml:space="preserve">, 293 F.3d at 1137 (quotations and citations omitted). The second and third elements are not at issue. If Chapman can show an injury under the ADA, he can also show that Pier 1 Imports's noncompliance with the ADA caused his injury, and an injunction requiring Pier 1 Imports to comply with the ADA would redress it. </w:t>
      </w:r>
      <w:r>
        <w:rPr>
          <w:rFonts w:ascii="Arial" w:eastAsia="Arial" w:hAnsi="Arial" w:cs="Arial"/>
          <w:i/>
          <w:color w:val="000000"/>
          <w:sz w:val="20"/>
        </w:rPr>
        <w:t>Id</w:t>
      </w:r>
      <w:r>
        <w:rPr>
          <w:rFonts w:ascii="Arial" w:eastAsia="Arial" w:hAnsi="Arial" w:cs="Arial"/>
          <w:color w:val="000000"/>
          <w:sz w:val="20"/>
        </w:rPr>
        <w:t>.</w:t>
      </w:r>
    </w:p>
    <w:p w:rsidR="006E038D" w:rsidRDefault="00000000">
      <w:pPr>
        <w:pStyle w:val="Normal1"/>
        <w:widowControl w:val="0"/>
        <w:spacing w:before="200" w:line="260" w:lineRule="atLeast"/>
        <w:jc w:val="both"/>
      </w:pPr>
      <w:bookmarkStart w:id="259" w:name="Bookmark_para_18_0"/>
      <w:bookmarkStart w:id="260" w:name="Bookmark_I7NG9W1TNYM000042S70000D"/>
      <w:bookmarkStart w:id="261" w:name="Bookmark_I4WT9XF80K1MNJ0D00000400"/>
      <w:bookmarkStart w:id="262" w:name="Bookmark_I4WT9XF80K1MNJ0DG0000400"/>
      <w:bookmarkStart w:id="263" w:name="Bookmark_LNHNREFclscc3_0"/>
      <w:bookmarkEnd w:id="259"/>
      <w:bookmarkEnd w:id="260"/>
      <w:bookmarkEnd w:id="261"/>
      <w:bookmarkEnd w:id="262"/>
      <w:bookmarkEnd w:id="263"/>
      <w:r>
        <w:rPr>
          <w:rFonts w:ascii="Arial" w:eastAsia="Arial" w:hAnsi="Arial" w:cs="Arial"/>
          <w:color w:val="000000"/>
          <w:sz w:val="20"/>
        </w:rPr>
        <w:t xml:space="preserve">In order to meet the Article III injury requirement, Chapman must show that the un-encountered alleged barriers caused him an "injury in fact--an invasion of a legally protected interest which is (a) concrete and particularized,  [**10] and (b) actual or imminent, not conjectural or hypothetical." </w:t>
      </w:r>
      <w:bookmarkStart w:id="264" w:name="Bookmark_I4WT9XF80K1MNJ0CY0000400"/>
      <w:bookmarkEnd w:id="264"/>
      <w:r>
        <w:rPr>
          <w:rFonts w:ascii="Arial" w:eastAsia="Arial" w:hAnsi="Arial" w:cs="Arial"/>
          <w:i/>
          <w:color w:val="000000"/>
          <w:sz w:val="20"/>
        </w:rPr>
        <w:t>Id</w:t>
      </w:r>
      <w:r>
        <w:rPr>
          <w:rFonts w:ascii="Arial" w:eastAsia="Arial" w:hAnsi="Arial" w:cs="Arial"/>
          <w:color w:val="000000"/>
          <w:sz w:val="20"/>
        </w:rPr>
        <w:t xml:space="preserve">. (citing </w:t>
      </w:r>
      <w:bookmarkStart w:id="265" w:name="Bookmark_I4WT9XF80K1MNJ0D10000400"/>
      <w:bookmarkEnd w:id="265"/>
      <w:r>
        <w:rPr>
          <w:rFonts w:ascii="Arial" w:eastAsia="Arial" w:hAnsi="Arial" w:cs="Arial"/>
          <w:i/>
          <w:color w:val="000000"/>
          <w:sz w:val="20"/>
        </w:rPr>
        <w:t>Lujan</w:t>
      </w:r>
      <w:r>
        <w:rPr>
          <w:rFonts w:ascii="Arial" w:eastAsia="Arial" w:hAnsi="Arial" w:cs="Arial"/>
          <w:color w:val="000000"/>
          <w:sz w:val="20"/>
        </w:rPr>
        <w:t xml:space="preserve">, 504 U.S. at 560-61 (internal citations and quotation marks omitted)). In order to be considered "particularized," the "injury must affect [Chapman] in a personal and individual way." </w:t>
      </w:r>
      <w:r>
        <w:rPr>
          <w:rFonts w:ascii="Arial" w:eastAsia="Arial" w:hAnsi="Arial" w:cs="Arial"/>
          <w:i/>
          <w:color w:val="000000"/>
          <w:sz w:val="20"/>
        </w:rPr>
        <w:t>Id</w:t>
      </w:r>
      <w:r>
        <w:rPr>
          <w:rFonts w:ascii="Arial" w:eastAsia="Arial" w:hAnsi="Arial" w:cs="Arial"/>
          <w:color w:val="000000"/>
          <w:sz w:val="20"/>
        </w:rPr>
        <w:t xml:space="preserve">. (citing </w:t>
      </w:r>
      <w:bookmarkStart w:id="266" w:name="Bookmark_I4WT9XF80K1MNJ0DF0000400"/>
      <w:bookmarkEnd w:id="266"/>
      <w:r>
        <w:rPr>
          <w:rFonts w:ascii="Arial" w:eastAsia="Arial" w:hAnsi="Arial" w:cs="Arial"/>
          <w:i/>
          <w:color w:val="000000"/>
          <w:sz w:val="20"/>
        </w:rPr>
        <w:t>Lujan</w:t>
      </w:r>
      <w:r>
        <w:rPr>
          <w:rFonts w:ascii="Arial" w:eastAsia="Arial" w:hAnsi="Arial" w:cs="Arial"/>
          <w:color w:val="000000"/>
          <w:sz w:val="20"/>
        </w:rPr>
        <w:t xml:space="preserve">, 504 U.S. at 560 n.1). In the context of the ADA, Chapman "must himself suffer an injury as a result of [Pier 1 Imports's Store's] noncompliance with the ADA." </w:t>
      </w:r>
      <w:r>
        <w:rPr>
          <w:rFonts w:ascii="Arial" w:eastAsia="Arial" w:hAnsi="Arial" w:cs="Arial"/>
          <w:i/>
          <w:color w:val="000000"/>
          <w:sz w:val="20"/>
        </w:rPr>
        <w:t>Id</w:t>
      </w:r>
      <w:r>
        <w:rPr>
          <w:rFonts w:ascii="Arial" w:eastAsia="Arial" w:hAnsi="Arial" w:cs="Arial"/>
          <w:color w:val="000000"/>
          <w:sz w:val="20"/>
        </w:rPr>
        <w:t>.</w:t>
      </w:r>
    </w:p>
    <w:p w:rsidR="006E038D" w:rsidRDefault="00000000">
      <w:pPr>
        <w:pStyle w:val="Normal1"/>
        <w:widowControl w:val="0"/>
        <w:spacing w:before="200" w:line="260" w:lineRule="atLeast"/>
        <w:jc w:val="both"/>
      </w:pPr>
      <w:bookmarkStart w:id="267" w:name="Bookmark_para_19_0"/>
      <w:bookmarkStart w:id="268" w:name="Bookmark_I4WT9XF80K1MNJ0DJ0000400"/>
      <w:bookmarkEnd w:id="267"/>
      <w:bookmarkEnd w:id="268"/>
      <w:r>
        <w:rPr>
          <w:rFonts w:ascii="Arial" w:eastAsia="Arial" w:hAnsi="Arial" w:cs="Arial"/>
          <w:color w:val="000000"/>
          <w:sz w:val="20"/>
        </w:rPr>
        <w:t xml:space="preserve">It is clear that Chapman did not suffer an injury in the traditional sense, because he did not personally encounter any of the alleged barriers here appealed. This fact does not, however, mean he could not have been injured by them under Ninth Circuit precedent, which allows for a finding of injury under the "deterrent effect" doctrine. </w:t>
      </w:r>
      <w:r>
        <w:rPr>
          <w:rFonts w:ascii="Arial" w:eastAsia="Arial" w:hAnsi="Arial" w:cs="Arial"/>
          <w:i/>
          <w:color w:val="000000"/>
          <w:sz w:val="20"/>
        </w:rPr>
        <w:t xml:space="preserve">See </w:t>
      </w:r>
      <w:bookmarkStart w:id="269" w:name="Bookmark_I4WT9XF80K1MNJ0DH0000400"/>
      <w:bookmarkEnd w:id="269"/>
      <w:r>
        <w:rPr>
          <w:rFonts w:ascii="Arial" w:eastAsia="Arial" w:hAnsi="Arial" w:cs="Arial"/>
          <w:i/>
          <w:color w:val="000000"/>
          <w:sz w:val="20"/>
        </w:rPr>
        <w:t>Holiday Quality Foods</w:t>
      </w:r>
      <w:r>
        <w:rPr>
          <w:rFonts w:ascii="Arial" w:eastAsia="Arial" w:hAnsi="Arial" w:cs="Arial"/>
          <w:color w:val="000000"/>
          <w:sz w:val="20"/>
        </w:rPr>
        <w:t>, 293 F.3d at 1137-38.</w:t>
      </w:r>
    </w:p>
    <w:p w:rsidR="006E038D" w:rsidRDefault="00000000">
      <w:pPr>
        <w:pStyle w:val="Normal1"/>
        <w:widowControl w:val="0"/>
        <w:spacing w:before="200" w:line="260" w:lineRule="atLeast"/>
        <w:jc w:val="both"/>
      </w:pPr>
      <w:bookmarkStart w:id="270" w:name="Bookmark_para_20_0"/>
      <w:bookmarkStart w:id="271" w:name="Bookmark_I7NG9W1SGBC000042S700003"/>
      <w:bookmarkStart w:id="272" w:name="Bookmark_I7NG9W1SMGK000042S700004"/>
      <w:bookmarkStart w:id="273" w:name="Bookmark_I4WT9XF80K1MNJ0F00000400"/>
      <w:bookmarkStart w:id="274" w:name="Bookmark_LNHNREFclscc4_0"/>
      <w:bookmarkEnd w:id="270"/>
      <w:bookmarkEnd w:id="271"/>
      <w:bookmarkEnd w:id="272"/>
      <w:bookmarkEnd w:id="273"/>
      <w:bookmarkEnd w:id="274"/>
      <w:r>
        <w:rPr>
          <w:rFonts w:ascii="Arial" w:eastAsia="Arial" w:hAnsi="Arial" w:cs="Arial"/>
          <w:i/>
          <w:color w:val="000000"/>
          <w:sz w:val="20"/>
        </w:rPr>
        <w:t>Holiday Quality Foods</w:t>
      </w:r>
      <w:r>
        <w:rPr>
          <w:rFonts w:ascii="Arial" w:eastAsia="Arial" w:hAnsi="Arial" w:cs="Arial"/>
          <w:color w:val="000000"/>
          <w:sz w:val="20"/>
        </w:rPr>
        <w:t xml:space="preserve"> established the Ninth Circuit doctrine that, though Chapman did not suffer an injury in the traditional sense, he may derive an injury from alleged barriers he did not encounter due to the "deterrent effect" of those he did encounter. </w:t>
      </w:r>
      <w:r>
        <w:rPr>
          <w:rFonts w:ascii="Arial" w:eastAsia="Arial" w:hAnsi="Arial" w:cs="Arial"/>
          <w:i/>
          <w:color w:val="000000"/>
          <w:sz w:val="20"/>
        </w:rPr>
        <w:t>Id</w:t>
      </w:r>
      <w:r>
        <w:rPr>
          <w:rFonts w:ascii="Arial" w:eastAsia="Arial" w:hAnsi="Arial" w:cs="Arial"/>
          <w:color w:val="000000"/>
          <w:sz w:val="20"/>
        </w:rPr>
        <w:t xml:space="preserve">. The deterrent effect doctrine states that, when a disabled person  [*858]  encounters accessibility barriers in a facility  [**11] and would return to that facility if it were accessible, he or she has been injured by the deterrent effect of the barriers actually encountered </w:t>
      </w:r>
      <w:r>
        <w:rPr>
          <w:rFonts w:ascii="Arial" w:eastAsia="Arial" w:hAnsi="Arial" w:cs="Arial"/>
          <w:i/>
          <w:color w:val="000000"/>
          <w:sz w:val="20"/>
        </w:rPr>
        <w:t>and</w:t>
      </w:r>
      <w:r>
        <w:rPr>
          <w:rFonts w:ascii="Arial" w:eastAsia="Arial" w:hAnsi="Arial" w:cs="Arial"/>
          <w:color w:val="000000"/>
          <w:sz w:val="20"/>
        </w:rPr>
        <w:t xml:space="preserve"> additional barriers he or she might expect to encounter on future visits. </w:t>
      </w:r>
      <w:r>
        <w:rPr>
          <w:rFonts w:ascii="Arial" w:eastAsia="Arial" w:hAnsi="Arial" w:cs="Arial"/>
          <w:i/>
          <w:color w:val="000000"/>
          <w:sz w:val="20"/>
        </w:rPr>
        <w:t xml:space="preserve">See </w:t>
      </w:r>
      <w:bookmarkStart w:id="275" w:name="Bookmark_I4WT9XF80K1MNJ0DK0000400"/>
      <w:bookmarkEnd w:id="275"/>
      <w:r>
        <w:rPr>
          <w:rFonts w:ascii="Arial" w:eastAsia="Arial" w:hAnsi="Arial" w:cs="Arial"/>
          <w:i/>
          <w:color w:val="000000"/>
          <w:sz w:val="20"/>
        </w:rPr>
        <w:t>Doran</w:t>
      </w:r>
      <w:r>
        <w:rPr>
          <w:rFonts w:ascii="Arial" w:eastAsia="Arial" w:hAnsi="Arial" w:cs="Arial"/>
          <w:color w:val="000000"/>
          <w:sz w:val="20"/>
        </w:rPr>
        <w:t xml:space="preserve">, 524 F.3d at 1045; </w:t>
      </w:r>
      <w:bookmarkStart w:id="276" w:name="Bookmark_I4WT9XF80K1MNJ0F10000400"/>
      <w:bookmarkEnd w:id="276"/>
      <w:r>
        <w:rPr>
          <w:rFonts w:ascii="Arial" w:eastAsia="Arial" w:hAnsi="Arial" w:cs="Arial"/>
          <w:i/>
          <w:color w:val="000000"/>
          <w:sz w:val="20"/>
        </w:rPr>
        <w:t>Holiday Quality Foods</w:t>
      </w:r>
      <w:r>
        <w:rPr>
          <w:rFonts w:ascii="Arial" w:eastAsia="Arial" w:hAnsi="Arial" w:cs="Arial"/>
          <w:color w:val="000000"/>
          <w:sz w:val="20"/>
        </w:rPr>
        <w:t xml:space="preserve">, 293 F.3d at 1138. Moreover, the doctrine holds that it is impractical and inefficient to expect that a person, who is deterred from entering a facility, because he or she has encountered accessibility barriers, would attempt to re-enter the facility and to experience each ADA violation related to his or her disability. </w:t>
      </w:r>
      <w:r>
        <w:rPr>
          <w:rFonts w:ascii="Arial" w:eastAsia="Arial" w:hAnsi="Arial" w:cs="Arial"/>
          <w:vertAlign w:val="superscript"/>
        </w:rPr>
        <w:footnoteReference w:customMarkFollows="1" w:id="4"/>
        <w:t>2</w:t>
      </w:r>
      <w:r>
        <w:rPr>
          <w:rFonts w:ascii="Arial" w:eastAsia="Arial" w:hAnsi="Arial" w:cs="Arial"/>
          <w:color w:val="000000"/>
          <w:sz w:val="20"/>
        </w:rPr>
        <w:t xml:space="preserve"> </w:t>
      </w:r>
    </w:p>
    <w:p w:rsidR="006E038D" w:rsidRDefault="00000000">
      <w:pPr>
        <w:pStyle w:val="Normal1"/>
        <w:widowControl w:val="0"/>
        <w:spacing w:before="200" w:line="260" w:lineRule="atLeast"/>
        <w:jc w:val="both"/>
      </w:pPr>
      <w:bookmarkStart w:id="280" w:name="Bookmark_para_21_0"/>
      <w:bookmarkStart w:id="281" w:name="Bookmark_I7NG9W1SS7R000042S700005"/>
      <w:bookmarkStart w:id="282" w:name="Bookmark_I4WT9XF80K1MNJ0FJ0000400"/>
      <w:bookmarkEnd w:id="280"/>
      <w:bookmarkEnd w:id="281"/>
      <w:bookmarkEnd w:id="282"/>
      <w:r>
        <w:rPr>
          <w:rFonts w:ascii="Arial" w:eastAsia="Arial" w:hAnsi="Arial" w:cs="Arial"/>
          <w:color w:val="000000"/>
          <w:sz w:val="20"/>
        </w:rPr>
        <w:t xml:space="preserve">Accordingly, </w:t>
      </w:r>
      <w:bookmarkStart w:id="283" w:name="Bookmark_LNHNREFclscc5_0"/>
      <w:bookmarkEnd w:id="283"/>
      <w:r>
        <w:rPr>
          <w:rFonts w:ascii="Arial" w:eastAsia="Arial" w:hAnsi="Arial" w:cs="Arial"/>
          <w:color w:val="000000"/>
          <w:sz w:val="20"/>
        </w:rPr>
        <w:t xml:space="preserve">by "stating that he is currently deterred from attempting to gain access to the [defendant's] store, [an ADA plaintiff] state[s] sufficient facts to show concrete, particularized injury," not only for the barriers he alleged to  [**12] have encountered, but for those he would have encountered but for the deterrent effect of those he did. </w:t>
      </w:r>
      <w:bookmarkStart w:id="284" w:name="Bookmark_I4WT9XF80K1MNJ0FH0000400"/>
      <w:bookmarkEnd w:id="284"/>
      <w:r>
        <w:rPr>
          <w:rFonts w:ascii="Arial" w:eastAsia="Arial" w:hAnsi="Arial" w:cs="Arial"/>
          <w:i/>
          <w:color w:val="000000"/>
          <w:sz w:val="20"/>
        </w:rPr>
        <w:t>Holiday Quality Foods</w:t>
      </w:r>
      <w:r>
        <w:rPr>
          <w:rFonts w:ascii="Arial" w:eastAsia="Arial" w:hAnsi="Arial" w:cs="Arial"/>
          <w:color w:val="000000"/>
          <w:sz w:val="20"/>
        </w:rPr>
        <w:t xml:space="preserve">, 293 F.3d at 1137-38. </w:t>
      </w:r>
      <w:bookmarkStart w:id="285" w:name="Bookmark_I7NG9W1T1HH000042S700007"/>
      <w:bookmarkStart w:id="286" w:name="Bookmark_I4WT9XF80K1MNJ0FM0000400"/>
      <w:bookmarkEnd w:id="285"/>
      <w:bookmarkEnd w:id="286"/>
      <w:r>
        <w:rPr>
          <w:rFonts w:ascii="Arial" w:eastAsia="Arial" w:hAnsi="Arial" w:cs="Arial"/>
          <w:i/>
          <w:color w:val="000000"/>
          <w:sz w:val="20"/>
        </w:rPr>
        <w:t>Doran</w:t>
      </w:r>
      <w:r>
        <w:rPr>
          <w:rFonts w:ascii="Arial" w:eastAsia="Arial" w:hAnsi="Arial" w:cs="Arial"/>
          <w:color w:val="000000"/>
          <w:sz w:val="20"/>
        </w:rPr>
        <w:t xml:space="preserve"> clarified and arguably expanded this rule, holding that:</w:t>
      </w:r>
    </w:p>
    <w:p w:rsidR="006E038D" w:rsidRDefault="00000000">
      <w:pPr>
        <w:pStyle w:val="Normal1"/>
        <w:widowControl w:val="0"/>
        <w:spacing w:before="200" w:line="260" w:lineRule="atLeast"/>
        <w:ind w:left="400"/>
        <w:jc w:val="both"/>
      </w:pPr>
      <w:bookmarkStart w:id="287" w:name="Bookmark_para_22_0"/>
      <w:bookmarkStart w:id="288" w:name="Bookmark_I4WT9XF80K1MNJ0FM0000400_2"/>
      <w:bookmarkStart w:id="289" w:name="Bookmark_I4WT9XF80K1MNJ0FJ0000400_2"/>
      <w:bookmarkStart w:id="290" w:name="Bookmark_LNHNREFclscc6_0"/>
      <w:bookmarkEnd w:id="287"/>
      <w:bookmarkEnd w:id="288"/>
      <w:bookmarkEnd w:id="289"/>
      <w:bookmarkEnd w:id="290"/>
      <w:r>
        <w:rPr>
          <w:rFonts w:ascii="Arial" w:eastAsia="Arial" w:hAnsi="Arial" w:cs="Arial"/>
          <w:color w:val="000000"/>
          <w:sz w:val="20"/>
        </w:rPr>
        <w:t xml:space="preserve">An ADA plaintiff who has encountered or has personal knowledge of at least one barrier related to his or her disability when he or she files a complaint, </w:t>
      </w:r>
      <w:r>
        <w:rPr>
          <w:rFonts w:ascii="Arial" w:eastAsia="Arial" w:hAnsi="Arial" w:cs="Arial"/>
          <w:i/>
          <w:color w:val="000000"/>
          <w:sz w:val="20"/>
        </w:rPr>
        <w:t>and who has been deterred from attempting to gain access to the public accommodation because of that barrier</w:t>
      </w:r>
      <w:r>
        <w:rPr>
          <w:rFonts w:ascii="Arial" w:eastAsia="Arial" w:hAnsi="Arial" w:cs="Arial"/>
          <w:color w:val="000000"/>
          <w:sz w:val="20"/>
        </w:rPr>
        <w:t>, has suffered an injury in fact for the purpose of Article III. An ADA plaintiff who has Article III standing as a result of at least one barrier at a place of public accommodation may, in one suit, permissibly challenge all barriers in that public accommodation that are related to his or her specific disability.</w:t>
      </w:r>
    </w:p>
    <w:p w:rsidR="006E038D" w:rsidRDefault="00000000">
      <w:pPr>
        <w:pStyle w:val="Normal1"/>
        <w:widowControl w:val="0"/>
        <w:spacing w:before="200" w:line="260" w:lineRule="atLeast"/>
        <w:jc w:val="both"/>
      </w:pPr>
      <w:bookmarkStart w:id="291" w:name="Bookmark_I4WT9XF80K1MNJ0FM0000400_3"/>
      <w:bookmarkStart w:id="292" w:name="Bookmark_I4WT9XF80K1MNJ0FK0000400"/>
      <w:bookmarkEnd w:id="291"/>
      <w:bookmarkEnd w:id="292"/>
      <w:r>
        <w:rPr>
          <w:rFonts w:ascii="Arial" w:eastAsia="Arial" w:hAnsi="Arial" w:cs="Arial"/>
          <w:i/>
          <w:color w:val="000000"/>
          <w:sz w:val="20"/>
        </w:rPr>
        <w:t>Doran</w:t>
      </w:r>
      <w:r>
        <w:rPr>
          <w:rFonts w:ascii="Arial" w:eastAsia="Arial" w:hAnsi="Arial" w:cs="Arial"/>
          <w:color w:val="000000"/>
          <w:sz w:val="20"/>
        </w:rPr>
        <w:t xml:space="preserve">, 524 F.3d at 1047 (citations omitted) (emphasis added). Similarly, because Chapman encountered alleged barriers related to his disability, he has suffered an injury in fact for the purposes of Article III if he can show that at least one of these barriers "deterred [him] from attempting to gain access to [the Store]." </w:t>
      </w:r>
      <w:r>
        <w:rPr>
          <w:rFonts w:ascii="Arial" w:eastAsia="Arial" w:hAnsi="Arial" w:cs="Arial"/>
          <w:i/>
          <w:color w:val="000000"/>
          <w:sz w:val="20"/>
        </w:rPr>
        <w:t>Id</w:t>
      </w:r>
      <w:r>
        <w:rPr>
          <w:rFonts w:ascii="Arial" w:eastAsia="Arial" w:hAnsi="Arial" w:cs="Arial"/>
          <w:color w:val="000000"/>
          <w:sz w:val="20"/>
        </w:rPr>
        <w:t>.</w:t>
      </w:r>
    </w:p>
    <w:p w:rsidR="006E038D" w:rsidRDefault="00000000">
      <w:pPr>
        <w:pStyle w:val="Normal1"/>
        <w:widowControl w:val="0"/>
        <w:spacing w:before="200" w:line="260" w:lineRule="atLeast"/>
        <w:jc w:val="both"/>
      </w:pPr>
      <w:bookmarkStart w:id="293" w:name="Bookmark_para_23_0"/>
      <w:bookmarkStart w:id="294" w:name="Bookmark_I4WT9XF80K1MNJ0FP0000400"/>
      <w:bookmarkEnd w:id="293"/>
      <w:bookmarkEnd w:id="294"/>
      <w:r>
        <w:rPr>
          <w:rFonts w:ascii="Arial" w:eastAsia="Arial" w:hAnsi="Arial" w:cs="Arial"/>
          <w:color w:val="000000"/>
          <w:sz w:val="20"/>
        </w:rPr>
        <w:t xml:space="preserve">Though the unverified Complaint alleged that the barriers (he claims to have encountered)  [**13] deterred him from re-entering the Store, Chapman testified otherwise in his depositions. In these depositions, Chapman admits that the encountered alleged barriers did not deter him from visiting the Store or using the restroom; that he intended to return to the Store in the future; and that he may already have done so. We must consider Chapman's deposition testimony, not the assertions made in his Complaint, as the relevant evidence to determine whether the encountered alleged barriers deterred Chapman from gaining access to the Store. </w:t>
      </w:r>
      <w:bookmarkStart w:id="295" w:name="Bookmark_I7NG9W1TD8P000042S70000B"/>
      <w:bookmarkStart w:id="296" w:name="Bookmark_I4WT9XF80K1MNJ0FS0000400"/>
      <w:bookmarkEnd w:id="295"/>
      <w:bookmarkEnd w:id="296"/>
      <w:r>
        <w:rPr>
          <w:rFonts w:ascii="Arial" w:eastAsia="Arial" w:hAnsi="Arial" w:cs="Arial"/>
          <w:i/>
          <w:color w:val="000000"/>
          <w:sz w:val="20"/>
        </w:rPr>
        <w:t xml:space="preserve">See </w:t>
      </w:r>
      <w:bookmarkStart w:id="297" w:name="Bookmark_I4WT9XF80K1MNJ0FN0000400"/>
      <w:bookmarkEnd w:id="297"/>
      <w:r>
        <w:rPr>
          <w:rFonts w:ascii="Arial" w:eastAsia="Arial" w:hAnsi="Arial" w:cs="Arial"/>
          <w:i/>
          <w:color w:val="000000"/>
          <w:sz w:val="20"/>
        </w:rPr>
        <w:t>Flaherty v. Warehousemen, Garage &amp; Service Station Employees' Local Union No. 334</w:t>
      </w:r>
      <w:r>
        <w:rPr>
          <w:rFonts w:ascii="Arial" w:eastAsia="Arial" w:hAnsi="Arial" w:cs="Arial"/>
          <w:color w:val="000000"/>
          <w:sz w:val="20"/>
        </w:rPr>
        <w:t>, 574 F.2d 484, 486 n.2 (9th Cir. 1978) (</w:t>
      </w:r>
      <w:bookmarkStart w:id="298" w:name="Bookmark_LNHNREFclscc7_0"/>
      <w:bookmarkEnd w:id="298"/>
      <w:r>
        <w:rPr>
          <w:rFonts w:ascii="Arial" w:eastAsia="Arial" w:hAnsi="Arial" w:cs="Arial"/>
          <w:color w:val="000000"/>
          <w:sz w:val="20"/>
        </w:rPr>
        <w:t xml:space="preserve">assertions made in the complaint, legal memoranda, or oral argument are not evidence and do not create issues of fact). </w:t>
      </w:r>
      <w:bookmarkStart w:id="299" w:name="Bookmark_I4WT9XF80K1MNJ0FS0000400_2"/>
      <w:bookmarkEnd w:id="299"/>
      <w:r>
        <w:rPr>
          <w:rFonts w:ascii="Arial" w:eastAsia="Arial" w:hAnsi="Arial" w:cs="Arial"/>
          <w:color w:val="000000"/>
          <w:sz w:val="20"/>
        </w:rPr>
        <w:t xml:space="preserve">Chapman's statements instead indicate that, although he was aware of alleged barriers, he would visit the Store again--and the barriers presented so little problem to him that Chapman could not remember whether he had already re-visited the Store. </w:t>
      </w:r>
      <w:bookmarkStart w:id="300" w:name="Bookmark_I7NG9W1TTTG000042S70000F"/>
      <w:bookmarkStart w:id="301" w:name="Bookmark_I4WT9XF80K1MNJ0FV0000400"/>
      <w:bookmarkEnd w:id="300"/>
      <w:bookmarkEnd w:id="301"/>
      <w:r>
        <w:rPr>
          <w:rFonts w:ascii="Arial" w:eastAsia="Arial" w:hAnsi="Arial" w:cs="Arial"/>
          <w:color w:val="000000"/>
          <w:sz w:val="20"/>
        </w:rPr>
        <w:t xml:space="preserve">Accordingly, Chapman has, by his own admission, not been "deterred from attempting  [*859]  to gain access to [the Store]. . . ." </w:t>
      </w:r>
      <w:bookmarkStart w:id="302" w:name="Bookmark_I4WT9XF80K1MNJ0FR0000400"/>
      <w:bookmarkEnd w:id="302"/>
      <w:r>
        <w:rPr>
          <w:rFonts w:ascii="Arial" w:eastAsia="Arial" w:hAnsi="Arial" w:cs="Arial"/>
          <w:i/>
          <w:color w:val="000000"/>
          <w:sz w:val="20"/>
        </w:rPr>
        <w:t>Doran</w:t>
      </w:r>
      <w:r>
        <w:rPr>
          <w:rFonts w:ascii="Arial" w:eastAsia="Arial" w:hAnsi="Arial" w:cs="Arial"/>
          <w:color w:val="000000"/>
          <w:sz w:val="20"/>
        </w:rPr>
        <w:t xml:space="preserve">, 524 F.3d at 1047 (citation omitted). </w:t>
      </w:r>
      <w:bookmarkStart w:id="303" w:name="Bookmark_I4WT9XF80K1MNJ0FV0000400_2"/>
      <w:bookmarkStart w:id="304" w:name="Bookmark_I4WT9XF80K1MNJ0G30000400"/>
      <w:bookmarkEnd w:id="303"/>
      <w:bookmarkEnd w:id="304"/>
      <w:r>
        <w:rPr>
          <w:rFonts w:ascii="Arial" w:eastAsia="Arial" w:hAnsi="Arial" w:cs="Arial"/>
          <w:color w:val="000000"/>
          <w:sz w:val="20"/>
        </w:rPr>
        <w:t xml:space="preserve"> [**14] Because Chapman has not "been deterred from attempting to gain access to [the Store] because of [the encountered] barrier[s]," Chapman has not suffered an injury in fact for the purposes of Article III. </w:t>
      </w:r>
      <w:r>
        <w:rPr>
          <w:rFonts w:ascii="Arial" w:eastAsia="Arial" w:hAnsi="Arial" w:cs="Arial"/>
          <w:i/>
          <w:color w:val="000000"/>
          <w:sz w:val="20"/>
        </w:rPr>
        <w:t>Id</w:t>
      </w:r>
      <w:r>
        <w:rPr>
          <w:rFonts w:ascii="Arial" w:eastAsia="Arial" w:hAnsi="Arial" w:cs="Arial"/>
          <w:color w:val="000000"/>
          <w:sz w:val="20"/>
        </w:rPr>
        <w:t xml:space="preserve">. (citation omitted). The facts from Chapman's deposition testimony are much different from the facts in </w:t>
      </w:r>
      <w:bookmarkStart w:id="305" w:name="Bookmark_I4WT9XF80K1MNJ0FT0000400"/>
      <w:bookmarkEnd w:id="305"/>
      <w:r>
        <w:rPr>
          <w:rFonts w:ascii="Arial" w:eastAsia="Arial" w:hAnsi="Arial" w:cs="Arial"/>
          <w:i/>
          <w:color w:val="000000"/>
          <w:sz w:val="20"/>
        </w:rPr>
        <w:t>Holiday Quality Foods</w:t>
      </w:r>
      <w:r>
        <w:rPr>
          <w:rFonts w:ascii="Arial" w:eastAsia="Arial" w:hAnsi="Arial" w:cs="Arial"/>
          <w:color w:val="000000"/>
          <w:sz w:val="20"/>
        </w:rPr>
        <w:t xml:space="preserve">. </w:t>
      </w:r>
      <w:bookmarkStart w:id="306" w:name="Bookmark_I4WT9XF80K1MNJ0G30000400_2"/>
      <w:bookmarkEnd w:id="306"/>
      <w:r>
        <w:rPr>
          <w:rFonts w:ascii="Arial" w:eastAsia="Arial" w:hAnsi="Arial" w:cs="Arial"/>
          <w:color w:val="000000"/>
          <w:sz w:val="20"/>
        </w:rPr>
        <w:t xml:space="preserve">In </w:t>
      </w:r>
      <w:r>
        <w:rPr>
          <w:rFonts w:ascii="Arial" w:eastAsia="Arial" w:hAnsi="Arial" w:cs="Arial"/>
          <w:i/>
          <w:color w:val="000000"/>
          <w:sz w:val="20"/>
        </w:rPr>
        <w:t>Holiday Quality Foods</w:t>
      </w:r>
      <w:r>
        <w:rPr>
          <w:rFonts w:ascii="Arial" w:eastAsia="Arial" w:hAnsi="Arial" w:cs="Arial"/>
          <w:color w:val="000000"/>
          <w:sz w:val="20"/>
        </w:rPr>
        <w:t xml:space="preserve">, the plaintiff "state[d] that he prefers to shop at Holiday markets and that he would shop at the Paradise market if it were accessible" to him. </w:t>
      </w:r>
      <w:bookmarkStart w:id="307" w:name="Bookmark_I4WT9XF80K1MNJ0G20000400"/>
      <w:bookmarkEnd w:id="307"/>
      <w:r>
        <w:rPr>
          <w:rFonts w:ascii="Arial" w:eastAsia="Arial" w:hAnsi="Arial" w:cs="Arial"/>
          <w:color w:val="000000"/>
          <w:sz w:val="20"/>
        </w:rPr>
        <w:t>293 F.3d at 1138. The Paradise market's lack of accessibility prevented the plaintiff from using the facility that he preferred to use, and, but for a lack of accessibility, he would visit the facility.</w:t>
      </w:r>
    </w:p>
    <w:p w:rsidR="006E038D" w:rsidRDefault="00000000">
      <w:pPr>
        <w:pStyle w:val="Normal1"/>
        <w:widowControl w:val="0"/>
        <w:spacing w:before="200" w:line="260" w:lineRule="atLeast"/>
        <w:jc w:val="both"/>
      </w:pPr>
      <w:bookmarkStart w:id="308" w:name="Bookmark_para_24_0"/>
      <w:bookmarkEnd w:id="308"/>
      <w:r>
        <w:rPr>
          <w:rFonts w:ascii="Arial" w:eastAsia="Arial" w:hAnsi="Arial" w:cs="Arial"/>
          <w:color w:val="000000"/>
          <w:sz w:val="20"/>
        </w:rPr>
        <w:t>We therefore conclude that the Ninth Circuit's prudential standing doctrine--based on the premise that a person who is deterred from visiting a public accommodation cannot find all the barriers in that accommodation--is not applicable. Chapman did not have standing to pursue unencountered alleged barriers.</w:t>
      </w:r>
    </w:p>
    <w:p w:rsidR="006E038D" w:rsidRDefault="00000000">
      <w:pPr>
        <w:pStyle w:val="Normal1"/>
        <w:widowControl w:val="0"/>
        <w:spacing w:before="240" w:line="260" w:lineRule="atLeast"/>
      </w:pPr>
      <w:r>
        <w:br/>
      </w:r>
      <w:r>
        <w:rPr>
          <w:rFonts w:ascii="Arial" w:eastAsia="Arial" w:hAnsi="Arial" w:cs="Arial"/>
          <w:b/>
          <w:color w:val="000000"/>
          <w:sz w:val="20"/>
        </w:rPr>
        <w:t>IV. CONCLUSION</w:t>
      </w:r>
    </w:p>
    <w:p w:rsidR="006E038D" w:rsidRDefault="00000000">
      <w:pPr>
        <w:pStyle w:val="Normal1"/>
        <w:widowControl w:val="0"/>
        <w:spacing w:before="200" w:line="260" w:lineRule="atLeast"/>
        <w:jc w:val="both"/>
      </w:pPr>
      <w:bookmarkStart w:id="309" w:name="Bookmark_para_25_0"/>
      <w:bookmarkStart w:id="310" w:name="Bookmark_I5YHC2JY2SF7WD0010000400"/>
      <w:bookmarkEnd w:id="309"/>
      <w:bookmarkEnd w:id="310"/>
      <w:r>
        <w:rPr>
          <w:rFonts w:ascii="Arial" w:eastAsia="Arial" w:hAnsi="Arial" w:cs="Arial"/>
          <w:color w:val="000000"/>
          <w:sz w:val="20"/>
        </w:rPr>
        <w:t>In sum, we hold that the district court improperly extended the prudential standing doctrine to Chapman's unencountered alleged barriers. Despite encountering some alleged barriers,  [**15] Chapman was not deterred from shopping at the Pier 1 Imports Store or from using its restroom facilities. Accordingly, we reverse the district court.</w:t>
      </w:r>
    </w:p>
    <w:p w:rsidR="006E038D" w:rsidRDefault="00000000">
      <w:pPr>
        <w:pStyle w:val="Normal1"/>
        <w:widowControl w:val="0"/>
        <w:spacing w:before="200" w:line="260" w:lineRule="atLeast"/>
        <w:jc w:val="both"/>
      </w:pPr>
      <w:bookmarkStart w:id="311" w:name="Bookmark_para_26_0"/>
      <w:bookmarkEnd w:id="311"/>
      <w:r>
        <w:rPr>
          <w:rFonts w:ascii="Arial" w:eastAsia="Arial" w:hAnsi="Arial" w:cs="Arial"/>
          <w:color w:val="000000"/>
          <w:sz w:val="20"/>
        </w:rPr>
        <w:t>Because Chapman did not have standing to pursue the unencountered claims in federal court, and because the district court properly granted Pier 1 Imports summary judgment on all the alleged barriers Chapman encountered, all other issues in this case are moot.</w:t>
      </w:r>
    </w:p>
    <w:p w:rsidR="006E038D" w:rsidRDefault="00000000">
      <w:pPr>
        <w:pStyle w:val="Normal1"/>
        <w:widowControl w:val="0"/>
        <w:spacing w:before="200" w:line="260" w:lineRule="atLeast"/>
        <w:jc w:val="both"/>
      </w:pPr>
      <w:bookmarkStart w:id="312" w:name="Bookmark_para_27_0"/>
      <w:bookmarkEnd w:id="312"/>
      <w:r>
        <w:rPr>
          <w:rFonts w:ascii="Arial" w:eastAsia="Arial" w:hAnsi="Arial" w:cs="Arial"/>
          <w:b/>
          <w:color w:val="000000"/>
          <w:sz w:val="20"/>
        </w:rPr>
        <w:t>REVERSED</w:t>
      </w:r>
      <w:r>
        <w:rPr>
          <w:rFonts w:ascii="Arial" w:eastAsia="Arial" w:hAnsi="Arial" w:cs="Arial"/>
          <w:color w:val="000000"/>
          <w:sz w:val="20"/>
        </w:rPr>
        <w:t>.</w:t>
      </w:r>
    </w:p>
    <w:p w:rsidR="006E038D" w:rsidRDefault="006E038D">
      <w:pPr>
        <w:pStyle w:val="Normal1"/>
      </w:pPr>
    </w:p>
    <w:p w:rsidR="006E038D" w:rsidRDefault="00000000">
      <w:pPr>
        <w:pStyle w:val="Normal1"/>
        <w:ind w:left="200"/>
        <w:sectPr w:rsidR="006E038D">
          <w:type w:val="continuous"/>
          <w:pgSz w:w="12240" w:h="15840"/>
          <w:pgMar w:top="840" w:right="1000" w:bottom="840" w:left="1000" w:header="400" w:footer="400" w:gutter="0"/>
          <w:cols w:num="2" w:space="240"/>
        </w:sectPr>
      </w:pPr>
      <w:r>
        <w:br/>
      </w:r>
      <w:r w:rsidR="008C3211">
        <w:rPr>
          <w:noProof/>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05403156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07B348" id="Line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6E038D" w:rsidRDefault="006E038D">
      <w:pPr>
        <w:pStyle w:val="Normal2"/>
        <w:sectPr w:rsidR="006E038D">
          <w:headerReference w:type="even" r:id="rId18"/>
          <w:headerReference w:type="default" r:id="rId19"/>
          <w:footerReference w:type="even" r:id="rId20"/>
          <w:footerReference w:type="default" r:id="rId21"/>
          <w:headerReference w:type="first" r:id="rId22"/>
          <w:footerReference w:type="first" r:id="rId23"/>
          <w:pgSz w:w="12240" w:h="15840"/>
          <w:pgMar w:top="840" w:right="1000" w:bottom="840" w:left="1000" w:header="400" w:footer="400" w:gutter="0"/>
          <w:cols w:space="720"/>
          <w:titlePg/>
        </w:sectPr>
      </w:pPr>
    </w:p>
    <w:p w:rsidR="006E038D" w:rsidRDefault="006E038D">
      <w:pPr>
        <w:pStyle w:val="Normal2"/>
      </w:pPr>
    </w:p>
    <w:p w:rsidR="006E038D" w:rsidRDefault="00000000">
      <w:pPr>
        <w:pStyle w:val="Heading11"/>
        <w:keepNext w:val="0"/>
        <w:widowControl w:val="0"/>
        <w:spacing w:after="200" w:line="340" w:lineRule="atLeast"/>
        <w:jc w:val="center"/>
      </w:pPr>
      <w:r>
        <w:rPr>
          <w:rFonts w:eastAsia="Arial"/>
          <w:color w:val="000000"/>
          <w:sz w:val="28"/>
        </w:rPr>
        <w:t>Lonberg v. City of Riverside</w:t>
      </w:r>
    </w:p>
    <w:p w:rsidR="006E038D" w:rsidRDefault="00000000">
      <w:pPr>
        <w:pStyle w:val="Normal2"/>
        <w:widowControl w:val="0"/>
        <w:spacing w:before="120" w:line="260" w:lineRule="atLeast"/>
        <w:jc w:val="center"/>
      </w:pPr>
      <w:r>
        <w:rPr>
          <w:rFonts w:ascii="Arial" w:eastAsia="Arial" w:hAnsi="Arial" w:cs="Arial"/>
          <w:color w:val="000000"/>
          <w:sz w:val="20"/>
        </w:rPr>
        <w:t>United States Court of Appeals for the Ninth Circuit</w:t>
      </w:r>
    </w:p>
    <w:p w:rsidR="006E038D" w:rsidRDefault="00000000">
      <w:pPr>
        <w:pStyle w:val="Normal2"/>
        <w:widowControl w:val="0"/>
        <w:spacing w:before="120" w:line="260" w:lineRule="atLeast"/>
        <w:jc w:val="center"/>
      </w:pPr>
      <w:r>
        <w:rPr>
          <w:rFonts w:ascii="Arial" w:eastAsia="Arial" w:hAnsi="Arial" w:cs="Arial"/>
          <w:color w:val="000000"/>
          <w:sz w:val="20"/>
        </w:rPr>
        <w:t>February 2, 2009, Argued and Submitted, Pasadena, California; June 26, 2009, Filed</w:t>
      </w:r>
    </w:p>
    <w:p w:rsidR="006E038D" w:rsidRDefault="00000000">
      <w:pPr>
        <w:pStyle w:val="Normal2"/>
        <w:widowControl w:val="0"/>
        <w:spacing w:before="120" w:line="260" w:lineRule="atLeast"/>
        <w:jc w:val="center"/>
        <w:sectPr w:rsidR="006E038D">
          <w:type w:val="continuous"/>
          <w:pgSz w:w="12240" w:h="15840"/>
          <w:pgMar w:top="840" w:right="1000" w:bottom="840" w:left="1000" w:header="400" w:footer="400" w:gutter="0"/>
          <w:cols w:space="240"/>
        </w:sectPr>
      </w:pPr>
      <w:r>
        <w:rPr>
          <w:rFonts w:ascii="Arial" w:eastAsia="Arial" w:hAnsi="Arial" w:cs="Arial"/>
          <w:color w:val="000000"/>
          <w:sz w:val="20"/>
        </w:rPr>
        <w:t>No. 06-55781</w:t>
      </w:r>
    </w:p>
    <w:p w:rsidR="006E038D" w:rsidRDefault="006E038D">
      <w:pPr>
        <w:pStyle w:val="Normal2"/>
        <w:widowControl w:val="0"/>
        <w:spacing w:line="240" w:lineRule="atLeast"/>
        <w:jc w:val="both"/>
      </w:pPr>
      <w:bookmarkStart w:id="313" w:name="Bookmark_3"/>
      <w:bookmarkEnd w:id="313"/>
    </w:p>
    <w:p w:rsidR="006E038D" w:rsidRDefault="00000000">
      <w:pPr>
        <w:pStyle w:val="Normal2"/>
        <w:widowControl w:val="0"/>
        <w:spacing w:before="200" w:line="240" w:lineRule="atLeast"/>
      </w:pPr>
      <w:bookmarkStart w:id="314" w:name="Reporter_1"/>
      <w:bookmarkEnd w:id="314"/>
      <w:r>
        <w:rPr>
          <w:rFonts w:ascii="Arial" w:eastAsia="Arial" w:hAnsi="Arial" w:cs="Arial"/>
          <w:b/>
          <w:color w:val="000000"/>
          <w:sz w:val="18"/>
        </w:rPr>
        <w:t>Reporter</w:t>
      </w:r>
    </w:p>
    <w:p w:rsidR="006E038D" w:rsidRDefault="00000000">
      <w:pPr>
        <w:pStyle w:val="Normal2"/>
        <w:widowControl w:val="0"/>
        <w:spacing w:line="240" w:lineRule="atLeast"/>
        <w:sectPr w:rsidR="006E038D">
          <w:type w:val="continuous"/>
          <w:pgSz w:w="12240" w:h="15840"/>
          <w:pgMar w:top="840" w:right="1000" w:bottom="840" w:left="1000" w:header="400" w:footer="400" w:gutter="0"/>
          <w:cols w:space="240"/>
        </w:sectPr>
      </w:pPr>
      <w:r>
        <w:rPr>
          <w:rFonts w:ascii="Arial" w:eastAsia="Arial" w:hAnsi="Arial" w:cs="Arial"/>
          <w:color w:val="000000"/>
          <w:sz w:val="18"/>
        </w:rPr>
        <w:t>571 F.3d 846 *; 2009 U.S. App. LEXIS 13823 **; 22 Am. Disabilities Cas. (BNA) 169</w:t>
      </w:r>
    </w:p>
    <w:p w:rsidR="006E038D" w:rsidRDefault="00000000">
      <w:pPr>
        <w:pStyle w:val="Normal2"/>
        <w:widowControl w:val="0"/>
        <w:spacing w:before="120" w:line="260" w:lineRule="atLeast"/>
      </w:pPr>
      <w:r>
        <w:rPr>
          <w:rFonts w:ascii="Arial" w:eastAsia="Arial" w:hAnsi="Arial" w:cs="Arial"/>
          <w:color w:val="000000"/>
          <w:sz w:val="20"/>
        </w:rPr>
        <w:t>JOHN LONBERG, an individual, Plaintiff-Appellee, v. CITY OF RIVERSIDE, a municipal corporation, Defendant-Appellant.</w:t>
      </w:r>
    </w:p>
    <w:p w:rsidR="006E038D" w:rsidRDefault="00000000">
      <w:pPr>
        <w:pStyle w:val="Normal2"/>
        <w:widowControl w:val="0"/>
        <w:spacing w:before="240" w:line="260" w:lineRule="atLeast"/>
      </w:pPr>
      <w:bookmarkStart w:id="315" w:name="Subsequent_History_0"/>
      <w:bookmarkEnd w:id="315"/>
      <w:r>
        <w:rPr>
          <w:rFonts w:ascii="Arial" w:eastAsia="Arial" w:hAnsi="Arial" w:cs="Arial"/>
          <w:b/>
          <w:color w:val="000000"/>
          <w:sz w:val="20"/>
        </w:rPr>
        <w:t>Subsequent History:</w:t>
      </w:r>
      <w:r>
        <w:rPr>
          <w:rFonts w:ascii="Arial" w:eastAsia="Arial" w:hAnsi="Arial" w:cs="Arial"/>
          <w:color w:val="000000"/>
          <w:sz w:val="20"/>
        </w:rPr>
        <w:t> US Supreme Court certiorari denied by Lonberg v. City of Riverside, 2010 U.S. LEXIS 6408 (U.S., Oct. 4, 2010)</w:t>
      </w:r>
    </w:p>
    <w:p w:rsidR="006E038D" w:rsidRDefault="00000000">
      <w:pPr>
        <w:pStyle w:val="Normal2"/>
        <w:widowControl w:val="0"/>
        <w:spacing w:before="240" w:line="260" w:lineRule="atLeast"/>
        <w:jc w:val="both"/>
      </w:pPr>
      <w:bookmarkStart w:id="316" w:name="Prior_History_1"/>
      <w:bookmarkEnd w:id="316"/>
      <w:r>
        <w:rPr>
          <w:rFonts w:ascii="Arial" w:eastAsia="Arial" w:hAnsi="Arial" w:cs="Arial"/>
          <w:b/>
          <w:color w:val="000000"/>
          <w:sz w:val="20"/>
        </w:rPr>
        <w:t>Prior History:</w:t>
      </w:r>
      <w:r>
        <w:rPr>
          <w:rFonts w:ascii="Arial" w:eastAsia="Arial" w:hAnsi="Arial" w:cs="Arial"/>
          <w:color w:val="000000"/>
          <w:sz w:val="20"/>
        </w:rPr>
        <w:t>  [**1] </w:t>
      </w:r>
      <w:bookmarkStart w:id="317" w:name="Bookmark_para_1_1"/>
      <w:bookmarkEnd w:id="317"/>
      <w:r>
        <w:rPr>
          <w:rFonts w:ascii="Arial" w:eastAsia="Arial" w:hAnsi="Arial" w:cs="Arial"/>
          <w:color w:val="000000"/>
          <w:sz w:val="20"/>
        </w:rPr>
        <w:t>Appeal from the United States District Court for the Central District of California. D.C. No. CV-97-00237-SGL. Stephen G. Larson, District Judge, Presiding.</w:t>
      </w:r>
    </w:p>
    <w:p w:rsidR="006E038D" w:rsidRDefault="00000000">
      <w:pPr>
        <w:pStyle w:val="Normal2"/>
        <w:widowControl w:val="0"/>
        <w:spacing w:before="120" w:line="260" w:lineRule="atLeast"/>
      </w:pPr>
      <w:r>
        <w:rPr>
          <w:rFonts w:ascii="Arial" w:eastAsia="Arial" w:hAnsi="Arial" w:cs="Arial"/>
          <w:color w:val="000000"/>
          <w:sz w:val="20"/>
        </w:rPr>
        <w:t>Lonberg v. City of Riverside, 2007 U.S. Dist. LEXIS 38824 (C.D. Cal., May 15, 2007)</w:t>
      </w:r>
    </w:p>
    <w:p w:rsidR="006E038D" w:rsidRDefault="00000000">
      <w:pPr>
        <w:pStyle w:val="Normal2"/>
        <w:widowControl w:val="0"/>
        <w:spacing w:before="240" w:line="260" w:lineRule="atLeast"/>
      </w:pPr>
      <w:bookmarkStart w:id="318" w:name="Counsel_1"/>
      <w:bookmarkEnd w:id="318"/>
      <w:r>
        <w:rPr>
          <w:rFonts w:ascii="Arial" w:eastAsia="Arial" w:hAnsi="Arial" w:cs="Arial"/>
          <w:b/>
          <w:color w:val="000000"/>
          <w:sz w:val="20"/>
        </w:rPr>
        <w:t>Counsel:</w:t>
      </w:r>
      <w:r>
        <w:rPr>
          <w:rFonts w:ascii="Arial" w:eastAsia="Arial" w:hAnsi="Arial" w:cs="Arial"/>
          <w:color w:val="000000"/>
          <w:sz w:val="20"/>
        </w:rPr>
        <w:t> Gregory F. Hurley and Stacey L. Herter of Greenberg Traurig, LLP, Costa Mesa, California, for the defendant-appellant.</w:t>
      </w:r>
    </w:p>
    <w:p w:rsidR="006E038D" w:rsidRDefault="00000000">
      <w:pPr>
        <w:pStyle w:val="Normal2"/>
        <w:widowControl w:val="0"/>
        <w:spacing w:before="120" w:line="260" w:lineRule="atLeast"/>
      </w:pPr>
      <w:r>
        <w:rPr>
          <w:rFonts w:ascii="Arial" w:eastAsia="Arial" w:hAnsi="Arial" w:cs="Arial"/>
          <w:color w:val="000000"/>
          <w:sz w:val="20"/>
        </w:rPr>
        <w:t>Terry J. Kilpatrick, San Luis Obispo, California, and Page Wellcome, Cardiff-by-the-Sea, California, for the plaintiff-appellee.</w:t>
      </w:r>
    </w:p>
    <w:p w:rsidR="006E038D" w:rsidRDefault="00000000">
      <w:pPr>
        <w:pStyle w:val="Normal2"/>
        <w:widowControl w:val="0"/>
        <w:spacing w:before="240" w:line="260" w:lineRule="atLeast"/>
      </w:pPr>
      <w:bookmarkStart w:id="319" w:name="Judges_1"/>
      <w:bookmarkEnd w:id="319"/>
      <w:r>
        <w:rPr>
          <w:rFonts w:ascii="Arial" w:eastAsia="Arial" w:hAnsi="Arial" w:cs="Arial"/>
          <w:b/>
          <w:color w:val="000000"/>
          <w:sz w:val="20"/>
        </w:rPr>
        <w:t>Judges:</w:t>
      </w:r>
      <w:r>
        <w:rPr>
          <w:rFonts w:ascii="Arial" w:eastAsia="Arial" w:hAnsi="Arial" w:cs="Arial"/>
          <w:color w:val="000000"/>
          <w:sz w:val="20"/>
        </w:rPr>
        <w:t> Before: Cynthia Holcomb Hall, Barry G. Silverman and Consuelo M. Callahan, Circuit Judges. Opinion by Judge Callahan; Dissent by Judge Silverman.</w:t>
      </w:r>
    </w:p>
    <w:p w:rsidR="006E038D" w:rsidRDefault="00000000">
      <w:pPr>
        <w:pStyle w:val="Normal2"/>
        <w:widowControl w:val="0"/>
        <w:spacing w:before="240" w:line="260" w:lineRule="atLeast"/>
      </w:pPr>
      <w:bookmarkStart w:id="320" w:name="Opinion_by_1"/>
      <w:bookmarkEnd w:id="320"/>
      <w:r>
        <w:rPr>
          <w:rFonts w:ascii="Arial" w:eastAsia="Arial" w:hAnsi="Arial" w:cs="Arial"/>
          <w:b/>
          <w:color w:val="000000"/>
          <w:sz w:val="20"/>
        </w:rPr>
        <w:t>Opinion by:</w:t>
      </w:r>
      <w:r>
        <w:rPr>
          <w:rFonts w:ascii="Arial" w:eastAsia="Arial" w:hAnsi="Arial" w:cs="Arial"/>
          <w:color w:val="000000"/>
          <w:sz w:val="20"/>
        </w:rPr>
        <w:t> Consuelo M. Callahan</w:t>
      </w:r>
    </w:p>
    <w:p w:rsidR="006E038D" w:rsidRDefault="00000000">
      <w:pPr>
        <w:pStyle w:val="Normal2"/>
        <w:keepNext/>
        <w:widowControl w:val="0"/>
        <w:spacing w:before="240" w:line="340" w:lineRule="atLeast"/>
      </w:pPr>
      <w:bookmarkStart w:id="321" w:name="Opinion_1"/>
      <w:bookmarkEnd w:id="321"/>
      <w:r>
        <w:rPr>
          <w:rFonts w:ascii="Arial" w:eastAsia="Arial" w:hAnsi="Arial" w:cs="Arial"/>
          <w:b/>
          <w:color w:val="000000"/>
          <w:sz w:val="28"/>
        </w:rPr>
        <w:t>Opinion</w:t>
      </w:r>
    </w:p>
    <w:p w:rsidR="006E038D" w:rsidRDefault="008C3211">
      <w:pPr>
        <w:pStyle w:val="Normal2"/>
        <w:spacing w:line="60" w:lineRule="exact"/>
      </w:pP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42332310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C82A1" id="Line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6E038D" w:rsidRDefault="006E038D">
      <w:pPr>
        <w:pStyle w:val="Normal2"/>
      </w:pPr>
    </w:p>
    <w:p w:rsidR="006E038D" w:rsidRDefault="00000000">
      <w:pPr>
        <w:pStyle w:val="Normal2"/>
        <w:widowControl w:val="0"/>
        <w:spacing w:before="200" w:line="260" w:lineRule="atLeast"/>
        <w:jc w:val="both"/>
      </w:pPr>
      <w:bookmarkStart w:id="322" w:name="Bookmark_para_2_1"/>
      <w:bookmarkEnd w:id="322"/>
      <w:r>
        <w:rPr>
          <w:rFonts w:ascii="Arial" w:eastAsia="Arial" w:hAnsi="Arial" w:cs="Arial"/>
          <w:color w:val="000000"/>
          <w:sz w:val="20"/>
        </w:rPr>
        <w:t> [*847]  CALLAHAN, Circuit Judge:</w:t>
      </w:r>
    </w:p>
    <w:p w:rsidR="006E038D" w:rsidRDefault="00000000">
      <w:pPr>
        <w:pStyle w:val="Normal2"/>
        <w:widowControl w:val="0"/>
        <w:spacing w:before="200" w:line="260" w:lineRule="atLeast"/>
        <w:jc w:val="both"/>
      </w:pPr>
      <w:bookmarkStart w:id="323" w:name="Bookmark_para_3_1"/>
      <w:bookmarkEnd w:id="323"/>
      <w:r>
        <w:rPr>
          <w:rFonts w:ascii="Arial" w:eastAsia="Arial" w:hAnsi="Arial" w:cs="Arial"/>
          <w:color w:val="000000"/>
          <w:sz w:val="20"/>
        </w:rPr>
        <w:t>In 1997, John Lonberg ("Lonberg"), a paraplegic, initiated a lawsuit against the City of Riverside ("City"), alleging violations of the Americans with Disabilities Act ("ADA") and its accompanying regulations. The district court divided the lawsuit into three phases. Phase one, the only phase at issue in this appeal, concerns Lonberg's claim that the City's plan to achieve ADA compliance did not meet the standards set forth in 28 C.F.R. § 35.150(d). The district court granted Lonberg's request for a permanent injunction and ordered the City to prepare a transition plan that complies with section 35.150(d).  [**2] The City appeals, arguing that section 35.150(d) is not privately enforceable.</w:t>
      </w:r>
    </w:p>
    <w:p w:rsidR="006E038D" w:rsidRDefault="00000000">
      <w:pPr>
        <w:pStyle w:val="Normal2"/>
        <w:widowControl w:val="0"/>
        <w:spacing w:before="200" w:line="260" w:lineRule="atLeast"/>
        <w:jc w:val="both"/>
      </w:pPr>
      <w:bookmarkStart w:id="324" w:name="Bookmark_para_4_1"/>
      <w:bookmarkStart w:id="325" w:name="Bookmark_I4WSNFDM0K1MNJ4SV0000400"/>
      <w:bookmarkEnd w:id="324"/>
      <w:bookmarkEnd w:id="325"/>
      <w:r>
        <w:rPr>
          <w:rFonts w:ascii="Arial" w:eastAsia="Arial" w:hAnsi="Arial" w:cs="Arial"/>
          <w:color w:val="000000"/>
          <w:sz w:val="20"/>
        </w:rPr>
        <w:t xml:space="preserve">We have jurisdiction pursuant to 28 U.S.C. § 1292(a)(1), </w:t>
      </w:r>
      <w:r>
        <w:rPr>
          <w:rFonts w:ascii="Arial" w:eastAsia="Arial" w:hAnsi="Arial" w:cs="Arial"/>
          <w:i/>
          <w:color w:val="000000"/>
          <w:sz w:val="20"/>
        </w:rPr>
        <w:t xml:space="preserve">see </w:t>
      </w:r>
      <w:bookmarkStart w:id="326" w:name="Bookmark_I4WSNFDM0K1MNJ4ST0000400"/>
      <w:bookmarkEnd w:id="326"/>
      <w:r>
        <w:rPr>
          <w:rFonts w:ascii="Arial" w:eastAsia="Arial" w:hAnsi="Arial" w:cs="Arial"/>
          <w:i/>
          <w:color w:val="000000"/>
          <w:sz w:val="20"/>
        </w:rPr>
        <w:t>Bates v. United Parcel Serv., Inc</w:t>
      </w:r>
      <w:r>
        <w:rPr>
          <w:rFonts w:ascii="Arial" w:eastAsia="Arial" w:hAnsi="Arial" w:cs="Arial"/>
          <w:color w:val="000000"/>
          <w:sz w:val="20"/>
        </w:rPr>
        <w:t>., 511 F.3d 974, 984 (9th [*848]  Cir. 2007), and we REVERSE and VACATE the permanent injunction.</w:t>
      </w:r>
    </w:p>
    <w:p w:rsidR="006E038D" w:rsidRDefault="00000000">
      <w:pPr>
        <w:pStyle w:val="Normal2"/>
        <w:widowControl w:val="0"/>
        <w:spacing w:before="200" w:line="260" w:lineRule="atLeast"/>
        <w:jc w:val="both"/>
      </w:pPr>
      <w:bookmarkStart w:id="327" w:name="Bookmark_para_5_1"/>
      <w:bookmarkEnd w:id="327"/>
      <w:r>
        <w:rPr>
          <w:rFonts w:ascii="Arial" w:eastAsia="Arial" w:hAnsi="Arial" w:cs="Arial"/>
          <w:b/>
          <w:color w:val="000000"/>
          <w:sz w:val="20"/>
        </w:rPr>
        <w:t>I</w:t>
      </w:r>
      <w:r>
        <w:rPr>
          <w:rFonts w:ascii="Arial" w:eastAsia="Arial" w:hAnsi="Arial" w:cs="Arial"/>
          <w:color w:val="000000"/>
          <w:sz w:val="20"/>
        </w:rPr>
        <w:t>.</w:t>
      </w:r>
    </w:p>
    <w:p w:rsidR="006E038D" w:rsidRDefault="00000000">
      <w:pPr>
        <w:pStyle w:val="Normal2"/>
        <w:widowControl w:val="0"/>
        <w:spacing w:before="200" w:line="260" w:lineRule="atLeast"/>
        <w:jc w:val="both"/>
      </w:pPr>
      <w:bookmarkStart w:id="328" w:name="Bookmark_para_6_1"/>
      <w:bookmarkEnd w:id="328"/>
      <w:r>
        <w:rPr>
          <w:rFonts w:ascii="Arial" w:eastAsia="Arial" w:hAnsi="Arial" w:cs="Arial"/>
          <w:color w:val="000000"/>
          <w:sz w:val="20"/>
        </w:rPr>
        <w:t xml:space="preserve">During the first phase of this lawsuit, Lonberg moved for partial summary judgment regarding the City's alleged noncompliance with </w:t>
      </w:r>
      <w:bookmarkStart w:id="329" w:name="Bookmark_LNHNREFclscc1_1"/>
      <w:bookmarkEnd w:id="329"/>
      <w:r>
        <w:rPr>
          <w:rFonts w:ascii="Arial" w:eastAsia="Arial" w:hAnsi="Arial" w:cs="Arial"/>
          <w:color w:val="000000"/>
          <w:sz w:val="20"/>
        </w:rPr>
        <w:t xml:space="preserve">section 35.150(d), which requires public entities to develop a "transition plan" for achieving the ADA's accessibility requirements. </w:t>
      </w:r>
      <w:r>
        <w:rPr>
          <w:rFonts w:ascii="Arial" w:eastAsia="Arial" w:hAnsi="Arial" w:cs="Arial"/>
          <w:vertAlign w:val="superscript"/>
        </w:rPr>
        <w:footnoteReference w:customMarkFollows="1" w:id="5"/>
        <w:t>1</w:t>
      </w:r>
      <w:r>
        <w:rPr>
          <w:rFonts w:ascii="Arial" w:eastAsia="Arial" w:hAnsi="Arial" w:cs="Arial"/>
          <w:color w:val="000000"/>
          <w:sz w:val="20"/>
        </w:rPr>
        <w:t xml:space="preserve"> On June 12, 2000, the district court granted Lonberg's motion, concluding that the City had failed to comply with section 35.150(d). Significantly for purposes of this appeal, in granting Lonberg's motion the district court commented in a footnote that "[p]laintiff ha[d] not requested any specific remedy in connection" with his motion, "and in particular [did] not request[ ] injunctive relief."</w:t>
      </w:r>
    </w:p>
    <w:p w:rsidR="006E038D" w:rsidRDefault="00000000">
      <w:pPr>
        <w:pStyle w:val="Normal2"/>
        <w:widowControl w:val="0"/>
        <w:spacing w:before="200" w:line="260" w:lineRule="atLeast"/>
        <w:jc w:val="both"/>
      </w:pPr>
      <w:bookmarkStart w:id="339" w:name="Bookmark_para_14_1"/>
      <w:bookmarkEnd w:id="339"/>
      <w:r>
        <w:rPr>
          <w:rFonts w:ascii="Arial" w:eastAsia="Arial" w:hAnsi="Arial" w:cs="Arial"/>
          <w:color w:val="000000"/>
          <w:sz w:val="20"/>
        </w:rPr>
        <w:t xml:space="preserve">Lonberg subsequently moved for a preliminary injunction directing the City to prepare an adequate transition plan. For reasons that are not clear from the record before us, the district court deemed Lonberg's motion moot, and set a bench trial for May 2001 on the adequacy of the City's transition plan. Nearly five years after the trial, on March 17, 2006, the district court issued findings of facts and conclusions of law in Lonberg's favor. </w:t>
      </w:r>
      <w:r>
        <w:rPr>
          <w:rFonts w:ascii="Arial" w:eastAsia="Arial" w:hAnsi="Arial" w:cs="Arial"/>
          <w:vertAlign w:val="superscript"/>
        </w:rPr>
        <w:footnoteReference w:customMarkFollows="1" w:id="6"/>
        <w:t>2</w:t>
      </w:r>
      <w:r>
        <w:rPr>
          <w:rFonts w:ascii="Arial" w:eastAsia="Arial" w:hAnsi="Arial" w:cs="Arial"/>
          <w:color w:val="000000"/>
          <w:sz w:val="20"/>
        </w:rPr>
        <w:t xml:space="preserve"> The court found numerous faults with the City's transition plan, including its purported failure to sufficiently identify particular physical obstacles limiting accessibility to the City's streets, intersections, sidewalks and crosswalks. It also faulted the plan for, among other things, failing to describe in sufficient detail the methods the City would use to achieve accessibility. Accordingly, the district court entered a permanent injunction requiring the City to "prepare a transition plan that complies with the ADA and § 35.150."</w:t>
      </w:r>
    </w:p>
    <w:p w:rsidR="006E038D" w:rsidRDefault="00000000">
      <w:pPr>
        <w:pStyle w:val="Normal2"/>
        <w:widowControl w:val="0"/>
        <w:spacing w:before="200" w:line="260" w:lineRule="atLeast"/>
        <w:jc w:val="both"/>
      </w:pPr>
      <w:bookmarkStart w:id="341" w:name="Bookmark_para_15_1"/>
      <w:bookmarkEnd w:id="341"/>
      <w:r>
        <w:rPr>
          <w:rFonts w:ascii="Arial" w:eastAsia="Arial" w:hAnsi="Arial" w:cs="Arial"/>
          <w:color w:val="000000"/>
          <w:sz w:val="20"/>
        </w:rPr>
        <w:t>After the district court entered the permanent injunction, the City moved for a new trial, arguing for the first time that section 35.150(d) is not enforceable through a private cause of action. Despite Lonberg's objection that the City had waived any such argument, the district court denied the City's motion on its merits, holding that "Lonberg does have a  [*849]  private right of action . . . for injunctive relief compelling the City to comply with its obligations under Section 35.150(d)."</w:t>
      </w:r>
    </w:p>
    <w:p w:rsidR="006E038D" w:rsidRDefault="00000000">
      <w:pPr>
        <w:pStyle w:val="Normal2"/>
        <w:widowControl w:val="0"/>
        <w:spacing w:before="200" w:line="260" w:lineRule="atLeast"/>
        <w:jc w:val="both"/>
      </w:pPr>
      <w:bookmarkStart w:id="342" w:name="Bookmark_para_16_1"/>
      <w:bookmarkEnd w:id="342"/>
      <w:r>
        <w:rPr>
          <w:rFonts w:ascii="Arial" w:eastAsia="Arial" w:hAnsi="Arial" w:cs="Arial"/>
          <w:b/>
          <w:color w:val="000000"/>
          <w:sz w:val="20"/>
        </w:rPr>
        <w:t>II</w:t>
      </w:r>
      <w:r>
        <w:rPr>
          <w:rFonts w:ascii="Arial" w:eastAsia="Arial" w:hAnsi="Arial" w:cs="Arial"/>
          <w:color w:val="000000"/>
          <w:sz w:val="20"/>
        </w:rPr>
        <w:t>.</w:t>
      </w:r>
    </w:p>
    <w:p w:rsidR="006E038D" w:rsidRDefault="00000000">
      <w:pPr>
        <w:pStyle w:val="Normal2"/>
        <w:widowControl w:val="0"/>
        <w:spacing w:before="200" w:line="260" w:lineRule="atLeast"/>
        <w:jc w:val="both"/>
      </w:pPr>
      <w:bookmarkStart w:id="343" w:name="Bookmark_para_17_1"/>
      <w:bookmarkEnd w:id="343"/>
      <w:r>
        <w:rPr>
          <w:rFonts w:ascii="Arial" w:eastAsia="Arial" w:hAnsi="Arial" w:cs="Arial"/>
          <w:color w:val="000000"/>
          <w:sz w:val="20"/>
        </w:rPr>
        <w:t>The City appeals, seeking to vacate the permanent injunction based on Lonberg's alleged lack of standing to privately enforce section 35.150(d).</w:t>
      </w:r>
    </w:p>
    <w:p w:rsidR="006E038D" w:rsidRDefault="00000000">
      <w:pPr>
        <w:pStyle w:val="Normal2"/>
        <w:widowControl w:val="0"/>
        <w:spacing w:before="200" w:line="260" w:lineRule="atLeast"/>
        <w:jc w:val="both"/>
      </w:pPr>
      <w:bookmarkStart w:id="344" w:name="Bookmark_para_18_1"/>
      <w:bookmarkEnd w:id="344"/>
      <w:r>
        <w:rPr>
          <w:rFonts w:ascii="Arial" w:eastAsia="Arial" w:hAnsi="Arial" w:cs="Arial"/>
          <w:b/>
          <w:color w:val="000000"/>
          <w:sz w:val="20"/>
        </w:rPr>
        <w:t>A</w:t>
      </w:r>
      <w:r>
        <w:rPr>
          <w:rFonts w:ascii="Arial" w:eastAsia="Arial" w:hAnsi="Arial" w:cs="Arial"/>
          <w:color w:val="000000"/>
          <w:sz w:val="20"/>
        </w:rPr>
        <w:t>.</w:t>
      </w:r>
    </w:p>
    <w:p w:rsidR="006E038D" w:rsidRDefault="00000000">
      <w:pPr>
        <w:pStyle w:val="Normal2"/>
        <w:widowControl w:val="0"/>
        <w:spacing w:before="200" w:line="260" w:lineRule="atLeast"/>
        <w:jc w:val="both"/>
      </w:pPr>
      <w:bookmarkStart w:id="345" w:name="Bookmark_para_19_1"/>
      <w:bookmarkEnd w:id="345"/>
      <w:r>
        <w:rPr>
          <w:rFonts w:ascii="Arial" w:eastAsia="Arial" w:hAnsi="Arial" w:cs="Arial"/>
          <w:color w:val="000000"/>
          <w:sz w:val="20"/>
        </w:rPr>
        <w:t xml:space="preserve">On appeal, Lonberg maintains that the City has waived its challenge regarding the enforceability of section 35.150(d) by failing to raise it until after trial. Specifically, he asserts that the City's challenge is a waivable Rule 12(b)(6) defense. </w:t>
      </w:r>
      <w:bookmarkStart w:id="346" w:name="Bookmark_I4WSNFDM0K1MNJ4SX0000400"/>
      <w:bookmarkEnd w:id="346"/>
      <w:r>
        <w:rPr>
          <w:rFonts w:ascii="Arial" w:eastAsia="Arial" w:hAnsi="Arial" w:cs="Arial"/>
          <w:i/>
          <w:color w:val="000000"/>
          <w:sz w:val="20"/>
        </w:rPr>
        <w:t>See</w:t>
      </w:r>
      <w:r>
        <w:rPr>
          <w:rFonts w:ascii="Arial" w:eastAsia="Arial" w:hAnsi="Arial" w:cs="Arial"/>
          <w:color w:val="000000"/>
          <w:sz w:val="20"/>
        </w:rPr>
        <w:t xml:space="preserve"> </w:t>
      </w:r>
      <w:bookmarkStart w:id="347" w:name="Bookmark_LNHNREFclscc3_1"/>
      <w:bookmarkEnd w:id="347"/>
      <w:r>
        <w:rPr>
          <w:rFonts w:ascii="Arial" w:eastAsia="Arial" w:hAnsi="Arial" w:cs="Arial"/>
          <w:color w:val="000000"/>
          <w:sz w:val="20"/>
        </w:rPr>
        <w:t xml:space="preserve">Fed. R. Civ. P. 12(h)(2) (providing that a Rule 12(b)(6) defense must be raised no later than trial). Although the City's challenge may be characterized as a Rule 12(b)(6) defense, it also implicates the legal validity of the injunction. We have, in the past, addressed such issues even where they  [**6] were not timely raised below, and we conclude that it is a proper exercise of our discretion to do so here. </w:t>
      </w:r>
      <w:r>
        <w:rPr>
          <w:rFonts w:ascii="Arial" w:eastAsia="Arial" w:hAnsi="Arial" w:cs="Arial"/>
          <w:i/>
          <w:color w:val="000000"/>
          <w:sz w:val="20"/>
        </w:rPr>
        <w:t xml:space="preserve">Cf. </w:t>
      </w:r>
      <w:bookmarkStart w:id="348" w:name="Bookmark_I4WSNFDM0K1MNJ4SW0000400"/>
      <w:bookmarkEnd w:id="348"/>
      <w:r>
        <w:rPr>
          <w:rFonts w:ascii="Arial" w:eastAsia="Arial" w:hAnsi="Arial" w:cs="Arial"/>
          <w:i/>
          <w:color w:val="000000"/>
          <w:sz w:val="20"/>
        </w:rPr>
        <w:t>Price v. City of Stockton</w:t>
      </w:r>
      <w:r>
        <w:rPr>
          <w:rFonts w:ascii="Arial" w:eastAsia="Arial" w:hAnsi="Arial" w:cs="Arial"/>
          <w:color w:val="000000"/>
          <w:sz w:val="20"/>
        </w:rPr>
        <w:t xml:space="preserve">, 390 F.3d 1105, 1108 (9th Cir. 2004) (reaching the issue of whether a statute created a private right of action even when the district court failed to address it in the first instance); </w:t>
      </w:r>
      <w:bookmarkStart w:id="349" w:name="Bookmark_I4WSNFDM0K1MNJ4SY0000400"/>
      <w:bookmarkEnd w:id="349"/>
      <w:r>
        <w:rPr>
          <w:rFonts w:ascii="Arial" w:eastAsia="Arial" w:hAnsi="Arial" w:cs="Arial"/>
          <w:i/>
          <w:color w:val="000000"/>
          <w:sz w:val="20"/>
        </w:rPr>
        <w:t>Or. Trollers Ass'n v. Gutierrez</w:t>
      </w:r>
      <w:r>
        <w:rPr>
          <w:rFonts w:ascii="Arial" w:eastAsia="Arial" w:hAnsi="Arial" w:cs="Arial"/>
          <w:color w:val="000000"/>
          <w:sz w:val="20"/>
        </w:rPr>
        <w:t>, 452 F.3d 1104, 1114 (9th Cir. 2006) (exercising discretion to reach a purely legal issue that plaintiffs raised only during oral argument before the district court).</w:t>
      </w:r>
    </w:p>
    <w:p w:rsidR="006E038D" w:rsidRDefault="00000000">
      <w:pPr>
        <w:pStyle w:val="Normal2"/>
        <w:widowControl w:val="0"/>
        <w:spacing w:before="200" w:line="260" w:lineRule="atLeast"/>
        <w:jc w:val="both"/>
      </w:pPr>
      <w:bookmarkStart w:id="350" w:name="Bookmark_para_20_1"/>
      <w:bookmarkStart w:id="351" w:name="Bookmark_I4WSNFDM0K1MNJ4T30000400"/>
      <w:bookmarkEnd w:id="350"/>
      <w:bookmarkEnd w:id="351"/>
      <w:r>
        <w:rPr>
          <w:rFonts w:ascii="Arial" w:eastAsia="Arial" w:hAnsi="Arial" w:cs="Arial"/>
          <w:color w:val="000000"/>
          <w:sz w:val="20"/>
        </w:rPr>
        <w:t xml:space="preserve">Reaching the merits of this issue results in no harm to Lonberg, since he had an opportunity to brief this issue fully in district court. </w:t>
      </w:r>
      <w:r>
        <w:rPr>
          <w:rFonts w:ascii="Arial" w:eastAsia="Arial" w:hAnsi="Arial" w:cs="Arial"/>
          <w:vertAlign w:val="superscript"/>
        </w:rPr>
        <w:footnoteReference w:customMarkFollows="1" w:id="7"/>
        <w:t>3</w:t>
      </w:r>
      <w:r>
        <w:rPr>
          <w:rFonts w:ascii="Arial" w:eastAsia="Arial" w:hAnsi="Arial" w:cs="Arial"/>
          <w:color w:val="000000"/>
          <w:sz w:val="20"/>
        </w:rPr>
        <w:t xml:space="preserve"> Indeed, the district court declined to find waiver, and addressed this issue on its merits, adopting the Tenth Circuit's view that section 35.150(d) is privately enforceable. </w:t>
      </w:r>
      <w:r>
        <w:rPr>
          <w:rFonts w:ascii="Arial" w:eastAsia="Arial" w:hAnsi="Arial" w:cs="Arial"/>
          <w:i/>
          <w:color w:val="000000"/>
          <w:sz w:val="20"/>
        </w:rPr>
        <w:t xml:space="preserve">See </w:t>
      </w:r>
      <w:bookmarkStart w:id="353" w:name="Bookmark_I4WSNFDM0K1MNJ4T20000400"/>
      <w:bookmarkEnd w:id="353"/>
      <w:r>
        <w:rPr>
          <w:rFonts w:ascii="Arial" w:eastAsia="Arial" w:hAnsi="Arial" w:cs="Arial"/>
          <w:i/>
          <w:color w:val="000000"/>
          <w:sz w:val="20"/>
        </w:rPr>
        <w:t>Chaffin v. Kan. State Fair Bd</w:t>
      </w:r>
      <w:r>
        <w:rPr>
          <w:rFonts w:ascii="Arial" w:eastAsia="Arial" w:hAnsi="Arial" w:cs="Arial"/>
          <w:color w:val="000000"/>
          <w:sz w:val="20"/>
        </w:rPr>
        <w:t>., 348 F.3d 850, 858 (10th Cir. 2003). Accordingly, we conclude that this issue, which was raised below and addressed on its merits by the district court, and which underpins the validity of the injunction at issue, is properly before us for a determination on the merits.</w:t>
      </w:r>
    </w:p>
    <w:p w:rsidR="006E038D" w:rsidRDefault="00000000">
      <w:pPr>
        <w:pStyle w:val="Normal2"/>
        <w:widowControl w:val="0"/>
        <w:spacing w:before="200" w:line="260" w:lineRule="atLeast"/>
        <w:jc w:val="both"/>
      </w:pPr>
      <w:bookmarkStart w:id="354" w:name="Bookmark_para_21_1"/>
      <w:bookmarkEnd w:id="354"/>
      <w:r>
        <w:rPr>
          <w:rFonts w:ascii="Arial" w:eastAsia="Arial" w:hAnsi="Arial" w:cs="Arial"/>
          <w:b/>
          <w:color w:val="000000"/>
          <w:sz w:val="20"/>
        </w:rPr>
        <w:t>B</w:t>
      </w:r>
      <w:r>
        <w:rPr>
          <w:rFonts w:ascii="Arial" w:eastAsia="Arial" w:hAnsi="Arial" w:cs="Arial"/>
          <w:color w:val="000000"/>
          <w:sz w:val="20"/>
        </w:rPr>
        <w:t>.</w:t>
      </w:r>
    </w:p>
    <w:p w:rsidR="006E038D" w:rsidRDefault="00000000">
      <w:pPr>
        <w:pStyle w:val="Normal2"/>
        <w:widowControl w:val="0"/>
        <w:spacing w:before="200" w:line="260" w:lineRule="atLeast"/>
        <w:jc w:val="both"/>
      </w:pPr>
      <w:bookmarkStart w:id="355" w:name="Bookmark_para_22_1"/>
      <w:bookmarkStart w:id="356" w:name="Bookmark_I4WSNFDM0K1MNJ4T50000400"/>
      <w:bookmarkStart w:id="357" w:name="Bookmark_LNHNREFclscc4_1"/>
      <w:bookmarkEnd w:id="355"/>
      <w:bookmarkEnd w:id="356"/>
      <w:bookmarkEnd w:id="357"/>
      <w:r>
        <w:rPr>
          <w:rFonts w:ascii="Arial" w:eastAsia="Arial" w:hAnsi="Arial" w:cs="Arial"/>
          <w:color w:val="000000"/>
          <w:sz w:val="20"/>
        </w:rPr>
        <w:t xml:space="preserve">We review de novo whether a statute or regulation creates a private cause of action. </w:t>
      </w:r>
      <w:bookmarkStart w:id="358" w:name="Bookmark_I848GYCCGT300002SHW001DD"/>
      <w:bookmarkStart w:id="359" w:name="Bookmark_I848GYCCN4J00002SHW001DG"/>
      <w:bookmarkStart w:id="360" w:name="Bookmark_I848GYCCTG200002SHW001DJ"/>
      <w:bookmarkStart w:id="361" w:name="Bookmark_I4WSNFDM0K1MNJ4T70000400"/>
      <w:bookmarkStart w:id="362" w:name="Bookmark_I4WSNFDM0K1MNJ4T40000400"/>
      <w:bookmarkEnd w:id="358"/>
      <w:bookmarkEnd w:id="359"/>
      <w:bookmarkEnd w:id="360"/>
      <w:bookmarkEnd w:id="361"/>
      <w:bookmarkEnd w:id="362"/>
      <w:r>
        <w:rPr>
          <w:rFonts w:ascii="Arial" w:eastAsia="Arial" w:hAnsi="Arial" w:cs="Arial"/>
          <w:i/>
          <w:color w:val="000000"/>
          <w:sz w:val="20"/>
        </w:rPr>
        <w:t>Townsend v. Univ. of Alaska</w:t>
      </w:r>
      <w:r>
        <w:rPr>
          <w:rFonts w:ascii="Arial" w:eastAsia="Arial" w:hAnsi="Arial" w:cs="Arial"/>
          <w:color w:val="000000"/>
          <w:sz w:val="20"/>
        </w:rPr>
        <w:t xml:space="preserve">, 543 F.3d 478, 482 (9th Cir. 2008). Whether section 35.150(d) creates a private right of action is an issue of first impression in this court, and one on which other circuits have split. </w:t>
      </w:r>
      <w:bookmarkStart w:id="363" w:name="Bookmark_I0MSBV6KK5J000RGTVT0024R"/>
      <w:bookmarkStart w:id="364" w:name="Bookmark_I0MSBV6KVTV000RGTVT0024T"/>
      <w:bookmarkStart w:id="365" w:name="Bookmark_I0MSBV6M5RV000RGTVT0024W"/>
      <w:bookmarkStart w:id="366" w:name="Bookmark_I4WSNFDM0K1MNJ4T70000400_2"/>
      <w:bookmarkStart w:id="367" w:name="Bookmark_I4WSNFDM0K1MNJ4T60000400"/>
      <w:bookmarkEnd w:id="363"/>
      <w:bookmarkEnd w:id="364"/>
      <w:bookmarkEnd w:id="365"/>
      <w:bookmarkEnd w:id="366"/>
      <w:bookmarkEnd w:id="367"/>
      <w:r>
        <w:rPr>
          <w:rFonts w:ascii="Arial" w:eastAsia="Arial" w:hAnsi="Arial" w:cs="Arial"/>
          <w:i/>
          <w:color w:val="000000"/>
          <w:sz w:val="20"/>
        </w:rPr>
        <w:t>Chaffin</w:t>
      </w:r>
      <w:r>
        <w:rPr>
          <w:rFonts w:ascii="Arial" w:eastAsia="Arial" w:hAnsi="Arial" w:cs="Arial"/>
          <w:color w:val="000000"/>
          <w:sz w:val="20"/>
        </w:rPr>
        <w:t xml:space="preserve">, 348 F.3d at 858 (holding that section 35.150(d) creates a private right of action); </w:t>
      </w:r>
      <w:bookmarkStart w:id="368" w:name="Bookmark_I4WSNFDM0K1MNJ4T80000400"/>
      <w:bookmarkEnd w:id="368"/>
      <w:r>
        <w:rPr>
          <w:rFonts w:ascii="Arial" w:eastAsia="Arial" w:hAnsi="Arial" w:cs="Arial"/>
          <w:i/>
          <w:color w:val="000000"/>
          <w:sz w:val="20"/>
        </w:rPr>
        <w:t>Ability Ctr. of Greater Toledo v. City of Sandusky</w:t>
      </w:r>
      <w:r>
        <w:rPr>
          <w:rFonts w:ascii="Arial" w:eastAsia="Arial" w:hAnsi="Arial" w:cs="Arial"/>
          <w:color w:val="000000"/>
          <w:sz w:val="20"/>
        </w:rPr>
        <w:t xml:space="preserve">, 385 F.3d 901, 914 (6th Cir. 2004) (holding that section 35.150(d) does not create a private right of action); </w:t>
      </w:r>
      <w:bookmarkStart w:id="369" w:name="Bookmark_I4WSNFDM0K1MNJ4TB0000400"/>
      <w:bookmarkEnd w:id="369"/>
      <w:r>
        <w:rPr>
          <w:rFonts w:ascii="Arial" w:eastAsia="Arial" w:hAnsi="Arial" w:cs="Arial"/>
          <w:i/>
          <w:color w:val="000000"/>
          <w:sz w:val="20"/>
        </w:rPr>
        <w:t>Iverson v. City of Boston</w:t>
      </w:r>
      <w:r>
        <w:rPr>
          <w:rFonts w:ascii="Arial" w:eastAsia="Arial" w:hAnsi="Arial" w:cs="Arial"/>
          <w:color w:val="000000"/>
          <w:sz w:val="20"/>
        </w:rPr>
        <w:t xml:space="preserve">, 452 F.3d 94, 102 (1st Cir. 2006) (same). We agree with the First and Sixth Circuits and hold that </w:t>
      </w:r>
      <w:bookmarkStart w:id="370" w:name="Bookmark_LNHNREFclscc5_1"/>
      <w:bookmarkEnd w:id="370"/>
      <w:r>
        <w:rPr>
          <w:rFonts w:ascii="Arial" w:eastAsia="Arial" w:hAnsi="Arial" w:cs="Arial"/>
          <w:color w:val="000000"/>
          <w:sz w:val="20"/>
        </w:rPr>
        <w:t>section 35.150(d) does not create a private right of action.</w:t>
      </w:r>
    </w:p>
    <w:p w:rsidR="006E038D" w:rsidRDefault="00000000">
      <w:pPr>
        <w:pStyle w:val="Normal2"/>
        <w:widowControl w:val="0"/>
        <w:spacing w:before="120" w:line="260" w:lineRule="atLeast"/>
      </w:pPr>
      <w:r>
        <w:rPr>
          <w:rFonts w:ascii="Arial" w:eastAsia="Arial" w:hAnsi="Arial" w:cs="Arial"/>
          <w:color w:val="000000"/>
          <w:sz w:val="20"/>
        </w:rPr>
        <w:t xml:space="preserve">1. </w:t>
      </w:r>
      <w:r>
        <w:rPr>
          <w:rFonts w:ascii="Arial" w:eastAsia="Arial" w:hAnsi="Arial" w:cs="Arial"/>
          <w:i/>
          <w:color w:val="000000"/>
          <w:sz w:val="20"/>
        </w:rPr>
        <w:t>Alexander v. Sandoval</w:t>
      </w:r>
    </w:p>
    <w:p w:rsidR="006E038D" w:rsidRDefault="00000000">
      <w:pPr>
        <w:pStyle w:val="Normal2"/>
        <w:widowControl w:val="0"/>
        <w:spacing w:before="200" w:line="260" w:lineRule="atLeast"/>
        <w:jc w:val="both"/>
      </w:pPr>
      <w:bookmarkStart w:id="371" w:name="Bookmark_para_23_1"/>
      <w:bookmarkStart w:id="372" w:name="Bookmark_I0MSBV6MFD4000RGTVT0024Y"/>
      <w:bookmarkStart w:id="373" w:name="Bookmark_I4WSNFDM0K1MNJ4TM0000400"/>
      <w:bookmarkEnd w:id="371"/>
      <w:bookmarkEnd w:id="372"/>
      <w:bookmarkEnd w:id="373"/>
      <w:r>
        <w:rPr>
          <w:rFonts w:ascii="Arial" w:eastAsia="Arial" w:hAnsi="Arial" w:cs="Arial"/>
          <w:color w:val="000000"/>
          <w:sz w:val="20"/>
        </w:rPr>
        <w:t xml:space="preserve">The Supreme Court's decision in </w:t>
      </w:r>
      <w:bookmarkStart w:id="374" w:name="Bookmark_I4WSNFDM0K1MNJ4TK0000400"/>
      <w:bookmarkEnd w:id="374"/>
      <w:r>
        <w:rPr>
          <w:rFonts w:ascii="Arial" w:eastAsia="Arial" w:hAnsi="Arial" w:cs="Arial"/>
          <w:i/>
          <w:color w:val="000000"/>
          <w:sz w:val="20"/>
        </w:rPr>
        <w:t>Alexander v. Sandoval</w:t>
      </w:r>
      <w:r>
        <w:rPr>
          <w:rFonts w:ascii="Arial" w:eastAsia="Arial" w:hAnsi="Arial" w:cs="Arial"/>
          <w:color w:val="000000"/>
          <w:sz w:val="20"/>
        </w:rPr>
        <w:t>, 532 U.S. 275, 121 S. Ct. 1511, 149 L. Ed. 2d 517 (2001), governs our analysis, as it sets forth the framework for determining whether a federal regulation is enforceable through a private right of action.</w:t>
      </w:r>
    </w:p>
    <w:p w:rsidR="006E038D" w:rsidRDefault="00000000">
      <w:pPr>
        <w:pStyle w:val="Normal2"/>
        <w:widowControl w:val="0"/>
        <w:spacing w:before="200" w:line="260" w:lineRule="atLeast"/>
        <w:jc w:val="both"/>
      </w:pPr>
      <w:bookmarkStart w:id="375" w:name="Bookmark_para_24_1"/>
      <w:bookmarkStart w:id="376" w:name="Bookmark_I4WSNFDM0K1MNJ4TP0000400"/>
      <w:bookmarkStart w:id="377" w:name="Bookmark_I4WSNFDM0K1MNJ4TY0000400"/>
      <w:bookmarkEnd w:id="375"/>
      <w:bookmarkEnd w:id="376"/>
      <w:bookmarkEnd w:id="377"/>
      <w:r>
        <w:rPr>
          <w:rFonts w:ascii="Arial" w:eastAsia="Arial" w:hAnsi="Arial" w:cs="Arial"/>
          <w:color w:val="000000"/>
          <w:sz w:val="20"/>
        </w:rPr>
        <w:t xml:space="preserve">In </w:t>
      </w:r>
      <w:r>
        <w:rPr>
          <w:rFonts w:ascii="Arial" w:eastAsia="Arial" w:hAnsi="Arial" w:cs="Arial"/>
          <w:i/>
          <w:color w:val="000000"/>
          <w:sz w:val="20"/>
        </w:rPr>
        <w:t>Sandoval</w:t>
      </w:r>
      <w:r>
        <w:rPr>
          <w:rFonts w:ascii="Arial" w:eastAsia="Arial" w:hAnsi="Arial" w:cs="Arial"/>
          <w:color w:val="000000"/>
          <w:sz w:val="20"/>
        </w:rPr>
        <w:t xml:space="preserve">, a class of non-fluent English speakers sued the Alabama Department of Public Safety, alleging that  [**8] its administration of an English-only driver's license test violated 28 C.F.R. § 42.104(b)(2), </w:t>
      </w:r>
      <w:r>
        <w:rPr>
          <w:rFonts w:ascii="Arial" w:eastAsia="Arial" w:hAnsi="Arial" w:cs="Arial"/>
          <w:vertAlign w:val="superscript"/>
        </w:rPr>
        <w:footnoteReference w:customMarkFollows="1" w:id="8"/>
        <w:t>4</w:t>
      </w:r>
      <w:r>
        <w:rPr>
          <w:rFonts w:ascii="Arial" w:eastAsia="Arial" w:hAnsi="Arial" w:cs="Arial"/>
          <w:color w:val="000000"/>
          <w:sz w:val="20"/>
        </w:rPr>
        <w:t xml:space="preserve"> [*850]  "because it had the effect of subjecting non-English speakers to discrimination based on their national origin." </w:t>
      </w:r>
      <w:bookmarkStart w:id="379" w:name="Bookmark_I4WSNFDM0K1MNJ4TN0000400"/>
      <w:bookmarkEnd w:id="379"/>
      <w:r>
        <w:rPr>
          <w:rFonts w:ascii="Arial" w:eastAsia="Arial" w:hAnsi="Arial" w:cs="Arial"/>
          <w:color w:val="000000"/>
          <w:sz w:val="20"/>
        </w:rPr>
        <w:t xml:space="preserve">532 U.S. at 278-79. The Court reversed an injunction requiring the department to accommodate non-English speakers, holding that 28 C.F.R. § 42.104(b)(2) was not enforceable through a private cause of action. </w:t>
      </w:r>
      <w:bookmarkStart w:id="380" w:name="Bookmark_I4WSNFDM0K1MNJ4TX0000400"/>
      <w:bookmarkEnd w:id="380"/>
      <w:r>
        <w:rPr>
          <w:rFonts w:ascii="Arial" w:eastAsia="Arial" w:hAnsi="Arial" w:cs="Arial"/>
          <w:i/>
          <w:color w:val="000000"/>
          <w:sz w:val="20"/>
        </w:rPr>
        <w:t>Id</w:t>
      </w:r>
      <w:r>
        <w:rPr>
          <w:rFonts w:ascii="Arial" w:eastAsia="Arial" w:hAnsi="Arial" w:cs="Arial"/>
          <w:color w:val="000000"/>
          <w:sz w:val="20"/>
        </w:rPr>
        <w:t>. at 293.</w:t>
      </w:r>
    </w:p>
    <w:p w:rsidR="006E038D" w:rsidRDefault="00000000">
      <w:pPr>
        <w:pStyle w:val="Normal2"/>
        <w:widowControl w:val="0"/>
        <w:spacing w:before="200" w:line="260" w:lineRule="atLeast"/>
        <w:jc w:val="both"/>
      </w:pPr>
      <w:bookmarkStart w:id="381" w:name="Bookmark_para_25_1"/>
      <w:bookmarkStart w:id="382" w:name="Bookmark_I0MSBV6MK78000RGTVT00250"/>
      <w:bookmarkStart w:id="383" w:name="Bookmark_I4WSNFDM0K1MNJ4V10000400"/>
      <w:bookmarkEnd w:id="381"/>
      <w:bookmarkEnd w:id="382"/>
      <w:bookmarkEnd w:id="383"/>
      <w:r>
        <w:rPr>
          <w:rFonts w:ascii="Arial" w:eastAsia="Arial" w:hAnsi="Arial" w:cs="Arial"/>
          <w:color w:val="000000"/>
          <w:sz w:val="20"/>
        </w:rPr>
        <w:t xml:space="preserve">The Court explained that </w:t>
      </w:r>
      <w:bookmarkStart w:id="384" w:name="Bookmark_LNHNREFclscc6_1"/>
      <w:bookmarkEnd w:id="384"/>
      <w:r>
        <w:rPr>
          <w:rFonts w:ascii="Arial" w:eastAsia="Arial" w:hAnsi="Arial" w:cs="Arial"/>
          <w:color w:val="000000"/>
          <w:sz w:val="20"/>
        </w:rPr>
        <w:t xml:space="preserve">"private rights of action to enforce federal law must be created by Congress . . ., [and that] [t]he judicial task is to interpret the statute Congress has passed to determine whether it displays an intent to create not just a private right but also a private remedy." </w:t>
      </w:r>
      <w:bookmarkStart w:id="385" w:name="Bookmark_I4WSNFDM0K1MNJ4V00000400"/>
      <w:bookmarkEnd w:id="385"/>
      <w:r>
        <w:rPr>
          <w:rFonts w:ascii="Arial" w:eastAsia="Arial" w:hAnsi="Arial" w:cs="Arial"/>
          <w:i/>
          <w:color w:val="000000"/>
          <w:sz w:val="20"/>
        </w:rPr>
        <w:t>Id</w:t>
      </w:r>
      <w:r>
        <w:rPr>
          <w:rFonts w:ascii="Arial" w:eastAsia="Arial" w:hAnsi="Arial" w:cs="Arial"/>
          <w:color w:val="000000"/>
          <w:sz w:val="20"/>
        </w:rPr>
        <w:t>. at 286 (internal citations omitted).</w:t>
      </w:r>
    </w:p>
    <w:p w:rsidR="006E038D" w:rsidRDefault="00000000">
      <w:pPr>
        <w:pStyle w:val="Normal2"/>
        <w:widowControl w:val="0"/>
        <w:spacing w:before="200" w:line="260" w:lineRule="atLeast"/>
        <w:jc w:val="both"/>
      </w:pPr>
      <w:bookmarkStart w:id="386" w:name="Bookmark_para_26_1"/>
      <w:bookmarkStart w:id="387" w:name="Bookmark_I4WSNFDM0K1MNJ4V30000400"/>
      <w:bookmarkStart w:id="388" w:name="Bookmark_I4WSNFDM0K1MNJ4V70000400"/>
      <w:bookmarkEnd w:id="386"/>
      <w:bookmarkEnd w:id="387"/>
      <w:bookmarkEnd w:id="388"/>
      <w:r>
        <w:rPr>
          <w:rFonts w:ascii="Arial" w:eastAsia="Arial" w:hAnsi="Arial" w:cs="Arial"/>
          <w:color w:val="000000"/>
          <w:sz w:val="20"/>
        </w:rPr>
        <w:t xml:space="preserve">The relevant statute in </w:t>
      </w:r>
      <w:r>
        <w:rPr>
          <w:rFonts w:ascii="Arial" w:eastAsia="Arial" w:hAnsi="Arial" w:cs="Arial"/>
          <w:i/>
          <w:color w:val="000000"/>
          <w:sz w:val="20"/>
        </w:rPr>
        <w:t>Sandoval</w:t>
      </w:r>
      <w:r>
        <w:rPr>
          <w:rFonts w:ascii="Arial" w:eastAsia="Arial" w:hAnsi="Arial" w:cs="Arial"/>
          <w:color w:val="000000"/>
          <w:sz w:val="20"/>
        </w:rPr>
        <w:t xml:space="preserve"> was § 601 of Title VI of the Civil Rights Act of 1964, as it was the statute that § 42.104(b)(2) was meant to implement. </w:t>
      </w:r>
      <w:bookmarkStart w:id="389" w:name="Bookmark_I4WSNFDM0K1MNJ4V50000400"/>
      <w:bookmarkEnd w:id="389"/>
      <w:r>
        <w:rPr>
          <w:rFonts w:ascii="Arial" w:eastAsia="Arial" w:hAnsi="Arial" w:cs="Arial"/>
          <w:vertAlign w:val="superscript"/>
        </w:rPr>
        <w:footnoteReference w:customMarkFollows="1" w:id="9"/>
        <w:t>5</w:t>
      </w:r>
      <w:r>
        <w:rPr>
          <w:rFonts w:ascii="Arial" w:eastAsia="Arial" w:hAnsi="Arial" w:cs="Arial"/>
          <w:color w:val="000000"/>
          <w:sz w:val="20"/>
        </w:rPr>
        <w:t xml:space="preserve"> </w:t>
      </w:r>
      <w:r>
        <w:rPr>
          <w:rFonts w:ascii="Arial" w:eastAsia="Arial" w:hAnsi="Arial" w:cs="Arial"/>
          <w:i/>
          <w:color w:val="000000"/>
          <w:sz w:val="20"/>
        </w:rPr>
        <w:t xml:space="preserve">See </w:t>
      </w:r>
      <w:bookmarkStart w:id="392" w:name="Bookmark_I4WSNFDM0K1MNJ4V20000400"/>
      <w:bookmarkEnd w:id="392"/>
      <w:r>
        <w:rPr>
          <w:rFonts w:ascii="Arial" w:eastAsia="Arial" w:hAnsi="Arial" w:cs="Arial"/>
          <w:i/>
          <w:color w:val="000000"/>
          <w:sz w:val="20"/>
        </w:rPr>
        <w:t>id</w:t>
      </w:r>
      <w:r>
        <w:rPr>
          <w:rFonts w:ascii="Arial" w:eastAsia="Arial" w:hAnsi="Arial" w:cs="Arial"/>
          <w:color w:val="000000"/>
          <w:sz w:val="20"/>
        </w:rPr>
        <w:t xml:space="preserve">. at 278. Section 601 bans recipients  [**9] of federal funding from intentionally discriminating against individuals "on the ground of race, color, or national origin" in connection with any program or activity covered by Title VI. </w:t>
      </w:r>
      <w:r>
        <w:rPr>
          <w:rFonts w:ascii="Arial" w:eastAsia="Arial" w:hAnsi="Arial" w:cs="Arial"/>
          <w:i/>
          <w:color w:val="000000"/>
          <w:sz w:val="20"/>
        </w:rPr>
        <w:t>Id</w:t>
      </w:r>
      <w:r>
        <w:rPr>
          <w:rFonts w:ascii="Arial" w:eastAsia="Arial" w:hAnsi="Arial" w:cs="Arial"/>
          <w:color w:val="000000"/>
          <w:sz w:val="20"/>
        </w:rPr>
        <w:t xml:space="preserve">. (citing 42 U.S.C. § 2000d). </w:t>
      </w:r>
      <w:bookmarkStart w:id="393" w:name="Bookmark_I4WSNFDM0K1MNJ4V50000400_2"/>
      <w:bookmarkEnd w:id="393"/>
      <w:r>
        <w:rPr>
          <w:rFonts w:ascii="Arial" w:eastAsia="Arial" w:hAnsi="Arial" w:cs="Arial"/>
          <w:color w:val="000000"/>
          <w:sz w:val="20"/>
        </w:rPr>
        <w:t xml:space="preserve">The Court noted that Congress clearly intended § 601 to be enforceable through a private right of action, </w:t>
      </w:r>
      <w:r>
        <w:rPr>
          <w:rFonts w:ascii="Arial" w:eastAsia="Arial" w:hAnsi="Arial" w:cs="Arial"/>
          <w:i/>
          <w:color w:val="000000"/>
          <w:sz w:val="20"/>
        </w:rPr>
        <w:t xml:space="preserve">see </w:t>
      </w:r>
      <w:bookmarkStart w:id="394" w:name="Bookmark_I4WSNFDM0K1MNJ4V40000400"/>
      <w:bookmarkEnd w:id="394"/>
      <w:r>
        <w:rPr>
          <w:rFonts w:ascii="Arial" w:eastAsia="Arial" w:hAnsi="Arial" w:cs="Arial"/>
          <w:i/>
          <w:color w:val="000000"/>
          <w:sz w:val="20"/>
        </w:rPr>
        <w:t>id</w:t>
      </w:r>
      <w:r>
        <w:rPr>
          <w:rFonts w:ascii="Arial" w:eastAsia="Arial" w:hAnsi="Arial" w:cs="Arial"/>
          <w:color w:val="000000"/>
          <w:sz w:val="20"/>
        </w:rPr>
        <w:t>. at 280 (citing 42 U.S.C. § 2000d-7, which "expressly abrogated States' sovereign immunity against suits brought in federal court to enforce Title VI"), but determined that this cause of action did not extend to all the regulations meant to implement it.</w:t>
      </w:r>
    </w:p>
    <w:p w:rsidR="006E038D" w:rsidRDefault="00000000">
      <w:pPr>
        <w:pStyle w:val="Normal2"/>
        <w:widowControl w:val="0"/>
        <w:spacing w:before="200" w:line="260" w:lineRule="atLeast"/>
        <w:jc w:val="both"/>
      </w:pPr>
      <w:bookmarkStart w:id="395" w:name="Bookmark_para_27_1"/>
      <w:bookmarkStart w:id="396" w:name="Bookmark_I4WSNFDM0K1MNJ4V90000400"/>
      <w:bookmarkStart w:id="397" w:name="Bookmark_I4WSNFDM0K1MNJ4VC0000400"/>
      <w:bookmarkStart w:id="398" w:name="Bookmark_LNHNREFclscc7_1"/>
      <w:bookmarkEnd w:id="395"/>
      <w:bookmarkEnd w:id="396"/>
      <w:bookmarkEnd w:id="397"/>
      <w:bookmarkEnd w:id="398"/>
      <w:r>
        <w:rPr>
          <w:rFonts w:ascii="Arial" w:eastAsia="Arial" w:hAnsi="Arial" w:cs="Arial"/>
          <w:color w:val="000000"/>
          <w:sz w:val="20"/>
        </w:rPr>
        <w:t xml:space="preserve">In determining whether a particular regulation is enforceable through a statute's private right of action, the Court explained that we must look to the statute itself and determine whether it displays Congress's intent to create the private right purportedly contained in the regulation. </w:t>
      </w:r>
      <w:bookmarkStart w:id="399" w:name="Bookmark_I4WSNFDM0K1MNJ4V80000400"/>
      <w:bookmarkEnd w:id="399"/>
      <w:r>
        <w:rPr>
          <w:rFonts w:ascii="Arial" w:eastAsia="Arial" w:hAnsi="Arial" w:cs="Arial"/>
          <w:i/>
          <w:color w:val="000000"/>
          <w:sz w:val="20"/>
        </w:rPr>
        <w:t>Id</w:t>
      </w:r>
      <w:r>
        <w:rPr>
          <w:rFonts w:ascii="Arial" w:eastAsia="Arial" w:hAnsi="Arial" w:cs="Arial"/>
          <w:color w:val="000000"/>
          <w:sz w:val="20"/>
        </w:rPr>
        <w:t xml:space="preserve">. at 286. The Court stated  [**10] that absent such intent, "a cause of action does not exist and courts may not create one, no matter how desirable that might be as a policy matter, or how compatible with the statute." </w:t>
      </w:r>
      <w:bookmarkStart w:id="400" w:name="Bookmark_I4WSNFDM0K1MNJ4VB0000400"/>
      <w:bookmarkEnd w:id="400"/>
      <w:r>
        <w:rPr>
          <w:rFonts w:ascii="Arial" w:eastAsia="Arial" w:hAnsi="Arial" w:cs="Arial"/>
          <w:i/>
          <w:color w:val="000000"/>
          <w:sz w:val="20"/>
        </w:rPr>
        <w:t>Id</w:t>
      </w:r>
      <w:r>
        <w:rPr>
          <w:rFonts w:ascii="Arial" w:eastAsia="Arial" w:hAnsi="Arial" w:cs="Arial"/>
          <w:color w:val="000000"/>
          <w:sz w:val="20"/>
        </w:rPr>
        <w:t>. at 286-87.</w:t>
      </w:r>
    </w:p>
    <w:p w:rsidR="006E038D" w:rsidRDefault="00000000">
      <w:pPr>
        <w:pStyle w:val="Normal2"/>
        <w:widowControl w:val="0"/>
        <w:spacing w:before="200" w:line="260" w:lineRule="atLeast"/>
        <w:jc w:val="both"/>
      </w:pPr>
      <w:bookmarkStart w:id="401" w:name="Bookmark_para_28_0"/>
      <w:bookmarkStart w:id="402" w:name="Bookmark_I4WSNFDM0K1MNJ4W60000400"/>
      <w:bookmarkEnd w:id="401"/>
      <w:bookmarkEnd w:id="402"/>
      <w:r>
        <w:rPr>
          <w:rFonts w:ascii="Arial" w:eastAsia="Arial" w:hAnsi="Arial" w:cs="Arial"/>
          <w:color w:val="000000"/>
          <w:sz w:val="20"/>
        </w:rPr>
        <w:t xml:space="preserve">The Court determined that § 601 only banned intentional discrimination, and said nothing about activities that may have a discriminatory effect. Accordingly, it held that the disparate-impact regulations, though perhaps otherwise valid, were not enforceable through § 601's private cause of action because they did not "simply apply § 601 ['s]" ban on intentional discrimination and instead "forbid conduct that § 601 permits." </w:t>
      </w:r>
      <w:bookmarkStart w:id="403" w:name="Bookmark_I4WSNFDM0K1MNJ4VD0000400"/>
      <w:bookmarkEnd w:id="403"/>
      <w:r>
        <w:rPr>
          <w:rFonts w:ascii="Arial" w:eastAsia="Arial" w:hAnsi="Arial" w:cs="Arial"/>
          <w:i/>
          <w:color w:val="000000"/>
          <w:sz w:val="20"/>
        </w:rPr>
        <w:t>Id</w:t>
      </w:r>
      <w:r>
        <w:rPr>
          <w:rFonts w:ascii="Arial" w:eastAsia="Arial" w:hAnsi="Arial" w:cs="Arial"/>
          <w:color w:val="000000"/>
          <w:sz w:val="20"/>
        </w:rPr>
        <w:t xml:space="preserve">. at 285. </w:t>
      </w:r>
      <w:bookmarkStart w:id="404" w:name="Bookmark_I4WSNFDM0K1MNJ4W80000400"/>
      <w:bookmarkEnd w:id="404"/>
      <w:r>
        <w:rPr>
          <w:rFonts w:ascii="Arial" w:eastAsia="Arial" w:hAnsi="Arial" w:cs="Arial"/>
          <w:color w:val="000000"/>
          <w:sz w:val="20"/>
        </w:rPr>
        <w:t xml:space="preserve">In other words, because the plain language of § 601 only banned intentional discrimination, only those regulations effectuating that ban could be enforced through § 601's private cause of action. </w:t>
      </w:r>
      <w:bookmarkStart w:id="405" w:name="Bookmark_I4WSNFDM0K1MNJ4W80000400_2"/>
      <w:bookmarkEnd w:id="405"/>
      <w:r>
        <w:rPr>
          <w:rFonts w:ascii="Arial" w:eastAsia="Arial" w:hAnsi="Arial" w:cs="Arial"/>
          <w:color w:val="000000"/>
          <w:sz w:val="20"/>
        </w:rPr>
        <w:t xml:space="preserve">To hold otherwise, the Court reasoned, would allow "language in a regulation . . . [to] conjure up a private cause of action that has not been authorized by Congress." </w:t>
      </w:r>
      <w:bookmarkStart w:id="406" w:name="Bookmark_I4WSNFDM0K1MNJ4W70000400"/>
      <w:bookmarkEnd w:id="406"/>
      <w:r>
        <w:rPr>
          <w:rFonts w:ascii="Arial" w:eastAsia="Arial" w:hAnsi="Arial" w:cs="Arial"/>
          <w:i/>
          <w:color w:val="000000"/>
          <w:sz w:val="20"/>
        </w:rPr>
        <w:t>Id</w:t>
      </w:r>
      <w:r>
        <w:rPr>
          <w:rFonts w:ascii="Arial" w:eastAsia="Arial" w:hAnsi="Arial" w:cs="Arial"/>
          <w:color w:val="000000"/>
          <w:sz w:val="20"/>
        </w:rPr>
        <w:t>. at 291.</w:t>
      </w:r>
    </w:p>
    <w:p w:rsidR="006E038D" w:rsidRDefault="00000000">
      <w:pPr>
        <w:pStyle w:val="Normal2"/>
        <w:widowControl w:val="0"/>
        <w:spacing w:before="200" w:line="260" w:lineRule="atLeast"/>
        <w:jc w:val="both"/>
      </w:pPr>
      <w:bookmarkStart w:id="407" w:name="Bookmark_para_29_0"/>
      <w:bookmarkStart w:id="408" w:name="Bookmark_I0MSBV6NGRJ000RGTVT00366"/>
      <w:bookmarkStart w:id="409" w:name="Bookmark_I4WSNFDM0K1MNJ4WB0000400"/>
      <w:bookmarkEnd w:id="407"/>
      <w:bookmarkEnd w:id="408"/>
      <w:bookmarkEnd w:id="409"/>
      <w:r>
        <w:rPr>
          <w:rFonts w:ascii="Arial" w:eastAsia="Arial" w:hAnsi="Arial" w:cs="Arial"/>
          <w:color w:val="000000"/>
          <w:sz w:val="20"/>
        </w:rPr>
        <w:t xml:space="preserve">Thus, </w:t>
      </w:r>
      <w:bookmarkStart w:id="410" w:name="Bookmark_I4WSNFDM0K1MNJ4W90000400"/>
      <w:bookmarkEnd w:id="410"/>
      <w:r>
        <w:rPr>
          <w:rFonts w:ascii="Arial" w:eastAsia="Arial" w:hAnsi="Arial" w:cs="Arial"/>
          <w:i/>
          <w:color w:val="000000"/>
          <w:sz w:val="20"/>
        </w:rPr>
        <w:t>Sandoval</w:t>
      </w:r>
      <w:r>
        <w:rPr>
          <w:rFonts w:ascii="Arial" w:eastAsia="Arial" w:hAnsi="Arial" w:cs="Arial"/>
          <w:color w:val="000000"/>
          <w:sz w:val="20"/>
        </w:rPr>
        <w:t xml:space="preserve"> instructs that </w:t>
      </w:r>
      <w:bookmarkStart w:id="411" w:name="Bookmark_LNHNREFclscc8_0"/>
      <w:bookmarkEnd w:id="411"/>
      <w:r>
        <w:rPr>
          <w:rFonts w:ascii="Arial" w:eastAsia="Arial" w:hAnsi="Arial" w:cs="Arial"/>
          <w:color w:val="000000"/>
          <w:sz w:val="20"/>
        </w:rPr>
        <w:t>because only Congress can create a private right of action through statute, we must  [*851]  examine a challenged regulation in the context of the statute it is meant  [**11] to implement. Only those regulations effectuating the statute's clear prohibitions or requirements are enforceable through the statute's private right of action; regulations that do not encapsulate the statutory right and corresponding remedy are not privately enforceable.</w:t>
      </w:r>
    </w:p>
    <w:p w:rsidR="006E038D" w:rsidRDefault="00000000">
      <w:pPr>
        <w:pStyle w:val="Normal2"/>
        <w:widowControl w:val="0"/>
        <w:spacing w:before="200" w:line="260" w:lineRule="atLeast"/>
        <w:jc w:val="both"/>
      </w:pPr>
      <w:bookmarkStart w:id="412" w:name="Bookmark_para_30_0"/>
      <w:bookmarkEnd w:id="412"/>
      <w:r>
        <w:rPr>
          <w:rFonts w:ascii="Arial" w:eastAsia="Arial" w:hAnsi="Arial" w:cs="Arial"/>
          <w:color w:val="000000"/>
          <w:sz w:val="20"/>
        </w:rPr>
        <w:t xml:space="preserve">2. </w:t>
      </w:r>
      <w:r>
        <w:rPr>
          <w:rFonts w:ascii="Arial" w:eastAsia="Arial" w:hAnsi="Arial" w:cs="Arial"/>
          <w:i/>
          <w:color w:val="000000"/>
          <w:sz w:val="20"/>
        </w:rPr>
        <w:t>Application of</w:t>
      </w:r>
      <w:r>
        <w:rPr>
          <w:rFonts w:ascii="Arial" w:eastAsia="Arial" w:hAnsi="Arial" w:cs="Arial"/>
          <w:color w:val="000000"/>
          <w:sz w:val="20"/>
        </w:rPr>
        <w:t xml:space="preserve"> Sandoval </w:t>
      </w:r>
      <w:r>
        <w:rPr>
          <w:rFonts w:ascii="Arial" w:eastAsia="Arial" w:hAnsi="Arial" w:cs="Arial"/>
          <w:i/>
          <w:color w:val="000000"/>
          <w:sz w:val="20"/>
        </w:rPr>
        <w:t>to section 35.150(d)</w:t>
      </w:r>
    </w:p>
    <w:p w:rsidR="006E038D" w:rsidRDefault="00000000">
      <w:pPr>
        <w:pStyle w:val="Normal2"/>
        <w:widowControl w:val="0"/>
        <w:spacing w:before="200" w:line="260" w:lineRule="atLeast"/>
        <w:jc w:val="both"/>
      </w:pPr>
      <w:bookmarkStart w:id="413" w:name="Bookmark_para_31_0"/>
      <w:bookmarkStart w:id="414" w:name="Bookmark_I4WSNFDM0K1MNJ4X70000400"/>
      <w:bookmarkEnd w:id="413"/>
      <w:bookmarkEnd w:id="414"/>
      <w:r>
        <w:rPr>
          <w:rFonts w:ascii="Arial" w:eastAsia="Arial" w:hAnsi="Arial" w:cs="Arial"/>
          <w:color w:val="000000"/>
          <w:sz w:val="20"/>
        </w:rPr>
        <w:t xml:space="preserve">In determining whether section 35.150(d) is enforceable through a private right of action, we look to the statute it is meant to implement: </w:t>
      </w:r>
      <w:bookmarkStart w:id="415" w:name="Bookmark_LNHNREFclscc9_0"/>
      <w:bookmarkEnd w:id="415"/>
      <w:r>
        <w:rPr>
          <w:rFonts w:ascii="Arial" w:eastAsia="Arial" w:hAnsi="Arial" w:cs="Arial"/>
          <w:color w:val="000000"/>
          <w:sz w:val="20"/>
        </w:rPr>
        <w:t xml:space="preserve">§ 202 of Title II of the ADA, which prohibits discrimination by public entities on the basis of disability. </w:t>
      </w:r>
      <w:r>
        <w:rPr>
          <w:rFonts w:ascii="Arial" w:eastAsia="Arial" w:hAnsi="Arial" w:cs="Arial"/>
          <w:vertAlign w:val="superscript"/>
        </w:rPr>
        <w:footnoteReference w:customMarkFollows="1" w:id="10"/>
        <w:t>6</w:t>
      </w:r>
      <w:r>
        <w:rPr>
          <w:rFonts w:ascii="Arial" w:eastAsia="Arial" w:hAnsi="Arial" w:cs="Arial"/>
          <w:color w:val="000000"/>
          <w:sz w:val="20"/>
        </w:rPr>
        <w:t xml:space="preserve"> Section 202 is enforceable through a private right of action, </w:t>
      </w:r>
      <w:bookmarkStart w:id="418" w:name="Bookmark_I4WSNFDM0K1MNJ4X60000400"/>
      <w:bookmarkEnd w:id="418"/>
      <w:r>
        <w:rPr>
          <w:rFonts w:ascii="Arial" w:eastAsia="Arial" w:hAnsi="Arial" w:cs="Arial"/>
          <w:i/>
          <w:color w:val="000000"/>
          <w:sz w:val="20"/>
        </w:rPr>
        <w:t>Ability Center of Greater Toledo v. City of Sandusky</w:t>
      </w:r>
      <w:r>
        <w:rPr>
          <w:rFonts w:ascii="Arial" w:eastAsia="Arial" w:hAnsi="Arial" w:cs="Arial"/>
          <w:color w:val="000000"/>
          <w:sz w:val="20"/>
        </w:rPr>
        <w:t xml:space="preserve">, 385 F.3d 901, 906 (6th Cir. 2004), (citing </w:t>
      </w:r>
      <w:bookmarkStart w:id="419" w:name="Bookmark_I4WSNFDM0K1MNJ4X80000400"/>
      <w:bookmarkEnd w:id="419"/>
      <w:r>
        <w:rPr>
          <w:rFonts w:ascii="Arial" w:eastAsia="Arial" w:hAnsi="Arial" w:cs="Arial"/>
          <w:i/>
          <w:color w:val="000000"/>
          <w:sz w:val="20"/>
        </w:rPr>
        <w:t>Barnes v. Gorman</w:t>
      </w:r>
      <w:r>
        <w:rPr>
          <w:rFonts w:ascii="Arial" w:eastAsia="Arial" w:hAnsi="Arial" w:cs="Arial"/>
          <w:color w:val="000000"/>
          <w:sz w:val="20"/>
        </w:rPr>
        <w:t>, 536 U.S. 181, 184-85, 122 S. Ct. 2097, 153 L. Ed. 2d 230 (2002)), and provides that "no qualified individual with a disability shall, by reason of such disability, be excluded from participation in or be denied the benefits of the services, programs, or activities of a public entity, or be subjected to discrimination by any such entity." 42 U.S.C. § 12132 (1990).</w:t>
      </w:r>
    </w:p>
    <w:p w:rsidR="006E038D" w:rsidRDefault="00000000">
      <w:pPr>
        <w:pStyle w:val="Normal2"/>
        <w:widowControl w:val="0"/>
        <w:spacing w:before="200" w:line="260" w:lineRule="atLeast"/>
        <w:jc w:val="both"/>
      </w:pPr>
      <w:bookmarkStart w:id="420" w:name="Bookmark_para_32_0"/>
      <w:bookmarkStart w:id="421" w:name="Bookmark_I4WSNFDM0K1MNJ4XC0000400"/>
      <w:bookmarkStart w:id="422" w:name="Bookmark_LNHNREFclscc11_0"/>
      <w:bookmarkEnd w:id="420"/>
      <w:bookmarkEnd w:id="421"/>
      <w:bookmarkEnd w:id="422"/>
      <w:r>
        <w:rPr>
          <w:rFonts w:ascii="Arial" w:eastAsia="Arial" w:hAnsi="Arial" w:cs="Arial"/>
          <w:color w:val="000000"/>
          <w:sz w:val="20"/>
        </w:rPr>
        <w:t xml:space="preserve">The plain language of § 202 prohibits public entities from discriminating against qualified disabled individuals in its administration of services and programs. This prohibition against discrimination is universally understood as a requirement to provide "meaningful access." </w:t>
      </w:r>
      <w:r>
        <w:rPr>
          <w:rFonts w:ascii="Arial" w:eastAsia="Arial" w:hAnsi="Arial" w:cs="Arial"/>
          <w:i/>
          <w:color w:val="000000"/>
          <w:sz w:val="20"/>
        </w:rPr>
        <w:t xml:space="preserve">See, e.g., </w:t>
      </w:r>
      <w:bookmarkStart w:id="423" w:name="Bookmark_I4WSNFDM0K1MNJ4XB0000400"/>
      <w:bookmarkEnd w:id="423"/>
      <w:r>
        <w:rPr>
          <w:rFonts w:ascii="Arial" w:eastAsia="Arial" w:hAnsi="Arial" w:cs="Arial"/>
          <w:i/>
          <w:color w:val="000000"/>
          <w:sz w:val="20"/>
        </w:rPr>
        <w:t>Mark H. v. Lemahieu</w:t>
      </w:r>
      <w:r>
        <w:rPr>
          <w:rFonts w:ascii="Arial" w:eastAsia="Arial" w:hAnsi="Arial" w:cs="Arial"/>
          <w:color w:val="000000"/>
          <w:sz w:val="20"/>
        </w:rPr>
        <w:t xml:space="preserve">, 513 F.3d 922, 937 (9th Cir. 2008) (noting that the ADA requires reasonable modifications necessary to ensure "meaningful access") (citing </w:t>
      </w:r>
      <w:bookmarkStart w:id="424" w:name="Bookmark_I4WSNFDM0K1MNJ4XD0000400"/>
      <w:bookmarkEnd w:id="424"/>
      <w:r>
        <w:rPr>
          <w:rFonts w:ascii="Arial" w:eastAsia="Arial" w:hAnsi="Arial" w:cs="Arial"/>
          <w:i/>
          <w:color w:val="000000"/>
          <w:sz w:val="20"/>
        </w:rPr>
        <w:t>Southeastern Comty. College v. Davis</w:t>
      </w:r>
      <w:r>
        <w:rPr>
          <w:rFonts w:ascii="Arial" w:eastAsia="Arial" w:hAnsi="Arial" w:cs="Arial"/>
          <w:color w:val="000000"/>
          <w:sz w:val="20"/>
        </w:rPr>
        <w:t xml:space="preserve">, 442 U.S. 397, 410, 99 S. Ct. 2361, 60 L. Ed. 2d 980 (1979)); </w:t>
      </w:r>
      <w:bookmarkStart w:id="425" w:name="Bookmark_I4WSNFDM0K1MNJ4XG0000400"/>
      <w:bookmarkEnd w:id="425"/>
      <w:r>
        <w:rPr>
          <w:rFonts w:ascii="Arial" w:eastAsia="Arial" w:hAnsi="Arial" w:cs="Arial"/>
          <w:i/>
          <w:color w:val="000000"/>
          <w:sz w:val="20"/>
        </w:rPr>
        <w:t>Ability Ctr</w:t>
      </w:r>
      <w:r>
        <w:rPr>
          <w:rFonts w:ascii="Arial" w:eastAsia="Arial" w:hAnsi="Arial" w:cs="Arial"/>
          <w:color w:val="000000"/>
          <w:sz w:val="20"/>
        </w:rPr>
        <w:t xml:space="preserve">., 385 F.3d at 913 (noting Title II's express aim of providing meaningful access by requiring public entities to alter city streets and sidewalks); </w:t>
      </w:r>
      <w:bookmarkStart w:id="426" w:name="Bookmark_I4WSNFDM0K1MNJ4XR0000400"/>
      <w:bookmarkEnd w:id="426"/>
      <w:r>
        <w:rPr>
          <w:rFonts w:ascii="Arial" w:eastAsia="Arial" w:hAnsi="Arial" w:cs="Arial"/>
          <w:i/>
          <w:color w:val="000000"/>
          <w:sz w:val="20"/>
        </w:rPr>
        <w:t>Chaffin</w:t>
      </w:r>
      <w:r>
        <w:rPr>
          <w:rFonts w:ascii="Arial" w:eastAsia="Arial" w:hAnsi="Arial" w:cs="Arial"/>
          <w:color w:val="000000"/>
          <w:sz w:val="20"/>
        </w:rPr>
        <w:t xml:space="preserve">, 348 F.3d at 857 (noting its prior holding that "the ADA requires public entities to provide disabled individuals </w:t>
      </w:r>
      <w:r>
        <w:rPr>
          <w:rFonts w:ascii="Arial" w:eastAsia="Arial" w:hAnsi="Arial" w:cs="Arial"/>
          <w:i/>
          <w:color w:val="000000"/>
          <w:sz w:val="20"/>
        </w:rPr>
        <w:t>'meaningful</w:t>
      </w:r>
      <w:r>
        <w:rPr>
          <w:rFonts w:ascii="Arial" w:eastAsia="Arial" w:hAnsi="Arial" w:cs="Arial"/>
          <w:color w:val="000000"/>
          <w:sz w:val="20"/>
        </w:rPr>
        <w:t xml:space="preserve"> access' "). Section 202 says nothing about a public entity's obligation to draft a detailed plan and schedule for achieving such meaningful access, nor does it create a private right to such a plan.</w:t>
      </w:r>
    </w:p>
    <w:p w:rsidR="006E038D" w:rsidRDefault="00000000">
      <w:pPr>
        <w:pStyle w:val="Normal2"/>
        <w:widowControl w:val="0"/>
        <w:spacing w:before="200" w:line="260" w:lineRule="atLeast"/>
        <w:jc w:val="both"/>
      </w:pPr>
      <w:bookmarkStart w:id="427" w:name="Bookmark_para_33_0"/>
      <w:bookmarkStart w:id="428" w:name="Bookmark_I0MSBV6MSB4000RGTVT00251"/>
      <w:bookmarkStart w:id="429" w:name="Bookmark_I4WSNFDM0K1MNJ4XV0000400"/>
      <w:bookmarkEnd w:id="427"/>
      <w:bookmarkEnd w:id="428"/>
      <w:bookmarkEnd w:id="429"/>
      <w:r>
        <w:rPr>
          <w:rFonts w:ascii="Arial" w:eastAsia="Arial" w:hAnsi="Arial" w:cs="Arial"/>
          <w:color w:val="000000"/>
          <w:sz w:val="20"/>
        </w:rPr>
        <w:t xml:space="preserve">Further, and perhaps most importantly, </w:t>
      </w:r>
      <w:bookmarkStart w:id="430" w:name="Bookmark_LNHNREFclscc12_0"/>
      <w:bookmarkEnd w:id="430"/>
      <w:r>
        <w:rPr>
          <w:rFonts w:ascii="Arial" w:eastAsia="Arial" w:hAnsi="Arial" w:cs="Arial"/>
          <w:color w:val="000000"/>
          <w:sz w:val="20"/>
        </w:rPr>
        <w:t xml:space="preserve">nothing in the language of § 202 indicates that a disabled person's </w:t>
      </w:r>
      <w:r>
        <w:rPr>
          <w:rFonts w:ascii="Arial" w:eastAsia="Arial" w:hAnsi="Arial" w:cs="Arial"/>
          <w:i/>
          <w:color w:val="000000"/>
          <w:sz w:val="20"/>
        </w:rPr>
        <w:t>remedy</w:t>
      </w:r>
      <w:r>
        <w:rPr>
          <w:rFonts w:ascii="Arial" w:eastAsia="Arial" w:hAnsi="Arial" w:cs="Arial"/>
          <w:color w:val="000000"/>
          <w:sz w:val="20"/>
        </w:rPr>
        <w:t xml:space="preserve"> for the denial of meaningful access lies in the private  [**13] enforcement of section 35.150(d)'s detailed transition plan requirements. </w:t>
      </w:r>
      <w:r>
        <w:rPr>
          <w:rFonts w:ascii="Arial" w:eastAsia="Arial" w:hAnsi="Arial" w:cs="Arial"/>
          <w:i/>
          <w:color w:val="000000"/>
          <w:sz w:val="20"/>
        </w:rPr>
        <w:t xml:space="preserve">See </w:t>
      </w:r>
      <w:bookmarkStart w:id="431" w:name="Bookmark_I4WSNFDM0K1MNJ4XT0000400"/>
      <w:bookmarkEnd w:id="431"/>
      <w:r>
        <w:rPr>
          <w:rFonts w:ascii="Arial" w:eastAsia="Arial" w:hAnsi="Arial" w:cs="Arial"/>
          <w:i/>
          <w:color w:val="000000"/>
          <w:sz w:val="20"/>
        </w:rPr>
        <w:t>Sandoval</w:t>
      </w:r>
      <w:r>
        <w:rPr>
          <w:rFonts w:ascii="Arial" w:eastAsia="Arial" w:hAnsi="Arial" w:cs="Arial"/>
          <w:color w:val="000000"/>
          <w:sz w:val="20"/>
        </w:rPr>
        <w:t xml:space="preserve">, 532 U.S. at 286 (emphasizing that the operative statute must display "an intent to create not just a private right but also a private remedy"). </w:t>
      </w:r>
      <w:bookmarkStart w:id="432" w:name="Bookmark_I4WSNFDM0K1MNJ4YS0000400"/>
      <w:bookmarkStart w:id="433" w:name="Bookmark_LNHNREFclscc13_0"/>
      <w:bookmarkEnd w:id="432"/>
      <w:bookmarkEnd w:id="433"/>
      <w:r>
        <w:rPr>
          <w:rFonts w:ascii="Arial" w:eastAsia="Arial" w:hAnsi="Arial" w:cs="Arial"/>
          <w:color w:val="000000"/>
          <w:sz w:val="20"/>
        </w:rPr>
        <w:t xml:space="preserve">The existence or non-existence of a transition plan does not, by itself, deny a disabled person access to a public entity's services, nor does it remedy the denial of access. </w:t>
      </w:r>
      <w:bookmarkStart w:id="434" w:name="Bookmark_I4WSNFDM0K1MNJ4YS0000400_2"/>
      <w:bookmarkEnd w:id="434"/>
      <w:r>
        <w:rPr>
          <w:rFonts w:ascii="Arial" w:eastAsia="Arial" w:hAnsi="Arial" w:cs="Arial"/>
          <w:vertAlign w:val="superscript"/>
        </w:rPr>
        <w:footnoteReference w:customMarkFollows="1" w:id="11"/>
        <w:t>7</w:t>
      </w:r>
      <w:r>
        <w:rPr>
          <w:rFonts w:ascii="Arial" w:eastAsia="Arial" w:hAnsi="Arial" w:cs="Arial"/>
          <w:color w:val="000000"/>
          <w:sz w:val="20"/>
        </w:rPr>
        <w:t xml:space="preserve"> Indeed, a public entity may be fully compliant with § 202 without ever having drafted a transition plan, in which case, a lawsuit forcing the public entity to draft such a plan would afford the plaintiff no meaningful remedy. </w:t>
      </w:r>
      <w:r>
        <w:rPr>
          <w:rFonts w:ascii="Arial" w:eastAsia="Arial" w:hAnsi="Arial" w:cs="Arial"/>
          <w:i/>
          <w:color w:val="000000"/>
          <w:sz w:val="20"/>
        </w:rPr>
        <w:t xml:space="preserve">See </w:t>
      </w:r>
      <w:bookmarkStart w:id="436" w:name="Bookmark_I4WSNFDM0K1MNJ4XW0000400"/>
      <w:bookmarkEnd w:id="436"/>
      <w:r>
        <w:rPr>
          <w:rFonts w:ascii="Arial" w:eastAsia="Arial" w:hAnsi="Arial" w:cs="Arial"/>
          <w:i/>
          <w:color w:val="000000"/>
          <w:sz w:val="20"/>
        </w:rPr>
        <w:t>Ability Ctr</w:t>
      </w:r>
      <w:r>
        <w:rPr>
          <w:rFonts w:ascii="Arial" w:eastAsia="Arial" w:hAnsi="Arial" w:cs="Arial"/>
          <w:color w:val="000000"/>
          <w:sz w:val="20"/>
        </w:rPr>
        <w:t xml:space="preserve">., 385 F.3d at 914; </w:t>
      </w:r>
      <w:r>
        <w:rPr>
          <w:rFonts w:ascii="Arial" w:eastAsia="Arial" w:hAnsi="Arial" w:cs="Arial"/>
          <w:i/>
          <w:color w:val="000000"/>
          <w:sz w:val="20"/>
        </w:rPr>
        <w:t xml:space="preserve">see </w:t>
      </w:r>
      <w:bookmarkStart w:id="437" w:name="Bookmark_I4WSNFDM0K1MNJ4YT0000400"/>
      <w:bookmarkEnd w:id="437"/>
      <w:r>
        <w:rPr>
          <w:rFonts w:ascii="Arial" w:eastAsia="Arial" w:hAnsi="Arial" w:cs="Arial"/>
          <w:i/>
          <w:color w:val="000000"/>
          <w:sz w:val="20"/>
        </w:rPr>
        <w:t>Iverson</w:t>
      </w:r>
      <w:r>
        <w:rPr>
          <w:rFonts w:ascii="Arial" w:eastAsia="Arial" w:hAnsi="Arial" w:cs="Arial"/>
          <w:color w:val="000000"/>
          <w:sz w:val="20"/>
        </w:rPr>
        <w:t>, 452 F.3d at 101. Conversely, a public entity  [*852]  may have a transition plan that complies with section 35.150(d), but may still be in violation of § 202 by, for example, failing to alter its sidewalks in a way that provides meaningful access.</w:t>
      </w:r>
    </w:p>
    <w:p w:rsidR="006E038D" w:rsidRDefault="00000000">
      <w:pPr>
        <w:pStyle w:val="Normal2"/>
        <w:widowControl w:val="0"/>
        <w:spacing w:before="200" w:line="260" w:lineRule="atLeast"/>
        <w:jc w:val="both"/>
      </w:pPr>
      <w:bookmarkStart w:id="438" w:name="Bookmark_para_34_0"/>
      <w:bookmarkStart w:id="439" w:name="Bookmark_I0MSBV6NMJP000RGTVT00367"/>
      <w:bookmarkStart w:id="440" w:name="Bookmark_I4WSNFDM0K1MNJ4YX0000400"/>
      <w:bookmarkEnd w:id="438"/>
      <w:bookmarkEnd w:id="439"/>
      <w:bookmarkEnd w:id="440"/>
      <w:r>
        <w:rPr>
          <w:rFonts w:ascii="Arial" w:eastAsia="Arial" w:hAnsi="Arial" w:cs="Arial"/>
          <w:color w:val="000000"/>
          <w:sz w:val="20"/>
        </w:rPr>
        <w:t xml:space="preserve">We do not suggest that section 35.150(d) is invalid or an otherwise improper exercise of agency discretion. We simply conclude that under </w:t>
      </w:r>
      <w:bookmarkStart w:id="441" w:name="Bookmark_I4WSNFDM0K1MNJ4YW0000400"/>
      <w:bookmarkEnd w:id="441"/>
      <w:r>
        <w:rPr>
          <w:rFonts w:ascii="Arial" w:eastAsia="Arial" w:hAnsi="Arial" w:cs="Arial"/>
          <w:i/>
          <w:color w:val="000000"/>
          <w:sz w:val="20"/>
        </w:rPr>
        <w:t>Sandoval</w:t>
      </w:r>
      <w:r>
        <w:rPr>
          <w:rFonts w:ascii="Arial" w:eastAsia="Arial" w:hAnsi="Arial" w:cs="Arial"/>
          <w:color w:val="000000"/>
          <w:sz w:val="20"/>
        </w:rPr>
        <w:t>, it is not enforceable through § 202's private right of action because the obligations it imposes are nowhere to be found in § 202's plain language. Moreover, requiring a public entity to create a transition plan does not directly remedy a denial of § 202's right to meaningful access.</w:t>
      </w:r>
    </w:p>
    <w:p w:rsidR="006E038D" w:rsidRDefault="00000000">
      <w:pPr>
        <w:pStyle w:val="Normal2"/>
        <w:widowControl w:val="0"/>
        <w:spacing w:before="200" w:line="260" w:lineRule="atLeast"/>
        <w:jc w:val="both"/>
      </w:pPr>
      <w:bookmarkStart w:id="442" w:name="Bookmark_para_35_0"/>
      <w:bookmarkStart w:id="443" w:name="Bookmark_I0MSBV6MX58000RGTVT00362"/>
      <w:bookmarkStart w:id="444" w:name="Bookmark_I0MSBV6N20D000RGTVT00363"/>
      <w:bookmarkStart w:id="445" w:name="Bookmark_I4WSNFDM0K1MNJ50B0000400"/>
      <w:bookmarkEnd w:id="442"/>
      <w:bookmarkEnd w:id="443"/>
      <w:bookmarkEnd w:id="444"/>
      <w:bookmarkEnd w:id="445"/>
      <w:r>
        <w:rPr>
          <w:rFonts w:ascii="Arial" w:eastAsia="Arial" w:hAnsi="Arial" w:cs="Arial"/>
          <w:color w:val="000000"/>
          <w:sz w:val="20"/>
        </w:rPr>
        <w:t xml:space="preserve">Our conclusions are consistent with the approach outlined by the Sixth Circuit in </w:t>
      </w:r>
      <w:r>
        <w:rPr>
          <w:rFonts w:ascii="Arial" w:eastAsia="Arial" w:hAnsi="Arial" w:cs="Arial"/>
          <w:i/>
          <w:color w:val="000000"/>
          <w:sz w:val="20"/>
        </w:rPr>
        <w:t>Ability Center</w:t>
      </w:r>
      <w:r>
        <w:rPr>
          <w:rFonts w:ascii="Arial" w:eastAsia="Arial" w:hAnsi="Arial" w:cs="Arial"/>
          <w:color w:val="000000"/>
          <w:sz w:val="20"/>
        </w:rPr>
        <w:t xml:space="preserve"> and adopted by the First Circuit in Iverson. </w:t>
      </w:r>
      <w:bookmarkStart w:id="446" w:name="Bookmark_I0MSBV6N5TJ000RGTVT00364"/>
      <w:bookmarkStart w:id="447" w:name="Bookmark_I4WSNFDM0K1MNJ51R0000400"/>
      <w:bookmarkStart w:id="448" w:name="Bookmark_I4WSNFDM0K1MNJ5090000400"/>
      <w:bookmarkEnd w:id="446"/>
      <w:bookmarkEnd w:id="447"/>
      <w:bookmarkEnd w:id="448"/>
      <w:r>
        <w:rPr>
          <w:rFonts w:ascii="Arial" w:eastAsia="Arial" w:hAnsi="Arial" w:cs="Arial"/>
          <w:i/>
          <w:color w:val="000000"/>
          <w:sz w:val="20"/>
        </w:rPr>
        <w:t>Ability Ctr</w:t>
      </w:r>
      <w:r>
        <w:rPr>
          <w:rFonts w:ascii="Arial" w:eastAsia="Arial" w:hAnsi="Arial" w:cs="Arial"/>
          <w:color w:val="000000"/>
          <w:sz w:val="20"/>
        </w:rPr>
        <w:t xml:space="preserve">., 385 F.3d at 914; </w:t>
      </w:r>
      <w:bookmarkStart w:id="449" w:name="Bookmark_I4WSNFDM0K1MNJ50C0000400"/>
      <w:bookmarkEnd w:id="449"/>
      <w:r>
        <w:rPr>
          <w:rFonts w:ascii="Arial" w:eastAsia="Arial" w:hAnsi="Arial" w:cs="Arial"/>
          <w:i/>
          <w:color w:val="000000"/>
          <w:sz w:val="20"/>
        </w:rPr>
        <w:t>Iverson</w:t>
      </w:r>
      <w:r>
        <w:rPr>
          <w:rFonts w:ascii="Arial" w:eastAsia="Arial" w:hAnsi="Arial" w:cs="Arial"/>
          <w:color w:val="000000"/>
          <w:sz w:val="20"/>
        </w:rPr>
        <w:t xml:space="preserve">, 452 F.3d at 100-01. Although the Tenth Circuit held otherwise in </w:t>
      </w:r>
      <w:r>
        <w:rPr>
          <w:rFonts w:ascii="Arial" w:eastAsia="Arial" w:hAnsi="Arial" w:cs="Arial"/>
          <w:i/>
          <w:color w:val="000000"/>
          <w:sz w:val="20"/>
        </w:rPr>
        <w:t>Chaffin</w:t>
      </w:r>
      <w:r>
        <w:rPr>
          <w:rFonts w:ascii="Arial" w:eastAsia="Arial" w:hAnsi="Arial" w:cs="Arial"/>
          <w:color w:val="000000"/>
          <w:sz w:val="20"/>
        </w:rPr>
        <w:t xml:space="preserve">, it did not address whether § 202 evinced congressional intent to create a private right to a transition plan, or whether such a plan would remedy the denial of meaningful access. </w:t>
      </w:r>
      <w:bookmarkStart w:id="450" w:name="Bookmark_I4WSNFDM0K1MNJ51R0000400_2"/>
      <w:bookmarkEnd w:id="450"/>
      <w:r>
        <w:rPr>
          <w:rFonts w:ascii="Arial" w:eastAsia="Arial" w:hAnsi="Arial" w:cs="Arial"/>
          <w:color w:val="000000"/>
          <w:sz w:val="20"/>
        </w:rPr>
        <w:t xml:space="preserve">Instead, it applied </w:t>
      </w:r>
      <w:r>
        <w:rPr>
          <w:rFonts w:ascii="Arial" w:eastAsia="Arial" w:hAnsi="Arial" w:cs="Arial"/>
          <w:i/>
          <w:color w:val="000000"/>
          <w:sz w:val="20"/>
        </w:rPr>
        <w:t>Sandoval</w:t>
      </w:r>
      <w:r>
        <w:rPr>
          <w:rFonts w:ascii="Arial" w:eastAsia="Arial" w:hAnsi="Arial" w:cs="Arial"/>
          <w:color w:val="000000"/>
          <w:sz w:val="20"/>
        </w:rPr>
        <w:t xml:space="preserve"> broadly to a host of ADA regulations, and without addressing each one individually concluded that they all "simply provide[d] the details necessary to implement  [**15] the statutory right created by § [202] . . . of the ADA," and did "not prohibit otherwise permissible conduct." </w:t>
      </w:r>
      <w:bookmarkStart w:id="451" w:name="Bookmark_I4WSNFDM0K1MNJ50F0000400"/>
      <w:bookmarkEnd w:id="451"/>
      <w:r>
        <w:rPr>
          <w:rFonts w:ascii="Arial" w:eastAsia="Arial" w:hAnsi="Arial" w:cs="Arial"/>
          <w:i/>
          <w:color w:val="000000"/>
          <w:sz w:val="20"/>
        </w:rPr>
        <w:t>Chaffin</w:t>
      </w:r>
      <w:r>
        <w:rPr>
          <w:rFonts w:ascii="Arial" w:eastAsia="Arial" w:hAnsi="Arial" w:cs="Arial"/>
          <w:color w:val="000000"/>
          <w:sz w:val="20"/>
        </w:rPr>
        <w:t>, 348 F.3d at 854, 857-58 (holding that 28 C.F.R. §§ 35.150, 35.151, and the Americans with Disabilities Act Accessibility Guidelines ("ADAAG"), 28 C.F.R. pt. 36, app. A, were all privately enforceable).</w:t>
      </w:r>
    </w:p>
    <w:p w:rsidR="006E038D" w:rsidRDefault="00000000">
      <w:pPr>
        <w:pStyle w:val="Normal2"/>
        <w:widowControl w:val="0"/>
        <w:spacing w:before="200" w:line="260" w:lineRule="atLeast"/>
        <w:jc w:val="both"/>
      </w:pPr>
      <w:bookmarkStart w:id="452" w:name="Bookmark_para_36_0"/>
      <w:bookmarkStart w:id="453" w:name="Bookmark_I0MSBV6NSCV000RGTVT00368"/>
      <w:bookmarkStart w:id="454" w:name="Bookmark_I4WSNFDM0K1MNJ51T0000400"/>
      <w:bookmarkEnd w:id="452"/>
      <w:bookmarkEnd w:id="453"/>
      <w:bookmarkEnd w:id="454"/>
      <w:r>
        <w:rPr>
          <w:rFonts w:ascii="Arial" w:eastAsia="Arial" w:hAnsi="Arial" w:cs="Arial"/>
          <w:color w:val="000000"/>
          <w:sz w:val="20"/>
        </w:rPr>
        <w:t xml:space="preserve">It is true that section 35.150(d) does not "prohibit" conduct that is otherwise permissible under § 202 as the challenged regulation in </w:t>
      </w:r>
      <w:r>
        <w:rPr>
          <w:rFonts w:ascii="Arial" w:eastAsia="Arial" w:hAnsi="Arial" w:cs="Arial"/>
          <w:i/>
          <w:color w:val="000000"/>
          <w:sz w:val="20"/>
        </w:rPr>
        <w:t>Sandoval</w:t>
      </w:r>
      <w:r>
        <w:rPr>
          <w:rFonts w:ascii="Arial" w:eastAsia="Arial" w:hAnsi="Arial" w:cs="Arial"/>
          <w:color w:val="000000"/>
          <w:sz w:val="20"/>
        </w:rPr>
        <w:t xml:space="preserve"> did with respect to § 601 of Title VI of the Civil Rights Act. However, we read </w:t>
      </w:r>
      <w:r>
        <w:rPr>
          <w:rFonts w:ascii="Arial" w:eastAsia="Arial" w:hAnsi="Arial" w:cs="Arial"/>
          <w:i/>
          <w:color w:val="000000"/>
          <w:sz w:val="20"/>
        </w:rPr>
        <w:t>Sandoval</w:t>
      </w:r>
      <w:r>
        <w:rPr>
          <w:rFonts w:ascii="Arial" w:eastAsia="Arial" w:hAnsi="Arial" w:cs="Arial"/>
          <w:color w:val="000000"/>
          <w:sz w:val="20"/>
        </w:rPr>
        <w:t xml:space="preserve"> to require a more particularized review of the challenged regulation than was undertaken by the Tenth Circuit in </w:t>
      </w:r>
      <w:bookmarkStart w:id="455" w:name="Bookmark_I4WSNFDM0K1MNJ51S0000400"/>
      <w:bookmarkEnd w:id="455"/>
      <w:r>
        <w:rPr>
          <w:rFonts w:ascii="Arial" w:eastAsia="Arial" w:hAnsi="Arial" w:cs="Arial"/>
          <w:i/>
          <w:color w:val="000000"/>
          <w:sz w:val="20"/>
        </w:rPr>
        <w:t>Chaffin</w:t>
      </w:r>
      <w:r>
        <w:rPr>
          <w:rFonts w:ascii="Arial" w:eastAsia="Arial" w:hAnsi="Arial" w:cs="Arial"/>
          <w:color w:val="000000"/>
          <w:sz w:val="20"/>
        </w:rPr>
        <w:t>, in addition to a determination of whether the regulation effectuates the statutory right and corresponding remedy. As set forth above, the application of this requisite inquiry with respect to section 35.150(d) leads us to conclude that it is not enforceable through § 202's private right of action. This holding does not preclude another panel from finding that other regulations promulgated to effectuate § 202 are privately enforceable, nor does it prevent Lonberg from pursuing his pending claims for damages and injunctive relief  [**16] raised in the other phases of this litigation. Indeed, to the extent the City is in violation of the ADA and its attendant regulations, Lonberg's true remedy would lie in an injunction requiring the actual removal of barriers that prevent meaningful access.</w:t>
      </w:r>
    </w:p>
    <w:p w:rsidR="006E038D" w:rsidRDefault="00000000">
      <w:pPr>
        <w:pStyle w:val="Normal2"/>
        <w:widowControl w:val="0"/>
        <w:spacing w:before="200" w:line="260" w:lineRule="atLeast"/>
        <w:jc w:val="both"/>
      </w:pPr>
      <w:bookmarkStart w:id="456" w:name="Bookmark_para_37_0"/>
      <w:bookmarkEnd w:id="456"/>
      <w:r>
        <w:rPr>
          <w:rFonts w:ascii="Arial" w:eastAsia="Arial" w:hAnsi="Arial" w:cs="Arial"/>
          <w:b/>
          <w:color w:val="000000"/>
          <w:sz w:val="20"/>
        </w:rPr>
        <w:t>III</w:t>
      </w:r>
      <w:r>
        <w:rPr>
          <w:rFonts w:ascii="Arial" w:eastAsia="Arial" w:hAnsi="Arial" w:cs="Arial"/>
          <w:color w:val="000000"/>
          <w:sz w:val="20"/>
        </w:rPr>
        <w:t>.</w:t>
      </w:r>
    </w:p>
    <w:p w:rsidR="006E038D" w:rsidRDefault="00000000">
      <w:pPr>
        <w:pStyle w:val="Normal2"/>
        <w:widowControl w:val="0"/>
        <w:spacing w:before="200" w:line="260" w:lineRule="atLeast"/>
        <w:jc w:val="both"/>
      </w:pPr>
      <w:bookmarkStart w:id="457" w:name="Bookmark_para_38_0"/>
      <w:bookmarkEnd w:id="457"/>
      <w:r>
        <w:rPr>
          <w:rFonts w:ascii="Arial" w:eastAsia="Arial" w:hAnsi="Arial" w:cs="Arial"/>
          <w:color w:val="000000"/>
          <w:sz w:val="20"/>
        </w:rPr>
        <w:t>Based on the foregoing, we hold that 28 C.F.R. § 35.150(d) is not enforceable through the private right of action under § 202 of Title II, 42 U.S.C. § 12132, and we REVERSE and VACATE the district court's permanent injunction.</w:t>
      </w:r>
    </w:p>
    <w:p w:rsidR="006E038D" w:rsidRDefault="00000000">
      <w:pPr>
        <w:pStyle w:val="Normal2"/>
        <w:widowControl w:val="0"/>
        <w:spacing w:before="240" w:line="260" w:lineRule="atLeast"/>
      </w:pPr>
      <w:bookmarkStart w:id="458" w:name="Dissent_by"/>
      <w:bookmarkEnd w:id="458"/>
      <w:r>
        <w:rPr>
          <w:rFonts w:ascii="Arial" w:eastAsia="Arial" w:hAnsi="Arial" w:cs="Arial"/>
          <w:b/>
          <w:color w:val="000000"/>
          <w:sz w:val="20"/>
        </w:rPr>
        <w:t>Dissent by:</w:t>
      </w:r>
      <w:r>
        <w:rPr>
          <w:rFonts w:ascii="Arial" w:eastAsia="Arial" w:hAnsi="Arial" w:cs="Arial"/>
          <w:color w:val="000000"/>
          <w:sz w:val="20"/>
        </w:rPr>
        <w:t> Barry G. Silverman</w:t>
      </w:r>
    </w:p>
    <w:p w:rsidR="006E038D" w:rsidRDefault="00000000">
      <w:pPr>
        <w:pStyle w:val="Normal2"/>
        <w:keepNext/>
        <w:widowControl w:val="0"/>
        <w:spacing w:before="240" w:line="340" w:lineRule="atLeast"/>
      </w:pPr>
      <w:bookmarkStart w:id="459" w:name="Dissent"/>
      <w:bookmarkEnd w:id="459"/>
      <w:r>
        <w:rPr>
          <w:rFonts w:ascii="Arial" w:eastAsia="Arial" w:hAnsi="Arial" w:cs="Arial"/>
          <w:b/>
          <w:color w:val="000000"/>
          <w:sz w:val="28"/>
        </w:rPr>
        <w:t>Dissent</w:t>
      </w:r>
    </w:p>
    <w:p w:rsidR="006E038D" w:rsidRDefault="008C3211">
      <w:pPr>
        <w:pStyle w:val="Normal2"/>
        <w:spacing w:line="60" w:lineRule="exact"/>
      </w:pPr>
      <w:r>
        <w:rPr>
          <w:noProof/>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7206712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0ABCE7" id="Line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6E038D" w:rsidRDefault="006E038D">
      <w:pPr>
        <w:pStyle w:val="Normal2"/>
      </w:pPr>
    </w:p>
    <w:p w:rsidR="006E038D" w:rsidRDefault="00000000">
      <w:pPr>
        <w:pStyle w:val="Normal2"/>
        <w:widowControl w:val="0"/>
        <w:spacing w:before="200" w:line="260" w:lineRule="atLeast"/>
        <w:jc w:val="both"/>
      </w:pPr>
      <w:bookmarkStart w:id="460" w:name="Bookmark_para_39_0"/>
      <w:bookmarkEnd w:id="460"/>
      <w:r>
        <w:rPr>
          <w:rFonts w:ascii="Arial" w:eastAsia="Arial" w:hAnsi="Arial" w:cs="Arial"/>
          <w:color w:val="000000"/>
          <w:sz w:val="20"/>
        </w:rPr>
        <w:t>SILVERMAN, Circuit Judge, dissenting:</w:t>
      </w:r>
    </w:p>
    <w:p w:rsidR="006E038D" w:rsidRDefault="00000000">
      <w:pPr>
        <w:pStyle w:val="Normal2"/>
        <w:widowControl w:val="0"/>
        <w:spacing w:before="200" w:line="260" w:lineRule="atLeast"/>
        <w:jc w:val="both"/>
      </w:pPr>
      <w:bookmarkStart w:id="461" w:name="Bookmark_para_40_0"/>
      <w:bookmarkEnd w:id="461"/>
      <w:r>
        <w:rPr>
          <w:rFonts w:ascii="Arial" w:eastAsia="Arial" w:hAnsi="Arial" w:cs="Arial"/>
          <w:color w:val="000000"/>
          <w:sz w:val="20"/>
        </w:rPr>
        <w:t>Because I believe the City of Riverside waived its argument that 28 C.F.R. § 35.150(d) is not privately enforceable, I dissent.</w:t>
      </w:r>
    </w:p>
    <w:p w:rsidR="006E038D" w:rsidRDefault="00000000">
      <w:pPr>
        <w:pStyle w:val="Normal2"/>
        <w:widowControl w:val="0"/>
        <w:spacing w:before="200" w:line="260" w:lineRule="atLeast"/>
        <w:jc w:val="both"/>
      </w:pPr>
      <w:bookmarkStart w:id="462" w:name="Bookmark_para_41_0"/>
      <w:bookmarkEnd w:id="462"/>
      <w:r>
        <w:rPr>
          <w:rFonts w:ascii="Arial" w:eastAsia="Arial" w:hAnsi="Arial" w:cs="Arial"/>
          <w:color w:val="000000"/>
          <w:sz w:val="20"/>
        </w:rPr>
        <w:t xml:space="preserve">The City did not raise this defense in its answer, in a motion to dismiss, in a motion for summary judgment, or even at trial. Instead, the City waited until </w:t>
      </w:r>
      <w:r>
        <w:rPr>
          <w:rFonts w:ascii="Arial" w:eastAsia="Arial" w:hAnsi="Arial" w:cs="Arial"/>
          <w:i/>
          <w:color w:val="000000"/>
          <w:sz w:val="20"/>
        </w:rPr>
        <w:t>after trial</w:t>
      </w:r>
      <w:r>
        <w:rPr>
          <w:rFonts w:ascii="Arial" w:eastAsia="Arial" w:hAnsi="Arial" w:cs="Arial"/>
          <w:color w:val="000000"/>
          <w:sz w:val="20"/>
        </w:rPr>
        <w:t xml:space="preserve"> -- after the district court issued a decision in Lonberg's favor -- to argue for the first time in a motion for new trial that § 35.150(d) is not privately enforceable. Even worse, after Lonberg argued in his opening brief to us that the City had waived this argument by not raising it before trial, the City offered not one word of rebuttal about the waiver argument.  [**17] It  [*853]  seems to me the City has doubly waived its argument -- it did not raise it prior to trial in the district court and it failed to reply to the waiver argument made before us in the court of appeals.</w:t>
      </w:r>
    </w:p>
    <w:p w:rsidR="006E038D" w:rsidRDefault="00000000">
      <w:pPr>
        <w:pStyle w:val="Normal2"/>
        <w:widowControl w:val="0"/>
        <w:spacing w:before="200" w:line="260" w:lineRule="atLeast"/>
        <w:jc w:val="both"/>
      </w:pPr>
      <w:bookmarkStart w:id="463" w:name="Bookmark_para_42_0"/>
      <w:bookmarkEnd w:id="463"/>
      <w:r>
        <w:rPr>
          <w:rFonts w:ascii="Arial" w:eastAsia="Arial" w:hAnsi="Arial" w:cs="Arial"/>
          <w:color w:val="000000"/>
          <w:sz w:val="20"/>
        </w:rPr>
        <w:t xml:space="preserve">Under Federal Rule of Civil Procedure 12(h)(2), a Rule 12(b)(6) defense must be raised at or before trial. Here, the City raised its defense after the trial concluded </w:t>
      </w:r>
      <w:r>
        <w:rPr>
          <w:rFonts w:ascii="Arial" w:eastAsia="Arial" w:hAnsi="Arial" w:cs="Arial"/>
          <w:i/>
          <w:color w:val="000000"/>
          <w:sz w:val="20"/>
        </w:rPr>
        <w:t>and</w:t>
      </w:r>
      <w:r>
        <w:rPr>
          <w:rFonts w:ascii="Arial" w:eastAsia="Arial" w:hAnsi="Arial" w:cs="Arial"/>
          <w:color w:val="000000"/>
          <w:sz w:val="20"/>
        </w:rPr>
        <w:t xml:space="preserve"> after the district court rendered a decision against it, even though "the City's [defense] may be characterized as a Rule 12(b)(6) defense," as the majority itself acknowledges.</w:t>
      </w:r>
    </w:p>
    <w:p w:rsidR="006E038D" w:rsidRDefault="00000000">
      <w:pPr>
        <w:pStyle w:val="Normal2"/>
        <w:widowControl w:val="0"/>
        <w:spacing w:before="200" w:line="260" w:lineRule="atLeast"/>
        <w:jc w:val="both"/>
      </w:pPr>
      <w:bookmarkStart w:id="464" w:name="Bookmark_para_43_0"/>
      <w:bookmarkEnd w:id="464"/>
      <w:r>
        <w:rPr>
          <w:rFonts w:ascii="Arial" w:eastAsia="Arial" w:hAnsi="Arial" w:cs="Arial"/>
          <w:color w:val="000000"/>
          <w:sz w:val="20"/>
        </w:rPr>
        <w:t xml:space="preserve">Even if we have the discretion to reach this issue notwithstanding the City's failure to perfect it below, I do not see why we should. The City's belated assertion of this new defense is most unfair to Lonberg who prevailed at trial in the face of the defenses that </w:t>
      </w:r>
      <w:r>
        <w:rPr>
          <w:rFonts w:ascii="Arial" w:eastAsia="Arial" w:hAnsi="Arial" w:cs="Arial"/>
          <w:i/>
          <w:color w:val="000000"/>
          <w:sz w:val="20"/>
        </w:rPr>
        <w:t>were</w:t>
      </w:r>
      <w:r>
        <w:rPr>
          <w:rFonts w:ascii="Arial" w:eastAsia="Arial" w:hAnsi="Arial" w:cs="Arial"/>
          <w:color w:val="000000"/>
          <w:sz w:val="20"/>
        </w:rPr>
        <w:t xml:space="preserve">  [**18] raised and litigated. Why should the City be allowed to wait until it loses and then get another chance to raise an entirely new non-jurisdictional defense that was perfectly available before? This makes a mockery of the rules of civil procedure requiring that claims and defenses be timely raised. There are good reasons for these rules, too -- like fairness and avoidance of surprise.</w:t>
      </w:r>
    </w:p>
    <w:p w:rsidR="006E038D" w:rsidRDefault="00000000">
      <w:pPr>
        <w:pStyle w:val="Normal2"/>
        <w:widowControl w:val="0"/>
        <w:spacing w:before="200" w:line="260" w:lineRule="atLeast"/>
        <w:jc w:val="both"/>
      </w:pPr>
      <w:bookmarkStart w:id="465" w:name="Bookmark_para_44_0"/>
      <w:bookmarkEnd w:id="465"/>
      <w:r>
        <w:rPr>
          <w:rFonts w:ascii="Arial" w:eastAsia="Arial" w:hAnsi="Arial" w:cs="Arial"/>
          <w:color w:val="000000"/>
          <w:sz w:val="20"/>
        </w:rPr>
        <w:t xml:space="preserve">What is the City's answer to Lonberg's assertion that the new argument has been waived? Nothing. Not a word. In its brief before us, the City offered no explanation whatsoever for its failure to raise its argument earlier, or even a justification for why the argument has </w:t>
      </w:r>
      <w:r>
        <w:rPr>
          <w:rFonts w:ascii="Arial" w:eastAsia="Arial" w:hAnsi="Arial" w:cs="Arial"/>
          <w:i/>
          <w:color w:val="000000"/>
          <w:sz w:val="20"/>
        </w:rPr>
        <w:t>not</w:t>
      </w:r>
      <w:r>
        <w:rPr>
          <w:rFonts w:ascii="Arial" w:eastAsia="Arial" w:hAnsi="Arial" w:cs="Arial"/>
          <w:color w:val="000000"/>
          <w:sz w:val="20"/>
        </w:rPr>
        <w:t xml:space="preserve"> been waived. The City's brief is totally silent in response to Lonberg's claim of waiver. This failure alone counsels against the exercise of discretion to consider the City's new-found position at this late date.</w:t>
      </w:r>
    </w:p>
    <w:p w:rsidR="006E038D" w:rsidRDefault="00000000">
      <w:pPr>
        <w:pStyle w:val="Normal2"/>
        <w:widowControl w:val="0"/>
        <w:spacing w:before="200" w:line="260" w:lineRule="atLeast"/>
        <w:jc w:val="both"/>
      </w:pPr>
      <w:bookmarkStart w:id="466" w:name="Bookmark_para_45_0"/>
      <w:bookmarkEnd w:id="466"/>
      <w:r>
        <w:rPr>
          <w:rFonts w:ascii="Arial" w:eastAsia="Arial" w:hAnsi="Arial" w:cs="Arial"/>
          <w:color w:val="000000"/>
          <w:sz w:val="20"/>
        </w:rPr>
        <w:t>I would affirm.</w:t>
      </w:r>
    </w:p>
    <w:p w:rsidR="006E038D" w:rsidRDefault="006E038D">
      <w:pPr>
        <w:pStyle w:val="Normal2"/>
      </w:pPr>
    </w:p>
    <w:p w:rsidR="006E038D" w:rsidRDefault="00000000">
      <w:pPr>
        <w:pStyle w:val="Normal2"/>
        <w:ind w:left="200"/>
        <w:sectPr w:rsidR="006E038D">
          <w:type w:val="continuous"/>
          <w:pgSz w:w="12240" w:h="15840"/>
          <w:pgMar w:top="840" w:right="1000" w:bottom="840" w:left="1000" w:header="400" w:footer="400" w:gutter="0"/>
          <w:cols w:num="2" w:space="240"/>
        </w:sectPr>
      </w:pPr>
      <w:r>
        <w:br/>
      </w:r>
      <w:r w:rsidR="008C3211">
        <w:rPr>
          <w:noProof/>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37610637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68D46" id="Line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6E038D" w:rsidRDefault="006E038D">
      <w:pPr>
        <w:pStyle w:val="Normal3"/>
        <w:sectPr w:rsidR="006E038D">
          <w:headerReference w:type="even" r:id="rId24"/>
          <w:headerReference w:type="default" r:id="rId25"/>
          <w:footerReference w:type="even" r:id="rId26"/>
          <w:footerReference w:type="default" r:id="rId27"/>
          <w:headerReference w:type="first" r:id="rId28"/>
          <w:footerReference w:type="first" r:id="rId29"/>
          <w:pgSz w:w="12240" w:h="15840"/>
          <w:pgMar w:top="840" w:right="1000" w:bottom="840" w:left="1000" w:header="400" w:footer="400" w:gutter="0"/>
          <w:cols w:space="720"/>
          <w:titlePg/>
        </w:sectPr>
      </w:pPr>
    </w:p>
    <w:p w:rsidR="006E038D" w:rsidRDefault="006E038D">
      <w:pPr>
        <w:pStyle w:val="Normal3"/>
      </w:pPr>
    </w:p>
    <w:p w:rsidR="006E038D" w:rsidRDefault="00000000">
      <w:pPr>
        <w:pStyle w:val="Heading12"/>
        <w:keepNext w:val="0"/>
        <w:widowControl w:val="0"/>
        <w:spacing w:after="200" w:line="340" w:lineRule="atLeast"/>
        <w:jc w:val="center"/>
      </w:pPr>
      <w:r>
        <w:rPr>
          <w:rFonts w:eastAsia="Arial"/>
          <w:color w:val="000000"/>
          <w:sz w:val="28"/>
        </w:rPr>
        <w:t>Falchenberg v. N.Y. State Dep't of Educ.</w:t>
      </w:r>
    </w:p>
    <w:p w:rsidR="006E038D" w:rsidRDefault="00000000">
      <w:pPr>
        <w:pStyle w:val="Normal3"/>
        <w:widowControl w:val="0"/>
        <w:spacing w:before="120" w:line="260" w:lineRule="atLeast"/>
        <w:jc w:val="center"/>
      </w:pPr>
      <w:r>
        <w:rPr>
          <w:rFonts w:ascii="Arial" w:eastAsia="Arial" w:hAnsi="Arial" w:cs="Arial"/>
          <w:color w:val="000000"/>
          <w:sz w:val="20"/>
        </w:rPr>
        <w:t>United States Court of Appeals for the Second Circuit</w:t>
      </w:r>
    </w:p>
    <w:p w:rsidR="006E038D" w:rsidRDefault="00000000">
      <w:pPr>
        <w:pStyle w:val="Normal3"/>
        <w:widowControl w:val="0"/>
        <w:spacing w:before="120" w:line="260" w:lineRule="atLeast"/>
        <w:jc w:val="center"/>
      </w:pPr>
      <w:r>
        <w:rPr>
          <w:rFonts w:ascii="Arial" w:eastAsia="Arial" w:hAnsi="Arial" w:cs="Arial"/>
          <w:color w:val="000000"/>
          <w:sz w:val="20"/>
        </w:rPr>
        <w:t>June 8, 2009, Decided</w:t>
      </w:r>
    </w:p>
    <w:p w:rsidR="006E038D" w:rsidRDefault="00000000">
      <w:pPr>
        <w:pStyle w:val="Normal3"/>
        <w:widowControl w:val="0"/>
        <w:spacing w:before="120" w:line="260" w:lineRule="atLeast"/>
        <w:jc w:val="center"/>
        <w:sectPr w:rsidR="006E038D">
          <w:type w:val="continuous"/>
          <w:pgSz w:w="12240" w:h="15840"/>
          <w:pgMar w:top="840" w:right="1000" w:bottom="840" w:left="1000" w:header="400" w:footer="400" w:gutter="0"/>
          <w:cols w:space="240"/>
        </w:sectPr>
      </w:pPr>
      <w:r>
        <w:rPr>
          <w:rFonts w:ascii="Arial" w:eastAsia="Arial" w:hAnsi="Arial" w:cs="Arial"/>
          <w:color w:val="000000"/>
          <w:sz w:val="20"/>
        </w:rPr>
        <w:t>No. 08-3602-cv</w:t>
      </w:r>
    </w:p>
    <w:p w:rsidR="006E038D" w:rsidRDefault="006E038D">
      <w:pPr>
        <w:pStyle w:val="Normal3"/>
        <w:widowControl w:val="0"/>
        <w:spacing w:line="240" w:lineRule="atLeast"/>
        <w:jc w:val="both"/>
      </w:pPr>
      <w:bookmarkStart w:id="467" w:name="Bookmark_4"/>
      <w:bookmarkEnd w:id="467"/>
    </w:p>
    <w:p w:rsidR="006E038D" w:rsidRDefault="00000000">
      <w:pPr>
        <w:pStyle w:val="Normal3"/>
        <w:widowControl w:val="0"/>
        <w:spacing w:before="200" w:line="240" w:lineRule="atLeast"/>
      </w:pPr>
      <w:bookmarkStart w:id="468" w:name="Reporter_2"/>
      <w:bookmarkEnd w:id="468"/>
      <w:r>
        <w:rPr>
          <w:rFonts w:ascii="Arial" w:eastAsia="Arial" w:hAnsi="Arial" w:cs="Arial"/>
          <w:b/>
          <w:color w:val="000000"/>
          <w:sz w:val="18"/>
        </w:rPr>
        <w:t>Reporter</w:t>
      </w:r>
    </w:p>
    <w:p w:rsidR="006E038D" w:rsidRDefault="00000000">
      <w:pPr>
        <w:pStyle w:val="Normal3"/>
        <w:widowControl w:val="0"/>
        <w:spacing w:line="240" w:lineRule="atLeast"/>
        <w:sectPr w:rsidR="006E038D">
          <w:type w:val="continuous"/>
          <w:pgSz w:w="12240" w:h="15840"/>
          <w:pgMar w:top="840" w:right="1000" w:bottom="840" w:left="1000" w:header="400" w:footer="400" w:gutter="0"/>
          <w:cols w:space="240"/>
        </w:sectPr>
      </w:pPr>
      <w:r>
        <w:rPr>
          <w:rFonts w:ascii="Arial" w:eastAsia="Arial" w:hAnsi="Arial" w:cs="Arial"/>
          <w:color w:val="000000"/>
          <w:sz w:val="18"/>
        </w:rPr>
        <w:t>338 Fed. Appx. 11 *; 2009 U.S. App. LEXIS 12213 **; 22 Am. Disabilities Cas. (BNA) 13</w:t>
      </w:r>
    </w:p>
    <w:p w:rsidR="006E038D" w:rsidRDefault="00000000">
      <w:pPr>
        <w:pStyle w:val="Normal3"/>
        <w:widowControl w:val="0"/>
        <w:spacing w:before="120" w:line="260" w:lineRule="atLeast"/>
      </w:pPr>
      <w:r>
        <w:rPr>
          <w:rFonts w:ascii="Arial" w:eastAsia="Arial" w:hAnsi="Arial" w:cs="Arial"/>
          <w:color w:val="000000"/>
          <w:sz w:val="20"/>
        </w:rPr>
        <w:t>MARSHA FALCHENBERG, Plaintiff-Appellant, - v. - NEW YORK STATE DEPARTMENT OF EDUCATION, STATE OF NEW YORK AND NATIONAL EVALUATION SYSTEMS, INC., ALSO KNOWN AS NYSTE PROGRAM, Defendants-Appellees, NEW YORK CITY DEPARTMENT OF EDUCATION AND CITY OF NEW YORK, Defendants.</w:t>
      </w:r>
    </w:p>
    <w:p w:rsidR="006E038D" w:rsidRDefault="00000000">
      <w:pPr>
        <w:pStyle w:val="Normal3"/>
        <w:widowControl w:val="0"/>
        <w:spacing w:before="240" w:line="260" w:lineRule="atLeast"/>
        <w:jc w:val="both"/>
      </w:pPr>
      <w:bookmarkStart w:id="469" w:name="Notice"/>
      <w:bookmarkEnd w:id="469"/>
      <w:r>
        <w:rPr>
          <w:rFonts w:ascii="Arial" w:eastAsia="Arial" w:hAnsi="Arial" w:cs="Arial"/>
          <w:b/>
          <w:color w:val="000000"/>
          <w:sz w:val="20"/>
        </w:rPr>
        <w:t>Notice:</w:t>
      </w:r>
      <w:r>
        <w:rPr>
          <w:rFonts w:ascii="Arial" w:eastAsia="Arial" w:hAnsi="Arial" w:cs="Arial"/>
          <w:color w:val="000000"/>
          <w:sz w:val="20"/>
        </w:rPr>
        <w:t> </w:t>
      </w:r>
      <w:bookmarkStart w:id="470" w:name="Bookmark_para_1_2"/>
      <w:bookmarkEnd w:id="470"/>
      <w:r>
        <w:rPr>
          <w:rFonts w:ascii="Arial" w:eastAsia="Arial" w:hAnsi="Arial" w:cs="Arial"/>
          <w:color w:val="000000"/>
          <w:sz w:val="20"/>
        </w:rPr>
        <w:t>PLEASE REFER TO FEDERAL RULES OF APPELLATE PROCEDURE RULE 32.1 GOVERNING THE CITATION TO UNPUBLISHED OPINIONS.</w:t>
      </w:r>
    </w:p>
    <w:p w:rsidR="006E038D" w:rsidRDefault="00000000">
      <w:pPr>
        <w:pStyle w:val="Normal3"/>
        <w:widowControl w:val="0"/>
        <w:spacing w:before="240" w:line="260" w:lineRule="atLeast"/>
      </w:pPr>
      <w:bookmarkStart w:id="471" w:name="Subsequent_History_1"/>
      <w:bookmarkEnd w:id="471"/>
      <w:r>
        <w:rPr>
          <w:rFonts w:ascii="Arial" w:eastAsia="Arial" w:hAnsi="Arial" w:cs="Arial"/>
          <w:b/>
          <w:color w:val="000000"/>
          <w:sz w:val="20"/>
        </w:rPr>
        <w:t>Subsequent History:</w:t>
      </w:r>
      <w:r>
        <w:rPr>
          <w:rFonts w:ascii="Arial" w:eastAsia="Arial" w:hAnsi="Arial" w:cs="Arial"/>
          <w:color w:val="000000"/>
          <w:sz w:val="20"/>
        </w:rPr>
        <w:t> US Supreme Court certiorari denied by Falchenberg v. Ny Dep't of Educ., 2010 U.S. LEXIS 75 (U.S., Jan. 11, 2010)</w:t>
      </w:r>
    </w:p>
    <w:p w:rsidR="006E038D" w:rsidRDefault="00000000">
      <w:pPr>
        <w:pStyle w:val="Normal3"/>
        <w:widowControl w:val="0"/>
        <w:spacing w:before="240" w:line="260" w:lineRule="atLeast"/>
      </w:pPr>
      <w:bookmarkStart w:id="472" w:name="Prior_History_2"/>
      <w:bookmarkEnd w:id="472"/>
      <w:r>
        <w:rPr>
          <w:rFonts w:ascii="Arial" w:eastAsia="Arial" w:hAnsi="Arial" w:cs="Arial"/>
          <w:b/>
          <w:color w:val="000000"/>
          <w:sz w:val="20"/>
        </w:rPr>
        <w:t>Prior History:</w:t>
      </w:r>
      <w:r>
        <w:rPr>
          <w:rFonts w:ascii="Arial" w:eastAsia="Arial" w:hAnsi="Arial" w:cs="Arial"/>
          <w:color w:val="000000"/>
          <w:sz w:val="20"/>
        </w:rPr>
        <w:t> Falchenberg v. New York State Dep't of Educ., 567 F. Supp. 2d 513, 2008 U.S. Dist. LEXIS 49979 (S.D.N.Y., 2008)</w:t>
      </w:r>
    </w:p>
    <w:p w:rsidR="006E038D" w:rsidRDefault="00000000">
      <w:pPr>
        <w:pStyle w:val="Normal3"/>
        <w:widowControl w:val="0"/>
        <w:spacing w:before="240" w:line="260" w:lineRule="atLeast"/>
      </w:pPr>
      <w:bookmarkStart w:id="473" w:name="Counsel_2"/>
      <w:bookmarkEnd w:id="473"/>
      <w:r>
        <w:rPr>
          <w:rFonts w:ascii="Arial" w:eastAsia="Arial" w:hAnsi="Arial" w:cs="Arial"/>
          <w:b/>
          <w:color w:val="000000"/>
          <w:sz w:val="20"/>
        </w:rPr>
        <w:t>Counsel:</w:t>
      </w:r>
      <w:r>
        <w:rPr>
          <w:rFonts w:ascii="Arial" w:eastAsia="Arial" w:hAnsi="Arial" w:cs="Arial"/>
          <w:color w:val="000000"/>
          <w:sz w:val="20"/>
        </w:rPr>
        <w:t>  [**1] For Appellant: NATHANIEL B. SMITH, (Kristian K. Larsen, Drohan Lee Kelley LLP, on the brief), Law Offices of Nathaniel B. Smith, New York, NY.</w:t>
      </w:r>
    </w:p>
    <w:p w:rsidR="006E038D" w:rsidRDefault="00000000">
      <w:pPr>
        <w:pStyle w:val="Normal3"/>
        <w:widowControl w:val="0"/>
        <w:spacing w:before="120" w:line="260" w:lineRule="atLeast"/>
      </w:pPr>
      <w:r>
        <w:rPr>
          <w:rFonts w:ascii="Arial" w:eastAsia="Arial" w:hAnsi="Arial" w:cs="Arial"/>
          <w:color w:val="000000"/>
          <w:sz w:val="20"/>
        </w:rPr>
        <w:t>For Appellee National Evaluation Systems, Inc.: PHILLIP S. MCKINNEY,(James P. Rogers, on the brief), Rogers &amp; Hardin LLP, Atlanta, GA.</w:t>
      </w:r>
    </w:p>
    <w:p w:rsidR="006E038D" w:rsidRDefault="00000000">
      <w:pPr>
        <w:pStyle w:val="Normal3"/>
        <w:widowControl w:val="0"/>
        <w:spacing w:before="120" w:line="260" w:lineRule="atLeast"/>
      </w:pPr>
      <w:r>
        <w:rPr>
          <w:rFonts w:ascii="Arial" w:eastAsia="Arial" w:hAnsi="Arial" w:cs="Arial"/>
          <w:color w:val="000000"/>
          <w:sz w:val="20"/>
        </w:rPr>
        <w:t>For Appellee State of New York and New York State Department of Education: CECELIA CHANG, Assistant Solicitor General (Barbara D. Underwood, Solicitor General, Benjamin N. Gutman, Deputy Solicitor General, of counsel), for Andrew M. Cuomo, Attorney General of the State of New York, New York, NY.</w:t>
      </w:r>
    </w:p>
    <w:p w:rsidR="006E038D" w:rsidRDefault="00000000">
      <w:pPr>
        <w:pStyle w:val="Normal3"/>
        <w:widowControl w:val="0"/>
        <w:spacing w:before="240" w:line="260" w:lineRule="atLeast"/>
      </w:pPr>
      <w:bookmarkStart w:id="474" w:name="Judges_2"/>
      <w:bookmarkEnd w:id="474"/>
      <w:r>
        <w:rPr>
          <w:rFonts w:ascii="Arial" w:eastAsia="Arial" w:hAnsi="Arial" w:cs="Arial"/>
          <w:b/>
          <w:color w:val="000000"/>
          <w:sz w:val="20"/>
        </w:rPr>
        <w:t>Judges:</w:t>
      </w:r>
      <w:r>
        <w:rPr>
          <w:rFonts w:ascii="Arial" w:eastAsia="Arial" w:hAnsi="Arial" w:cs="Arial"/>
          <w:color w:val="000000"/>
          <w:sz w:val="20"/>
        </w:rPr>
        <w:t xml:space="preserve"> Present: HON. JOHN M. WALKER, JR., HON. RICHARD C. WESLEY, HON. J. CLIFFORD WALLACE, </w:t>
      </w:r>
      <w:r>
        <w:rPr>
          <w:rFonts w:ascii="Arial" w:eastAsia="Arial" w:hAnsi="Arial" w:cs="Arial"/>
          <w:vertAlign w:val="superscript"/>
        </w:rPr>
        <w:footnoteReference w:customMarkFollows="1" w:id="12"/>
        <w:t>*</w:t>
      </w:r>
      <w:r>
        <w:rPr>
          <w:rFonts w:ascii="Arial" w:eastAsia="Arial" w:hAnsi="Arial" w:cs="Arial"/>
          <w:color w:val="000000"/>
          <w:sz w:val="20"/>
        </w:rPr>
        <w:t xml:space="preserve"> Circuit Judges.</w:t>
      </w:r>
    </w:p>
    <w:p w:rsidR="006E038D" w:rsidRDefault="00000000">
      <w:pPr>
        <w:pStyle w:val="Normal3"/>
        <w:keepNext/>
        <w:widowControl w:val="0"/>
        <w:spacing w:before="240" w:line="340" w:lineRule="atLeast"/>
      </w:pPr>
      <w:bookmarkStart w:id="476" w:name="Opinion_2"/>
      <w:bookmarkEnd w:id="476"/>
      <w:r>
        <w:rPr>
          <w:rFonts w:ascii="Arial" w:eastAsia="Arial" w:hAnsi="Arial" w:cs="Arial"/>
          <w:b/>
          <w:color w:val="000000"/>
          <w:sz w:val="28"/>
        </w:rPr>
        <w:t>Opinion</w:t>
      </w:r>
    </w:p>
    <w:p w:rsidR="006E038D" w:rsidRDefault="008C3211">
      <w:pPr>
        <w:pStyle w:val="Normal3"/>
        <w:spacing w:line="60" w:lineRule="exact"/>
      </w:pPr>
      <w:r>
        <w:rPr>
          <w:noProof/>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83257485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6E651"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6E038D" w:rsidRDefault="006E038D">
      <w:pPr>
        <w:pStyle w:val="Normal3"/>
        <w:spacing w:line="120" w:lineRule="exact"/>
      </w:pPr>
    </w:p>
    <w:p w:rsidR="006E038D" w:rsidRDefault="00000000">
      <w:pPr>
        <w:pStyle w:val="Normal3"/>
        <w:widowControl w:val="0"/>
        <w:spacing w:before="240" w:line="260" w:lineRule="atLeast"/>
      </w:pPr>
      <w:r>
        <w:br/>
      </w:r>
      <w:r>
        <w:rPr>
          <w:rFonts w:ascii="Arial" w:eastAsia="Arial" w:hAnsi="Arial" w:cs="Arial"/>
          <w:color w:val="000000"/>
          <w:sz w:val="20"/>
        </w:rPr>
        <w:t xml:space="preserve"> [*12]  </w:t>
      </w:r>
      <w:r>
        <w:rPr>
          <w:rFonts w:ascii="Arial" w:eastAsia="Arial" w:hAnsi="Arial" w:cs="Arial"/>
          <w:b/>
          <w:color w:val="000000"/>
          <w:sz w:val="20"/>
        </w:rPr>
        <w:t>SUMMARY ORDER</w:t>
      </w:r>
    </w:p>
    <w:p w:rsidR="006E038D" w:rsidRDefault="00000000">
      <w:pPr>
        <w:pStyle w:val="Normal3"/>
        <w:widowControl w:val="0"/>
        <w:spacing w:before="200" w:line="260" w:lineRule="atLeast"/>
        <w:jc w:val="both"/>
      </w:pPr>
      <w:bookmarkStart w:id="477" w:name="Bookmark_para_2_2"/>
      <w:bookmarkEnd w:id="477"/>
      <w:r>
        <w:rPr>
          <w:rFonts w:ascii="Arial" w:eastAsia="Arial" w:hAnsi="Arial" w:cs="Arial"/>
          <w:b/>
          <w:color w:val="000000"/>
          <w:sz w:val="20"/>
        </w:rPr>
        <w:t>UPON DUE CONSIDERATION, IT IS HEREBY ORDERED, ADJUDGED, AND DECREED</w:t>
      </w:r>
      <w:r>
        <w:rPr>
          <w:rFonts w:ascii="Arial" w:eastAsia="Arial" w:hAnsi="Arial" w:cs="Arial"/>
          <w:color w:val="000000"/>
          <w:sz w:val="20"/>
        </w:rPr>
        <w:t xml:space="preserve"> that the judgment and orders of the United States District Court for the Southern District of New York be </w:t>
      </w:r>
      <w:r>
        <w:rPr>
          <w:rFonts w:ascii="Arial" w:eastAsia="Arial" w:hAnsi="Arial" w:cs="Arial"/>
          <w:b/>
          <w:color w:val="000000"/>
          <w:sz w:val="20"/>
        </w:rPr>
        <w:t>AFFIRMED.</w:t>
      </w:r>
    </w:p>
    <w:p w:rsidR="006E038D" w:rsidRDefault="00000000">
      <w:pPr>
        <w:pStyle w:val="Normal3"/>
        <w:widowControl w:val="0"/>
        <w:spacing w:before="200" w:line="260" w:lineRule="atLeast"/>
        <w:jc w:val="both"/>
      </w:pPr>
      <w:bookmarkStart w:id="478" w:name="Bookmark_para_3_2"/>
      <w:bookmarkStart w:id="479" w:name="Bookmark_I4Y8ND8X0K1MNJ4C30000400"/>
      <w:bookmarkEnd w:id="478"/>
      <w:bookmarkEnd w:id="479"/>
      <w:r>
        <w:rPr>
          <w:rFonts w:ascii="Arial" w:eastAsia="Arial" w:hAnsi="Arial" w:cs="Arial"/>
          <w:color w:val="000000"/>
          <w:sz w:val="20"/>
        </w:rPr>
        <w:t xml:space="preserve">Plaintiff-appellant Marsha Falchenberg appeals from various discovery orders and the amended opinion filed on July 10, 2008,  [*13]  </w:t>
      </w:r>
      <w:bookmarkStart w:id="480" w:name="Bookmark_I4Y8ND8X0K1MNJ4C20000400"/>
      <w:bookmarkEnd w:id="480"/>
      <w:r>
        <w:rPr>
          <w:rFonts w:ascii="Arial" w:eastAsia="Arial" w:hAnsi="Arial" w:cs="Arial"/>
          <w:color w:val="000000"/>
          <w:sz w:val="20"/>
        </w:rPr>
        <w:t xml:space="preserve">642 F. Supp. 2d 156, in the United States District Court for the Southern District of New York (Sweet, J.), (1) granting  [**2] the motion of the State of New York, the New York State Education Department ("SED"), and National Evaluation Systems, Inc. ("NES") for summary judgment and denying plaintiff's cross-motion for summary judgment; (2) denying plaintiff's motion to preclude the defendants from introducing evidence; and (3) denying plaintiff discovery on the defenses raised by the defendants in their motion for summary judgment. </w:t>
      </w:r>
      <w:r>
        <w:rPr>
          <w:rFonts w:ascii="Arial" w:eastAsia="Arial" w:hAnsi="Arial" w:cs="Arial"/>
          <w:vertAlign w:val="superscript"/>
        </w:rPr>
        <w:footnoteReference w:customMarkFollows="1" w:id="13"/>
        <w:t>1</w:t>
      </w:r>
      <w:r>
        <w:rPr>
          <w:rFonts w:ascii="Arial" w:eastAsia="Arial" w:hAnsi="Arial" w:cs="Arial"/>
          <w:color w:val="000000"/>
          <w:sz w:val="20"/>
        </w:rPr>
        <w:t xml:space="preserve"> We assume the parties' familiarity as to the facts, the procedural context, and the specification of appellate issues.</w:t>
      </w:r>
    </w:p>
    <w:p w:rsidR="006E038D" w:rsidRDefault="00000000">
      <w:pPr>
        <w:pStyle w:val="Normal3"/>
        <w:widowControl w:val="0"/>
        <w:spacing w:before="200" w:line="260" w:lineRule="atLeast"/>
        <w:jc w:val="both"/>
      </w:pPr>
      <w:bookmarkStart w:id="482" w:name="Bookmark_para_4_2"/>
      <w:bookmarkStart w:id="483" w:name="Bookmark_I4WN1JMG0K1MNJ0MC0000400"/>
      <w:bookmarkEnd w:id="482"/>
      <w:bookmarkEnd w:id="483"/>
      <w:r>
        <w:rPr>
          <w:rFonts w:ascii="Arial" w:eastAsia="Arial" w:hAnsi="Arial" w:cs="Arial"/>
          <w:color w:val="000000"/>
          <w:sz w:val="20"/>
        </w:rPr>
        <w:t xml:space="preserve">First, Falchenberg argues that the district court erred in holding that NES provided her with reasonable accommodations to take the Liberal Arts and Sciences Test ("LAST") and, thus, did not discriminate against her on the  [**3] basis of her disability in violation of Titles II and III of the Americans with Disabilities Act ("ADA"), 42 U.S.C. § 12111 </w:t>
      </w:r>
      <w:r>
        <w:rPr>
          <w:rFonts w:ascii="Arial" w:eastAsia="Arial" w:hAnsi="Arial" w:cs="Arial"/>
          <w:i/>
          <w:color w:val="000000"/>
          <w:sz w:val="20"/>
        </w:rPr>
        <w:t>et seq.,</w:t>
      </w:r>
      <w:r>
        <w:rPr>
          <w:rFonts w:ascii="Arial" w:eastAsia="Arial" w:hAnsi="Arial" w:cs="Arial"/>
          <w:color w:val="000000"/>
          <w:sz w:val="20"/>
        </w:rPr>
        <w:t xml:space="preserve"> the Rehabilitation Act, 29 U.S.C. § 794a, the New York State Human Rights Law ("NYSHRL"), or the New York City Human Rights Law ("NYCHRL"). </w:t>
      </w:r>
      <w:bookmarkStart w:id="484" w:name="Bookmark_I4WN1JMG0K1MNJ0MF0000400"/>
      <w:bookmarkStart w:id="485" w:name="Bookmark_LNHNREFclscc1_2"/>
      <w:bookmarkEnd w:id="484"/>
      <w:bookmarkEnd w:id="485"/>
      <w:r>
        <w:rPr>
          <w:rFonts w:ascii="Arial" w:eastAsia="Arial" w:hAnsi="Arial" w:cs="Arial"/>
          <w:color w:val="000000"/>
          <w:sz w:val="20"/>
        </w:rPr>
        <w:t xml:space="preserve">Disabled individuals are entitled to receive "reasonable accommodations" that permit them to have access to and take a meaningful part in public services and public accommodations. </w:t>
      </w:r>
      <w:bookmarkStart w:id="486" w:name="Bookmark_I4WN1JMG0K1MNJ0MB0000400"/>
      <w:bookmarkEnd w:id="486"/>
      <w:r>
        <w:rPr>
          <w:rFonts w:ascii="Arial" w:eastAsia="Arial" w:hAnsi="Arial" w:cs="Arial"/>
          <w:i/>
          <w:color w:val="000000"/>
          <w:sz w:val="20"/>
        </w:rPr>
        <w:t>Powell v. Nat'l Bd. of Med. Exam'rs,</w:t>
      </w:r>
      <w:r>
        <w:rPr>
          <w:rFonts w:ascii="Arial" w:eastAsia="Arial" w:hAnsi="Arial" w:cs="Arial"/>
          <w:color w:val="000000"/>
          <w:sz w:val="20"/>
        </w:rPr>
        <w:t xml:space="preserve"> 364 F.3d 79, 85 (2d Cir. 2004). </w:t>
      </w:r>
      <w:bookmarkStart w:id="487" w:name="Bookmark_I4WN1JMG0K1MNJ0MF0000400_2"/>
      <w:bookmarkEnd w:id="487"/>
      <w:r>
        <w:rPr>
          <w:rFonts w:ascii="Arial" w:eastAsia="Arial" w:hAnsi="Arial" w:cs="Arial"/>
          <w:color w:val="000000"/>
          <w:sz w:val="20"/>
        </w:rPr>
        <w:t xml:space="preserve">However, "a defendant need not make an accommodation at all if the requested accommodation would fundamentally alter the nature of the service, program, or activity." </w:t>
      </w:r>
      <w:bookmarkStart w:id="488" w:name="Bookmark_I4WN1JMG0K1MNJ0MD0000400"/>
      <w:bookmarkEnd w:id="488"/>
      <w:r>
        <w:rPr>
          <w:rFonts w:ascii="Arial" w:eastAsia="Arial" w:hAnsi="Arial" w:cs="Arial"/>
          <w:i/>
          <w:color w:val="000000"/>
          <w:sz w:val="20"/>
        </w:rPr>
        <w:t>Id.</w:t>
      </w:r>
      <w:r>
        <w:rPr>
          <w:rFonts w:ascii="Arial" w:eastAsia="Arial" w:hAnsi="Arial" w:cs="Arial"/>
          <w:color w:val="000000"/>
          <w:sz w:val="20"/>
        </w:rPr>
        <w:t xml:space="preserve"> at 88 (internal quotation marks omitted); </w:t>
      </w:r>
      <w:r>
        <w:rPr>
          <w:rFonts w:ascii="Arial" w:eastAsia="Arial" w:hAnsi="Arial" w:cs="Arial"/>
          <w:i/>
          <w:color w:val="000000"/>
          <w:sz w:val="20"/>
        </w:rPr>
        <w:t>see also</w:t>
      </w:r>
      <w:r>
        <w:rPr>
          <w:rFonts w:ascii="Arial" w:eastAsia="Arial" w:hAnsi="Arial" w:cs="Arial"/>
          <w:color w:val="000000"/>
          <w:sz w:val="20"/>
        </w:rPr>
        <w:t xml:space="preserve"> 42 U.S.C. § 12182(b)(2)(A)(ii); 28 C.F.R. § 35.130(b)(7). </w:t>
      </w:r>
      <w:bookmarkStart w:id="489" w:name="Bookmark_I4WN1JMG0K1MNJ0N20000400"/>
      <w:bookmarkStart w:id="490" w:name="Bookmark_LNHNREFclscc2_2"/>
      <w:bookmarkEnd w:id="489"/>
      <w:bookmarkEnd w:id="490"/>
      <w:r>
        <w:rPr>
          <w:rFonts w:ascii="Arial" w:eastAsia="Arial" w:hAnsi="Arial" w:cs="Arial"/>
          <w:color w:val="000000"/>
          <w:sz w:val="20"/>
        </w:rPr>
        <w:t xml:space="preserve">To be in compliance with the ADA, examinations like the LAST must be selected and administered so as to ensure that, when administered to an individual with a disability, the examination results do not reflect the individual's impaired ability or skill, "except where those skills are the factors that the examination purports to measure." 28 C.F.R. § 36.309(b)(1)(i); </w:t>
      </w:r>
      <w:r>
        <w:rPr>
          <w:rFonts w:ascii="Arial" w:eastAsia="Arial" w:hAnsi="Arial" w:cs="Arial"/>
          <w:i/>
          <w:color w:val="000000"/>
          <w:sz w:val="20"/>
        </w:rPr>
        <w:t>see also</w:t>
      </w:r>
      <w:r>
        <w:rPr>
          <w:rFonts w:ascii="Arial" w:eastAsia="Arial" w:hAnsi="Arial" w:cs="Arial"/>
          <w:color w:val="000000"/>
          <w:sz w:val="20"/>
        </w:rPr>
        <w:t xml:space="preserve"> 28 C.F.R. § 36.309(b)(3)  [**4] (requests for accommodation on examination need not be granted if they would "fundamentally alter the measurement of the skills or knowledge the examination is intended to test."). Thus, where a test applicant seeks an accommodation that would prevent her scores from accurately evaluating the skills intended to be measured by the test, the denial of the requested accommodation is not unlawful. </w:t>
      </w:r>
      <w:bookmarkStart w:id="491" w:name="Bookmark_I4WN1JMG0K1MNJ0MG0000400"/>
      <w:bookmarkEnd w:id="491"/>
      <w:r>
        <w:rPr>
          <w:rFonts w:ascii="Arial" w:eastAsia="Arial" w:hAnsi="Arial" w:cs="Arial"/>
          <w:i/>
          <w:color w:val="000000"/>
          <w:sz w:val="20"/>
        </w:rPr>
        <w:t>Powell,</w:t>
      </w:r>
      <w:r>
        <w:rPr>
          <w:rFonts w:ascii="Arial" w:eastAsia="Arial" w:hAnsi="Arial" w:cs="Arial"/>
          <w:color w:val="000000"/>
          <w:sz w:val="20"/>
        </w:rPr>
        <w:t xml:space="preserve"> 364 F.3d at 89.</w:t>
      </w:r>
    </w:p>
    <w:p w:rsidR="006E038D" w:rsidRDefault="00000000">
      <w:pPr>
        <w:pStyle w:val="Normal3"/>
        <w:widowControl w:val="0"/>
        <w:spacing w:before="200" w:line="260" w:lineRule="atLeast"/>
        <w:jc w:val="both"/>
      </w:pPr>
      <w:bookmarkStart w:id="492" w:name="Bookmark_para_5_2"/>
      <w:bookmarkEnd w:id="492"/>
      <w:r>
        <w:rPr>
          <w:rFonts w:ascii="Arial" w:eastAsia="Arial" w:hAnsi="Arial" w:cs="Arial"/>
          <w:color w:val="000000"/>
          <w:sz w:val="20"/>
        </w:rPr>
        <w:t xml:space="preserve">Here, Falchenberg's request for an "oral" examination that does not require her to indicate spelling, punctuation, capitalization and paragraphing would effectuate precisely the type of fundamental alteration that need not be made as a matter of law. It is undisputed that spelling, punctuation, capitalization and paragraphing are among the skills tested on the LAST. Falchenberg's competency at these skills--competencies that all other examinees are required to demonstrate-cannot be tested without requiring her to actually spell, punctuate, capitalize and paragraph. NES granted Falchenberg every accommodation she requested that did not interfere with the measurement of skills actually  [*14]  tested on the LAST, including an offer to provide her with a reader to read each test question  [**5] to her, a transcriber to write down her dictated written assignment for her, extra time to take the test, and a separate testing room to avoid distractions from other test takers. However, NES was not legally obligated to grant her additional accommodations fundamentally altering the LAST. Thus, the district court was correct to enter summary judgment in the Defendants' favor on Falchenberg's disability discrimination claim. </w:t>
      </w:r>
      <w:r>
        <w:rPr>
          <w:rFonts w:ascii="Arial" w:eastAsia="Arial" w:hAnsi="Arial" w:cs="Arial"/>
          <w:vertAlign w:val="superscript"/>
        </w:rPr>
        <w:footnoteReference w:customMarkFollows="1" w:id="14"/>
        <w:t>2</w:t>
      </w:r>
    </w:p>
    <w:p w:rsidR="006E038D" w:rsidRDefault="00000000">
      <w:pPr>
        <w:pStyle w:val="Normal3"/>
        <w:widowControl w:val="0"/>
        <w:spacing w:before="200" w:line="260" w:lineRule="atLeast"/>
        <w:jc w:val="both"/>
      </w:pPr>
      <w:bookmarkStart w:id="500" w:name="Bookmark_para_6_2"/>
      <w:bookmarkStart w:id="501" w:name="Bookmark_I4WN1JMG0K1MNJ0NT0000400"/>
      <w:bookmarkEnd w:id="500"/>
      <w:bookmarkEnd w:id="501"/>
      <w:r>
        <w:rPr>
          <w:rFonts w:ascii="Arial" w:eastAsia="Arial" w:hAnsi="Arial" w:cs="Arial"/>
          <w:color w:val="000000"/>
          <w:sz w:val="20"/>
        </w:rPr>
        <w:t xml:space="preserve">Second, Falchenberg argues that the district court improperly limited the scope of discovery through various discovery orders entered in November 2006, May 2007, and June 2007. </w:t>
      </w:r>
      <w:bookmarkStart w:id="502" w:name="Bookmark_LNHNREFclscc4_2"/>
      <w:bookmarkEnd w:id="502"/>
      <w:r>
        <w:rPr>
          <w:rFonts w:ascii="Arial" w:eastAsia="Arial" w:hAnsi="Arial" w:cs="Arial"/>
          <w:color w:val="000000"/>
          <w:sz w:val="20"/>
        </w:rPr>
        <w:t xml:space="preserve">We review discovery orders for an abuse of discretion, and will reverse a district court's discovery rulings only "'when the discovery is so limited as to affect a party's substantial rights.'" </w:t>
      </w:r>
      <w:bookmarkStart w:id="503" w:name="Bookmark_I4WN1JMG0K1MNJ0NS0000400"/>
      <w:bookmarkEnd w:id="503"/>
      <w:r>
        <w:rPr>
          <w:rFonts w:ascii="Arial" w:eastAsia="Arial" w:hAnsi="Arial" w:cs="Arial"/>
          <w:i/>
          <w:color w:val="000000"/>
          <w:sz w:val="20"/>
        </w:rPr>
        <w:t>In re "Agent Orange" Prod. Liab. Litig.,</w:t>
      </w:r>
      <w:r>
        <w:rPr>
          <w:rFonts w:ascii="Arial" w:eastAsia="Arial" w:hAnsi="Arial" w:cs="Arial"/>
          <w:color w:val="000000"/>
          <w:sz w:val="20"/>
        </w:rPr>
        <w:t xml:space="preserve"> 517 F.3d 76, 102-03 (2d Cir. 2008) (quoting </w:t>
      </w:r>
      <w:bookmarkStart w:id="504" w:name="Bookmark_I4WN1JMG0K1MNJ0NV0000400"/>
      <w:bookmarkEnd w:id="504"/>
      <w:r>
        <w:rPr>
          <w:rFonts w:ascii="Arial" w:eastAsia="Arial" w:hAnsi="Arial" w:cs="Arial"/>
          <w:i/>
          <w:color w:val="000000"/>
          <w:sz w:val="20"/>
        </w:rPr>
        <w:t>Long Island Lighting Co. v. Barbash,</w:t>
      </w:r>
      <w:r>
        <w:rPr>
          <w:rFonts w:ascii="Arial" w:eastAsia="Arial" w:hAnsi="Arial" w:cs="Arial"/>
          <w:color w:val="000000"/>
          <w:sz w:val="20"/>
        </w:rPr>
        <w:t xml:space="preserve"> 779 F.2d 793, 795 (2d Cir. 1985)). Because the discovery orders made by the district court were for the purpose of limiting discovery to the claims actually made by Falchenberg, we conclude that the orders were not an abuse of discretion.</w:t>
      </w:r>
    </w:p>
    <w:p w:rsidR="006E038D" w:rsidRDefault="00000000">
      <w:pPr>
        <w:pStyle w:val="Normal3"/>
        <w:widowControl w:val="0"/>
        <w:spacing w:before="200" w:line="260" w:lineRule="atLeast"/>
        <w:jc w:val="both"/>
      </w:pPr>
      <w:bookmarkStart w:id="505" w:name="Bookmark_para_7_2"/>
      <w:bookmarkStart w:id="506" w:name="Bookmark_I4WN1JMG0K1MNJ0PG0000400"/>
      <w:bookmarkStart w:id="507" w:name="Bookmark_I4WN1JMG0K1MNJ0PJ0000400"/>
      <w:bookmarkEnd w:id="505"/>
      <w:bookmarkEnd w:id="506"/>
      <w:bookmarkEnd w:id="507"/>
      <w:r>
        <w:rPr>
          <w:rFonts w:ascii="Arial" w:eastAsia="Arial" w:hAnsi="Arial" w:cs="Arial"/>
          <w:color w:val="000000"/>
          <w:sz w:val="20"/>
        </w:rPr>
        <w:t xml:space="preserve">Third, we agree with the district court that, because Falchenberg's disability discrimination claim fails on its merits, her aiding and abetting claims fail as well. </w:t>
      </w:r>
      <w:r>
        <w:rPr>
          <w:rFonts w:ascii="Arial" w:eastAsia="Arial" w:hAnsi="Arial" w:cs="Arial"/>
          <w:i/>
          <w:color w:val="000000"/>
          <w:sz w:val="20"/>
        </w:rPr>
        <w:t xml:space="preserve">See </w:t>
      </w:r>
      <w:bookmarkStart w:id="508" w:name="Bookmark_I4WN1JMG0K1MNJ0NX0000400"/>
      <w:bookmarkEnd w:id="508"/>
      <w:r>
        <w:rPr>
          <w:rFonts w:ascii="Arial" w:eastAsia="Arial" w:hAnsi="Arial" w:cs="Arial"/>
          <w:i/>
          <w:color w:val="000000"/>
          <w:sz w:val="20"/>
        </w:rPr>
        <w:t>Falchenberg,</w:t>
      </w:r>
      <w:r>
        <w:rPr>
          <w:rFonts w:ascii="Arial" w:eastAsia="Arial" w:hAnsi="Arial" w:cs="Arial"/>
          <w:color w:val="000000"/>
          <w:sz w:val="20"/>
        </w:rPr>
        <w:t xml:space="preserve"> 567 F. Supp. 2d 513, 2008 WL 2780958, at *8. Falchenberg challenges the dismissal of her aiding and abetting claims against SED and NES. However, </w:t>
      </w:r>
      <w:bookmarkStart w:id="509" w:name="Bookmark_LNHNREFclscc5_2"/>
      <w:bookmarkEnd w:id="509"/>
      <w:r>
        <w:rPr>
          <w:rFonts w:ascii="Arial" w:eastAsia="Arial" w:hAnsi="Arial" w:cs="Arial"/>
          <w:color w:val="000000"/>
          <w:sz w:val="20"/>
        </w:rPr>
        <w:t xml:space="preserve">aiding and abetting is only a viable theory where an underlying violation has  [**7] taken place. 18 U.S.C. § 2(a); </w:t>
      </w:r>
      <w:r>
        <w:rPr>
          <w:rFonts w:ascii="Arial" w:eastAsia="Arial" w:hAnsi="Arial" w:cs="Arial"/>
          <w:i/>
          <w:color w:val="000000"/>
          <w:sz w:val="20"/>
        </w:rPr>
        <w:t xml:space="preserve">see also </w:t>
      </w:r>
      <w:bookmarkStart w:id="510" w:name="Bookmark_I4WN1JMG0K1MNJ0PH0000400"/>
      <w:bookmarkEnd w:id="510"/>
      <w:r>
        <w:rPr>
          <w:rFonts w:ascii="Arial" w:eastAsia="Arial" w:hAnsi="Arial" w:cs="Arial"/>
          <w:i/>
          <w:color w:val="000000"/>
          <w:sz w:val="20"/>
        </w:rPr>
        <w:t>United States v. Reifler,</w:t>
      </w:r>
      <w:r>
        <w:rPr>
          <w:rFonts w:ascii="Arial" w:eastAsia="Arial" w:hAnsi="Arial" w:cs="Arial"/>
          <w:color w:val="000000"/>
          <w:sz w:val="20"/>
        </w:rPr>
        <w:t xml:space="preserve"> 446 F.3d 65, 96 (2d Cir. 2006). Because we hold that there was no underlying violation of the ADA, the Rehabilitation Act, or the New York State and New York City Human Rights Laws, we hold that the district court did not err in dismissing Falchenberg's claims for aiding and abetting.</w:t>
      </w:r>
    </w:p>
    <w:p w:rsidR="006E038D" w:rsidRDefault="00000000">
      <w:pPr>
        <w:pStyle w:val="Normal3"/>
        <w:widowControl w:val="0"/>
        <w:spacing w:before="200" w:line="260" w:lineRule="atLeast"/>
        <w:jc w:val="both"/>
      </w:pPr>
      <w:bookmarkStart w:id="511" w:name="Bookmark_para_8_2"/>
      <w:bookmarkEnd w:id="511"/>
      <w:r>
        <w:rPr>
          <w:rFonts w:ascii="Arial" w:eastAsia="Arial" w:hAnsi="Arial" w:cs="Arial"/>
          <w:color w:val="000000"/>
          <w:sz w:val="20"/>
        </w:rPr>
        <w:t xml:space="preserve">Finally, Falchenberg's claim against NES under the Rehabilitation Act mirrors her claim under the ADA and fails for the same reasons. In any event, because NES is a </w:t>
      </w:r>
      <w:bookmarkStart w:id="512" w:name="Bookmark_LNHNREFclscc6_2"/>
      <w:bookmarkEnd w:id="512"/>
      <w:r>
        <w:rPr>
          <w:rFonts w:ascii="Arial" w:eastAsia="Arial" w:hAnsi="Arial" w:cs="Arial"/>
          <w:color w:val="000000"/>
          <w:sz w:val="20"/>
        </w:rPr>
        <w:t xml:space="preserve">unit of a business corporation and does not receive any federal financial assistance, it is beyond the reach of the Rehabilitation Act. </w:t>
      </w:r>
      <w:r>
        <w:rPr>
          <w:rFonts w:ascii="Arial" w:eastAsia="Arial" w:hAnsi="Arial" w:cs="Arial"/>
          <w:i/>
          <w:color w:val="000000"/>
          <w:sz w:val="20"/>
        </w:rPr>
        <w:t>See</w:t>
      </w:r>
      <w:r>
        <w:rPr>
          <w:rFonts w:ascii="Arial" w:eastAsia="Arial" w:hAnsi="Arial" w:cs="Arial"/>
          <w:color w:val="000000"/>
          <w:sz w:val="20"/>
        </w:rPr>
        <w:t xml:space="preserve"> 29 U.S.C. § 794(a).</w:t>
      </w:r>
    </w:p>
    <w:p w:rsidR="006E038D" w:rsidRDefault="00000000">
      <w:pPr>
        <w:pStyle w:val="Normal3"/>
        <w:widowControl w:val="0"/>
        <w:spacing w:before="200" w:line="260" w:lineRule="atLeast"/>
        <w:jc w:val="both"/>
      </w:pPr>
      <w:bookmarkStart w:id="513" w:name="Bookmark_para_9_2"/>
      <w:bookmarkEnd w:id="513"/>
      <w:r>
        <w:rPr>
          <w:rFonts w:ascii="Arial" w:eastAsia="Arial" w:hAnsi="Arial" w:cs="Arial"/>
          <w:color w:val="000000"/>
          <w:sz w:val="20"/>
        </w:rPr>
        <w:t>We have reviewed all remaining claims made by Falchenberg and find them to be similarly without merit.</w:t>
      </w:r>
    </w:p>
    <w:p w:rsidR="006E038D" w:rsidRDefault="00000000">
      <w:pPr>
        <w:pStyle w:val="Normal3"/>
        <w:widowControl w:val="0"/>
        <w:spacing w:before="200" w:line="260" w:lineRule="atLeast"/>
        <w:jc w:val="both"/>
      </w:pPr>
      <w:bookmarkStart w:id="514" w:name="Bookmark_para_10_2"/>
      <w:bookmarkEnd w:id="514"/>
      <w:r>
        <w:rPr>
          <w:rFonts w:ascii="Arial" w:eastAsia="Arial" w:hAnsi="Arial" w:cs="Arial"/>
          <w:color w:val="000000"/>
          <w:sz w:val="20"/>
        </w:rPr>
        <w:t>Accordingly, for the reasons set forth above, the judgment and orders of the district court are AFFIRMED.</w:t>
      </w:r>
    </w:p>
    <w:p w:rsidR="006E038D" w:rsidRDefault="006E038D">
      <w:pPr>
        <w:pStyle w:val="Normal3"/>
      </w:pPr>
    </w:p>
    <w:p w:rsidR="006E038D" w:rsidRDefault="00000000">
      <w:pPr>
        <w:pStyle w:val="Normal3"/>
        <w:ind w:left="200"/>
        <w:sectPr w:rsidR="006E038D">
          <w:type w:val="continuous"/>
          <w:pgSz w:w="12240" w:h="15840"/>
          <w:pgMar w:top="840" w:right="1000" w:bottom="840" w:left="1000" w:header="400" w:footer="400" w:gutter="0"/>
          <w:cols w:num="2" w:space="240"/>
        </w:sectPr>
      </w:pPr>
      <w:r>
        <w:br/>
      </w:r>
      <w:r w:rsidR="008C3211">
        <w:rPr>
          <w:noProof/>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6369975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09C8B"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6E038D" w:rsidRDefault="006E038D">
      <w:pPr>
        <w:pStyle w:val="Normal4"/>
        <w:sectPr w:rsidR="006E038D">
          <w:headerReference w:type="even" r:id="rId30"/>
          <w:headerReference w:type="default" r:id="rId31"/>
          <w:footerReference w:type="even" r:id="rId32"/>
          <w:footerReference w:type="default" r:id="rId33"/>
          <w:headerReference w:type="first" r:id="rId34"/>
          <w:footerReference w:type="first" r:id="rId35"/>
          <w:pgSz w:w="12240" w:h="15840"/>
          <w:pgMar w:top="840" w:right="1000" w:bottom="840" w:left="1000" w:header="400" w:footer="400" w:gutter="0"/>
          <w:cols w:space="720"/>
          <w:titlePg/>
        </w:sectPr>
      </w:pPr>
    </w:p>
    <w:p w:rsidR="006E038D" w:rsidRDefault="006E038D">
      <w:pPr>
        <w:pStyle w:val="Normal4"/>
      </w:pPr>
    </w:p>
    <w:p w:rsidR="006E038D" w:rsidRDefault="00000000">
      <w:pPr>
        <w:pStyle w:val="Heading13"/>
        <w:keepNext w:val="0"/>
        <w:widowControl w:val="0"/>
        <w:spacing w:after="200" w:line="340" w:lineRule="atLeast"/>
        <w:jc w:val="center"/>
      </w:pPr>
      <w:r>
        <w:rPr>
          <w:rFonts w:eastAsia="Arial"/>
          <w:color w:val="000000"/>
          <w:sz w:val="28"/>
        </w:rPr>
        <w:t>Lafata v. Church of Christ Home for the Aged</w:t>
      </w:r>
    </w:p>
    <w:p w:rsidR="006E038D" w:rsidRDefault="00000000">
      <w:pPr>
        <w:pStyle w:val="Normal4"/>
        <w:widowControl w:val="0"/>
        <w:spacing w:before="120" w:line="260" w:lineRule="atLeast"/>
        <w:jc w:val="center"/>
      </w:pPr>
      <w:r>
        <w:rPr>
          <w:rFonts w:ascii="Arial" w:eastAsia="Arial" w:hAnsi="Arial" w:cs="Arial"/>
          <w:color w:val="000000"/>
          <w:sz w:val="20"/>
        </w:rPr>
        <w:t>United States Court of Appeals for the Sixth Circuit</w:t>
      </w:r>
    </w:p>
    <w:p w:rsidR="006E038D" w:rsidRDefault="00000000">
      <w:pPr>
        <w:pStyle w:val="Normal4"/>
        <w:widowControl w:val="0"/>
        <w:spacing w:before="120" w:line="260" w:lineRule="atLeast"/>
        <w:jc w:val="center"/>
      </w:pPr>
      <w:r>
        <w:rPr>
          <w:rFonts w:ascii="Arial" w:eastAsia="Arial" w:hAnsi="Arial" w:cs="Arial"/>
          <w:color w:val="000000"/>
          <w:sz w:val="20"/>
        </w:rPr>
        <w:t>May 20, 2009, Filed</w:t>
      </w:r>
    </w:p>
    <w:p w:rsidR="006E038D" w:rsidRDefault="00000000">
      <w:pPr>
        <w:pStyle w:val="Normal4"/>
        <w:widowControl w:val="0"/>
        <w:spacing w:before="120" w:line="260" w:lineRule="atLeast"/>
        <w:jc w:val="center"/>
      </w:pPr>
      <w:r>
        <w:rPr>
          <w:rFonts w:ascii="Arial" w:eastAsia="Arial" w:hAnsi="Arial" w:cs="Arial"/>
          <w:color w:val="000000"/>
          <w:sz w:val="20"/>
        </w:rPr>
        <w:t>File Name: 09a0350n.06</w:t>
      </w:r>
    </w:p>
    <w:p w:rsidR="006E038D" w:rsidRDefault="00000000">
      <w:pPr>
        <w:pStyle w:val="Normal4"/>
        <w:widowControl w:val="0"/>
        <w:spacing w:before="120" w:line="260" w:lineRule="atLeast"/>
        <w:jc w:val="center"/>
        <w:sectPr w:rsidR="006E038D">
          <w:type w:val="continuous"/>
          <w:pgSz w:w="12240" w:h="15840"/>
          <w:pgMar w:top="840" w:right="1000" w:bottom="840" w:left="1000" w:header="400" w:footer="400" w:gutter="0"/>
          <w:cols w:space="240"/>
        </w:sectPr>
      </w:pPr>
      <w:r>
        <w:rPr>
          <w:rFonts w:ascii="Arial" w:eastAsia="Arial" w:hAnsi="Arial" w:cs="Arial"/>
          <w:color w:val="000000"/>
          <w:sz w:val="20"/>
        </w:rPr>
        <w:t>No. 07-2314</w:t>
      </w:r>
    </w:p>
    <w:p w:rsidR="006E038D" w:rsidRDefault="006E038D">
      <w:pPr>
        <w:pStyle w:val="Normal4"/>
        <w:widowControl w:val="0"/>
        <w:spacing w:line="240" w:lineRule="atLeast"/>
        <w:jc w:val="both"/>
      </w:pPr>
      <w:bookmarkStart w:id="515" w:name="Bookmark_5"/>
      <w:bookmarkEnd w:id="515"/>
    </w:p>
    <w:p w:rsidR="006E038D" w:rsidRDefault="00000000">
      <w:pPr>
        <w:pStyle w:val="Normal4"/>
        <w:widowControl w:val="0"/>
        <w:spacing w:before="200" w:line="240" w:lineRule="atLeast"/>
      </w:pPr>
      <w:bookmarkStart w:id="516" w:name="Reporter_3"/>
      <w:bookmarkEnd w:id="516"/>
      <w:r>
        <w:rPr>
          <w:rFonts w:ascii="Arial" w:eastAsia="Arial" w:hAnsi="Arial" w:cs="Arial"/>
          <w:b/>
          <w:color w:val="000000"/>
          <w:sz w:val="18"/>
        </w:rPr>
        <w:t>Reporter</w:t>
      </w:r>
    </w:p>
    <w:p w:rsidR="006E038D" w:rsidRDefault="00000000">
      <w:pPr>
        <w:pStyle w:val="Normal4"/>
        <w:widowControl w:val="0"/>
        <w:spacing w:line="240" w:lineRule="atLeast"/>
        <w:sectPr w:rsidR="006E038D">
          <w:type w:val="continuous"/>
          <w:pgSz w:w="12240" w:h="15840"/>
          <w:pgMar w:top="840" w:right="1000" w:bottom="840" w:left="1000" w:header="400" w:footer="400" w:gutter="0"/>
          <w:cols w:space="240"/>
        </w:sectPr>
      </w:pPr>
      <w:r>
        <w:rPr>
          <w:rFonts w:ascii="Arial" w:eastAsia="Arial" w:hAnsi="Arial" w:cs="Arial"/>
          <w:color w:val="000000"/>
          <w:sz w:val="18"/>
        </w:rPr>
        <w:t>325 Fed. Appx. 416 *; 2009 U.S. App. LEXIS 10825 **; 2009 FED App. 0350N (6th Cir.); 21 Am. Disabilities Cas. (BNA) 1756</w:t>
      </w:r>
    </w:p>
    <w:p w:rsidR="006E038D" w:rsidRDefault="00000000">
      <w:pPr>
        <w:pStyle w:val="Normal4"/>
        <w:widowControl w:val="0"/>
        <w:spacing w:before="120" w:line="260" w:lineRule="atLeast"/>
      </w:pPr>
      <w:r>
        <w:rPr>
          <w:rFonts w:ascii="Arial" w:eastAsia="Arial" w:hAnsi="Arial" w:cs="Arial"/>
          <w:color w:val="000000"/>
          <w:sz w:val="20"/>
        </w:rPr>
        <w:t>ELEANOR LAFATA, Plaintiff-Appellant, v. CHURCH OF CHRIST HOME FOR THE AGED, Defendant-Appellee.</w:t>
      </w:r>
    </w:p>
    <w:p w:rsidR="006E038D" w:rsidRDefault="00000000">
      <w:pPr>
        <w:pStyle w:val="Normal4"/>
        <w:widowControl w:val="0"/>
        <w:spacing w:before="240" w:line="260" w:lineRule="atLeast"/>
        <w:jc w:val="both"/>
      </w:pPr>
      <w:bookmarkStart w:id="517" w:name="Notice_0"/>
      <w:bookmarkEnd w:id="517"/>
      <w:r>
        <w:rPr>
          <w:rFonts w:ascii="Arial" w:eastAsia="Arial" w:hAnsi="Arial" w:cs="Arial"/>
          <w:b/>
          <w:color w:val="000000"/>
          <w:sz w:val="20"/>
        </w:rPr>
        <w:t>Notice:</w:t>
      </w:r>
      <w:r>
        <w:rPr>
          <w:rFonts w:ascii="Arial" w:eastAsia="Arial" w:hAnsi="Arial" w:cs="Arial"/>
          <w:color w:val="000000"/>
          <w:sz w:val="20"/>
        </w:rPr>
        <w:t> </w:t>
      </w:r>
      <w:bookmarkStart w:id="518" w:name="Bookmark_para_1_3"/>
      <w:bookmarkEnd w:id="518"/>
      <w:r>
        <w:rPr>
          <w:rFonts w:ascii="Arial" w:eastAsia="Arial" w:hAnsi="Arial" w:cs="Arial"/>
          <w:color w:val="000000"/>
          <w:sz w:val="20"/>
        </w:rPr>
        <w:t>CONSULT 6TH CIR. R. 32.1 FOR CITATION OF UNPUBLISHED OPINIONS AND DECISIONS.</w:t>
      </w:r>
    </w:p>
    <w:p w:rsidR="006E038D" w:rsidRDefault="00000000">
      <w:pPr>
        <w:pStyle w:val="Normal4"/>
        <w:widowControl w:val="0"/>
        <w:spacing w:before="240" w:line="260" w:lineRule="atLeast"/>
        <w:jc w:val="both"/>
      </w:pPr>
      <w:bookmarkStart w:id="519" w:name="Prior_History_3"/>
      <w:bookmarkEnd w:id="519"/>
      <w:r>
        <w:rPr>
          <w:rFonts w:ascii="Arial" w:eastAsia="Arial" w:hAnsi="Arial" w:cs="Arial"/>
          <w:b/>
          <w:color w:val="000000"/>
          <w:sz w:val="20"/>
        </w:rPr>
        <w:t>Prior History:</w:t>
      </w:r>
      <w:r>
        <w:rPr>
          <w:rFonts w:ascii="Arial" w:eastAsia="Arial" w:hAnsi="Arial" w:cs="Arial"/>
          <w:color w:val="000000"/>
          <w:sz w:val="20"/>
        </w:rPr>
        <w:t>  [**1] </w:t>
      </w:r>
      <w:bookmarkStart w:id="520" w:name="Bookmark_para_2_3"/>
      <w:bookmarkEnd w:id="520"/>
      <w:r>
        <w:rPr>
          <w:rFonts w:ascii="Arial" w:eastAsia="Arial" w:hAnsi="Arial" w:cs="Arial"/>
          <w:color w:val="000000"/>
          <w:sz w:val="20"/>
        </w:rPr>
        <w:t>ON APPEAL FROM THE UNITED STATES DISTRICT COURT FOR THE EASTERN DISTRICT OF MICHIGAN.</w:t>
      </w:r>
    </w:p>
    <w:p w:rsidR="006E038D" w:rsidRDefault="00000000">
      <w:pPr>
        <w:pStyle w:val="Normal4"/>
        <w:widowControl w:val="0"/>
        <w:spacing w:before="120" w:line="260" w:lineRule="atLeast"/>
      </w:pPr>
      <w:r>
        <w:rPr>
          <w:rFonts w:ascii="Arial" w:eastAsia="Arial" w:hAnsi="Arial" w:cs="Arial"/>
          <w:color w:val="000000"/>
          <w:sz w:val="20"/>
        </w:rPr>
        <w:t>Lafata v. Church of Christ Home for the Aged, 2007 U.S. Dist. LEXIS 72466 ( E.D. Mich., Sept. 28, 2007)</w:t>
      </w:r>
    </w:p>
    <w:p w:rsidR="006E038D" w:rsidRDefault="00000000">
      <w:pPr>
        <w:pStyle w:val="Normal4"/>
        <w:widowControl w:val="0"/>
        <w:spacing w:before="240" w:line="260" w:lineRule="atLeast"/>
      </w:pPr>
      <w:bookmarkStart w:id="521" w:name="Counsel_3"/>
      <w:bookmarkEnd w:id="521"/>
      <w:r>
        <w:rPr>
          <w:rFonts w:ascii="Arial" w:eastAsia="Arial" w:hAnsi="Arial" w:cs="Arial"/>
          <w:b/>
          <w:color w:val="000000"/>
          <w:sz w:val="20"/>
        </w:rPr>
        <w:t>Counsel:</w:t>
      </w:r>
      <w:r>
        <w:rPr>
          <w:rFonts w:ascii="Arial" w:eastAsia="Arial" w:hAnsi="Arial" w:cs="Arial"/>
          <w:color w:val="000000"/>
          <w:sz w:val="20"/>
        </w:rPr>
        <w:t> For ELEANOR LAFATA, Plaintiff - Appellant: Rex A. Burgess, Heidi T. Sharp, Law Offices of Rex A. Burgess, Clinton Township, MI.</w:t>
      </w:r>
    </w:p>
    <w:p w:rsidR="006E038D" w:rsidRDefault="00000000">
      <w:pPr>
        <w:pStyle w:val="Normal4"/>
        <w:widowControl w:val="0"/>
        <w:spacing w:before="120" w:line="260" w:lineRule="atLeast"/>
      </w:pPr>
      <w:r>
        <w:rPr>
          <w:rFonts w:ascii="Arial" w:eastAsia="Arial" w:hAnsi="Arial" w:cs="Arial"/>
          <w:color w:val="000000"/>
          <w:sz w:val="20"/>
        </w:rPr>
        <w:t>For CHURCH OF CHRIST HOME FOR THE AGED, dba Church of Christ Care Center, Defendant - Appellee: Marilyn H. Mitchell, Evans &amp; Luptak, Bloomfield Hills, MI.</w:t>
      </w:r>
    </w:p>
    <w:p w:rsidR="006E038D" w:rsidRDefault="00000000">
      <w:pPr>
        <w:pStyle w:val="Normal4"/>
        <w:widowControl w:val="0"/>
        <w:spacing w:before="240" w:line="260" w:lineRule="atLeast"/>
      </w:pPr>
      <w:bookmarkStart w:id="522" w:name="Judges_3"/>
      <w:bookmarkEnd w:id="522"/>
      <w:r>
        <w:rPr>
          <w:rFonts w:ascii="Arial" w:eastAsia="Arial" w:hAnsi="Arial" w:cs="Arial"/>
          <w:b/>
          <w:color w:val="000000"/>
          <w:sz w:val="20"/>
        </w:rPr>
        <w:t>Judges:</w:t>
      </w:r>
      <w:r>
        <w:rPr>
          <w:rFonts w:ascii="Arial" w:eastAsia="Arial" w:hAnsi="Arial" w:cs="Arial"/>
          <w:color w:val="000000"/>
          <w:sz w:val="20"/>
        </w:rPr>
        <w:t xml:space="preserve"> BEFORE: CLAY and COOK, Circuit Judges; OLIVER, District Judge. </w:t>
      </w:r>
      <w:r>
        <w:rPr>
          <w:rFonts w:ascii="Arial" w:eastAsia="Arial" w:hAnsi="Arial" w:cs="Arial"/>
          <w:vertAlign w:val="superscript"/>
        </w:rPr>
        <w:footnoteReference w:customMarkFollows="1" w:id="15"/>
        <w:t>*</w:t>
      </w:r>
    </w:p>
    <w:p w:rsidR="006E038D" w:rsidRDefault="00000000">
      <w:pPr>
        <w:pStyle w:val="Normal4"/>
        <w:widowControl w:val="0"/>
        <w:spacing w:before="240" w:line="260" w:lineRule="atLeast"/>
      </w:pPr>
      <w:bookmarkStart w:id="524" w:name="Opinion_by_2"/>
      <w:bookmarkEnd w:id="524"/>
      <w:r>
        <w:rPr>
          <w:rFonts w:ascii="Arial" w:eastAsia="Arial" w:hAnsi="Arial" w:cs="Arial"/>
          <w:b/>
          <w:color w:val="000000"/>
          <w:sz w:val="20"/>
        </w:rPr>
        <w:t>Opinion by:</w:t>
      </w:r>
      <w:r>
        <w:rPr>
          <w:rFonts w:ascii="Arial" w:eastAsia="Arial" w:hAnsi="Arial" w:cs="Arial"/>
          <w:color w:val="000000"/>
          <w:sz w:val="20"/>
        </w:rPr>
        <w:t> CLAY</w:t>
      </w:r>
    </w:p>
    <w:p w:rsidR="006E038D" w:rsidRDefault="00000000">
      <w:pPr>
        <w:pStyle w:val="Normal4"/>
        <w:keepNext/>
        <w:widowControl w:val="0"/>
        <w:spacing w:before="240" w:line="340" w:lineRule="atLeast"/>
      </w:pPr>
      <w:bookmarkStart w:id="525" w:name="Opinion_3"/>
      <w:bookmarkEnd w:id="525"/>
      <w:r>
        <w:rPr>
          <w:rFonts w:ascii="Arial" w:eastAsia="Arial" w:hAnsi="Arial" w:cs="Arial"/>
          <w:b/>
          <w:color w:val="000000"/>
          <w:sz w:val="28"/>
        </w:rPr>
        <w:t>Opinion</w:t>
      </w:r>
    </w:p>
    <w:p w:rsidR="006E038D" w:rsidRDefault="008C3211">
      <w:pPr>
        <w:pStyle w:val="Normal4"/>
        <w:spacing w:line="60" w:lineRule="exact"/>
      </w:pPr>
      <w:r>
        <w:rPr>
          <w:noProof/>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34293058"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AD6CD2"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6E038D" w:rsidRDefault="006E038D">
      <w:pPr>
        <w:pStyle w:val="Normal4"/>
      </w:pPr>
    </w:p>
    <w:p w:rsidR="006E038D" w:rsidRDefault="00000000">
      <w:pPr>
        <w:pStyle w:val="Normal4"/>
        <w:widowControl w:val="0"/>
        <w:spacing w:before="200" w:line="260" w:lineRule="atLeast"/>
        <w:jc w:val="both"/>
      </w:pPr>
      <w:bookmarkStart w:id="526" w:name="Bookmark_para_3_3"/>
      <w:bookmarkEnd w:id="526"/>
      <w:r>
        <w:rPr>
          <w:rFonts w:ascii="Arial" w:eastAsia="Arial" w:hAnsi="Arial" w:cs="Arial"/>
          <w:color w:val="000000"/>
          <w:sz w:val="20"/>
        </w:rPr>
        <w:t xml:space="preserve"> [*417]  </w:t>
      </w:r>
      <w:r>
        <w:rPr>
          <w:rFonts w:ascii="Arial" w:eastAsia="Arial" w:hAnsi="Arial" w:cs="Arial"/>
          <w:b/>
          <w:color w:val="000000"/>
          <w:sz w:val="20"/>
        </w:rPr>
        <w:t>CLAY, Circuit Judge.</w:t>
      </w:r>
      <w:r>
        <w:rPr>
          <w:rFonts w:ascii="Arial" w:eastAsia="Arial" w:hAnsi="Arial" w:cs="Arial"/>
          <w:color w:val="000000"/>
          <w:sz w:val="20"/>
        </w:rPr>
        <w:t xml:space="preserve"> Plaintiff Eleanor Lafata, a licensed practical nurse, appeals the district court's grant of summary judgment in favor of Defendant Church of Christ Home for the Aged. The district court granted summary judgment to Defendant on Plaintiff's claims under the Family Medical Leave Act ("FMLA"), 29 U.S.C.A. § 2601 </w:t>
      </w:r>
      <w:r>
        <w:rPr>
          <w:rFonts w:ascii="Arial" w:eastAsia="Arial" w:hAnsi="Arial" w:cs="Arial"/>
          <w:i/>
          <w:color w:val="000000"/>
          <w:sz w:val="20"/>
        </w:rPr>
        <w:t>et seq.,</w:t>
      </w:r>
      <w:r>
        <w:rPr>
          <w:rFonts w:ascii="Arial" w:eastAsia="Arial" w:hAnsi="Arial" w:cs="Arial"/>
          <w:color w:val="000000"/>
          <w:sz w:val="20"/>
        </w:rPr>
        <w:t xml:space="preserve"> and the Americans with Disabilities Act ("ADA"), 42 U.S.C.A. § 12101 </w:t>
      </w:r>
      <w:r>
        <w:rPr>
          <w:rFonts w:ascii="Arial" w:eastAsia="Arial" w:hAnsi="Arial" w:cs="Arial"/>
          <w:i/>
          <w:color w:val="000000"/>
          <w:sz w:val="20"/>
        </w:rPr>
        <w:t>et seq.</w:t>
      </w:r>
      <w:r>
        <w:rPr>
          <w:rFonts w:ascii="Arial" w:eastAsia="Arial" w:hAnsi="Arial" w:cs="Arial"/>
          <w:color w:val="000000"/>
          <w:sz w:val="20"/>
        </w:rPr>
        <w:t xml:space="preserve"> Because we conclude that genuine issues of material fact remain with respect to both of Plaintiff's claims, we </w:t>
      </w:r>
      <w:r>
        <w:rPr>
          <w:rFonts w:ascii="Arial" w:eastAsia="Arial" w:hAnsi="Arial" w:cs="Arial"/>
          <w:b/>
          <w:color w:val="000000"/>
          <w:sz w:val="20"/>
        </w:rPr>
        <w:t>REVERSE</w:t>
      </w:r>
      <w:r>
        <w:rPr>
          <w:rFonts w:ascii="Arial" w:eastAsia="Arial" w:hAnsi="Arial" w:cs="Arial"/>
          <w:color w:val="000000"/>
          <w:sz w:val="20"/>
        </w:rPr>
        <w:t xml:space="preserve"> the district court's grant of summary judgment and </w:t>
      </w:r>
      <w:r>
        <w:rPr>
          <w:rFonts w:ascii="Arial" w:eastAsia="Arial" w:hAnsi="Arial" w:cs="Arial"/>
          <w:b/>
          <w:color w:val="000000"/>
          <w:sz w:val="20"/>
        </w:rPr>
        <w:t>REMAND</w:t>
      </w:r>
      <w:r>
        <w:rPr>
          <w:rFonts w:ascii="Arial" w:eastAsia="Arial" w:hAnsi="Arial" w:cs="Arial"/>
          <w:color w:val="000000"/>
          <w:sz w:val="20"/>
        </w:rPr>
        <w:t xml:space="preserve"> for trial on both of Plaintiff's claims.</w:t>
      </w:r>
    </w:p>
    <w:p w:rsidR="006E038D" w:rsidRDefault="00000000">
      <w:pPr>
        <w:pStyle w:val="Normal4"/>
        <w:widowControl w:val="0"/>
        <w:spacing w:before="240" w:line="260" w:lineRule="atLeast"/>
      </w:pPr>
      <w:r>
        <w:br/>
      </w:r>
      <w:r>
        <w:rPr>
          <w:rFonts w:ascii="Arial" w:eastAsia="Arial" w:hAnsi="Arial" w:cs="Arial"/>
          <w:b/>
          <w:color w:val="000000"/>
          <w:sz w:val="20"/>
        </w:rPr>
        <w:t>BACKGROUND</w:t>
      </w:r>
    </w:p>
    <w:p w:rsidR="006E038D" w:rsidRDefault="00000000">
      <w:pPr>
        <w:pStyle w:val="Normal4"/>
        <w:widowControl w:val="0"/>
        <w:spacing w:before="200" w:line="260" w:lineRule="atLeast"/>
        <w:jc w:val="both"/>
      </w:pPr>
      <w:bookmarkStart w:id="527" w:name="Bookmark_para_4_3"/>
      <w:bookmarkEnd w:id="527"/>
      <w:r>
        <w:rPr>
          <w:rFonts w:ascii="Arial" w:eastAsia="Arial" w:hAnsi="Arial" w:cs="Arial"/>
          <w:color w:val="000000"/>
          <w:sz w:val="20"/>
        </w:rPr>
        <w:t>In  [**2] February of 2000, Plaintiff began working as a licensed practical nurse at Defendant's assisted living facility. On November 25, 2000, Plaintiff injured her right shoulder while trying to lift a patient from the floor. Plaintiff was diagnosed  [*418]  with "adhesive capulitis right shoulder" (J.A. 305), and received written instructions from a physician advising her to avoid "repetitive lifting over 10 lbs." and "pushing and/or pulling over 5 lbs. of force" (J.A. 307). On April 5, 2002, Plaintiff received a promotion and became the Health Services Coordinator in Defendant's assisted living facility, which assigned her responsibility for supervising staff and interviewing prospective residents. Although Plaintiff's prior job as a staff nurse and her position as Health Services Coordinator required her to lift and pull significant weight, Defendant excluded lifting, pushing, and pulling activities from Plaintiff's job requirements to accommodate her shoulder injury.</w:t>
      </w:r>
    </w:p>
    <w:p w:rsidR="006E038D" w:rsidRDefault="00000000">
      <w:pPr>
        <w:pStyle w:val="Normal4"/>
        <w:widowControl w:val="0"/>
        <w:spacing w:before="200" w:line="260" w:lineRule="atLeast"/>
        <w:jc w:val="both"/>
      </w:pPr>
      <w:bookmarkStart w:id="528" w:name="Bookmark_para_5_3"/>
      <w:bookmarkEnd w:id="528"/>
      <w:r>
        <w:rPr>
          <w:rFonts w:ascii="Arial" w:eastAsia="Arial" w:hAnsi="Arial" w:cs="Arial"/>
          <w:color w:val="000000"/>
          <w:sz w:val="20"/>
        </w:rPr>
        <w:t>On February 21, 2003, Plaintiff fell in her driveway at home and fractured her foot. After being placed in a cast, Plaintiff returned to work on March 7, 2003. However, within a few weeks, Plaintiff's doctors determined that her job  [**3] duties were exacerbating her injuries, and recommended that she take additional leave from work. Accordingly, on March 31, 2003, Plaintiff presented a physician's note to Defendant indicating that she could "not put any pressure on [her foot] and [could] not return to work until further notice. (J.A. 175.) In addition, Plaintiff requested forms related to both FMLA leave and disability leave from Debra Barber, Defendant's Human Resources Director. However, Plaintiff received only forms relevant to Defendant's disability leave policy. Plaintiff subsequently collected disability payments while on leave for her foot injury.</w:t>
      </w:r>
    </w:p>
    <w:p w:rsidR="006E038D" w:rsidRDefault="00000000">
      <w:pPr>
        <w:pStyle w:val="Normal4"/>
        <w:widowControl w:val="0"/>
        <w:spacing w:before="200" w:line="260" w:lineRule="atLeast"/>
        <w:jc w:val="both"/>
      </w:pPr>
      <w:bookmarkStart w:id="529" w:name="Bookmark_para_6_3"/>
      <w:bookmarkEnd w:id="529"/>
      <w:r>
        <w:rPr>
          <w:rFonts w:ascii="Arial" w:eastAsia="Arial" w:hAnsi="Arial" w:cs="Arial"/>
          <w:color w:val="000000"/>
          <w:sz w:val="20"/>
        </w:rPr>
        <w:t>At the time she took leave, Plaintiff served as Health Services Coordinator. On May 16, 2003, Plaintiff received a letter from Defendant informing her that it had filled her position. The letter prompted Plaintiff to file a complaint with the United States Department of Labor ("DOL") to determine whether Defendant could replace her while she remained on leave. After investigating Plaintiff's claim, the DOL found that Defendant failed to comply with applicable notice requirements under the FMLA and related regulations. The investigation also established that Defendant  [**4] was unaware that the FMLA permitted it to count the time an employee takes under an employer's leave policies against the employee's twelve-week entitlement to leave under the FMLA.</w:t>
      </w:r>
    </w:p>
    <w:p w:rsidR="006E038D" w:rsidRDefault="00000000">
      <w:pPr>
        <w:pStyle w:val="Normal4"/>
        <w:widowControl w:val="0"/>
        <w:spacing w:before="200" w:line="260" w:lineRule="atLeast"/>
        <w:jc w:val="both"/>
      </w:pPr>
      <w:bookmarkStart w:id="530" w:name="Bookmark_para_7_3"/>
      <w:bookmarkEnd w:id="530"/>
      <w:r>
        <w:rPr>
          <w:rFonts w:ascii="Arial" w:eastAsia="Arial" w:hAnsi="Arial" w:cs="Arial"/>
          <w:color w:val="000000"/>
          <w:sz w:val="20"/>
        </w:rPr>
        <w:t>Following the DOL's investigation, Defendant provided Plaintiff with twelve weeks of unpaid leave beginning July 28, 2003, and ending October 20, 2003. Defendant designated this leave as FMLA leave and, consistent with the requirements under the FMLA, agreed to provide Plaintiff with an "equivalent position . . . if and when she chooses to return." (J.A. 212.) In connection with the leave period, Plaintiff submitted a doctor's note to Defendant which cleared her to return to work on October 16, 2003.</w:t>
      </w:r>
    </w:p>
    <w:p w:rsidR="006E038D" w:rsidRDefault="00000000">
      <w:pPr>
        <w:pStyle w:val="Normal4"/>
        <w:widowControl w:val="0"/>
        <w:spacing w:before="200" w:line="260" w:lineRule="atLeast"/>
        <w:jc w:val="both"/>
      </w:pPr>
      <w:bookmarkStart w:id="531" w:name="Bookmark_para_8_3"/>
      <w:bookmarkEnd w:id="531"/>
      <w:r>
        <w:rPr>
          <w:rFonts w:ascii="Arial" w:eastAsia="Arial" w:hAnsi="Arial" w:cs="Arial"/>
          <w:color w:val="000000"/>
          <w:sz w:val="20"/>
        </w:rPr>
        <w:t>On October 17, 2003, the last weekday before Plaintiff was scheduled to return to work, a conversation took place between Plaintiff and Barber. The conversation concerned Plaintiff's new job title and duties upon her anticipated return to work the following Monday, during which Defendant offered Plaintiff the position of Restorative License Nurse. Plaintiff claims that she informed Barber that she did not view the position as equivalent to her former role as Health Services Coordinator, and was also concerned  [**5] because the job description required her to engage in physical activities, such as turning and positioning patients, which her shoulder injury prevented her from performing. According to Plaintiff, Barber ultimately told Plaintiff that the job was "what's being offered" and that Plaintiff could "take it or  [*419]  leave it." (J.A. 193.) In a letter dated October 21, 2003, Plaintiff wrote to Barber and stated that she was concerned that Barber had told her that she was required to accept the Restorative Licensed Nurse position, or no position at all. In addition, Plaintiff offered in the letter to accept a non-supervisory nursing position that Defendant then was advertising in the local paper. Ultimately, Plaintiff did not return to work on October 20, 2003, the day her FMLA leave expired, a fact that Plaintiff does not dispute. On October 23, 2003, Defendant sent a letter to Plaintiff informing her that it considered her failure to return to work a "voluntary quit." (J.A. 317.)</w:t>
      </w:r>
    </w:p>
    <w:p w:rsidR="006E038D" w:rsidRDefault="00000000">
      <w:pPr>
        <w:pStyle w:val="Normal4"/>
        <w:widowControl w:val="0"/>
        <w:spacing w:before="200" w:line="260" w:lineRule="atLeast"/>
        <w:jc w:val="both"/>
      </w:pPr>
      <w:bookmarkStart w:id="532" w:name="Bookmark_para_9_3"/>
      <w:bookmarkEnd w:id="532"/>
      <w:r>
        <w:rPr>
          <w:rFonts w:ascii="Arial" w:eastAsia="Arial" w:hAnsi="Arial" w:cs="Arial"/>
          <w:color w:val="000000"/>
          <w:sz w:val="20"/>
        </w:rPr>
        <w:t>Plaintiff filed a charge of discrimination with the EEOC on December 15, 2003, alleging violations of FMLA and the ADA. After receiving a right to sue letter, Plaintiff filed suit in the United States District Court  [**6] for the Eastern District of Michigan. On September 29, 2006, the district court issued an order granting summary judgment to Defendant with respect to Plaintiff's FMLA claim. On September 28, 2007, the district court issued an order concluding that Defendant was entitled to summary judgment on Plaintiff's ADA claim. Plaintiff filed a timely notice of appeal of the district court's orders.</w:t>
      </w:r>
    </w:p>
    <w:p w:rsidR="006E038D" w:rsidRDefault="00000000">
      <w:pPr>
        <w:pStyle w:val="Normal4"/>
        <w:widowControl w:val="0"/>
        <w:spacing w:before="240" w:line="260" w:lineRule="atLeast"/>
      </w:pPr>
      <w:r>
        <w:br/>
      </w:r>
      <w:r>
        <w:rPr>
          <w:rFonts w:ascii="Arial" w:eastAsia="Arial" w:hAnsi="Arial" w:cs="Arial"/>
          <w:b/>
          <w:color w:val="000000"/>
          <w:sz w:val="20"/>
        </w:rPr>
        <w:t>DISCUSSION</w:t>
      </w:r>
    </w:p>
    <w:p w:rsidR="006E038D" w:rsidRDefault="00000000">
      <w:pPr>
        <w:pStyle w:val="Normal4"/>
        <w:widowControl w:val="0"/>
        <w:spacing w:before="240" w:line="260" w:lineRule="atLeast"/>
      </w:pPr>
      <w:r>
        <w:br/>
      </w:r>
      <w:r>
        <w:rPr>
          <w:rFonts w:ascii="Arial" w:eastAsia="Arial" w:hAnsi="Arial" w:cs="Arial"/>
          <w:b/>
          <w:color w:val="000000"/>
          <w:sz w:val="20"/>
        </w:rPr>
        <w:t>I. FMLA CLAIM</w:t>
      </w:r>
    </w:p>
    <w:p w:rsidR="006E038D" w:rsidRDefault="00000000">
      <w:pPr>
        <w:pStyle w:val="Normal4"/>
        <w:widowControl w:val="0"/>
        <w:spacing w:before="240" w:line="260" w:lineRule="atLeast"/>
      </w:pPr>
      <w:r>
        <w:br/>
      </w:r>
      <w:r>
        <w:rPr>
          <w:rFonts w:ascii="Arial" w:eastAsia="Arial" w:hAnsi="Arial" w:cs="Arial"/>
          <w:b/>
          <w:color w:val="000000"/>
          <w:sz w:val="20"/>
        </w:rPr>
        <w:t>A. Standard of Review</w:t>
      </w:r>
    </w:p>
    <w:p w:rsidR="006E038D" w:rsidRDefault="00000000">
      <w:pPr>
        <w:pStyle w:val="Normal4"/>
        <w:widowControl w:val="0"/>
        <w:spacing w:before="200" w:line="260" w:lineRule="atLeast"/>
        <w:jc w:val="both"/>
      </w:pPr>
      <w:bookmarkStart w:id="533" w:name="Bookmark_para_10_3"/>
      <w:bookmarkStart w:id="534" w:name="Bookmark_I4WH6H7N0K1MNJ36X0000400"/>
      <w:bookmarkStart w:id="535" w:name="Bookmark_LNHNREFclscc1_3"/>
      <w:bookmarkEnd w:id="533"/>
      <w:bookmarkEnd w:id="534"/>
      <w:bookmarkEnd w:id="535"/>
      <w:r>
        <w:rPr>
          <w:rFonts w:ascii="Arial" w:eastAsia="Arial" w:hAnsi="Arial" w:cs="Arial"/>
          <w:color w:val="000000"/>
          <w:sz w:val="20"/>
        </w:rPr>
        <w:t xml:space="preserve">This Court reviews a district court's grant of summary judgment </w:t>
      </w:r>
      <w:r>
        <w:rPr>
          <w:rFonts w:ascii="Arial" w:eastAsia="Arial" w:hAnsi="Arial" w:cs="Arial"/>
          <w:i/>
          <w:color w:val="000000"/>
          <w:sz w:val="20"/>
        </w:rPr>
        <w:t xml:space="preserve">de novo. </w:t>
      </w:r>
      <w:bookmarkStart w:id="536" w:name="Bookmark_I4WH6H7N0K1MNJ36W0000400"/>
      <w:bookmarkEnd w:id="536"/>
      <w:r>
        <w:rPr>
          <w:rFonts w:ascii="Arial" w:eastAsia="Arial" w:hAnsi="Arial" w:cs="Arial"/>
          <w:i/>
          <w:color w:val="000000"/>
          <w:sz w:val="20"/>
        </w:rPr>
        <w:t>Farhat v. Jopke,</w:t>
      </w:r>
      <w:r>
        <w:rPr>
          <w:rFonts w:ascii="Arial" w:eastAsia="Arial" w:hAnsi="Arial" w:cs="Arial"/>
          <w:color w:val="000000"/>
          <w:sz w:val="20"/>
        </w:rPr>
        <w:t xml:space="preserve"> 370 F.3d 580, 587 (6th Cir. 2004). </w:t>
      </w:r>
      <w:bookmarkStart w:id="537" w:name="Bookmark_I4WH6H7N0K1MNJ3700000400"/>
      <w:bookmarkStart w:id="538" w:name="Bookmark_LNHNREFclscc2_3"/>
      <w:bookmarkEnd w:id="537"/>
      <w:bookmarkEnd w:id="538"/>
      <w:r>
        <w:rPr>
          <w:rFonts w:ascii="Arial" w:eastAsia="Arial" w:hAnsi="Arial" w:cs="Arial"/>
          <w:color w:val="000000"/>
          <w:sz w:val="20"/>
        </w:rPr>
        <w:t xml:space="preserve">A district court's grant of summary judgment should be affirmed when "the discovery and disclosure materials on file, and any affidavits show that there is no genuine issue as to any material fact" as to an essential element of the non-moving party's case. Fed. R. Civ. P. 56(c). </w:t>
      </w:r>
      <w:bookmarkStart w:id="539" w:name="Bookmark_I4WH6H7N0K1MNJ3770000400"/>
      <w:bookmarkStart w:id="540" w:name="Bookmark_LNHNREFclscc3_3"/>
      <w:bookmarkEnd w:id="539"/>
      <w:bookmarkEnd w:id="540"/>
      <w:r>
        <w:rPr>
          <w:rFonts w:ascii="Arial" w:eastAsia="Arial" w:hAnsi="Arial" w:cs="Arial"/>
          <w:color w:val="000000"/>
          <w:sz w:val="20"/>
        </w:rPr>
        <w:t xml:space="preserve">An issue of fact is "genuine" if a reasonable person could return a verdict for the non-moving party. </w:t>
      </w:r>
      <w:bookmarkStart w:id="541" w:name="Bookmark_I4WH6H7N0K1MNJ3770000400_2"/>
      <w:bookmarkStart w:id="542" w:name="Bookmark_I4WH6H7N0K1MNJ3700000400_2"/>
      <w:bookmarkStart w:id="543" w:name="Bookmark_I4WH6H7N0K1MNJ36Y0000400"/>
      <w:bookmarkEnd w:id="541"/>
      <w:bookmarkEnd w:id="542"/>
      <w:bookmarkEnd w:id="543"/>
      <w:r>
        <w:rPr>
          <w:rFonts w:ascii="Arial" w:eastAsia="Arial" w:hAnsi="Arial" w:cs="Arial"/>
          <w:i/>
          <w:color w:val="000000"/>
          <w:sz w:val="20"/>
        </w:rPr>
        <w:t>Anderson v. Liberty Lobby, Inc.,</w:t>
      </w:r>
      <w:r>
        <w:rPr>
          <w:rFonts w:ascii="Arial" w:eastAsia="Arial" w:hAnsi="Arial" w:cs="Arial"/>
          <w:color w:val="000000"/>
          <w:sz w:val="20"/>
        </w:rPr>
        <w:t xml:space="preserve"> 477 U.S. 242, 248, 106 S. Ct. 2505, 91 L. Ed. 2d 202 (1986). </w:t>
      </w:r>
      <w:bookmarkStart w:id="544" w:name="Bookmark_LNHNREFclscc4_3"/>
      <w:bookmarkEnd w:id="544"/>
      <w:r>
        <w:rPr>
          <w:rFonts w:ascii="Arial" w:eastAsia="Arial" w:hAnsi="Arial" w:cs="Arial"/>
          <w:color w:val="000000"/>
          <w:sz w:val="20"/>
        </w:rPr>
        <w:t xml:space="preserve">After the moving party has satisfied its burden, the burden shifts to the non-moving party to set forth "specific facts showing that there is a genuine issue for trial." </w:t>
      </w:r>
      <w:bookmarkStart w:id="545" w:name="Bookmark_I4WH6H7N0K1MNJ3710000400"/>
      <w:bookmarkEnd w:id="545"/>
      <w:r>
        <w:rPr>
          <w:rFonts w:ascii="Arial" w:eastAsia="Arial" w:hAnsi="Arial" w:cs="Arial"/>
          <w:i/>
          <w:color w:val="000000"/>
          <w:sz w:val="20"/>
        </w:rPr>
        <w:t>Matsushita Elec. Indus. Co. v. Zenith Radio Corp.,</w:t>
      </w:r>
      <w:r>
        <w:rPr>
          <w:rFonts w:ascii="Arial" w:eastAsia="Arial" w:hAnsi="Arial" w:cs="Arial"/>
          <w:color w:val="000000"/>
          <w:sz w:val="20"/>
        </w:rPr>
        <w:t xml:space="preserve"> 475 U.S. 574, 587, 106 S. Ct. 1348, 89 L. Ed. 2d 538 (1986).</w:t>
      </w:r>
    </w:p>
    <w:p w:rsidR="006E038D" w:rsidRDefault="00000000">
      <w:pPr>
        <w:pStyle w:val="Normal4"/>
        <w:widowControl w:val="0"/>
        <w:spacing w:before="240" w:line="260" w:lineRule="atLeast"/>
      </w:pPr>
      <w:r>
        <w:br/>
      </w:r>
      <w:r>
        <w:rPr>
          <w:rFonts w:ascii="Arial" w:eastAsia="Arial" w:hAnsi="Arial" w:cs="Arial"/>
          <w:b/>
          <w:color w:val="000000"/>
          <w:sz w:val="20"/>
        </w:rPr>
        <w:t xml:space="preserve">B. </w:t>
      </w:r>
      <w:r>
        <w:rPr>
          <w:rFonts w:ascii="Arial" w:eastAsia="Arial" w:hAnsi="Arial" w:cs="Arial"/>
          <w:color w:val="000000"/>
          <w:sz w:val="20"/>
        </w:rPr>
        <w:t> [**7] </w:t>
      </w:r>
      <w:r>
        <w:rPr>
          <w:rFonts w:ascii="Arial" w:eastAsia="Arial" w:hAnsi="Arial" w:cs="Arial"/>
          <w:b/>
          <w:color w:val="000000"/>
          <w:sz w:val="20"/>
        </w:rPr>
        <w:t>Analysis</w:t>
      </w:r>
    </w:p>
    <w:p w:rsidR="006E038D" w:rsidRDefault="00000000">
      <w:pPr>
        <w:pStyle w:val="Normal4"/>
        <w:widowControl w:val="0"/>
        <w:spacing w:before="200" w:line="260" w:lineRule="atLeast"/>
        <w:jc w:val="both"/>
      </w:pPr>
      <w:bookmarkStart w:id="546" w:name="Bookmark_para_11_2"/>
      <w:bookmarkStart w:id="547" w:name="Bookmark_LNHNREFclscc5_3"/>
      <w:bookmarkEnd w:id="546"/>
      <w:bookmarkEnd w:id="547"/>
      <w:r>
        <w:rPr>
          <w:rFonts w:ascii="Arial" w:eastAsia="Arial" w:hAnsi="Arial" w:cs="Arial"/>
          <w:color w:val="000000"/>
          <w:sz w:val="20"/>
        </w:rPr>
        <w:t xml:space="preserve">The FMLA protects employees who have worked for the same employer for at least one full year and who have provided at least 1250 hours of service within that period. </w:t>
      </w:r>
      <w:r>
        <w:rPr>
          <w:rFonts w:ascii="Arial" w:eastAsia="Arial" w:hAnsi="Arial" w:cs="Arial"/>
          <w:i/>
          <w:color w:val="000000"/>
          <w:sz w:val="20"/>
        </w:rPr>
        <w:t>See</w:t>
      </w:r>
      <w:r>
        <w:rPr>
          <w:rFonts w:ascii="Arial" w:eastAsia="Arial" w:hAnsi="Arial" w:cs="Arial"/>
          <w:color w:val="000000"/>
          <w:sz w:val="20"/>
        </w:rPr>
        <w:t xml:space="preserve"> 29 U.S.C. § 2611(2)(A). Eligible employees are entitled to a total of twelve work weeks of unpaid leave during any twelve month period "[b]ecause of a serious health condition that makes the employee unable to perform the functions of the position of such employee." </w:t>
      </w:r>
      <w:r>
        <w:rPr>
          <w:rFonts w:ascii="Arial" w:eastAsia="Arial" w:hAnsi="Arial" w:cs="Arial"/>
          <w:i/>
          <w:color w:val="000000"/>
          <w:sz w:val="20"/>
        </w:rPr>
        <w:t>Id.</w:t>
      </w:r>
      <w:r>
        <w:rPr>
          <w:rFonts w:ascii="Arial" w:eastAsia="Arial" w:hAnsi="Arial" w:cs="Arial"/>
          <w:color w:val="000000"/>
          <w:sz w:val="20"/>
        </w:rPr>
        <w:t xml:space="preserve"> § 2612(a)(1)(D). </w:t>
      </w:r>
      <w:bookmarkStart w:id="548" w:name="Bookmark_LNHNREFclscc6_3"/>
      <w:bookmarkEnd w:id="548"/>
      <w:r>
        <w:rPr>
          <w:rFonts w:ascii="Arial" w:eastAsia="Arial" w:hAnsi="Arial" w:cs="Arial"/>
          <w:color w:val="000000"/>
          <w:sz w:val="20"/>
        </w:rPr>
        <w:t>The regulations implementing the FMLA impose numerous notice requirements on covered employers. For example, once an employer has determined that an employee's leave qualifies as FMLA leave, the employer has responsibility for designating leave as FMLA-qualifying leave, "and for giving notice of the designation to the employee." 29 C.F.R. § 825.300(d).</w:t>
      </w:r>
    </w:p>
    <w:p w:rsidR="006E038D" w:rsidRDefault="00000000">
      <w:pPr>
        <w:pStyle w:val="Normal4"/>
        <w:widowControl w:val="0"/>
        <w:spacing w:before="200" w:line="260" w:lineRule="atLeast"/>
        <w:jc w:val="both"/>
      </w:pPr>
      <w:bookmarkStart w:id="549" w:name="Bookmark_para_12_2"/>
      <w:bookmarkStart w:id="550" w:name="Bookmark_LNHNREFclscc7_2"/>
      <w:bookmarkEnd w:id="549"/>
      <w:bookmarkEnd w:id="550"/>
      <w:r>
        <w:rPr>
          <w:rFonts w:ascii="Arial" w:eastAsia="Arial" w:hAnsi="Arial" w:cs="Arial"/>
          <w:color w:val="000000"/>
          <w:sz w:val="20"/>
        </w:rPr>
        <w:t xml:space="preserve">An eligible employee who takes leave pursuant to the FMLA "shall be entitled, on return from such leave, to be restored by the employer to the position of employment held by the employee when the leave commenced," </w:t>
      </w:r>
      <w:r>
        <w:rPr>
          <w:rFonts w:ascii="Arial" w:eastAsia="Arial" w:hAnsi="Arial" w:cs="Arial"/>
          <w:i/>
          <w:color w:val="000000"/>
          <w:sz w:val="20"/>
        </w:rPr>
        <w:t>id.</w:t>
      </w:r>
      <w:r>
        <w:rPr>
          <w:rFonts w:ascii="Arial" w:eastAsia="Arial" w:hAnsi="Arial" w:cs="Arial"/>
          <w:color w:val="000000"/>
          <w:sz w:val="20"/>
        </w:rPr>
        <w:t xml:space="preserve"> § 2614(a)(1)(A), or "to an equivalent position with equivalent employment benefits, pay, and other terms and conditions of employment" </w:t>
      </w:r>
      <w:r>
        <w:rPr>
          <w:rFonts w:ascii="Arial" w:eastAsia="Arial" w:hAnsi="Arial" w:cs="Arial"/>
          <w:i/>
          <w:color w:val="000000"/>
          <w:sz w:val="20"/>
        </w:rPr>
        <w:t>id.</w:t>
      </w:r>
      <w:r>
        <w:rPr>
          <w:rFonts w:ascii="Arial" w:eastAsia="Arial" w:hAnsi="Arial" w:cs="Arial"/>
          <w:color w:val="000000"/>
          <w:sz w:val="20"/>
        </w:rPr>
        <w:t xml:space="preserve">  [*420]  § 2614(a)(1)(B). To qualify  [**8] as an "equivalent position" under the FMLA, the employee's new position must be "one that is virtually identical to the employee's former position in terms of pay, benefits and working conditions, including privileges, perquisites and status. It must involve the same or substantially similar duties and responsibilities, which must entail substantially equivalent skill, effort, responsibility, and authority." 29 C.F.R. § 825.215(a).</w:t>
      </w:r>
    </w:p>
    <w:p w:rsidR="006E038D" w:rsidRDefault="00000000">
      <w:pPr>
        <w:pStyle w:val="Normal4"/>
        <w:widowControl w:val="0"/>
        <w:spacing w:before="200" w:line="260" w:lineRule="atLeast"/>
        <w:jc w:val="both"/>
      </w:pPr>
      <w:bookmarkStart w:id="551" w:name="Bookmark_para_13_2"/>
      <w:bookmarkStart w:id="552" w:name="Bookmark_I4WH6H7N0K1MNJ3790000400"/>
      <w:bookmarkEnd w:id="551"/>
      <w:bookmarkEnd w:id="552"/>
      <w:r>
        <w:rPr>
          <w:rFonts w:ascii="Arial" w:eastAsia="Arial" w:hAnsi="Arial" w:cs="Arial"/>
          <w:color w:val="000000"/>
          <w:sz w:val="20"/>
        </w:rPr>
        <w:t xml:space="preserve">Plaintiff claims that Defendant violated her FMLA rights when it failed to restore her to an "equivalent position" when she attempted to return to work in October of 2003. The district court granted summary judgment to Defendant, agreeing with Defendant that Plaintiff was not protected by the FMLA in October of 2003 because her twelve-week entitlement expired in June of 2003, twelve weeks after she first took disability leave. </w:t>
      </w:r>
      <w:bookmarkStart w:id="553" w:name="Bookmark_I4WH6H7N0K1MNJ37C0000400"/>
      <w:bookmarkEnd w:id="553"/>
      <w:r>
        <w:rPr>
          <w:rFonts w:ascii="Arial" w:eastAsia="Arial" w:hAnsi="Arial" w:cs="Arial"/>
          <w:color w:val="000000"/>
          <w:sz w:val="20"/>
        </w:rPr>
        <w:t xml:space="preserve">In granting summary judgment to Defendant, the district court relied on the Supreme Court's decision in </w:t>
      </w:r>
      <w:bookmarkStart w:id="554" w:name="Bookmark_I4WH6H7N0K1MNJ3780000400"/>
      <w:bookmarkEnd w:id="554"/>
      <w:r>
        <w:rPr>
          <w:rFonts w:ascii="Arial" w:eastAsia="Arial" w:hAnsi="Arial" w:cs="Arial"/>
          <w:i/>
          <w:color w:val="000000"/>
          <w:sz w:val="20"/>
        </w:rPr>
        <w:t>Ragsdale v. Wolverine World Wide, Inc.,</w:t>
      </w:r>
      <w:r>
        <w:rPr>
          <w:rFonts w:ascii="Arial" w:eastAsia="Arial" w:hAnsi="Arial" w:cs="Arial"/>
          <w:color w:val="000000"/>
          <w:sz w:val="20"/>
        </w:rPr>
        <w:t xml:space="preserve"> 535 U.S. 81, 122 S. Ct. 1155, 152 L. Ed. 2d 167 (2002). </w:t>
      </w:r>
      <w:bookmarkStart w:id="555" w:name="Bookmark_I4WH6H7N0K1MNJ37C0000400_2"/>
      <w:bookmarkEnd w:id="555"/>
      <w:r>
        <w:rPr>
          <w:rFonts w:ascii="Arial" w:eastAsia="Arial" w:hAnsi="Arial" w:cs="Arial"/>
          <w:color w:val="000000"/>
          <w:sz w:val="20"/>
        </w:rPr>
        <w:t xml:space="preserve">In </w:t>
      </w:r>
      <w:r>
        <w:rPr>
          <w:rFonts w:ascii="Arial" w:eastAsia="Arial" w:hAnsi="Arial" w:cs="Arial"/>
          <w:i/>
          <w:color w:val="000000"/>
          <w:sz w:val="20"/>
        </w:rPr>
        <w:t>Ragsdale,</w:t>
      </w:r>
      <w:r>
        <w:rPr>
          <w:rFonts w:ascii="Arial" w:eastAsia="Arial" w:hAnsi="Arial" w:cs="Arial"/>
          <w:color w:val="000000"/>
          <w:sz w:val="20"/>
        </w:rPr>
        <w:t xml:space="preserve"> the employee took thirty weeks of leave, the maximum allowed under the employer's unpaid leave policy. </w:t>
      </w:r>
      <w:bookmarkStart w:id="556" w:name="Bookmark_I4WH6H7N0K1MNJ37M0000400"/>
      <w:bookmarkStart w:id="557" w:name="Bookmark_I4WH6H7N0K1MNJ37B0000400"/>
      <w:bookmarkEnd w:id="556"/>
      <w:bookmarkEnd w:id="557"/>
      <w:r>
        <w:rPr>
          <w:rFonts w:ascii="Arial" w:eastAsia="Arial" w:hAnsi="Arial" w:cs="Arial"/>
          <w:i/>
          <w:color w:val="000000"/>
          <w:sz w:val="20"/>
        </w:rPr>
        <w:t>Id.</w:t>
      </w:r>
      <w:r>
        <w:rPr>
          <w:rFonts w:ascii="Arial" w:eastAsia="Arial" w:hAnsi="Arial" w:cs="Arial"/>
          <w:color w:val="000000"/>
          <w:sz w:val="20"/>
        </w:rPr>
        <w:t xml:space="preserve"> at 85-86. </w:t>
      </w:r>
      <w:bookmarkStart w:id="558" w:name="Bookmark_I4WH6H7N0K1MNJ37M0000400_2"/>
      <w:bookmarkStart w:id="559" w:name="Bookmark_I4WH6H7N0K1MNJ37P0000400"/>
      <w:bookmarkEnd w:id="558"/>
      <w:bookmarkEnd w:id="559"/>
      <w:r>
        <w:rPr>
          <w:rFonts w:ascii="Arial" w:eastAsia="Arial" w:hAnsi="Arial" w:cs="Arial"/>
          <w:color w:val="000000"/>
          <w:sz w:val="20"/>
        </w:rPr>
        <w:t xml:space="preserve">After the employee exhausted her leave and  [**9] was terminated, the employee sued, arguing that she was entitled to twelve weeks of leave under the FMLA because her employer had failed to notify her that twelve of the thirty weeks would count against her FMLA entitlement. </w:t>
      </w:r>
      <w:bookmarkStart w:id="560" w:name="Bookmark_I4WH6H7N0K1MNJ37K0000400"/>
      <w:bookmarkEnd w:id="560"/>
      <w:r>
        <w:rPr>
          <w:rFonts w:ascii="Arial" w:eastAsia="Arial" w:hAnsi="Arial" w:cs="Arial"/>
          <w:i/>
          <w:color w:val="000000"/>
          <w:sz w:val="20"/>
        </w:rPr>
        <w:t>Id.</w:t>
      </w:r>
      <w:r>
        <w:rPr>
          <w:rFonts w:ascii="Arial" w:eastAsia="Arial" w:hAnsi="Arial" w:cs="Arial"/>
          <w:color w:val="000000"/>
          <w:sz w:val="20"/>
        </w:rPr>
        <w:t xml:space="preserve"> at 86. </w:t>
      </w:r>
      <w:bookmarkStart w:id="561" w:name="Bookmark_I4WH6H7N0K1MNJ37P0000400_2"/>
      <w:bookmarkEnd w:id="561"/>
      <w:r>
        <w:rPr>
          <w:rFonts w:ascii="Arial" w:eastAsia="Arial" w:hAnsi="Arial" w:cs="Arial"/>
          <w:color w:val="000000"/>
          <w:sz w:val="20"/>
        </w:rPr>
        <w:t xml:space="preserve">The employee relied on a "penalty provision" in the FMLA regulations, which provided that, if an employee takes medical leave "and the employer does not designate the leave as FMLA leave, the leave taken does not count against an employee's FMLA entitlement." </w:t>
      </w:r>
      <w:bookmarkStart w:id="562" w:name="Bookmark_I4WH6H7N0K1MNJ37N0000400"/>
      <w:bookmarkEnd w:id="562"/>
      <w:r>
        <w:rPr>
          <w:rFonts w:ascii="Arial" w:eastAsia="Arial" w:hAnsi="Arial" w:cs="Arial"/>
          <w:i/>
          <w:color w:val="000000"/>
          <w:sz w:val="20"/>
        </w:rPr>
        <w:t>Id.</w:t>
      </w:r>
      <w:r>
        <w:rPr>
          <w:rFonts w:ascii="Arial" w:eastAsia="Arial" w:hAnsi="Arial" w:cs="Arial"/>
          <w:color w:val="000000"/>
          <w:sz w:val="20"/>
        </w:rPr>
        <w:t xml:space="preserve"> at 85 (quoting 29 C.F.R. § 825.700(a) (2001)).</w:t>
      </w:r>
    </w:p>
    <w:p w:rsidR="006E038D" w:rsidRDefault="00000000">
      <w:pPr>
        <w:pStyle w:val="Normal4"/>
        <w:widowControl w:val="0"/>
        <w:spacing w:before="200" w:line="260" w:lineRule="atLeast"/>
        <w:jc w:val="both"/>
      </w:pPr>
      <w:bookmarkStart w:id="563" w:name="Bookmark_para_14_2"/>
      <w:bookmarkStart w:id="564" w:name="Bookmark_I4WH6H7N0K1MNJ37Y0000400"/>
      <w:bookmarkStart w:id="565" w:name="Bookmark_I4WH6H7N0K1MNJ3810000400"/>
      <w:bookmarkStart w:id="566" w:name="Bookmark_LNHNREFclscc8_1"/>
      <w:bookmarkEnd w:id="563"/>
      <w:bookmarkEnd w:id="564"/>
      <w:bookmarkEnd w:id="565"/>
      <w:bookmarkEnd w:id="566"/>
      <w:r>
        <w:rPr>
          <w:rFonts w:ascii="Arial" w:eastAsia="Arial" w:hAnsi="Arial" w:cs="Arial"/>
          <w:color w:val="000000"/>
          <w:sz w:val="20"/>
        </w:rPr>
        <w:t xml:space="preserve">The Supreme Court invalided the "penalty provision" as beyond the power of the Secretary of Labor and inconsistent with the remedial nature of the FMLA. </w:t>
      </w:r>
      <w:bookmarkStart w:id="567" w:name="Bookmark_I4WH6H7N0K1MNJ37R0000400"/>
      <w:bookmarkEnd w:id="567"/>
      <w:r>
        <w:rPr>
          <w:rFonts w:ascii="Arial" w:eastAsia="Arial" w:hAnsi="Arial" w:cs="Arial"/>
          <w:i/>
          <w:color w:val="000000"/>
          <w:sz w:val="20"/>
        </w:rPr>
        <w:t>Id.</w:t>
      </w:r>
      <w:r>
        <w:rPr>
          <w:rFonts w:ascii="Arial" w:eastAsia="Arial" w:hAnsi="Arial" w:cs="Arial"/>
          <w:color w:val="000000"/>
          <w:sz w:val="20"/>
        </w:rPr>
        <w:t xml:space="preserve"> at 85-86. </w:t>
      </w:r>
      <w:bookmarkStart w:id="568" w:name="Bookmark_I4WH6H7N0K1MNJ3830000400"/>
      <w:bookmarkEnd w:id="568"/>
      <w:r>
        <w:rPr>
          <w:rFonts w:ascii="Arial" w:eastAsia="Arial" w:hAnsi="Arial" w:cs="Arial"/>
          <w:color w:val="000000"/>
          <w:sz w:val="20"/>
        </w:rPr>
        <w:t xml:space="preserve">The Court found that the penalty was "unconnected to any prejudice the employee might have suffered from the employer's lapse" in designating the leave as FMLA leave. </w:t>
      </w:r>
      <w:bookmarkStart w:id="569" w:name="Bookmark_I4WH6H7N0K1MNJ3850000400"/>
      <w:bookmarkStart w:id="570" w:name="Bookmark_I4WH6H7N0K1MNJ3800000400"/>
      <w:bookmarkEnd w:id="569"/>
      <w:bookmarkEnd w:id="570"/>
      <w:r>
        <w:rPr>
          <w:rFonts w:ascii="Arial" w:eastAsia="Arial" w:hAnsi="Arial" w:cs="Arial"/>
          <w:i/>
          <w:color w:val="000000"/>
          <w:sz w:val="20"/>
        </w:rPr>
        <w:t>Id.</w:t>
      </w:r>
      <w:r>
        <w:rPr>
          <w:rFonts w:ascii="Arial" w:eastAsia="Arial" w:hAnsi="Arial" w:cs="Arial"/>
          <w:color w:val="000000"/>
          <w:sz w:val="20"/>
        </w:rPr>
        <w:t xml:space="preserve"> at 88. </w:t>
      </w:r>
      <w:bookmarkStart w:id="571" w:name="Bookmark_I4WH6H7N0K1MNJ3850000400_2"/>
      <w:bookmarkStart w:id="572" w:name="Bookmark_I4WH6H7N0K1MNJ3830000400_2"/>
      <w:bookmarkEnd w:id="571"/>
      <w:bookmarkEnd w:id="572"/>
      <w:r>
        <w:rPr>
          <w:rFonts w:ascii="Arial" w:eastAsia="Arial" w:hAnsi="Arial" w:cs="Arial"/>
          <w:color w:val="000000"/>
          <w:sz w:val="20"/>
        </w:rPr>
        <w:t xml:space="preserve">In addition, the Court concluded that the regulation "amends the FMLA's most fundamental substantive guarantee--the employee's entitlement to 'a total of 12 workweeks of leave during any 12-month period.'" </w:t>
      </w:r>
      <w:bookmarkStart w:id="573" w:name="Bookmark_I4WH6H7N0K1MNJ3820000400"/>
      <w:bookmarkEnd w:id="573"/>
      <w:r>
        <w:rPr>
          <w:rFonts w:ascii="Arial" w:eastAsia="Arial" w:hAnsi="Arial" w:cs="Arial"/>
          <w:i/>
          <w:color w:val="000000"/>
          <w:sz w:val="20"/>
        </w:rPr>
        <w:t>Id.</w:t>
      </w:r>
      <w:r>
        <w:rPr>
          <w:rFonts w:ascii="Arial" w:eastAsia="Arial" w:hAnsi="Arial" w:cs="Arial"/>
          <w:color w:val="000000"/>
          <w:sz w:val="20"/>
        </w:rPr>
        <w:t xml:space="preserve"> at 93 (quoting 29 U.S.C. § 2612(a)(1)). According to the Supreme Court, the effect of the regulation  [**10] was to give "certain employees a right to more than 12 weeks of FMLA-compliant leave in a given 1-year period." </w:t>
      </w:r>
      <w:bookmarkStart w:id="574" w:name="Bookmark_I4WH6H7N0K1MNJ3840000400"/>
      <w:bookmarkEnd w:id="574"/>
      <w:r>
        <w:rPr>
          <w:rFonts w:ascii="Arial" w:eastAsia="Arial" w:hAnsi="Arial" w:cs="Arial"/>
          <w:i/>
          <w:color w:val="000000"/>
          <w:sz w:val="20"/>
        </w:rPr>
        <w:t>Id.</w:t>
      </w:r>
      <w:r>
        <w:rPr>
          <w:rFonts w:ascii="Arial" w:eastAsia="Arial" w:hAnsi="Arial" w:cs="Arial"/>
          <w:color w:val="000000"/>
          <w:sz w:val="20"/>
        </w:rPr>
        <w:t xml:space="preserve"> at 94. For these reasons, the Court invalidated the regulation and denied the employee's claim that the employer had violated her FMLA rights by failing to notify her that twelve weeks of her leave taken pursuant to the employer's unpaid leave policy would count toward her FMLA leave.</w:t>
      </w:r>
    </w:p>
    <w:p w:rsidR="006E038D" w:rsidRDefault="00000000">
      <w:pPr>
        <w:pStyle w:val="Normal4"/>
        <w:widowControl w:val="0"/>
        <w:spacing w:before="200" w:line="260" w:lineRule="atLeast"/>
        <w:jc w:val="both"/>
      </w:pPr>
      <w:bookmarkStart w:id="575" w:name="Bookmark_para_15_2"/>
      <w:bookmarkStart w:id="576" w:name="Bookmark_I67TNKG4FRR0001283W00009"/>
      <w:bookmarkStart w:id="577" w:name="Bookmark_I4WH6H7N0K1MNJ3870000400"/>
      <w:bookmarkEnd w:id="575"/>
      <w:bookmarkEnd w:id="576"/>
      <w:bookmarkEnd w:id="577"/>
      <w:r>
        <w:rPr>
          <w:rFonts w:ascii="Arial" w:eastAsia="Arial" w:hAnsi="Arial" w:cs="Arial"/>
          <w:color w:val="000000"/>
          <w:sz w:val="20"/>
        </w:rPr>
        <w:t xml:space="preserve">We conclude that the district court erred in relying on </w:t>
      </w:r>
      <w:r>
        <w:rPr>
          <w:rFonts w:ascii="Arial" w:eastAsia="Arial" w:hAnsi="Arial" w:cs="Arial"/>
          <w:i/>
          <w:color w:val="000000"/>
          <w:sz w:val="20"/>
        </w:rPr>
        <w:t>Ragsdale</w:t>
      </w:r>
      <w:r>
        <w:rPr>
          <w:rFonts w:ascii="Arial" w:eastAsia="Arial" w:hAnsi="Arial" w:cs="Arial"/>
          <w:color w:val="000000"/>
          <w:sz w:val="20"/>
        </w:rPr>
        <w:t xml:space="preserve"> to grant summary judgment to Defendant. If Defendant had simply failed to designate Plaintiff's disability leave beginning in March of 2003 as FMLA leave, and Defendant terminated Plaintiff because she failed to return to work twelve weeks later, </w:t>
      </w:r>
      <w:bookmarkStart w:id="578" w:name="Bookmark_I4WH6H7N0K1MNJ3860000400"/>
      <w:bookmarkEnd w:id="578"/>
      <w:r>
        <w:rPr>
          <w:rFonts w:ascii="Arial" w:eastAsia="Arial" w:hAnsi="Arial" w:cs="Arial"/>
          <w:i/>
          <w:color w:val="000000"/>
          <w:sz w:val="20"/>
        </w:rPr>
        <w:t>Ragsdale</w:t>
      </w:r>
      <w:r>
        <w:rPr>
          <w:rFonts w:ascii="Arial" w:eastAsia="Arial" w:hAnsi="Arial" w:cs="Arial"/>
          <w:color w:val="000000"/>
          <w:sz w:val="20"/>
        </w:rPr>
        <w:t xml:space="preserve"> might compel the conclusion that, regardless of whether Defendant offered her an "equivalent position" upon her return, Plaintiff's FMLA rights were not violated. However, that is not what happened in this case.</w:t>
      </w:r>
    </w:p>
    <w:p w:rsidR="006E038D" w:rsidRDefault="00000000">
      <w:pPr>
        <w:pStyle w:val="Normal4"/>
        <w:widowControl w:val="0"/>
        <w:spacing w:before="200" w:line="260" w:lineRule="atLeast"/>
        <w:jc w:val="both"/>
      </w:pPr>
      <w:bookmarkStart w:id="579" w:name="Bookmark_para_16_2"/>
      <w:bookmarkEnd w:id="579"/>
      <w:r>
        <w:rPr>
          <w:rFonts w:ascii="Arial" w:eastAsia="Arial" w:hAnsi="Arial" w:cs="Arial"/>
          <w:color w:val="000000"/>
          <w:sz w:val="20"/>
        </w:rPr>
        <w:t>In examining the specific facts surrounding Plaintiff's leave related to her foot injury, it is clear that Plaintiff was protected by the FMLA in October of 2003. At  [*421]  the outset of Plaintiff's leave for her foot injury, Defendant applied its individual leave policy, under  [**11] which Defendant did not count leave taken pursuant to the alternative leave policy of providing one year of paid disability leave against the employee's FMLA entitlement. Accordingly, Defendant approved Plaintiff's leave beginning in March of 2003 solely under its paid disability leave policy, which did not require Defendant to restore Plaintiff to an "equivalent position" at any time during that leave or upon her return from disability leave.</w:t>
      </w:r>
    </w:p>
    <w:p w:rsidR="006E038D" w:rsidRDefault="00000000">
      <w:pPr>
        <w:pStyle w:val="Normal4"/>
        <w:widowControl w:val="0"/>
        <w:spacing w:before="200" w:line="260" w:lineRule="atLeast"/>
        <w:jc w:val="both"/>
      </w:pPr>
      <w:bookmarkStart w:id="580" w:name="Bookmark_para_17_2"/>
      <w:bookmarkEnd w:id="580"/>
      <w:r>
        <w:rPr>
          <w:rFonts w:ascii="Arial" w:eastAsia="Arial" w:hAnsi="Arial" w:cs="Arial"/>
          <w:color w:val="000000"/>
          <w:sz w:val="20"/>
        </w:rPr>
        <w:t xml:space="preserve">Further, Defendant actively avoided designating Plaintiff's leave as FMLA leave. Despite Plaintiff's repeated requests for FMLA forms throughout April of 2003, Defendant refused to provide the required FMLA forms to Plaintiff for her disability leave. Defendant failed to notify Plaintiff of her rights and obligations with respect to FMLA leave. In addition, Defendant affirmatively designated a later period--a twelve-week period ending October 20, 2003--as FMLA leave. Although Plaintiff ultimately received more than twelve weeks of leave, </w:t>
      </w:r>
      <w:bookmarkStart w:id="581" w:name="Bookmark_LNHNREFclscc9_1"/>
      <w:bookmarkEnd w:id="581"/>
      <w:r>
        <w:rPr>
          <w:rFonts w:ascii="Arial" w:eastAsia="Arial" w:hAnsi="Arial" w:cs="Arial"/>
          <w:color w:val="000000"/>
          <w:sz w:val="20"/>
        </w:rPr>
        <w:t xml:space="preserve">nothing in the statute or applicable regulations precludes an employer from providing an employee with more than twelve weeks of leave where only twelve weeks are categorized as FMLA leave; in fact, the FMLA encourages  [**12] employers to do so. </w:t>
      </w:r>
      <w:r>
        <w:rPr>
          <w:rFonts w:ascii="Arial" w:eastAsia="Arial" w:hAnsi="Arial" w:cs="Arial"/>
          <w:i/>
          <w:color w:val="000000"/>
          <w:sz w:val="20"/>
        </w:rPr>
        <w:t>See</w:t>
      </w:r>
      <w:r>
        <w:rPr>
          <w:rFonts w:ascii="Arial" w:eastAsia="Arial" w:hAnsi="Arial" w:cs="Arial"/>
          <w:color w:val="000000"/>
          <w:sz w:val="20"/>
        </w:rPr>
        <w:t xml:space="preserve"> 29 U.S.C. § 2653 ("Nothing in this Act or any amendment made by this Act shall be construed to discourage employers from adopting or retaining leave policies more generous than any policies that comply with the requirements under this Act. . . .").</w:t>
      </w:r>
    </w:p>
    <w:p w:rsidR="006E038D" w:rsidRDefault="00000000">
      <w:pPr>
        <w:pStyle w:val="Normal4"/>
        <w:widowControl w:val="0"/>
        <w:spacing w:before="200" w:line="260" w:lineRule="atLeast"/>
        <w:jc w:val="both"/>
      </w:pPr>
      <w:bookmarkStart w:id="582" w:name="Bookmark_para_18_2"/>
      <w:bookmarkEnd w:id="582"/>
      <w:r>
        <w:rPr>
          <w:rFonts w:ascii="Arial" w:eastAsia="Arial" w:hAnsi="Arial" w:cs="Arial"/>
          <w:color w:val="000000"/>
          <w:sz w:val="20"/>
        </w:rPr>
        <w:t xml:space="preserve">Plaintiff was thus entitled to the protections of the FMLA--including restoration to an "equivalent position" upon her return to work--during the period Defendant designated as FMLA leave. Consequently, on October 17, 2003, Plaintiff was within the twelve-week leave period granted by the FMLA, and therefore was entitled to the protections afforded by the FMLA, including restoration to her previous job as Health Services Coordinator, or an "equivalent position." </w:t>
      </w:r>
      <w:r>
        <w:rPr>
          <w:rFonts w:ascii="Arial" w:eastAsia="Arial" w:hAnsi="Arial" w:cs="Arial"/>
          <w:i/>
          <w:color w:val="000000"/>
          <w:sz w:val="20"/>
        </w:rPr>
        <w:t>See</w:t>
      </w:r>
      <w:r>
        <w:rPr>
          <w:rFonts w:ascii="Arial" w:eastAsia="Arial" w:hAnsi="Arial" w:cs="Arial"/>
          <w:color w:val="000000"/>
          <w:sz w:val="20"/>
        </w:rPr>
        <w:t xml:space="preserve"> 29 U.S.C. § 2614(a)(1). Because there is a genuine issue of material fact as to whether the position of Restorative License Nurse constitutes an "equivalent position" within the meaning of the FMLA, we conclude that the district court's grant of summary judgment was improper. </w:t>
      </w:r>
      <w:r>
        <w:rPr>
          <w:rFonts w:ascii="Arial" w:eastAsia="Arial" w:hAnsi="Arial" w:cs="Arial"/>
          <w:vertAlign w:val="superscript"/>
        </w:rPr>
        <w:footnoteReference w:customMarkFollows="1" w:id="16"/>
        <w:t>1</w:t>
      </w:r>
    </w:p>
    <w:p w:rsidR="006E038D" w:rsidRDefault="00000000">
      <w:pPr>
        <w:pStyle w:val="Normal4"/>
        <w:widowControl w:val="0"/>
        <w:spacing w:before="240" w:line="260" w:lineRule="atLeast"/>
      </w:pPr>
      <w:r>
        <w:br/>
      </w:r>
      <w:r>
        <w:rPr>
          <w:rFonts w:ascii="Arial" w:eastAsia="Arial" w:hAnsi="Arial" w:cs="Arial"/>
          <w:b/>
          <w:color w:val="000000"/>
          <w:sz w:val="20"/>
        </w:rPr>
        <w:t>II. ADA CLAIM</w:t>
      </w:r>
    </w:p>
    <w:p w:rsidR="006E038D" w:rsidRDefault="00000000">
      <w:pPr>
        <w:pStyle w:val="Normal4"/>
        <w:widowControl w:val="0"/>
        <w:spacing w:before="240" w:line="260" w:lineRule="atLeast"/>
      </w:pPr>
      <w:r>
        <w:br/>
      </w:r>
      <w:r>
        <w:rPr>
          <w:rFonts w:ascii="Arial" w:eastAsia="Arial" w:hAnsi="Arial" w:cs="Arial"/>
          <w:b/>
          <w:color w:val="000000"/>
          <w:sz w:val="20"/>
        </w:rPr>
        <w:t>A. Standard of Review</w:t>
      </w:r>
    </w:p>
    <w:p w:rsidR="006E038D" w:rsidRDefault="00000000">
      <w:pPr>
        <w:pStyle w:val="Normal4"/>
        <w:widowControl w:val="0"/>
        <w:spacing w:before="200" w:line="260" w:lineRule="atLeast"/>
        <w:jc w:val="both"/>
      </w:pPr>
      <w:bookmarkStart w:id="584" w:name="Bookmark_para_19_2"/>
      <w:bookmarkStart w:id="585" w:name="Bookmark_I4WH6H7N0K1MNJ38J0000400"/>
      <w:bookmarkEnd w:id="584"/>
      <w:bookmarkEnd w:id="585"/>
      <w:r>
        <w:rPr>
          <w:rFonts w:ascii="Arial" w:eastAsia="Arial" w:hAnsi="Arial" w:cs="Arial"/>
          <w:color w:val="000000"/>
          <w:sz w:val="20"/>
        </w:rPr>
        <w:t xml:space="preserve">The district court also granted Defendant's motion for summary judgment with respect to Plaintiff's claim that Defendant failed to provide her with a reasonable accommodation for her shoulder injury. We review a district court's grant of summary judgment </w:t>
      </w:r>
      <w:r>
        <w:rPr>
          <w:rFonts w:ascii="Arial" w:eastAsia="Arial" w:hAnsi="Arial" w:cs="Arial"/>
          <w:i/>
          <w:color w:val="000000"/>
          <w:sz w:val="20"/>
        </w:rPr>
        <w:t xml:space="preserve">de novo. </w:t>
      </w:r>
      <w:bookmarkStart w:id="586" w:name="Bookmark_I4WH6H7N0K1MNJ3880000400"/>
      <w:bookmarkEnd w:id="586"/>
      <w:r>
        <w:rPr>
          <w:rFonts w:ascii="Arial" w:eastAsia="Arial" w:hAnsi="Arial" w:cs="Arial"/>
          <w:i/>
          <w:color w:val="000000"/>
          <w:sz w:val="20"/>
        </w:rPr>
        <w:t>Farhat,</w:t>
      </w:r>
      <w:r>
        <w:rPr>
          <w:rFonts w:ascii="Arial" w:eastAsia="Arial" w:hAnsi="Arial" w:cs="Arial"/>
          <w:color w:val="000000"/>
          <w:sz w:val="20"/>
        </w:rPr>
        <w:t xml:space="preserve"> 370 F.3d at 587.</w:t>
      </w:r>
    </w:p>
    <w:p w:rsidR="006E038D" w:rsidRDefault="00000000">
      <w:pPr>
        <w:pStyle w:val="Normal4"/>
        <w:widowControl w:val="0"/>
        <w:spacing w:before="240" w:line="260" w:lineRule="atLeast"/>
      </w:pPr>
      <w:r>
        <w:br/>
      </w:r>
      <w:r>
        <w:rPr>
          <w:rFonts w:ascii="Arial" w:eastAsia="Arial" w:hAnsi="Arial" w:cs="Arial"/>
          <w:b/>
          <w:color w:val="000000"/>
          <w:sz w:val="20"/>
        </w:rPr>
        <w:t>B. Analysis</w:t>
      </w:r>
    </w:p>
    <w:p w:rsidR="006E038D" w:rsidRDefault="00000000">
      <w:pPr>
        <w:pStyle w:val="Normal4"/>
        <w:widowControl w:val="0"/>
        <w:spacing w:before="200" w:line="260" w:lineRule="atLeast"/>
        <w:jc w:val="both"/>
      </w:pPr>
      <w:bookmarkStart w:id="587" w:name="Bookmark_para_20_2"/>
      <w:bookmarkStart w:id="588" w:name="Bookmark_LNHNREFclscc10_1"/>
      <w:bookmarkEnd w:id="587"/>
      <w:bookmarkEnd w:id="588"/>
      <w:r>
        <w:rPr>
          <w:rFonts w:ascii="Arial" w:eastAsia="Arial" w:hAnsi="Arial" w:cs="Arial"/>
          <w:color w:val="000000"/>
          <w:sz w:val="20"/>
        </w:rPr>
        <w:t xml:space="preserve">The ADA bars employers from "discriminat[ing] against a qualified individual with a disability because of the disability of such individual in regard to job application procedures, the hiring, advancement, or discharge of employees, employee compensation, job training, and other terms, conditions, and privileges of employment." 42 U.S.C. § 12112(a). The ADA defines "discrimination" to include "not making reasonable accommodations to the known physical or mental limitations  [*422]  of an otherwise qualified individual with a disability, unless [the employer] can demonstrate that the accommodation would impose an undue hardship on the operation of [its] business." </w:t>
      </w:r>
      <w:r>
        <w:rPr>
          <w:rFonts w:ascii="Arial" w:eastAsia="Arial" w:hAnsi="Arial" w:cs="Arial"/>
          <w:i/>
          <w:color w:val="000000"/>
          <w:sz w:val="20"/>
        </w:rPr>
        <w:t>Id.</w:t>
      </w:r>
      <w:r>
        <w:rPr>
          <w:rFonts w:ascii="Arial" w:eastAsia="Arial" w:hAnsi="Arial" w:cs="Arial"/>
          <w:color w:val="000000"/>
          <w:sz w:val="20"/>
        </w:rPr>
        <w:t xml:space="preserve"> § 12112(b)(5)(A). Plaintiff argues that Defendant violated the ADA by failing to provide her with reasonable accommodations for her shoulder injury.</w:t>
      </w:r>
    </w:p>
    <w:p w:rsidR="006E038D" w:rsidRDefault="00000000">
      <w:pPr>
        <w:pStyle w:val="Normal4"/>
        <w:widowControl w:val="0"/>
        <w:spacing w:before="200" w:line="260" w:lineRule="atLeast"/>
        <w:jc w:val="both"/>
      </w:pPr>
      <w:bookmarkStart w:id="589" w:name="Bookmark_para_21_2"/>
      <w:bookmarkStart w:id="590" w:name="Bookmark_LNHNREFclscc11_1"/>
      <w:bookmarkEnd w:id="589"/>
      <w:bookmarkEnd w:id="590"/>
      <w:r>
        <w:rPr>
          <w:rFonts w:ascii="Arial" w:eastAsia="Arial" w:hAnsi="Arial" w:cs="Arial"/>
          <w:color w:val="000000"/>
          <w:sz w:val="20"/>
        </w:rPr>
        <w:t>Under the ADA, "reasonable accommodation"  [**14] includes:</w:t>
      </w:r>
    </w:p>
    <w:p w:rsidR="006E038D" w:rsidRDefault="00000000">
      <w:pPr>
        <w:pStyle w:val="Normal4"/>
        <w:widowControl w:val="0"/>
        <w:spacing w:line="260" w:lineRule="atLeast"/>
        <w:ind w:left="400"/>
        <w:jc w:val="both"/>
      </w:pPr>
      <w:bookmarkStart w:id="591" w:name="Bookmark_para_22_2"/>
      <w:bookmarkEnd w:id="591"/>
      <w:r>
        <w:rPr>
          <w:rFonts w:ascii="Arial" w:eastAsia="Arial" w:hAnsi="Arial" w:cs="Arial"/>
          <w:color w:val="000000"/>
          <w:sz w:val="20"/>
        </w:rPr>
        <w:t>(A) making existing facilities used by employees readily accessible to and usable by individuals with disabilities; and</w:t>
      </w:r>
    </w:p>
    <w:p w:rsidR="006E038D" w:rsidRDefault="00000000">
      <w:pPr>
        <w:pStyle w:val="Normal4"/>
        <w:widowControl w:val="0"/>
        <w:spacing w:line="260" w:lineRule="atLeast"/>
        <w:ind w:left="400"/>
        <w:jc w:val="both"/>
      </w:pPr>
      <w:bookmarkStart w:id="592" w:name="Bookmark_para_23_2"/>
      <w:bookmarkEnd w:id="592"/>
      <w:r>
        <w:rPr>
          <w:rFonts w:ascii="Arial" w:eastAsia="Arial" w:hAnsi="Arial" w:cs="Arial"/>
          <w:color w:val="000000"/>
          <w:sz w:val="20"/>
        </w:rPr>
        <w:t>(B) job restructuring, part-time or modified work schedules, reassignment to a vacant position, acquisition or modification of equipment or devices, appropriate adjustment or modifications of examinations, training materials or policies, the provision of qualified readers or interpreters, and other similar accommodations for individuals with disabilities.</w:t>
      </w:r>
    </w:p>
    <w:p w:rsidR="006E038D" w:rsidRDefault="00000000">
      <w:pPr>
        <w:pStyle w:val="Normal4"/>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 12111(9). </w:t>
      </w:r>
      <w:bookmarkStart w:id="593" w:name="Bookmark_I4WH6H7N0K1MNJ38M0000400"/>
      <w:bookmarkStart w:id="594" w:name="Bookmark_LNHNREFclscc12_1"/>
      <w:bookmarkEnd w:id="593"/>
      <w:bookmarkEnd w:id="594"/>
      <w:r>
        <w:rPr>
          <w:rFonts w:ascii="Arial" w:eastAsia="Arial" w:hAnsi="Arial" w:cs="Arial"/>
          <w:color w:val="000000"/>
          <w:sz w:val="20"/>
        </w:rPr>
        <w:t xml:space="preserve">To determine the appropriate modification or adjustment necessary to accommodate the employee, the ADA's regulations indicate that "it may be necessary for the [employer] to initiate an informal, interactive process with the qualified individual with a disability in need of accommodation. </w:t>
      </w:r>
      <w:bookmarkStart w:id="595" w:name="Bookmark_I4WH6H7N0K1MNJ38P0000400"/>
      <w:bookmarkEnd w:id="595"/>
      <w:r>
        <w:rPr>
          <w:rFonts w:ascii="Arial" w:eastAsia="Arial" w:hAnsi="Arial" w:cs="Arial"/>
          <w:color w:val="000000"/>
          <w:sz w:val="20"/>
        </w:rPr>
        <w:t xml:space="preserve">This process should identify the precise limitations resulting from the disability and potential reasonable accommodations that could overcome those limitations." 29 C.F.R. § 1630.2(o)(3). </w:t>
      </w:r>
      <w:bookmarkStart w:id="596" w:name="Bookmark_I4WH6H7N0K1MNJ43B0000400"/>
      <w:bookmarkEnd w:id="596"/>
      <w:r>
        <w:rPr>
          <w:rFonts w:ascii="Arial" w:eastAsia="Arial" w:hAnsi="Arial" w:cs="Arial"/>
          <w:color w:val="000000"/>
          <w:sz w:val="20"/>
        </w:rPr>
        <w:t xml:space="preserve">While not set forth in the text of the ADA, this Court has held that "the interactive process is mandatory, and both parties have a duty to participate in good faith." </w:t>
      </w:r>
      <w:bookmarkStart w:id="597" w:name="Bookmark_I4WH6H7N0K1MNJ38K0000400"/>
      <w:bookmarkEnd w:id="597"/>
      <w:r>
        <w:rPr>
          <w:rFonts w:ascii="Arial" w:eastAsia="Arial" w:hAnsi="Arial" w:cs="Arial"/>
          <w:i/>
          <w:color w:val="000000"/>
          <w:sz w:val="20"/>
        </w:rPr>
        <w:t>Nance v. Goodyear Tire &amp; Rubber Co.,</w:t>
      </w:r>
      <w:r>
        <w:rPr>
          <w:rFonts w:ascii="Arial" w:eastAsia="Arial" w:hAnsi="Arial" w:cs="Arial"/>
          <w:color w:val="000000"/>
          <w:sz w:val="20"/>
        </w:rPr>
        <w:t xml:space="preserve"> 527 F.3d 539, 556 (6th Cir. 2008). </w:t>
      </w:r>
      <w:bookmarkStart w:id="598" w:name="Bookmark_I4WH6H7N0K1MNJ43B0000400_2"/>
      <w:bookmarkStart w:id="599" w:name="Bookmark_I4WH6H7N0K1MNJ38P0000400_2"/>
      <w:bookmarkEnd w:id="598"/>
      <w:bookmarkEnd w:id="599"/>
      <w:r>
        <w:rPr>
          <w:rFonts w:ascii="Arial" w:eastAsia="Arial" w:hAnsi="Arial" w:cs="Arial"/>
          <w:color w:val="000000"/>
          <w:sz w:val="20"/>
        </w:rPr>
        <w:t xml:space="preserve"> [**15] Accordingly, "[w]hen a party obstructs the process or otherwise fails to participate in good faith, 'courts should attempt to isolate the cause of the breakdown and then assign responsibility.'" </w:t>
      </w:r>
      <w:bookmarkStart w:id="600" w:name="Bookmark_I4WH6H7N0K1MNJ38N0000400"/>
      <w:bookmarkEnd w:id="600"/>
      <w:r>
        <w:rPr>
          <w:rFonts w:ascii="Arial" w:eastAsia="Arial" w:hAnsi="Arial" w:cs="Arial"/>
          <w:i/>
          <w:color w:val="000000"/>
          <w:sz w:val="20"/>
        </w:rPr>
        <w:t>Kleiber v. Honda of Am. Mfg., Inc.,</w:t>
      </w:r>
      <w:r>
        <w:rPr>
          <w:rFonts w:ascii="Arial" w:eastAsia="Arial" w:hAnsi="Arial" w:cs="Arial"/>
          <w:color w:val="000000"/>
          <w:sz w:val="20"/>
        </w:rPr>
        <w:t xml:space="preserve"> 485 F.3d 862, 871 (6th Cir. 2007) (quoting </w:t>
      </w:r>
      <w:bookmarkStart w:id="601" w:name="Bookmark_I4WH6H7N0K1MNJ4370000400"/>
      <w:bookmarkEnd w:id="601"/>
      <w:r>
        <w:rPr>
          <w:rFonts w:ascii="Arial" w:eastAsia="Arial" w:hAnsi="Arial" w:cs="Arial"/>
          <w:i/>
          <w:color w:val="000000"/>
          <w:sz w:val="20"/>
        </w:rPr>
        <w:t>Bultemeyer v. Fort Wayne Cmty. Schs.,</w:t>
      </w:r>
      <w:r>
        <w:rPr>
          <w:rFonts w:ascii="Arial" w:eastAsia="Arial" w:hAnsi="Arial" w:cs="Arial"/>
          <w:color w:val="000000"/>
          <w:sz w:val="20"/>
        </w:rPr>
        <w:t xml:space="preserve"> 100 F.3d 1281, 1285 (7th Cir. 1996)). Employers "who fail to engage in the interactive process in good faith[]face liability [under the ADA] if a reasonable accommodation would have been possible." </w:t>
      </w:r>
      <w:bookmarkStart w:id="602" w:name="Bookmark_I4WH6H7N0K1MNJ4390000400"/>
      <w:bookmarkEnd w:id="602"/>
      <w:r>
        <w:rPr>
          <w:rFonts w:ascii="Arial" w:eastAsia="Arial" w:hAnsi="Arial" w:cs="Arial"/>
          <w:i/>
          <w:color w:val="000000"/>
          <w:sz w:val="20"/>
        </w:rPr>
        <w:t>Barnett v. U.S. Air, Inc.,</w:t>
      </w:r>
      <w:r>
        <w:rPr>
          <w:rFonts w:ascii="Arial" w:eastAsia="Arial" w:hAnsi="Arial" w:cs="Arial"/>
          <w:color w:val="000000"/>
          <w:sz w:val="20"/>
        </w:rPr>
        <w:t xml:space="preserve"> 228 F.3d 1105, 1114 (9th Cir. 2000) (en banc), </w:t>
      </w:r>
      <w:r>
        <w:rPr>
          <w:rFonts w:ascii="Arial" w:eastAsia="Arial" w:hAnsi="Arial" w:cs="Arial"/>
          <w:i/>
          <w:color w:val="000000"/>
          <w:sz w:val="20"/>
        </w:rPr>
        <w:t>judgment vacated on other grounds,</w:t>
      </w:r>
      <w:r>
        <w:rPr>
          <w:rFonts w:ascii="Arial" w:eastAsia="Arial" w:hAnsi="Arial" w:cs="Arial"/>
          <w:color w:val="000000"/>
          <w:sz w:val="20"/>
        </w:rPr>
        <w:t xml:space="preserve"> 535 U.S. 391, 122 S. Ct. 1516, 152 L. Ed. 2d 589 (2002).</w:t>
      </w:r>
    </w:p>
    <w:p w:rsidR="006E038D" w:rsidRDefault="00000000">
      <w:pPr>
        <w:pStyle w:val="Normal4"/>
        <w:widowControl w:val="0"/>
        <w:spacing w:before="200" w:line="260" w:lineRule="atLeast"/>
        <w:jc w:val="both"/>
      </w:pPr>
      <w:bookmarkStart w:id="603" w:name="Bookmark_para_24_2"/>
      <w:bookmarkEnd w:id="603"/>
      <w:r>
        <w:rPr>
          <w:rFonts w:ascii="Arial" w:eastAsia="Arial" w:hAnsi="Arial" w:cs="Arial"/>
          <w:color w:val="000000"/>
          <w:sz w:val="20"/>
        </w:rPr>
        <w:t>In granting summary judgment to Defendant, the district court concluded as follows:</w:t>
      </w:r>
    </w:p>
    <w:p w:rsidR="006E038D" w:rsidRDefault="00000000">
      <w:pPr>
        <w:pStyle w:val="Normal4"/>
        <w:widowControl w:val="0"/>
        <w:spacing w:before="200" w:line="260" w:lineRule="atLeast"/>
        <w:ind w:left="400"/>
        <w:jc w:val="both"/>
      </w:pPr>
      <w:bookmarkStart w:id="604" w:name="Bookmark_para_25_2"/>
      <w:bookmarkEnd w:id="604"/>
      <w:r>
        <w:rPr>
          <w:rFonts w:ascii="Arial" w:eastAsia="Arial" w:hAnsi="Arial" w:cs="Arial"/>
          <w:color w:val="000000"/>
          <w:sz w:val="20"/>
        </w:rPr>
        <w:t>Plaintiff's termination[, which the district court found to be consistent with the FMLA,] occurred on October 20, 2003, but she did not request consideration for one of the allegedly open positions at defendant's Assisted Living facility until her letter of October 21, 2003. Thus, at the time [Plaintiff] made her requested accommodation [of a transfer to a different position than that of Restorative License Nurse], she was no longer an employee, and [D]efendant had no duty  [**16] to accommodate her disability at that time.</w:t>
      </w:r>
    </w:p>
    <w:p w:rsidR="006E038D" w:rsidRDefault="00000000">
      <w:pPr>
        <w:pStyle w:val="Normal4"/>
        <w:widowControl w:val="0"/>
        <w:spacing w:before="200" w:line="260" w:lineRule="atLeast"/>
        <w:jc w:val="both"/>
      </w:pPr>
      <w:r>
        <w:rPr>
          <w:rFonts w:ascii="Arial" w:eastAsia="Arial" w:hAnsi="Arial" w:cs="Arial"/>
          <w:color w:val="000000"/>
          <w:sz w:val="20"/>
        </w:rPr>
        <w:t xml:space="preserve">(J.A. 11.) However, as discussed above, Plaintiff remained protected by the FMLA through October 20, 2003, and therefore remained an "employee" for purposes of the ADA. Further, the district court's finding that Plaintiff did not inform Defendant of the need for an accommodation until October 21, 2003 is not supported by the record. Viewing the facts in the light most favorable to Plaintiff, Plaintiff informed Barber on October 17, 2003, while she was on FMLA leave, of her concerns that her shoulder injury would prevent her from performing certain of the required duties listed in the Restorative License Nurse job description. Accordingly, contrary to the district court's conclusion, Defendant  [*423]  was required to offer Plaintiff a reasonable accommodation for her shoulder injury and to engage in the mandatory interactive process to determine the appropriate accommodation. </w:t>
      </w:r>
      <w:r>
        <w:rPr>
          <w:rFonts w:ascii="Arial" w:eastAsia="Arial" w:hAnsi="Arial" w:cs="Arial"/>
          <w:vertAlign w:val="superscript"/>
        </w:rPr>
        <w:footnoteReference w:customMarkFollows="1" w:id="17"/>
        <w:t>2</w:t>
      </w:r>
    </w:p>
    <w:p w:rsidR="006E038D" w:rsidRDefault="00000000">
      <w:pPr>
        <w:pStyle w:val="Normal4"/>
        <w:widowControl w:val="0"/>
        <w:spacing w:before="200" w:line="260" w:lineRule="atLeast"/>
        <w:jc w:val="both"/>
      </w:pPr>
      <w:bookmarkStart w:id="606" w:name="Bookmark_para_26_2"/>
      <w:bookmarkStart w:id="607" w:name="Bookmark_I4WH6H7N0K1MNJ43S0000400"/>
      <w:bookmarkEnd w:id="606"/>
      <w:bookmarkEnd w:id="607"/>
      <w:r>
        <w:rPr>
          <w:rFonts w:ascii="Arial" w:eastAsia="Arial" w:hAnsi="Arial" w:cs="Arial"/>
          <w:color w:val="000000"/>
          <w:sz w:val="20"/>
        </w:rPr>
        <w:t xml:space="preserve">In granting summary judgment to Defendant, the district court failed to recognize that a genuine issue of material fact exists as to whether Defendant participated in good faith in the mandatory interactive process. Viewing the evidence in the light  [**18] most favorable to Plaintiff, Barber informed Plaintiff that she could "take [] or leave" the position of Restorative License Nurse without accommodations. By offering Plaintiff only one option with respect to the position despite knowing of her physical limitations, Defendant failed to discuss with Plaintiff the "potential reasonable accommodations that could overcome [her] limitations." </w:t>
      </w:r>
      <w:r>
        <w:rPr>
          <w:rFonts w:ascii="Arial" w:eastAsia="Arial" w:hAnsi="Arial" w:cs="Arial"/>
          <w:i/>
          <w:color w:val="000000"/>
          <w:sz w:val="20"/>
        </w:rPr>
        <w:t>See</w:t>
      </w:r>
      <w:r>
        <w:rPr>
          <w:rFonts w:ascii="Arial" w:eastAsia="Arial" w:hAnsi="Arial" w:cs="Arial"/>
          <w:color w:val="000000"/>
          <w:sz w:val="20"/>
        </w:rPr>
        <w:t xml:space="preserve"> 29 C.F.R. § 1630.2(o)(3); </w:t>
      </w:r>
      <w:r>
        <w:rPr>
          <w:rFonts w:ascii="Arial" w:eastAsia="Arial" w:hAnsi="Arial" w:cs="Arial"/>
          <w:i/>
          <w:color w:val="000000"/>
          <w:sz w:val="20"/>
        </w:rPr>
        <w:t xml:space="preserve">cf. </w:t>
      </w:r>
      <w:bookmarkStart w:id="608" w:name="Bookmark_I4WH6H7N0K1MNJ43C0000400"/>
      <w:bookmarkEnd w:id="608"/>
      <w:r>
        <w:rPr>
          <w:rFonts w:ascii="Arial" w:eastAsia="Arial" w:hAnsi="Arial" w:cs="Arial"/>
          <w:i/>
          <w:color w:val="000000"/>
          <w:sz w:val="20"/>
        </w:rPr>
        <w:t>Barnett,</w:t>
      </w:r>
      <w:r>
        <w:rPr>
          <w:rFonts w:ascii="Arial" w:eastAsia="Arial" w:hAnsi="Arial" w:cs="Arial"/>
          <w:color w:val="000000"/>
          <w:sz w:val="20"/>
        </w:rPr>
        <w:t xml:space="preserve"> 228 F.3d at 1116 (holding that </w:t>
      </w:r>
      <w:bookmarkStart w:id="609" w:name="Bookmark_LNHNREFclscc13_1"/>
      <w:bookmarkEnd w:id="609"/>
      <w:r>
        <w:rPr>
          <w:rFonts w:ascii="Arial" w:eastAsia="Arial" w:hAnsi="Arial" w:cs="Arial"/>
          <w:color w:val="000000"/>
          <w:sz w:val="20"/>
        </w:rPr>
        <w:t xml:space="preserve">an employer cannot prevail at the summary judgment stage if there is a genuine dispute as to whether the employer engaged in good faith in the interactive process"). Based on this evidence, a reasonable jury could find that Defendant discriminated against Plaintiff by failing to provide Plaintiff with reasonable accommodations for her shoulder injury as required by the ADA. </w:t>
      </w:r>
      <w:r>
        <w:rPr>
          <w:rFonts w:ascii="Arial" w:eastAsia="Arial" w:hAnsi="Arial" w:cs="Arial"/>
          <w:vertAlign w:val="superscript"/>
        </w:rPr>
        <w:footnoteReference w:customMarkFollows="1" w:id="18"/>
        <w:t>3</w:t>
      </w:r>
    </w:p>
    <w:p w:rsidR="006E038D" w:rsidRDefault="00000000">
      <w:pPr>
        <w:pStyle w:val="Normal4"/>
        <w:widowControl w:val="0"/>
        <w:spacing w:before="240" w:line="260" w:lineRule="atLeast"/>
      </w:pPr>
      <w:r>
        <w:br/>
      </w:r>
      <w:r>
        <w:rPr>
          <w:rFonts w:ascii="Arial" w:eastAsia="Arial" w:hAnsi="Arial" w:cs="Arial"/>
          <w:b/>
          <w:color w:val="000000"/>
          <w:sz w:val="20"/>
        </w:rPr>
        <w:t>CONCLUSION</w:t>
      </w:r>
    </w:p>
    <w:p w:rsidR="006E038D" w:rsidRDefault="00000000">
      <w:pPr>
        <w:pStyle w:val="Normal4"/>
        <w:widowControl w:val="0"/>
        <w:spacing w:before="200" w:line="260" w:lineRule="atLeast"/>
        <w:jc w:val="both"/>
      </w:pPr>
      <w:bookmarkStart w:id="611" w:name="Bookmark_para_27_2"/>
      <w:bookmarkEnd w:id="611"/>
      <w:r>
        <w:rPr>
          <w:rFonts w:ascii="Arial" w:eastAsia="Arial" w:hAnsi="Arial" w:cs="Arial"/>
          <w:color w:val="000000"/>
          <w:sz w:val="20"/>
        </w:rPr>
        <w:t xml:space="preserve">We therefore </w:t>
      </w:r>
      <w:r>
        <w:rPr>
          <w:rFonts w:ascii="Arial" w:eastAsia="Arial" w:hAnsi="Arial" w:cs="Arial"/>
          <w:b/>
          <w:color w:val="000000"/>
          <w:sz w:val="20"/>
        </w:rPr>
        <w:t>REVERSE</w:t>
      </w:r>
      <w:r>
        <w:rPr>
          <w:rFonts w:ascii="Arial" w:eastAsia="Arial" w:hAnsi="Arial" w:cs="Arial"/>
          <w:color w:val="000000"/>
          <w:sz w:val="20"/>
        </w:rPr>
        <w:t xml:space="preserve"> the district court's  [**19] grant of summary judgment on Plaintiff's FMLA and ADA claims and </w:t>
      </w:r>
      <w:r>
        <w:rPr>
          <w:rFonts w:ascii="Arial" w:eastAsia="Arial" w:hAnsi="Arial" w:cs="Arial"/>
          <w:b/>
          <w:color w:val="000000"/>
          <w:sz w:val="20"/>
        </w:rPr>
        <w:t>REMAND</w:t>
      </w:r>
      <w:r>
        <w:rPr>
          <w:rFonts w:ascii="Arial" w:eastAsia="Arial" w:hAnsi="Arial" w:cs="Arial"/>
          <w:color w:val="000000"/>
          <w:sz w:val="20"/>
        </w:rPr>
        <w:t xml:space="preserve"> the case for a trial on both claims.</w:t>
      </w:r>
    </w:p>
    <w:p w:rsidR="006E038D" w:rsidRDefault="006E038D">
      <w:pPr>
        <w:pStyle w:val="Normal4"/>
      </w:pPr>
    </w:p>
    <w:p w:rsidR="006E038D" w:rsidRDefault="00000000">
      <w:pPr>
        <w:pStyle w:val="Normal4"/>
        <w:ind w:left="200"/>
        <w:sectPr w:rsidR="006E038D">
          <w:type w:val="continuous"/>
          <w:pgSz w:w="12240" w:h="15840"/>
          <w:pgMar w:top="840" w:right="1000" w:bottom="840" w:left="1000" w:header="400" w:footer="400" w:gutter="0"/>
          <w:cols w:num="2" w:space="240"/>
        </w:sectPr>
      </w:pPr>
      <w:r>
        <w:br/>
      </w:r>
      <w:r w:rsidR="008C3211">
        <w:rPr>
          <w:noProof/>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17338852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447216" id="Line 1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6E038D" w:rsidRDefault="006E038D">
      <w:pPr>
        <w:pStyle w:val="Normal5"/>
        <w:sectPr w:rsidR="006E038D">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gutter="0"/>
          <w:cols w:space="720"/>
          <w:titlePg/>
        </w:sectPr>
      </w:pPr>
    </w:p>
    <w:p w:rsidR="006E038D" w:rsidRDefault="006E038D">
      <w:pPr>
        <w:pStyle w:val="Normal5"/>
      </w:pPr>
    </w:p>
    <w:p w:rsidR="006E038D" w:rsidRDefault="00000000">
      <w:pPr>
        <w:pStyle w:val="Heading14"/>
        <w:keepNext w:val="0"/>
        <w:widowControl w:val="0"/>
        <w:spacing w:after="200" w:line="340" w:lineRule="atLeast"/>
        <w:jc w:val="center"/>
      </w:pPr>
      <w:r>
        <w:rPr>
          <w:rFonts w:eastAsia="Arial"/>
          <w:color w:val="000000"/>
          <w:sz w:val="28"/>
        </w:rPr>
        <w:t>Barber v. Colorado</w:t>
      </w:r>
    </w:p>
    <w:p w:rsidR="006E038D" w:rsidRDefault="00000000">
      <w:pPr>
        <w:pStyle w:val="Normal5"/>
        <w:widowControl w:val="0"/>
        <w:spacing w:before="120" w:line="260" w:lineRule="atLeast"/>
        <w:jc w:val="center"/>
      </w:pPr>
      <w:r>
        <w:rPr>
          <w:rFonts w:ascii="Arial" w:eastAsia="Arial" w:hAnsi="Arial" w:cs="Arial"/>
          <w:color w:val="000000"/>
          <w:sz w:val="20"/>
        </w:rPr>
        <w:t>United States Court of Appeals for the Tenth Circuit</w:t>
      </w:r>
    </w:p>
    <w:p w:rsidR="006E038D" w:rsidRDefault="00000000">
      <w:pPr>
        <w:pStyle w:val="Normal5"/>
        <w:widowControl w:val="0"/>
        <w:spacing w:before="120" w:line="260" w:lineRule="atLeast"/>
        <w:jc w:val="center"/>
      </w:pPr>
      <w:r>
        <w:rPr>
          <w:rFonts w:ascii="Arial" w:eastAsia="Arial" w:hAnsi="Arial" w:cs="Arial"/>
          <w:color w:val="000000"/>
          <w:sz w:val="20"/>
        </w:rPr>
        <w:t>April 15, 2009, Filed</w:t>
      </w:r>
    </w:p>
    <w:p w:rsidR="006E038D" w:rsidRDefault="00000000">
      <w:pPr>
        <w:pStyle w:val="Normal5"/>
        <w:widowControl w:val="0"/>
        <w:spacing w:before="120" w:line="260" w:lineRule="atLeast"/>
        <w:jc w:val="center"/>
        <w:sectPr w:rsidR="006E038D">
          <w:type w:val="continuous"/>
          <w:pgSz w:w="12240" w:h="15840"/>
          <w:pgMar w:top="840" w:right="1000" w:bottom="840" w:left="1000" w:header="400" w:footer="400" w:gutter="0"/>
          <w:cols w:space="240"/>
        </w:sectPr>
      </w:pPr>
      <w:r>
        <w:rPr>
          <w:rFonts w:ascii="Arial" w:eastAsia="Arial" w:hAnsi="Arial" w:cs="Arial"/>
          <w:color w:val="000000"/>
          <w:sz w:val="20"/>
        </w:rPr>
        <w:t>No. 08-1032</w:t>
      </w:r>
    </w:p>
    <w:p w:rsidR="006E038D" w:rsidRDefault="006E038D">
      <w:pPr>
        <w:pStyle w:val="Normal5"/>
        <w:widowControl w:val="0"/>
        <w:spacing w:line="240" w:lineRule="atLeast"/>
        <w:jc w:val="both"/>
      </w:pPr>
      <w:bookmarkStart w:id="612" w:name="Bookmark_6"/>
      <w:bookmarkEnd w:id="612"/>
    </w:p>
    <w:p w:rsidR="006E038D" w:rsidRDefault="00000000">
      <w:pPr>
        <w:pStyle w:val="Normal5"/>
        <w:widowControl w:val="0"/>
        <w:spacing w:before="200" w:line="240" w:lineRule="atLeast"/>
      </w:pPr>
      <w:bookmarkStart w:id="613" w:name="Reporter_4"/>
      <w:bookmarkEnd w:id="613"/>
      <w:r>
        <w:rPr>
          <w:rFonts w:ascii="Arial" w:eastAsia="Arial" w:hAnsi="Arial" w:cs="Arial"/>
          <w:b/>
          <w:color w:val="000000"/>
          <w:sz w:val="18"/>
        </w:rPr>
        <w:t>Reporter</w:t>
      </w:r>
    </w:p>
    <w:p w:rsidR="006E038D" w:rsidRDefault="00000000">
      <w:pPr>
        <w:pStyle w:val="Normal5"/>
        <w:widowControl w:val="0"/>
        <w:spacing w:line="240" w:lineRule="atLeast"/>
        <w:sectPr w:rsidR="006E038D">
          <w:type w:val="continuous"/>
          <w:pgSz w:w="12240" w:h="15840"/>
          <w:pgMar w:top="840" w:right="1000" w:bottom="840" w:left="1000" w:header="400" w:footer="400" w:gutter="0"/>
          <w:cols w:space="240"/>
        </w:sectPr>
      </w:pPr>
      <w:r>
        <w:rPr>
          <w:rFonts w:ascii="Arial" w:eastAsia="Arial" w:hAnsi="Arial" w:cs="Arial"/>
          <w:color w:val="000000"/>
          <w:sz w:val="18"/>
        </w:rPr>
        <w:t>562 F.3d 1222 *; 2009 U.S. App. LEXIS 8132 **; 22 Am. Disabilities Cas. (BNA) 17</w:t>
      </w:r>
    </w:p>
    <w:p w:rsidR="006E038D" w:rsidRDefault="00000000">
      <w:pPr>
        <w:pStyle w:val="Normal5"/>
        <w:widowControl w:val="0"/>
        <w:spacing w:before="120" w:line="260" w:lineRule="atLeast"/>
      </w:pPr>
      <w:r>
        <w:rPr>
          <w:rFonts w:ascii="Arial" w:eastAsia="Arial" w:hAnsi="Arial" w:cs="Arial"/>
          <w:color w:val="000000"/>
          <w:sz w:val="20"/>
        </w:rPr>
        <w:t>JULIANNA BARBER, by and through her next friend, Marcia Barber, MARCIA BARBER, Plaintiffs - Appellants, v. STATE OF COLORADO, DEPARTMENT OF REVENUE; STATE OF COLORADO, DEPARTMENT OF REVENUE, DIVISION OF MOTOR VEHICLES; M. MICHAEL COOKE, in her individual and official capacity as Executive Director of the Colorado Department of Revenue, and JOAN VECCHI, in her individual and official capacity as Senior Director of the Colorado Division of Motor Vehicles, Defendants - Appellees.</w:t>
      </w:r>
    </w:p>
    <w:p w:rsidR="006E038D" w:rsidRDefault="00000000">
      <w:pPr>
        <w:pStyle w:val="Normal5"/>
        <w:widowControl w:val="0"/>
        <w:spacing w:before="240" w:line="260" w:lineRule="atLeast"/>
        <w:jc w:val="both"/>
      </w:pPr>
      <w:bookmarkStart w:id="614" w:name="Prior_History_4"/>
      <w:bookmarkEnd w:id="614"/>
      <w:r>
        <w:rPr>
          <w:rFonts w:ascii="Arial" w:eastAsia="Arial" w:hAnsi="Arial" w:cs="Arial"/>
          <w:b/>
          <w:color w:val="000000"/>
          <w:sz w:val="20"/>
        </w:rPr>
        <w:t>Prior History:</w:t>
      </w:r>
      <w:r>
        <w:rPr>
          <w:rFonts w:ascii="Arial" w:eastAsia="Arial" w:hAnsi="Arial" w:cs="Arial"/>
          <w:color w:val="000000"/>
          <w:sz w:val="20"/>
        </w:rPr>
        <w:t>  [**1] </w:t>
      </w:r>
      <w:bookmarkStart w:id="615" w:name="Bookmark_para_1_4"/>
      <w:bookmarkEnd w:id="615"/>
      <w:r>
        <w:rPr>
          <w:rFonts w:ascii="Arial" w:eastAsia="Arial" w:hAnsi="Arial" w:cs="Arial"/>
          <w:color w:val="000000"/>
          <w:sz w:val="20"/>
        </w:rPr>
        <w:t>APPEAL FROM THE UNITED STATES DISTRICT COURT FOR THE DISTRICT OF COLORADO. (D.C. No. 05-cv-00807-REB-CBS).</w:t>
      </w:r>
    </w:p>
    <w:p w:rsidR="006E038D" w:rsidRDefault="00000000">
      <w:pPr>
        <w:pStyle w:val="Normal5"/>
        <w:widowControl w:val="0"/>
        <w:spacing w:before="120" w:line="260" w:lineRule="atLeast"/>
      </w:pPr>
      <w:r>
        <w:rPr>
          <w:rFonts w:ascii="Arial" w:eastAsia="Arial" w:hAnsi="Arial" w:cs="Arial"/>
          <w:color w:val="000000"/>
          <w:sz w:val="20"/>
        </w:rPr>
        <w:t>Barber v. Colo. Dep't of Revenue, 2008 U.S. Dist. LEXIS 8074 (D. Colo., Jan. 23, 2008)</w:t>
      </w:r>
    </w:p>
    <w:p w:rsidR="006E038D" w:rsidRDefault="00000000">
      <w:pPr>
        <w:pStyle w:val="Normal5"/>
        <w:widowControl w:val="0"/>
        <w:spacing w:before="120" w:line="260" w:lineRule="atLeast"/>
      </w:pPr>
      <w:r>
        <w:rPr>
          <w:rFonts w:ascii="Arial" w:eastAsia="Arial" w:hAnsi="Arial" w:cs="Arial"/>
          <w:color w:val="000000"/>
          <w:sz w:val="20"/>
        </w:rPr>
        <w:t>Barber v. Colorado, 2007 U.S. Dist. LEXIS 35082 (D. Colo., May 14, 2007)</w:t>
      </w:r>
    </w:p>
    <w:p w:rsidR="006E038D" w:rsidRDefault="00000000">
      <w:pPr>
        <w:pStyle w:val="Normal5"/>
        <w:widowControl w:val="0"/>
        <w:spacing w:before="240" w:line="260" w:lineRule="atLeast"/>
        <w:jc w:val="both"/>
      </w:pPr>
      <w:bookmarkStart w:id="616" w:name="Disposition_0"/>
      <w:bookmarkEnd w:id="616"/>
      <w:r>
        <w:rPr>
          <w:rFonts w:ascii="Arial" w:eastAsia="Arial" w:hAnsi="Arial" w:cs="Arial"/>
          <w:b/>
          <w:color w:val="000000"/>
          <w:sz w:val="20"/>
        </w:rPr>
        <w:t>Disposition:</w:t>
      </w:r>
      <w:r>
        <w:rPr>
          <w:rFonts w:ascii="Arial" w:eastAsia="Arial" w:hAnsi="Arial" w:cs="Arial"/>
          <w:color w:val="000000"/>
          <w:sz w:val="20"/>
        </w:rPr>
        <w:t> </w:t>
      </w:r>
      <w:bookmarkStart w:id="617" w:name="Bookmark_clspara_5_0"/>
      <w:bookmarkEnd w:id="617"/>
      <w:r>
        <w:rPr>
          <w:rFonts w:ascii="Arial" w:eastAsia="Arial" w:hAnsi="Arial" w:cs="Arial"/>
          <w:color w:val="000000"/>
          <w:sz w:val="20"/>
        </w:rPr>
        <w:t>Affirmed.</w:t>
      </w:r>
    </w:p>
    <w:p w:rsidR="006E038D" w:rsidRDefault="00000000">
      <w:pPr>
        <w:pStyle w:val="Normal5"/>
        <w:widowControl w:val="0"/>
        <w:spacing w:before="240" w:line="260" w:lineRule="atLeast"/>
      </w:pPr>
      <w:bookmarkStart w:id="618" w:name="Counsel_4"/>
      <w:bookmarkEnd w:id="618"/>
      <w:r>
        <w:rPr>
          <w:rFonts w:ascii="Arial" w:eastAsia="Arial" w:hAnsi="Arial" w:cs="Arial"/>
          <w:b/>
          <w:color w:val="000000"/>
          <w:sz w:val="20"/>
        </w:rPr>
        <w:t>Counsel:</w:t>
      </w:r>
      <w:r>
        <w:rPr>
          <w:rFonts w:ascii="Arial" w:eastAsia="Arial" w:hAnsi="Arial" w:cs="Arial"/>
          <w:color w:val="000000"/>
          <w:sz w:val="20"/>
        </w:rPr>
        <w:t> Amy F. Robertson of Fox &amp; Robertson (Timothy P. Fox of Fox &amp; Robertson; Kevin W. Williams and Carrie Ann Lucas of Colorado Cross Disability Coalition, on the briefs), Denver, Colorado, for Plaintiffs - Appellants.</w:t>
      </w:r>
    </w:p>
    <w:p w:rsidR="006E038D" w:rsidRDefault="00000000">
      <w:pPr>
        <w:pStyle w:val="Normal5"/>
        <w:widowControl w:val="0"/>
        <w:spacing w:before="120" w:line="260" w:lineRule="atLeast"/>
      </w:pPr>
      <w:r>
        <w:rPr>
          <w:rFonts w:ascii="Arial" w:eastAsia="Arial" w:hAnsi="Arial" w:cs="Arial"/>
          <w:color w:val="000000"/>
          <w:sz w:val="20"/>
        </w:rPr>
        <w:t>James X. Quinn, Assistant Attorney General (John W. Suthers, Attorney General, Elizabeth H. McCann, Deputy Attorney General, on the brief) of Civil Litigation and Employment Law Section, Denver, Colorado, for Defendants - Appellees.</w:t>
      </w:r>
    </w:p>
    <w:p w:rsidR="006E038D" w:rsidRDefault="00000000">
      <w:pPr>
        <w:pStyle w:val="Normal5"/>
        <w:widowControl w:val="0"/>
        <w:spacing w:before="240" w:line="260" w:lineRule="atLeast"/>
      </w:pPr>
      <w:bookmarkStart w:id="619" w:name="Judges_4"/>
      <w:bookmarkEnd w:id="619"/>
      <w:r>
        <w:rPr>
          <w:rFonts w:ascii="Arial" w:eastAsia="Arial" w:hAnsi="Arial" w:cs="Arial"/>
          <w:b/>
          <w:color w:val="000000"/>
          <w:sz w:val="20"/>
        </w:rPr>
        <w:t>Judges:</w:t>
      </w:r>
      <w:r>
        <w:rPr>
          <w:rFonts w:ascii="Arial" w:eastAsia="Arial" w:hAnsi="Arial" w:cs="Arial"/>
          <w:color w:val="000000"/>
          <w:sz w:val="20"/>
        </w:rPr>
        <w:t> Before KELLY, EBEL, and GORSUCH, Circuit Judges. GORSUCH, J., Circuit Judge, concurring in the judgment.</w:t>
      </w:r>
    </w:p>
    <w:p w:rsidR="006E038D" w:rsidRDefault="00000000">
      <w:pPr>
        <w:pStyle w:val="Normal5"/>
        <w:widowControl w:val="0"/>
        <w:spacing w:before="240" w:line="260" w:lineRule="atLeast"/>
      </w:pPr>
      <w:bookmarkStart w:id="620" w:name="Opinion_by_3"/>
      <w:bookmarkEnd w:id="620"/>
      <w:r>
        <w:rPr>
          <w:rFonts w:ascii="Arial" w:eastAsia="Arial" w:hAnsi="Arial" w:cs="Arial"/>
          <w:b/>
          <w:color w:val="000000"/>
          <w:sz w:val="20"/>
        </w:rPr>
        <w:t>Opinion by:</w:t>
      </w:r>
      <w:r>
        <w:rPr>
          <w:rFonts w:ascii="Arial" w:eastAsia="Arial" w:hAnsi="Arial" w:cs="Arial"/>
          <w:color w:val="000000"/>
          <w:sz w:val="20"/>
        </w:rPr>
        <w:t> KELLY</w:t>
      </w:r>
    </w:p>
    <w:p w:rsidR="006E038D" w:rsidRDefault="00000000">
      <w:pPr>
        <w:pStyle w:val="Normal5"/>
        <w:keepNext/>
        <w:widowControl w:val="0"/>
        <w:spacing w:before="240" w:line="340" w:lineRule="atLeast"/>
      </w:pPr>
      <w:bookmarkStart w:id="621" w:name="Opinion_4"/>
      <w:bookmarkEnd w:id="621"/>
      <w:r>
        <w:rPr>
          <w:rFonts w:ascii="Arial" w:eastAsia="Arial" w:hAnsi="Arial" w:cs="Arial"/>
          <w:b/>
          <w:color w:val="000000"/>
          <w:sz w:val="28"/>
        </w:rPr>
        <w:t>Opinion</w:t>
      </w:r>
    </w:p>
    <w:p w:rsidR="006E038D" w:rsidRDefault="008C3211">
      <w:pPr>
        <w:pStyle w:val="Normal5"/>
        <w:spacing w:line="60" w:lineRule="exact"/>
      </w:pPr>
      <w:r>
        <w:rPr>
          <w:noProof/>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65923455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764F9" id="Line 1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6E038D" w:rsidRDefault="006E038D">
      <w:pPr>
        <w:pStyle w:val="Normal5"/>
      </w:pPr>
    </w:p>
    <w:p w:rsidR="006E038D" w:rsidRDefault="00000000">
      <w:pPr>
        <w:pStyle w:val="Normal5"/>
        <w:widowControl w:val="0"/>
        <w:spacing w:before="200" w:line="260" w:lineRule="atLeast"/>
        <w:jc w:val="both"/>
      </w:pPr>
      <w:bookmarkStart w:id="622" w:name="Bookmark_para_2_4"/>
      <w:bookmarkEnd w:id="622"/>
      <w:r>
        <w:rPr>
          <w:rFonts w:ascii="Arial" w:eastAsia="Arial" w:hAnsi="Arial" w:cs="Arial"/>
          <w:color w:val="000000"/>
          <w:sz w:val="20"/>
        </w:rPr>
        <w:t xml:space="preserve"> [*1224]  </w:t>
      </w:r>
      <w:r>
        <w:rPr>
          <w:rFonts w:ascii="Arial" w:eastAsia="Arial" w:hAnsi="Arial" w:cs="Arial"/>
          <w:b/>
          <w:color w:val="000000"/>
          <w:sz w:val="20"/>
        </w:rPr>
        <w:t>KELLY</w:t>
      </w:r>
      <w:r>
        <w:rPr>
          <w:rFonts w:ascii="Arial" w:eastAsia="Arial" w:hAnsi="Arial" w:cs="Arial"/>
          <w:color w:val="000000"/>
          <w:sz w:val="20"/>
        </w:rPr>
        <w:t>, Circuit Judge.</w:t>
      </w:r>
    </w:p>
    <w:p w:rsidR="006E038D" w:rsidRDefault="00000000">
      <w:pPr>
        <w:pStyle w:val="Normal5"/>
        <w:widowControl w:val="0"/>
        <w:spacing w:before="200" w:line="260" w:lineRule="atLeast"/>
        <w:jc w:val="both"/>
      </w:pPr>
      <w:bookmarkStart w:id="623" w:name="Bookmark_para_3_4"/>
      <w:bookmarkEnd w:id="623"/>
      <w:r>
        <w:rPr>
          <w:rFonts w:ascii="Arial" w:eastAsia="Arial" w:hAnsi="Arial" w:cs="Arial"/>
          <w:color w:val="000000"/>
          <w:sz w:val="20"/>
        </w:rPr>
        <w:t>Plaintiffs-Appellants, Julianna Barber and Marcia Barber, appeal from the district court's grant of summary judgment in favor of the Defendants-Appellees, Colorado Department of Revenue, Colorado Division of Motor Vehicles, M. Michael Cook in her official capacity as executive director of the Colorado Department of Revenue, and Joan Vecchi in her official capacity as Senior Director of the Colorado Division of Motor Vehicles (collectively, "DMV"), and the district court's subsequent denial of the Barbers'  [**2] motion to reconsider and to alter judgment.</w:t>
      </w:r>
    </w:p>
    <w:p w:rsidR="006E038D" w:rsidRDefault="00000000">
      <w:pPr>
        <w:pStyle w:val="Normal5"/>
        <w:widowControl w:val="0"/>
        <w:spacing w:before="200" w:line="260" w:lineRule="atLeast"/>
        <w:jc w:val="both"/>
      </w:pPr>
      <w:bookmarkStart w:id="624" w:name="Bookmark_para_4_4"/>
      <w:bookmarkEnd w:id="624"/>
      <w:r>
        <w:rPr>
          <w:rFonts w:ascii="Arial" w:eastAsia="Arial" w:hAnsi="Arial" w:cs="Arial"/>
          <w:color w:val="000000"/>
          <w:sz w:val="20"/>
        </w:rPr>
        <w:t xml:space="preserve">This appeal arises out of the Barbers' claim that the DMV violated § 504 of the Rehabilitation Act of 1973, 29 U.S.C. § 794, and intentionally discriminated against Marcia Barber when it required a "parent, stepparent, or guardian" with a valid driver's license to supervise Julianna Barber's driving practice, as required by  [*1225]  her minor's instruction permit. </w:t>
      </w:r>
      <w:bookmarkStart w:id="625" w:name="Bookmark_I4W8CFR30K1MNJ0TF0000400"/>
      <w:bookmarkEnd w:id="625"/>
      <w:r>
        <w:rPr>
          <w:rFonts w:ascii="Arial" w:eastAsia="Arial" w:hAnsi="Arial" w:cs="Arial"/>
          <w:vertAlign w:val="superscript"/>
        </w:rPr>
        <w:footnoteReference w:customMarkFollows="1" w:id="19"/>
        <w:t>1</w:t>
      </w:r>
      <w:r>
        <w:rPr>
          <w:rFonts w:ascii="Arial" w:eastAsia="Arial" w:hAnsi="Arial" w:cs="Arial"/>
          <w:color w:val="000000"/>
          <w:sz w:val="20"/>
        </w:rPr>
        <w:t xml:space="preserve"> </w:t>
      </w:r>
      <w:r>
        <w:rPr>
          <w:rFonts w:ascii="Arial" w:eastAsia="Arial" w:hAnsi="Arial" w:cs="Arial"/>
          <w:color w:val="000000"/>
          <w:sz w:val="20"/>
          <w:u w:val="single"/>
        </w:rPr>
        <w:t>See</w:t>
      </w:r>
      <w:r>
        <w:rPr>
          <w:rFonts w:ascii="Arial" w:eastAsia="Arial" w:hAnsi="Arial" w:cs="Arial"/>
          <w:color w:val="000000"/>
          <w:sz w:val="20"/>
        </w:rPr>
        <w:t xml:space="preserve"> Colo. Rev. Stat. § 42-2-106 (2004) (amended 2005). The district court granted summary judgment, concluding that the Barbers failed to present a genuine issue of material fact as to their claim that the DMV acted intentionally or with deliberate indifference with respect to a federally protected right. </w:t>
      </w:r>
      <w:bookmarkStart w:id="627" w:name="Bookmark_I4W8CFR30K1MNJ0TH0000400"/>
      <w:bookmarkStart w:id="628" w:name="Bookmark_I4W8CFR30K1MNJ0TD0000400"/>
      <w:bookmarkEnd w:id="627"/>
      <w:bookmarkEnd w:id="628"/>
      <w:r>
        <w:rPr>
          <w:rFonts w:ascii="Arial" w:eastAsia="Arial" w:hAnsi="Arial" w:cs="Arial"/>
          <w:color w:val="000000"/>
          <w:sz w:val="20"/>
          <w:u w:val="single"/>
        </w:rPr>
        <w:t>Barber ex rel. Barber v. Colo., Dep't of Revenue</w:t>
      </w:r>
      <w:r>
        <w:rPr>
          <w:rFonts w:ascii="Arial" w:eastAsia="Arial" w:hAnsi="Arial" w:cs="Arial"/>
          <w:color w:val="000000"/>
          <w:sz w:val="20"/>
        </w:rPr>
        <w:t xml:space="preserve">, No. 05-cv-00807-REB-CBS, 2007 U.S. Dist. LEXIS 35082, 2007 WL 1430103, at *2 (D. Colo. May 14, 2007) (unpublished). </w:t>
      </w:r>
      <w:bookmarkStart w:id="629" w:name="Bookmark_I4W8CFR30K1MNJ0TH0000400_2"/>
      <w:bookmarkEnd w:id="629"/>
      <w:r>
        <w:rPr>
          <w:rFonts w:ascii="Arial" w:eastAsia="Arial" w:hAnsi="Arial" w:cs="Arial"/>
          <w:color w:val="000000"/>
          <w:sz w:val="20"/>
        </w:rPr>
        <w:t xml:space="preserve">The district court further denied the Barbers' motion to reconsider and to alter judgment, concluding that the Barbers failed to establish any basis for such a motion. </w:t>
      </w:r>
      <w:bookmarkStart w:id="630" w:name="Bookmark_I4W8CFR30K1MNJ0TG0000400"/>
      <w:bookmarkEnd w:id="630"/>
      <w:r>
        <w:rPr>
          <w:rFonts w:ascii="Arial" w:eastAsia="Arial" w:hAnsi="Arial" w:cs="Arial"/>
          <w:color w:val="000000"/>
          <w:sz w:val="20"/>
          <w:u w:val="single"/>
        </w:rPr>
        <w:t>Barber ex rel. Barber v. Colo., Dep't of Revenue</w:t>
      </w:r>
      <w:r>
        <w:rPr>
          <w:rFonts w:ascii="Arial" w:eastAsia="Arial" w:hAnsi="Arial" w:cs="Arial"/>
          <w:color w:val="000000"/>
          <w:sz w:val="20"/>
        </w:rPr>
        <w:t>, No. 05-cv-00807-REB-CBS, 2008 U.S. Dist. LEXIS 8074, 2008 WL 207691, at *1 (D. Colo. Jan. 24, 2008). We exercise jurisdiction pursuant to 28 U.S.C. § 1291  [**3] and affirm.</w:t>
      </w:r>
    </w:p>
    <w:p w:rsidR="006E038D" w:rsidRDefault="00000000">
      <w:pPr>
        <w:pStyle w:val="Normal5"/>
        <w:widowControl w:val="0"/>
        <w:spacing w:before="240" w:line="260" w:lineRule="atLeast"/>
      </w:pPr>
      <w:r>
        <w:br/>
      </w:r>
      <w:r>
        <w:rPr>
          <w:rFonts w:ascii="Arial" w:eastAsia="Arial" w:hAnsi="Arial" w:cs="Arial"/>
          <w:color w:val="000000"/>
          <w:sz w:val="20"/>
          <w:u w:val="single"/>
        </w:rPr>
        <w:t>Background</w:t>
      </w:r>
    </w:p>
    <w:p w:rsidR="006E038D" w:rsidRDefault="00000000">
      <w:pPr>
        <w:pStyle w:val="Normal5"/>
        <w:widowControl w:val="0"/>
        <w:spacing w:before="200" w:line="260" w:lineRule="atLeast"/>
        <w:jc w:val="both"/>
      </w:pPr>
      <w:bookmarkStart w:id="631" w:name="Bookmark_para_5_4"/>
      <w:bookmarkEnd w:id="631"/>
      <w:r>
        <w:rPr>
          <w:rFonts w:ascii="Arial" w:eastAsia="Arial" w:hAnsi="Arial" w:cs="Arial"/>
          <w:color w:val="000000"/>
          <w:sz w:val="20"/>
        </w:rPr>
        <w:t xml:space="preserve">Julianna Barber turned fifteen on September 8, 2004. Under Colorado law at that time, any minor age fifteen who was enrolled in an approved driver education course could apply for a minor's driving instruction permit. Colo. Rev. Stat. § 42-2-106(1)(b) (2004) (amended 2005). Julianna obtained her minor's permit on October 13, 2004. To qualify for a driver's license, persons under the age of eighteen were required to hold a permit for at least twelve months, complete fifty hours of supervised driving, and be at least sixteen years old. </w:t>
      </w:r>
      <w:r>
        <w:rPr>
          <w:rFonts w:ascii="Arial" w:eastAsia="Arial" w:hAnsi="Arial" w:cs="Arial"/>
          <w:color w:val="000000"/>
          <w:sz w:val="20"/>
          <w:u w:val="single"/>
        </w:rPr>
        <w:t>See</w:t>
      </w:r>
      <w:r>
        <w:rPr>
          <w:rFonts w:ascii="Arial" w:eastAsia="Arial" w:hAnsi="Arial" w:cs="Arial"/>
          <w:color w:val="000000"/>
          <w:sz w:val="20"/>
        </w:rPr>
        <w:t xml:space="preserve"> Colo. Rev. Stat. § 42-2-104(4)(a) (2004). Therefore, the earliest date upon which Julianna was eligible to apply for a driver's license was October 13, 2005. After meeting all of Colorado's requirements, Julianna obtained her driver's license on November 14, 2005.</w:t>
      </w:r>
    </w:p>
    <w:p w:rsidR="006E038D" w:rsidRDefault="00000000">
      <w:pPr>
        <w:pStyle w:val="Normal5"/>
        <w:widowControl w:val="0"/>
        <w:spacing w:before="200" w:line="260" w:lineRule="atLeast"/>
        <w:jc w:val="both"/>
      </w:pPr>
      <w:bookmarkStart w:id="632" w:name="Bookmark_para_6_4"/>
      <w:bookmarkEnd w:id="632"/>
      <w:r>
        <w:rPr>
          <w:rFonts w:ascii="Arial" w:eastAsia="Arial" w:hAnsi="Arial" w:cs="Arial"/>
          <w:color w:val="000000"/>
          <w:sz w:val="20"/>
        </w:rPr>
        <w:t>Under the 2004 Colorado statute, a driver under the age of sixteen could practice driving only "under the supervision of the parent, stepparent, or guardian who cosigned the application  [**4] for the minor's instruction permit if such parent, stepparent, or guardian holds a valid driver's license." Colo. Rev. Stat. §42-2-106(1)(b) (2004) (amended 2005). We note that, on its face, the statute does not address what type of guardianship is required under the "guardian" option. When a minor reached the age of sixteen, those restrictions eased to allow supervision by "a licensed driver, twenty-one years of age or over." Colo. Rev. Stat. § 42-2-106(1)(a) (2004). Thus, Julianna was required by statute to drive under the supervision of a parent, stepparent, or guardian until she reached age sixteen on September 8, 2005. Because Julianna's mother, Marcia Barber, suffers from retinitis pigmentosa and is blind, she cannot hold a driver's license. Therefore, under the statute, she could not supervise Julianna's driving during the period October 13, 2004, through September 8, 2005. In addition, Julianna's father does not have a driver's license, does not have custody of Julianna, and does not live in Colorado.</w:t>
      </w:r>
    </w:p>
    <w:p w:rsidR="006E038D" w:rsidRDefault="00000000">
      <w:pPr>
        <w:pStyle w:val="Normal5"/>
        <w:widowControl w:val="0"/>
        <w:spacing w:before="200" w:line="260" w:lineRule="atLeast"/>
        <w:jc w:val="both"/>
      </w:pPr>
      <w:bookmarkStart w:id="633" w:name="Bookmark_para_7_4"/>
      <w:bookmarkEnd w:id="633"/>
      <w:r>
        <w:rPr>
          <w:rFonts w:ascii="Arial" w:eastAsia="Arial" w:hAnsi="Arial" w:cs="Arial"/>
          <w:color w:val="000000"/>
          <w:sz w:val="20"/>
        </w:rPr>
        <w:t xml:space="preserve">Upon learning of the supervision requirement from Julianna's driving school instructors, Marcia Barber called her local DMV office, "asked for a reasonable accommodation, that  [**5] [Julianna] be allowed to practice with another licensed driver, such as her grandfather," and was referred to Steve Tool, then senior director of the Colorado DMV. In mid to late October or early November, Marcia Barber and Steve Tool communicated about the Barbers' situation, and he began an investigation. Mr. Tool requested an informal opinion from the State Attorney General's Office " [*1226]  concerning whether a grandparent may act as a guardian to supervise" Julianna's driving. In a letter to Marcia Barber dated November 22, 2004, Mr. Tool reported that the State Attorney General's Office had informed him that the DMV could not permit Julianna's grandfather to supervise her driving, unless he was "a legally appointed guardian." The letter went on to define "guardian" as "'a person lawfully invested with the power, and charged with the duty, of taking care of the person and managing the property and rights of another person, who, for some peculiarity of </w:t>
      </w:r>
      <w:r>
        <w:rPr>
          <w:rFonts w:ascii="Arial" w:eastAsia="Arial" w:hAnsi="Arial" w:cs="Arial"/>
          <w:i/>
          <w:color w:val="000000"/>
          <w:sz w:val="20"/>
        </w:rPr>
        <w:t>status</w:t>
      </w:r>
      <w:r>
        <w:rPr>
          <w:rFonts w:ascii="Arial" w:eastAsia="Arial" w:hAnsi="Arial" w:cs="Arial"/>
          <w:color w:val="000000"/>
          <w:sz w:val="20"/>
        </w:rPr>
        <w:t>, or defect of age, understanding[, or] self-control, is considered incapable of administering his own affairs.'" Mr. Tool further indicated in his letter that legislators had an interest in amending the statute at that time.</w:t>
      </w:r>
    </w:p>
    <w:p w:rsidR="006E038D" w:rsidRDefault="00000000">
      <w:pPr>
        <w:pStyle w:val="Normal5"/>
        <w:widowControl w:val="0"/>
        <w:spacing w:before="200" w:line="260" w:lineRule="atLeast"/>
        <w:jc w:val="both"/>
      </w:pPr>
      <w:bookmarkStart w:id="634" w:name="Bookmark_para_8_4"/>
      <w:bookmarkEnd w:id="634"/>
      <w:r>
        <w:rPr>
          <w:rFonts w:ascii="Arial" w:eastAsia="Arial" w:hAnsi="Arial" w:cs="Arial"/>
          <w:color w:val="000000"/>
          <w:sz w:val="20"/>
        </w:rPr>
        <w:t xml:space="preserve">On December  [**6] 2, 2004, Marcia Barber sent Mr. Tool a letter thanking him for his assistance and reiterating her request for an exception to the guardian requirement due to her disability. In that letter, she cited to the Americans with Disabilities Act (ADA) </w:t>
      </w:r>
      <w:r>
        <w:rPr>
          <w:rFonts w:ascii="Arial" w:eastAsia="Arial" w:hAnsi="Arial" w:cs="Arial"/>
          <w:vertAlign w:val="superscript"/>
        </w:rPr>
        <w:footnoteReference w:customMarkFollows="1" w:id="20"/>
        <w:t>2</w:t>
      </w:r>
      <w:r>
        <w:rPr>
          <w:rFonts w:ascii="Arial" w:eastAsia="Arial" w:hAnsi="Arial" w:cs="Arial"/>
          <w:color w:val="000000"/>
          <w:sz w:val="20"/>
        </w:rPr>
        <w:t xml:space="preserve"> and requested a "reasonable modification to the guardian requirement [that] would allow [her] to ride in the car with [Julianna] and a licensed driver age 21 or older." </w:t>
      </w:r>
      <w:r>
        <w:rPr>
          <w:rFonts w:ascii="Arial" w:eastAsia="Arial" w:hAnsi="Arial" w:cs="Arial"/>
          <w:color w:val="000000"/>
          <w:sz w:val="20"/>
          <w:u w:val="single"/>
        </w:rPr>
        <w:t>See</w:t>
      </w:r>
      <w:r>
        <w:rPr>
          <w:rFonts w:ascii="Arial" w:eastAsia="Arial" w:hAnsi="Arial" w:cs="Arial"/>
          <w:color w:val="000000"/>
          <w:sz w:val="20"/>
        </w:rPr>
        <w:t xml:space="preserve"> Dep't of Justice, Title II Technical Assistance Manual II-3.6100, http://www.ada.gov/taman2.html (last visited Jan. 30, 2009) ("A public entity must reasonably modify its policies, practices, or procedures to avoid discrimination."). As a result, Mr. Tool communicated with Mr. Robert Dodd of the State Attorney General's Office, and subsequently informed Marcia Barber that her request could not be granted due to the statute.</w:t>
      </w:r>
    </w:p>
    <w:p w:rsidR="006E038D" w:rsidRDefault="00000000">
      <w:pPr>
        <w:pStyle w:val="Normal5"/>
        <w:widowControl w:val="0"/>
        <w:spacing w:before="200" w:line="260" w:lineRule="atLeast"/>
        <w:jc w:val="both"/>
      </w:pPr>
      <w:bookmarkStart w:id="639" w:name="Bookmark_para_9_4"/>
      <w:bookmarkEnd w:id="639"/>
      <w:r>
        <w:rPr>
          <w:rFonts w:ascii="Arial" w:eastAsia="Arial" w:hAnsi="Arial" w:cs="Arial"/>
          <w:color w:val="000000"/>
          <w:sz w:val="20"/>
        </w:rPr>
        <w:t>Marcia Barber then called Colorado Attorney General John Suthers in January 2005. Mr. Suthers testified that during the call he indicated that the legislature needed to address the statute, and that in the short-term he thought the problem could be solved with a limited delegation of authority. Marcia Barber testified that she did not recall Mr. Suthers discussing any solution that did not involve assigning parental rights. Although the testimony conflicts on whether a limited guardianship was discussed, we will assume, consistent with Marcia Barber's version of the call, that it was not, even though this is not a material fact given our disposition. However, during her deposition, Marcia Barber made it clear that she did not consider any form of guardianship a reasonable accommodation, and she voiced that sentiment in clear and unmistakable terms.</w:t>
      </w:r>
    </w:p>
    <w:p w:rsidR="006E038D" w:rsidRDefault="00000000">
      <w:pPr>
        <w:pStyle w:val="Normal5"/>
        <w:widowControl w:val="0"/>
        <w:spacing w:before="200" w:line="260" w:lineRule="atLeast"/>
        <w:jc w:val="both"/>
      </w:pPr>
      <w:bookmarkStart w:id="640" w:name="Bookmark_para_10_4"/>
      <w:bookmarkEnd w:id="640"/>
      <w:r>
        <w:rPr>
          <w:rFonts w:ascii="Arial" w:eastAsia="Arial" w:hAnsi="Arial" w:cs="Arial"/>
          <w:color w:val="000000"/>
          <w:sz w:val="20"/>
        </w:rPr>
        <w:t>On January 21, 2005, Marcia Barber wrote to Mr. Suthers thanking him for his time, expressing her dissatisfaction with the suggestion "that another person might be a more suitable guardian, even temporarily," attaching an excerpt from the ADA that discusses  [**8] the "reasonable modification" requirement, and reiterating her request for a reasonable modification to the statute that would permit Julianna to practice her driving. Then, on January 25, 2005, Marcia Barber wrote again to Mr. Suthers and also to Mr. Dodd, indicating that she had filed a Title II ADA complaint with the Department of Justice, and once more requesting that the "state simply provide reasonable modification under the statute (i.e.[, a]llowing my daughter to drive with a parent-delegate such as an  [*1227]  uncle or grandfather) at the present time." Mr. Suthers did not respond to these letters.</w:t>
      </w:r>
    </w:p>
    <w:p w:rsidR="006E038D" w:rsidRDefault="00000000">
      <w:pPr>
        <w:pStyle w:val="Normal5"/>
        <w:widowControl w:val="0"/>
        <w:spacing w:before="200" w:line="260" w:lineRule="atLeast"/>
        <w:jc w:val="both"/>
      </w:pPr>
      <w:bookmarkStart w:id="641" w:name="Bookmark_para_11_3"/>
      <w:bookmarkEnd w:id="641"/>
      <w:r>
        <w:rPr>
          <w:rFonts w:ascii="Arial" w:eastAsia="Arial" w:hAnsi="Arial" w:cs="Arial"/>
          <w:color w:val="000000"/>
          <w:sz w:val="20"/>
        </w:rPr>
        <w:t>Finally, on February 3, 2005, attorney Chris Mendez of The Legal Center for People with Disabilities and Older People wrote to Mr. Dodd on Marcia Barber's behalf, requesting a reasonable modification to allow an adult family member to supervise Julianna's driving. Mr. Dodd responded on February 23, 2005, indicating that the requested accommodation could not be made and that it was "critical that [minor drivers] be under the direct and immediate supervision of someone with full parental authority." In closing, Mr. Dodd indicated that the pending legislative amendment to the statute might provide  [**9] Marcia Barber with satisfactory relief.</w:t>
      </w:r>
    </w:p>
    <w:p w:rsidR="006E038D" w:rsidRDefault="00000000">
      <w:pPr>
        <w:pStyle w:val="Normal5"/>
        <w:widowControl w:val="0"/>
        <w:spacing w:before="200" w:line="260" w:lineRule="atLeast"/>
        <w:jc w:val="both"/>
      </w:pPr>
      <w:bookmarkStart w:id="642" w:name="Bookmark_para_12_3"/>
      <w:bookmarkEnd w:id="642"/>
      <w:r>
        <w:rPr>
          <w:rFonts w:ascii="Arial" w:eastAsia="Arial" w:hAnsi="Arial" w:cs="Arial"/>
          <w:color w:val="000000"/>
          <w:sz w:val="20"/>
        </w:rPr>
        <w:t>On May 27, 2005, the statute was amended to allow a grandparent with power of attorney who holds a valid driver's license to supervise drivers under the age of sixteen. Colo. Rev. Stat. § 42-2-106(1)(b) (2005). Finally, effective July 1, 2006, the statute was further amended to allow the appointment of an alternate permit supervisor who holds a valid Colorado driver's license and is twenty-one years or older. Colo. Rev. Stat. § 42-2-106(1)(b) (2006). In the interim, on August 10, 2005, the DMV allowed Marcia Barber to sign a "designation," granting Julianna's grandfather permission to supervise Julianna's driving until she turned sixteen. The designation form indicated that, by signing it, Marcia Barber was "in no way relinquishing any parental rights."</w:t>
      </w:r>
    </w:p>
    <w:p w:rsidR="006E038D" w:rsidRDefault="00000000">
      <w:pPr>
        <w:pStyle w:val="Normal5"/>
        <w:widowControl w:val="0"/>
        <w:spacing w:before="200" w:line="260" w:lineRule="atLeast"/>
        <w:jc w:val="both"/>
      </w:pPr>
      <w:bookmarkStart w:id="643" w:name="Bookmark_para_13_3"/>
      <w:bookmarkEnd w:id="643"/>
      <w:r>
        <w:rPr>
          <w:rFonts w:ascii="Arial" w:eastAsia="Arial" w:hAnsi="Arial" w:cs="Arial"/>
          <w:color w:val="000000"/>
          <w:sz w:val="20"/>
        </w:rPr>
        <w:t xml:space="preserve">According to her driving logs, Julianna practiced six hours of driving with her driving school in October and November of 2004; six hours of driving with a driving instructor who donated his time in May, June, July, and early August of 2005; and the remainder of her required fifty hours with her grandfather and a family friend in August, September, October, and November of 2005. As discussed, while  [**10] the earliest date upon which Julianna was eligible for a Colorado driver's license was October 13, 2005, she was granted her license on November 14, 2005, after meeting the DMV's requirements. The Barbers argue that their injury arises not from the brief delay in Julianna being issued her license, but rather from the fact that, because of the statute, Julianna was deprived of the full year of supervised driving experience that is the goal of the Colorado statute. </w:t>
      </w:r>
      <w:r>
        <w:rPr>
          <w:rFonts w:ascii="Arial" w:eastAsia="Arial" w:hAnsi="Arial" w:cs="Arial"/>
          <w:color w:val="000000"/>
          <w:sz w:val="20"/>
          <w:u w:val="single"/>
        </w:rPr>
        <w:t>See</w:t>
      </w:r>
      <w:r>
        <w:rPr>
          <w:rFonts w:ascii="Arial" w:eastAsia="Arial" w:hAnsi="Arial" w:cs="Arial"/>
          <w:color w:val="000000"/>
          <w:sz w:val="20"/>
        </w:rPr>
        <w:t xml:space="preserve"> Colo. Rev. Stat. § 42-2-105.5(1)(b).</w:t>
      </w:r>
    </w:p>
    <w:p w:rsidR="006E038D" w:rsidRDefault="00000000">
      <w:pPr>
        <w:pStyle w:val="Normal5"/>
        <w:widowControl w:val="0"/>
        <w:spacing w:before="200" w:line="260" w:lineRule="atLeast"/>
        <w:jc w:val="both"/>
      </w:pPr>
      <w:bookmarkStart w:id="644" w:name="Bookmark_para_14_3"/>
      <w:bookmarkStart w:id="645" w:name="Bookmark_I4W8CFR30K1MNJ0WD0000400"/>
      <w:bookmarkEnd w:id="644"/>
      <w:bookmarkEnd w:id="645"/>
      <w:r>
        <w:rPr>
          <w:rFonts w:ascii="Arial" w:eastAsia="Arial" w:hAnsi="Arial" w:cs="Arial"/>
          <w:color w:val="000000"/>
          <w:sz w:val="20"/>
        </w:rPr>
        <w:t xml:space="preserve">The Barbers filed their second amended complaint against the DMV on January 20, 2006, alleging violations of the ADA and the Rehabilitation Act. The statutory amendments rendered these allegations moot, save for the matter of the Barbers' entitlement to compensatory damages under § 504 of the Rehabilitation Act. </w:t>
      </w:r>
      <w:bookmarkStart w:id="646" w:name="Bookmark_I4W8CFR30K1MNJ0WC0000400"/>
      <w:bookmarkEnd w:id="646"/>
      <w:r>
        <w:rPr>
          <w:rFonts w:ascii="Arial" w:eastAsia="Arial" w:hAnsi="Arial" w:cs="Arial"/>
          <w:color w:val="000000"/>
          <w:sz w:val="20"/>
          <w:u w:val="single"/>
        </w:rPr>
        <w:t>Barber</w:t>
      </w:r>
      <w:r>
        <w:rPr>
          <w:rFonts w:ascii="Arial" w:eastAsia="Arial" w:hAnsi="Arial" w:cs="Arial"/>
          <w:color w:val="000000"/>
          <w:sz w:val="20"/>
        </w:rPr>
        <w:t xml:space="preserve">, 2007 U.S. Dist. LEXIS 35082, 2007 WL 1430103, at *1. </w:t>
      </w:r>
      <w:bookmarkStart w:id="647" w:name="Bookmark_I4W8CFR30K1MNJ0X60000400"/>
      <w:bookmarkEnd w:id="647"/>
      <w:r>
        <w:rPr>
          <w:rFonts w:ascii="Arial" w:eastAsia="Arial" w:hAnsi="Arial" w:cs="Arial"/>
          <w:color w:val="000000"/>
          <w:sz w:val="20"/>
        </w:rPr>
        <w:t xml:space="preserve">On May 14, 2007, the district court granted summary judgment in favor of the DMV on that issue. </w:t>
      </w:r>
      <w:r>
        <w:rPr>
          <w:rFonts w:ascii="Arial" w:eastAsia="Arial" w:hAnsi="Arial" w:cs="Arial"/>
          <w:color w:val="000000"/>
          <w:sz w:val="20"/>
          <w:u w:val="single"/>
        </w:rPr>
        <w:t>Id</w:t>
      </w:r>
      <w:r>
        <w:rPr>
          <w:rFonts w:ascii="Arial" w:eastAsia="Arial" w:hAnsi="Arial" w:cs="Arial"/>
          <w:color w:val="000000"/>
          <w:sz w:val="20"/>
        </w:rPr>
        <w:t xml:space="preserve">. The Barbers moved for reconsideration, which the district court denied. </w:t>
      </w:r>
      <w:bookmarkStart w:id="648" w:name="Bookmark_I4W8CFR30K1MNJ0X60000400_2"/>
      <w:bookmarkStart w:id="649" w:name="Bookmark_I4W8CFR30K1MNJ0X50000400"/>
      <w:bookmarkEnd w:id="648"/>
      <w:bookmarkEnd w:id="649"/>
      <w:r>
        <w:rPr>
          <w:rFonts w:ascii="Arial" w:eastAsia="Arial" w:hAnsi="Arial" w:cs="Arial"/>
          <w:color w:val="000000"/>
          <w:sz w:val="20"/>
          <w:u w:val="single"/>
        </w:rPr>
        <w:t>Barber</w:t>
      </w:r>
      <w:r>
        <w:rPr>
          <w:rFonts w:ascii="Arial" w:eastAsia="Arial" w:hAnsi="Arial" w:cs="Arial"/>
          <w:color w:val="000000"/>
          <w:sz w:val="20"/>
        </w:rPr>
        <w:t>, 2008 U.S. Dist. LEXIS 8074, 2008 WL 207691, at *1. This appeal followed.</w:t>
      </w:r>
    </w:p>
    <w:p w:rsidR="006E038D" w:rsidRDefault="00000000">
      <w:pPr>
        <w:pStyle w:val="Normal5"/>
        <w:widowControl w:val="0"/>
        <w:spacing w:before="240" w:line="260" w:lineRule="atLeast"/>
      </w:pPr>
      <w:r>
        <w:br/>
      </w:r>
      <w:r>
        <w:rPr>
          <w:rFonts w:ascii="Arial" w:eastAsia="Arial" w:hAnsi="Arial" w:cs="Arial"/>
          <w:color w:val="000000"/>
          <w:sz w:val="20"/>
          <w:u w:val="single"/>
        </w:rPr>
        <w:t>Discussion</w:t>
      </w:r>
    </w:p>
    <w:p w:rsidR="006E038D" w:rsidRDefault="00000000">
      <w:pPr>
        <w:pStyle w:val="Normal5"/>
        <w:widowControl w:val="0"/>
        <w:spacing w:before="200" w:line="260" w:lineRule="atLeast"/>
        <w:jc w:val="both"/>
      </w:pPr>
      <w:bookmarkStart w:id="650" w:name="Bookmark_para_15_3"/>
      <w:bookmarkStart w:id="651" w:name="Bookmark_I4W8CFR30K1MNJ0X80000400"/>
      <w:bookmarkStart w:id="652" w:name="Bookmark_I4W8CFR30K1MNJ0Y40000400"/>
      <w:bookmarkStart w:id="653" w:name="Bookmark_LNHNREFclscc1_4"/>
      <w:bookmarkEnd w:id="650"/>
      <w:bookmarkEnd w:id="651"/>
      <w:bookmarkEnd w:id="652"/>
      <w:bookmarkEnd w:id="653"/>
      <w:r>
        <w:rPr>
          <w:rFonts w:ascii="Arial" w:eastAsia="Arial" w:hAnsi="Arial" w:cs="Arial"/>
          <w:color w:val="000000"/>
          <w:sz w:val="20"/>
        </w:rPr>
        <w:t xml:space="preserve">We review the grant of summary judgment de novo and apply the same standard as the district court. </w:t>
      </w:r>
      <w:bookmarkStart w:id="654" w:name="Bookmark_I4W8CFR30K1MNJ1000000400"/>
      <w:bookmarkStart w:id="655" w:name="Bookmark_I4W8CFR30K1MNJ0X70000400"/>
      <w:bookmarkEnd w:id="654"/>
      <w:bookmarkEnd w:id="655"/>
      <w:r>
        <w:rPr>
          <w:rFonts w:ascii="Arial" w:eastAsia="Arial" w:hAnsi="Arial" w:cs="Arial"/>
          <w:color w:val="000000"/>
          <w:sz w:val="20"/>
          <w:u w:val="single"/>
        </w:rPr>
        <w:t>T-Mobile Cent., LLC v. Unified Gov't of Wyandotte County</w:t>
      </w:r>
      <w:r>
        <w:rPr>
          <w:rFonts w:ascii="Arial" w:eastAsia="Arial" w:hAnsi="Arial" w:cs="Arial"/>
          <w:color w:val="000000"/>
          <w:sz w:val="20"/>
        </w:rPr>
        <w:t xml:space="preserve">, 546 F.3d 1299, 1306 (10th Cir. 2008)  [**11] (citing </w:t>
      </w:r>
      <w:bookmarkStart w:id="656" w:name="Bookmark_I4W8CFR30K1MNJ0X90000400"/>
      <w:bookmarkEnd w:id="656"/>
      <w:r>
        <w:rPr>
          <w:rFonts w:ascii="Arial" w:eastAsia="Arial" w:hAnsi="Arial" w:cs="Arial"/>
          <w:color w:val="000000"/>
          <w:sz w:val="20"/>
          <w:u w:val="single"/>
        </w:rPr>
        <w:t>Timmerman v. U.S. Bank, N.A</w:t>
      </w:r>
      <w:r>
        <w:rPr>
          <w:rFonts w:ascii="Arial" w:eastAsia="Arial" w:hAnsi="Arial" w:cs="Arial"/>
          <w:color w:val="000000"/>
          <w:sz w:val="20"/>
        </w:rPr>
        <w:t xml:space="preserve">., 483 F.3d 1106, 1112 (10th Cir. 2007)). </w:t>
      </w:r>
      <w:bookmarkStart w:id="657" w:name="Bookmark_I4W8CFR30K1MNJ1020000400"/>
      <w:bookmarkEnd w:id="657"/>
      <w:r>
        <w:rPr>
          <w:rFonts w:ascii="Arial" w:eastAsia="Arial" w:hAnsi="Arial" w:cs="Arial"/>
          <w:color w:val="000000"/>
          <w:sz w:val="20"/>
        </w:rPr>
        <w:t xml:space="preserve">Rule 56(c) of the Federal Rules of Civil Procedure instructs that summary judgment is appropriate if "there is no genuine issue as to any material fact and . . . the movant is entitled to judgment as a matter of law." Fed. R. Civ. P. 56(c); </w:t>
      </w:r>
      <w:r>
        <w:rPr>
          <w:rFonts w:ascii="Arial" w:eastAsia="Arial" w:hAnsi="Arial" w:cs="Arial"/>
          <w:color w:val="000000"/>
          <w:sz w:val="20"/>
          <w:u w:val="single"/>
        </w:rPr>
        <w:t xml:space="preserve">see </w:t>
      </w:r>
      <w:bookmarkStart w:id="658" w:name="Bookmark_I4W8CFR30K1MNJ0Y30000400"/>
      <w:bookmarkEnd w:id="658"/>
      <w:r>
        <w:rPr>
          <w:rFonts w:ascii="Arial" w:eastAsia="Arial" w:hAnsi="Arial" w:cs="Arial"/>
          <w:color w:val="000000"/>
          <w:sz w:val="20"/>
          <w:u w:val="single"/>
        </w:rPr>
        <w:t>Anderson v. Liberty Lobby, Inc</w:t>
      </w:r>
      <w:r>
        <w:rPr>
          <w:rFonts w:ascii="Arial" w:eastAsia="Arial" w:hAnsi="Arial" w:cs="Arial"/>
          <w:color w:val="000000"/>
          <w:sz w:val="20"/>
        </w:rPr>
        <w:t xml:space="preserve">., 477 U.S. 242, 247, 106 S. Ct. 2505, 91 L. Ed. 2d 202 (1986); </w:t>
      </w:r>
      <w:bookmarkStart w:id="659" w:name="Bookmark_I4W8CFR30K1MNJ0Y50000400"/>
      <w:bookmarkEnd w:id="659"/>
      <w:r>
        <w:rPr>
          <w:rFonts w:ascii="Arial" w:eastAsia="Arial" w:hAnsi="Arial" w:cs="Arial"/>
          <w:color w:val="000000"/>
          <w:sz w:val="20"/>
          <w:u w:val="single"/>
        </w:rPr>
        <w:t>T-Mobile</w:t>
      </w:r>
      <w:r>
        <w:rPr>
          <w:rFonts w:ascii="Arial" w:eastAsia="Arial" w:hAnsi="Arial" w:cs="Arial"/>
          <w:color w:val="000000"/>
          <w:sz w:val="20"/>
        </w:rPr>
        <w:t xml:space="preserve">,  [*1228]  546 F.3d at 1306. </w:t>
      </w:r>
      <w:bookmarkStart w:id="660" w:name="Bookmark_I4W8CFR30K1MNJ1020000400_2"/>
      <w:bookmarkStart w:id="661" w:name="Bookmark_I4W8CFR30K1MNJ1000000400_2"/>
      <w:bookmarkStart w:id="662" w:name="Bookmark_I4W8CFR30K1MNJ1210000400"/>
      <w:bookmarkEnd w:id="660"/>
      <w:bookmarkEnd w:id="661"/>
      <w:bookmarkEnd w:id="662"/>
      <w:r>
        <w:rPr>
          <w:rFonts w:ascii="Arial" w:eastAsia="Arial" w:hAnsi="Arial" w:cs="Arial"/>
          <w:color w:val="000000"/>
          <w:sz w:val="20"/>
        </w:rPr>
        <w:t xml:space="preserve">In making this determination, we "examine the record and all reasonable inferences that might be drawn from it in the light most favorable to the non-moving party." </w:t>
      </w:r>
      <w:bookmarkStart w:id="663" w:name="Bookmark_I4W8CFR30K1MNJ0YY0000400"/>
      <w:bookmarkEnd w:id="663"/>
      <w:r>
        <w:rPr>
          <w:rFonts w:ascii="Arial" w:eastAsia="Arial" w:hAnsi="Arial" w:cs="Arial"/>
          <w:color w:val="000000"/>
          <w:sz w:val="20"/>
          <w:u w:val="single"/>
        </w:rPr>
        <w:t>T-Mobile</w:t>
      </w:r>
      <w:r>
        <w:rPr>
          <w:rFonts w:ascii="Arial" w:eastAsia="Arial" w:hAnsi="Arial" w:cs="Arial"/>
          <w:color w:val="000000"/>
          <w:sz w:val="20"/>
        </w:rPr>
        <w:t xml:space="preserve">, 546 F.3d at 1306 (internal citations and quotation marks omitted). </w:t>
      </w:r>
      <w:bookmarkStart w:id="664" w:name="Bookmark_I4W8CFR30K1MNJ1210000400_2"/>
      <w:bookmarkEnd w:id="664"/>
      <w:r>
        <w:rPr>
          <w:rFonts w:ascii="Arial" w:eastAsia="Arial" w:hAnsi="Arial" w:cs="Arial"/>
          <w:color w:val="000000"/>
          <w:sz w:val="20"/>
        </w:rPr>
        <w:t xml:space="preserve">"[T]he mere existence of </w:t>
      </w:r>
      <w:r>
        <w:rPr>
          <w:rFonts w:ascii="Arial" w:eastAsia="Arial" w:hAnsi="Arial" w:cs="Arial"/>
          <w:i/>
          <w:color w:val="000000"/>
          <w:sz w:val="20"/>
        </w:rPr>
        <w:t>some</w:t>
      </w:r>
      <w:r>
        <w:rPr>
          <w:rFonts w:ascii="Arial" w:eastAsia="Arial" w:hAnsi="Arial" w:cs="Arial"/>
          <w:color w:val="000000"/>
          <w:sz w:val="20"/>
        </w:rPr>
        <w:t xml:space="preserve"> alleged factual dispute between the parties will not defeat an otherwise properly supported motion for summary judgment; the requirement is that there be no </w:t>
      </w:r>
      <w:r>
        <w:rPr>
          <w:rFonts w:ascii="Arial" w:eastAsia="Arial" w:hAnsi="Arial" w:cs="Arial"/>
          <w:i/>
          <w:color w:val="000000"/>
          <w:sz w:val="20"/>
        </w:rPr>
        <w:t>genuine</w:t>
      </w:r>
      <w:r>
        <w:rPr>
          <w:rFonts w:ascii="Arial" w:eastAsia="Arial" w:hAnsi="Arial" w:cs="Arial"/>
          <w:color w:val="000000"/>
          <w:sz w:val="20"/>
        </w:rPr>
        <w:t xml:space="preserve"> issue of </w:t>
      </w:r>
      <w:r>
        <w:rPr>
          <w:rFonts w:ascii="Arial" w:eastAsia="Arial" w:hAnsi="Arial" w:cs="Arial"/>
          <w:i/>
          <w:color w:val="000000"/>
          <w:sz w:val="20"/>
        </w:rPr>
        <w:t>material</w:t>
      </w:r>
      <w:r>
        <w:rPr>
          <w:rFonts w:ascii="Arial" w:eastAsia="Arial" w:hAnsi="Arial" w:cs="Arial"/>
          <w:color w:val="000000"/>
          <w:sz w:val="20"/>
        </w:rPr>
        <w:t xml:space="preserve"> fact." </w:t>
      </w:r>
      <w:bookmarkStart w:id="665" w:name="Bookmark_I4W8CFR30K1MNJ1010000400"/>
      <w:bookmarkEnd w:id="665"/>
      <w:r>
        <w:rPr>
          <w:rFonts w:ascii="Arial" w:eastAsia="Arial" w:hAnsi="Arial" w:cs="Arial"/>
          <w:color w:val="000000"/>
          <w:sz w:val="20"/>
          <w:u w:val="single"/>
        </w:rPr>
        <w:t>Anderson</w:t>
      </w:r>
      <w:r>
        <w:rPr>
          <w:rFonts w:ascii="Arial" w:eastAsia="Arial" w:hAnsi="Arial" w:cs="Arial"/>
          <w:color w:val="000000"/>
          <w:sz w:val="20"/>
        </w:rPr>
        <w:t xml:space="preserve">, 477 U.S. at 247-48. </w:t>
      </w:r>
      <w:bookmarkStart w:id="666" w:name="Bookmark_I4W8CFR30K1MNJ1210000400_3"/>
      <w:bookmarkEnd w:id="666"/>
      <w:r>
        <w:rPr>
          <w:rFonts w:ascii="Arial" w:eastAsia="Arial" w:hAnsi="Arial" w:cs="Arial"/>
          <w:color w:val="000000"/>
          <w:sz w:val="20"/>
        </w:rPr>
        <w:t xml:space="preserve">"A 'complete failure of proof concerning an essential element of the nonmoving party's case necessarily renders all other facts immaterial.'" </w:t>
      </w:r>
      <w:bookmarkStart w:id="667" w:name="Bookmark_I4W8CFR30K1MNJ1030000400"/>
      <w:bookmarkEnd w:id="667"/>
      <w:r>
        <w:rPr>
          <w:rFonts w:ascii="Arial" w:eastAsia="Arial" w:hAnsi="Arial" w:cs="Arial"/>
          <w:color w:val="000000"/>
          <w:sz w:val="20"/>
          <w:u w:val="single"/>
        </w:rPr>
        <w:t>Bruner v. Baker</w:t>
      </w:r>
      <w:r>
        <w:rPr>
          <w:rFonts w:ascii="Arial" w:eastAsia="Arial" w:hAnsi="Arial" w:cs="Arial"/>
          <w:color w:val="000000"/>
          <w:sz w:val="20"/>
        </w:rPr>
        <w:t xml:space="preserve">, 506 F.3d 1021, 1025 (10th Cir. 2007) (quoting </w:t>
      </w:r>
      <w:bookmarkStart w:id="668" w:name="Bookmark_I4W8CFR30K1MNJ1220000400"/>
      <w:bookmarkEnd w:id="668"/>
      <w:r>
        <w:rPr>
          <w:rFonts w:ascii="Arial" w:eastAsia="Arial" w:hAnsi="Arial" w:cs="Arial"/>
          <w:color w:val="000000"/>
          <w:sz w:val="20"/>
          <w:u w:val="single"/>
        </w:rPr>
        <w:t>Celotex Corp. v. Catrett</w:t>
      </w:r>
      <w:r>
        <w:rPr>
          <w:rFonts w:ascii="Arial" w:eastAsia="Arial" w:hAnsi="Arial" w:cs="Arial"/>
          <w:color w:val="000000"/>
          <w:sz w:val="20"/>
        </w:rPr>
        <w:t xml:space="preserve">, 477 U.S. 317, 323, 106 S. Ct. 2548, 91 L. Ed. 2d 265 (1986)). However, we caution that mere conclusory  [**12] allegations are insufficient to establish an issue of fact under Fed. R. Civ. P. 56. </w:t>
      </w:r>
      <w:r>
        <w:rPr>
          <w:rFonts w:ascii="Arial" w:eastAsia="Arial" w:hAnsi="Arial" w:cs="Arial"/>
          <w:color w:val="000000"/>
          <w:sz w:val="20"/>
          <w:u w:val="single"/>
        </w:rPr>
        <w:t>Id</w:t>
      </w:r>
      <w:r>
        <w:rPr>
          <w:rFonts w:ascii="Arial" w:eastAsia="Arial" w:hAnsi="Arial" w:cs="Arial"/>
          <w:color w:val="000000"/>
          <w:sz w:val="20"/>
        </w:rPr>
        <w:t>.</w:t>
      </w:r>
    </w:p>
    <w:p w:rsidR="006E038D" w:rsidRDefault="00000000">
      <w:pPr>
        <w:pStyle w:val="Normal5"/>
        <w:widowControl w:val="0"/>
        <w:spacing w:before="200" w:line="260" w:lineRule="atLeast"/>
        <w:jc w:val="both"/>
      </w:pPr>
      <w:bookmarkStart w:id="669" w:name="Bookmark_para_16_3"/>
      <w:bookmarkStart w:id="670" w:name="Bookmark_I4W8CFR30K1MNJ1250000400"/>
      <w:bookmarkStart w:id="671" w:name="Bookmark_I4W8CFR30K1MNJ12Y0000400"/>
      <w:bookmarkStart w:id="672" w:name="Bookmark_LNHNREFclscc2_4"/>
      <w:bookmarkEnd w:id="669"/>
      <w:bookmarkEnd w:id="670"/>
      <w:bookmarkEnd w:id="671"/>
      <w:bookmarkEnd w:id="672"/>
      <w:r>
        <w:rPr>
          <w:rFonts w:ascii="Arial" w:eastAsia="Arial" w:hAnsi="Arial" w:cs="Arial"/>
          <w:color w:val="000000"/>
          <w:sz w:val="20"/>
        </w:rPr>
        <w:t xml:space="preserve">We review a district court's denial of a Fed. R. Civ. P. 59(e) motion for reconsideration under an abuse of discretion standard. </w:t>
      </w:r>
      <w:bookmarkStart w:id="673" w:name="Bookmark_I4W8CFR30K1MNJ1240000400"/>
      <w:bookmarkEnd w:id="673"/>
      <w:r>
        <w:rPr>
          <w:rFonts w:ascii="Arial" w:eastAsia="Arial" w:hAnsi="Arial" w:cs="Arial"/>
          <w:color w:val="000000"/>
          <w:sz w:val="20"/>
          <w:u w:val="single"/>
        </w:rPr>
        <w:t>Phelps v. Hamilton</w:t>
      </w:r>
      <w:r>
        <w:rPr>
          <w:rFonts w:ascii="Arial" w:eastAsia="Arial" w:hAnsi="Arial" w:cs="Arial"/>
          <w:color w:val="000000"/>
          <w:sz w:val="20"/>
        </w:rPr>
        <w:t xml:space="preserve">, 122 F.3d 1309, 1324 (10th Cir. 1997). We will not disturb such a decision "unless [we have] a definite and firm conviction that the lower court made a clear error of judgment or exceeded the bounds of permissible choice in the circumstances." </w:t>
      </w:r>
      <w:r>
        <w:rPr>
          <w:rFonts w:ascii="Arial" w:eastAsia="Arial" w:hAnsi="Arial" w:cs="Arial"/>
          <w:color w:val="000000"/>
          <w:sz w:val="20"/>
          <w:u w:val="single"/>
        </w:rPr>
        <w:t>Id</w:t>
      </w:r>
      <w:r>
        <w:rPr>
          <w:rFonts w:ascii="Arial" w:eastAsia="Arial" w:hAnsi="Arial" w:cs="Arial"/>
          <w:color w:val="000000"/>
          <w:sz w:val="20"/>
        </w:rPr>
        <w:t xml:space="preserve">. Accordingly, Rule 59(e) relief is appropriate only where "the court has misapprehended the facts, a party's position, or the controlling law." </w:t>
      </w:r>
      <w:bookmarkStart w:id="674" w:name="Bookmark_I4W8CFR30K1MNJ12X0000400"/>
      <w:bookmarkEnd w:id="674"/>
      <w:r>
        <w:rPr>
          <w:rFonts w:ascii="Arial" w:eastAsia="Arial" w:hAnsi="Arial" w:cs="Arial"/>
          <w:color w:val="000000"/>
          <w:sz w:val="20"/>
          <w:u w:val="single"/>
        </w:rPr>
        <w:t>Servants of Paraclete v. Does</w:t>
      </w:r>
      <w:r>
        <w:rPr>
          <w:rFonts w:ascii="Arial" w:eastAsia="Arial" w:hAnsi="Arial" w:cs="Arial"/>
          <w:color w:val="000000"/>
          <w:sz w:val="20"/>
        </w:rPr>
        <w:t>, 204 F.3d 1005, 1012 (10th Cir. 2000). Here, because we are affirming the district court's grant of summary judgment under the broader de novo standard, we do not find that the district court abused its discretion in denying the Barbers' motion for reconsideration.</w:t>
      </w:r>
    </w:p>
    <w:p w:rsidR="006E038D" w:rsidRDefault="00000000">
      <w:pPr>
        <w:pStyle w:val="Normal5"/>
        <w:widowControl w:val="0"/>
        <w:spacing w:before="120" w:line="260" w:lineRule="atLeast"/>
      </w:pPr>
      <w:r>
        <w:rPr>
          <w:rFonts w:ascii="Arial" w:eastAsia="Arial" w:hAnsi="Arial" w:cs="Arial"/>
          <w:color w:val="000000"/>
          <w:sz w:val="20"/>
        </w:rPr>
        <w:t xml:space="preserve">I. </w:t>
      </w:r>
      <w:r>
        <w:rPr>
          <w:rFonts w:ascii="Arial" w:eastAsia="Arial" w:hAnsi="Arial" w:cs="Arial"/>
          <w:color w:val="000000"/>
          <w:sz w:val="20"/>
          <w:u w:val="single"/>
        </w:rPr>
        <w:t>Applicable Statutory Language</w:t>
      </w:r>
    </w:p>
    <w:p w:rsidR="006E038D" w:rsidRDefault="00000000">
      <w:pPr>
        <w:pStyle w:val="Normal5"/>
        <w:widowControl w:val="0"/>
        <w:spacing w:before="200" w:line="260" w:lineRule="atLeast"/>
        <w:jc w:val="both"/>
      </w:pPr>
      <w:bookmarkStart w:id="675" w:name="Bookmark_para_17_3"/>
      <w:bookmarkEnd w:id="675"/>
      <w:r>
        <w:rPr>
          <w:rFonts w:ascii="Arial" w:eastAsia="Arial" w:hAnsi="Arial" w:cs="Arial"/>
          <w:color w:val="000000"/>
          <w:sz w:val="20"/>
        </w:rPr>
        <w:t>Section 504 of the Rehabilitation Act provides:</w:t>
      </w:r>
    </w:p>
    <w:p w:rsidR="006E038D" w:rsidRDefault="00000000">
      <w:pPr>
        <w:pStyle w:val="Normal5"/>
        <w:widowControl w:val="0"/>
        <w:spacing w:before="200" w:line="260" w:lineRule="atLeast"/>
        <w:ind w:left="400"/>
        <w:jc w:val="both"/>
      </w:pPr>
      <w:bookmarkStart w:id="676" w:name="Bookmark_para_18_3"/>
      <w:bookmarkStart w:id="677" w:name="Bookmark_LNHNREFclscc3_4"/>
      <w:bookmarkEnd w:id="676"/>
      <w:bookmarkEnd w:id="677"/>
      <w:r>
        <w:rPr>
          <w:rFonts w:ascii="Arial" w:eastAsia="Arial" w:hAnsi="Arial" w:cs="Arial"/>
          <w:color w:val="000000"/>
          <w:sz w:val="20"/>
        </w:rPr>
        <w:t>No otherwise qualified individual with a disability . . . shall, solely by reason of her or his disability, be excluded from the participation in, be denied the benefits of, or be subjected to discrimination  [**13] under any program or activity receiving Federal financial assistance or under any program or activity conducted by any Executive agency or by the United States Postal Service.</w:t>
      </w:r>
    </w:p>
    <w:p w:rsidR="006E038D" w:rsidRDefault="00000000">
      <w:pPr>
        <w:pStyle w:val="Normal5"/>
        <w:widowControl w:val="0"/>
        <w:spacing w:before="200" w:line="260" w:lineRule="atLeast"/>
        <w:jc w:val="both"/>
      </w:pPr>
      <w:bookmarkStart w:id="678" w:name="Bookmark_I0MRK7K0N44000M3DRV001D2"/>
      <w:bookmarkStart w:id="679" w:name="Bookmark_I4W8CFR30K1MNJ1310000400"/>
      <w:bookmarkEnd w:id="678"/>
      <w:bookmarkEnd w:id="679"/>
      <w:r>
        <w:rPr>
          <w:rFonts w:ascii="Arial" w:eastAsia="Arial" w:hAnsi="Arial" w:cs="Arial"/>
          <w:color w:val="000000"/>
          <w:sz w:val="20"/>
        </w:rPr>
        <w:t xml:space="preserve">29 U.S.C. § 794(a). </w:t>
      </w:r>
      <w:bookmarkStart w:id="680" w:name="Bookmark_LNHNREFclscc4_4"/>
      <w:bookmarkEnd w:id="680"/>
      <w:r>
        <w:rPr>
          <w:rFonts w:ascii="Arial" w:eastAsia="Arial" w:hAnsi="Arial" w:cs="Arial"/>
          <w:color w:val="000000"/>
          <w:sz w:val="20"/>
        </w:rPr>
        <w:t xml:space="preserve">The provision includes in its definition of a "program or activity" the operations of any "department, agency, special purpose district, or other instrumentality of a State or of a local government." 29 U.S.C. § 794(b)(1)(A). To establish a prima facie claim under § 504, a plaintiff must demonstrate that "(1) plaintiff is handicapped under the Act; (2) [she] is 'otherwise qualified' to participate in the program; (3) the program receives federal financial assistance; and (4) the program discriminates against plaintiff." </w:t>
      </w:r>
      <w:bookmarkStart w:id="681" w:name="Bookmark_I4W8CFR30K1MNJ1300000400"/>
      <w:bookmarkEnd w:id="681"/>
      <w:r>
        <w:rPr>
          <w:rFonts w:ascii="Arial" w:eastAsia="Arial" w:hAnsi="Arial" w:cs="Arial"/>
          <w:color w:val="000000"/>
          <w:sz w:val="20"/>
          <w:u w:val="single"/>
        </w:rPr>
        <w:t>Hollenbeck v. U.S. Olympic Comm</w:t>
      </w:r>
      <w:r>
        <w:rPr>
          <w:rFonts w:ascii="Arial" w:eastAsia="Arial" w:hAnsi="Arial" w:cs="Arial"/>
          <w:color w:val="000000"/>
          <w:sz w:val="20"/>
        </w:rPr>
        <w:t xml:space="preserve">., 513 F.3d 1191, 1194 (10th Cir. 2008) (citing </w:t>
      </w:r>
      <w:bookmarkStart w:id="682" w:name="Bookmark_I4W8CFR30K1MNJ1320000400"/>
      <w:bookmarkEnd w:id="682"/>
      <w:r>
        <w:rPr>
          <w:rFonts w:ascii="Arial" w:eastAsia="Arial" w:hAnsi="Arial" w:cs="Arial"/>
          <w:color w:val="000000"/>
          <w:sz w:val="20"/>
          <w:u w:val="single"/>
        </w:rPr>
        <w:t>Powers v. MJB Acquisition Corp</w:t>
      </w:r>
      <w:r>
        <w:rPr>
          <w:rFonts w:ascii="Arial" w:eastAsia="Arial" w:hAnsi="Arial" w:cs="Arial"/>
          <w:color w:val="000000"/>
          <w:sz w:val="20"/>
        </w:rPr>
        <w:t>., 184 F.3d 1147, 1151 (10th Cir. 1999)).</w:t>
      </w:r>
    </w:p>
    <w:p w:rsidR="006E038D" w:rsidRDefault="00000000">
      <w:pPr>
        <w:pStyle w:val="Normal5"/>
        <w:widowControl w:val="0"/>
        <w:spacing w:before="200" w:line="260" w:lineRule="atLeast"/>
        <w:jc w:val="both"/>
      </w:pPr>
      <w:bookmarkStart w:id="683" w:name="Bookmark_para_19_3"/>
      <w:bookmarkStart w:id="684" w:name="Bookmark_I4W8CFR30K1MNJ14D0000400"/>
      <w:bookmarkStart w:id="685" w:name="Bookmark_I4W8CFR30K1MNJ1580000400"/>
      <w:bookmarkStart w:id="686" w:name="Bookmark_LNHNREFclscc5_4"/>
      <w:bookmarkEnd w:id="683"/>
      <w:bookmarkEnd w:id="684"/>
      <w:bookmarkEnd w:id="685"/>
      <w:bookmarkEnd w:id="686"/>
      <w:r>
        <w:rPr>
          <w:rFonts w:ascii="Arial" w:eastAsia="Arial" w:hAnsi="Arial" w:cs="Arial"/>
          <w:color w:val="000000"/>
          <w:sz w:val="20"/>
        </w:rPr>
        <w:t xml:space="preserve">To recover compensatory damages under § 504, a plaintiff must establish that the agency's discrimination was intentional. </w:t>
      </w:r>
      <w:bookmarkStart w:id="687" w:name="Bookmark_I4W8CFR30K1MNJ14C0000400"/>
      <w:bookmarkEnd w:id="687"/>
      <w:r>
        <w:rPr>
          <w:rFonts w:ascii="Arial" w:eastAsia="Arial" w:hAnsi="Arial" w:cs="Arial"/>
          <w:color w:val="000000"/>
          <w:sz w:val="20"/>
          <w:u w:val="single"/>
        </w:rPr>
        <w:t>Powers</w:t>
      </w:r>
      <w:r>
        <w:rPr>
          <w:rFonts w:ascii="Arial" w:eastAsia="Arial" w:hAnsi="Arial" w:cs="Arial"/>
          <w:color w:val="000000"/>
          <w:sz w:val="20"/>
        </w:rPr>
        <w:t xml:space="preserve">, 184 F.3d 1152-53 (indicating that compensatory damages are available only upon a showing of intentional discrimination); </w:t>
      </w:r>
      <w:r>
        <w:rPr>
          <w:rFonts w:ascii="Arial" w:eastAsia="Arial" w:hAnsi="Arial" w:cs="Arial"/>
          <w:color w:val="000000"/>
          <w:sz w:val="20"/>
          <w:u w:val="single"/>
        </w:rPr>
        <w:t xml:space="preserve">see </w:t>
      </w:r>
      <w:bookmarkStart w:id="688" w:name="Bookmark_I4W8CFR30K1MNJ14F0000400"/>
      <w:bookmarkEnd w:id="688"/>
      <w:r>
        <w:rPr>
          <w:rFonts w:ascii="Arial" w:eastAsia="Arial" w:hAnsi="Arial" w:cs="Arial"/>
          <w:color w:val="000000"/>
          <w:sz w:val="20"/>
          <w:u w:val="single"/>
        </w:rPr>
        <w:t>Davoll v. Webb</w:t>
      </w:r>
      <w:r>
        <w:rPr>
          <w:rFonts w:ascii="Arial" w:eastAsia="Arial" w:hAnsi="Arial" w:cs="Arial"/>
          <w:color w:val="000000"/>
          <w:sz w:val="20"/>
        </w:rPr>
        <w:t xml:space="preserve">, 194 F.3d 1116, 1140-41 (10th Cir. 1999) (discussing same).  [**14] Intentional discrimination does not require a showing of personal ill will or animosity toward the disabled person; rather, "intentional discrimination can be inferred from a defendant's deliberate indifference to the strong likelihood that pursuit of its questioned policies will likely result in a violation of federally protected  [*1229]  rights." </w:t>
      </w:r>
      <w:bookmarkStart w:id="689" w:name="Bookmark_I4W8CFR30K1MNJ1570000400"/>
      <w:bookmarkEnd w:id="689"/>
      <w:r>
        <w:rPr>
          <w:rFonts w:ascii="Arial" w:eastAsia="Arial" w:hAnsi="Arial" w:cs="Arial"/>
          <w:color w:val="000000"/>
          <w:sz w:val="20"/>
          <w:u w:val="single"/>
        </w:rPr>
        <w:t>Powers</w:t>
      </w:r>
      <w:r>
        <w:rPr>
          <w:rFonts w:ascii="Arial" w:eastAsia="Arial" w:hAnsi="Arial" w:cs="Arial"/>
          <w:color w:val="000000"/>
          <w:sz w:val="20"/>
        </w:rPr>
        <w:t xml:space="preserve">, 184 F.3d at 1153; </w:t>
      </w:r>
      <w:r>
        <w:rPr>
          <w:rFonts w:ascii="Arial" w:eastAsia="Arial" w:hAnsi="Arial" w:cs="Arial"/>
          <w:color w:val="000000"/>
          <w:sz w:val="20"/>
          <w:u w:val="single"/>
        </w:rPr>
        <w:t xml:space="preserve">see also </w:t>
      </w:r>
      <w:bookmarkStart w:id="690" w:name="Bookmark_I4W8CFR30K1MNJ1590000400"/>
      <w:bookmarkEnd w:id="690"/>
      <w:r>
        <w:rPr>
          <w:rFonts w:ascii="Arial" w:eastAsia="Arial" w:hAnsi="Arial" w:cs="Arial"/>
          <w:color w:val="000000"/>
          <w:sz w:val="20"/>
          <w:u w:val="single"/>
        </w:rPr>
        <w:t>Duvall v. County of Kitsap</w:t>
      </w:r>
      <w:r>
        <w:rPr>
          <w:rFonts w:ascii="Arial" w:eastAsia="Arial" w:hAnsi="Arial" w:cs="Arial"/>
          <w:color w:val="000000"/>
          <w:sz w:val="20"/>
        </w:rPr>
        <w:t xml:space="preserve">, 260 F.3d 1124, 1139 (9th Cir. 2001) ("Deliberate indifference requires both knowledge that a harm to a federally protected right is substantially likely, and a failure to act upon that . . . likelihood."). The parties do not dispute that the DMV falls within the ambit of the Act, and we assume without deciding that Marcia Barber is an "otherwise qualified" individual with a disability. </w:t>
      </w:r>
      <w:r>
        <w:rPr>
          <w:rFonts w:ascii="Arial" w:eastAsia="Arial" w:hAnsi="Arial" w:cs="Arial"/>
          <w:vertAlign w:val="superscript"/>
        </w:rPr>
        <w:footnoteReference w:customMarkFollows="1" w:id="21"/>
        <w:t>3</w:t>
      </w:r>
      <w:r>
        <w:rPr>
          <w:rFonts w:ascii="Arial" w:eastAsia="Arial" w:hAnsi="Arial" w:cs="Arial"/>
          <w:color w:val="000000"/>
          <w:sz w:val="20"/>
        </w:rPr>
        <w:t xml:space="preserve"> Therefore, the central issue remaining is whether the DMV intentionally discriminated against the Barbers when it denied Marcia Barber's requested accommodation.</w:t>
      </w:r>
    </w:p>
    <w:p w:rsidR="006E038D" w:rsidRDefault="00000000">
      <w:pPr>
        <w:pStyle w:val="Normal5"/>
        <w:widowControl w:val="0"/>
        <w:spacing w:before="120" w:line="260" w:lineRule="atLeast"/>
      </w:pPr>
      <w:r>
        <w:rPr>
          <w:rFonts w:ascii="Arial" w:eastAsia="Arial" w:hAnsi="Arial" w:cs="Arial"/>
          <w:color w:val="000000"/>
          <w:sz w:val="20"/>
        </w:rPr>
        <w:t xml:space="preserve">II. </w:t>
      </w:r>
      <w:r>
        <w:rPr>
          <w:rFonts w:ascii="Arial" w:eastAsia="Arial" w:hAnsi="Arial" w:cs="Arial"/>
          <w:color w:val="000000"/>
          <w:sz w:val="20"/>
          <w:u w:val="single"/>
        </w:rPr>
        <w:t>Analysis</w:t>
      </w:r>
    </w:p>
    <w:p w:rsidR="006E038D" w:rsidRDefault="00000000">
      <w:pPr>
        <w:pStyle w:val="Normal5"/>
        <w:widowControl w:val="0"/>
        <w:spacing w:before="200" w:line="260" w:lineRule="atLeast"/>
        <w:jc w:val="both"/>
      </w:pPr>
      <w:bookmarkStart w:id="692" w:name="Bookmark_para_20_3"/>
      <w:bookmarkEnd w:id="692"/>
      <w:r>
        <w:rPr>
          <w:rFonts w:ascii="Arial" w:eastAsia="Arial" w:hAnsi="Arial" w:cs="Arial"/>
          <w:color w:val="000000"/>
          <w:sz w:val="20"/>
        </w:rPr>
        <w:t>The Barbers claim that they introduced sufficient evidence to demonstrate that the DMV acted with deliberate indifference to Marcia Barber's federally  [**15] protected rights under § 504 when the DMV had knowledge of potential harm to those rights and failed to act on it. The facts in this unusual case require us to disagree.</w:t>
      </w:r>
    </w:p>
    <w:p w:rsidR="006E038D" w:rsidRDefault="00000000">
      <w:pPr>
        <w:pStyle w:val="Normal5"/>
        <w:widowControl w:val="0"/>
        <w:spacing w:before="200" w:line="260" w:lineRule="atLeast"/>
        <w:jc w:val="both"/>
      </w:pPr>
      <w:bookmarkStart w:id="693" w:name="Bookmark_para_21_3"/>
      <w:bookmarkStart w:id="694" w:name="Bookmark_I4W8CFR30K1MNJ15S0000400"/>
      <w:bookmarkStart w:id="695" w:name="Bookmark_I0MRK7K0SY8000M3DRV001D3"/>
      <w:bookmarkStart w:id="696" w:name="Bookmark_I4W8CFR30K1MNJ15X0000400"/>
      <w:bookmarkStart w:id="697" w:name="Bookmark_LNHNREFclscc6_4"/>
      <w:bookmarkEnd w:id="693"/>
      <w:bookmarkEnd w:id="694"/>
      <w:bookmarkEnd w:id="695"/>
      <w:bookmarkEnd w:id="696"/>
      <w:bookmarkEnd w:id="697"/>
      <w:r>
        <w:rPr>
          <w:rFonts w:ascii="Arial" w:eastAsia="Arial" w:hAnsi="Arial" w:cs="Arial"/>
          <w:color w:val="000000"/>
          <w:sz w:val="20"/>
        </w:rPr>
        <w:t xml:space="preserve">The Supreme Court has recognized that § 504 is intended to ensure that "an otherwise qualified handicapped individual [is] provided with meaningful access to the benefit that the grantee offers. . . . [T]o assure meaningful access, reasonable accommodations in the grantee's program or benefit may have to be made." </w:t>
      </w:r>
      <w:bookmarkStart w:id="698" w:name="Bookmark_I4W8CFR30K1MNJ15C0000400"/>
      <w:bookmarkEnd w:id="698"/>
      <w:r>
        <w:rPr>
          <w:rFonts w:ascii="Arial" w:eastAsia="Arial" w:hAnsi="Arial" w:cs="Arial"/>
          <w:color w:val="000000"/>
          <w:sz w:val="20"/>
          <w:u w:val="single"/>
        </w:rPr>
        <w:t>Alexander v. Choate</w:t>
      </w:r>
      <w:r>
        <w:rPr>
          <w:rFonts w:ascii="Arial" w:eastAsia="Arial" w:hAnsi="Arial" w:cs="Arial"/>
          <w:color w:val="000000"/>
          <w:sz w:val="20"/>
        </w:rPr>
        <w:t xml:space="preserve">, 469 U.S. 287, 301, 105 S. Ct. 712, 83 L. Ed. 2d 661 (1985); </w:t>
      </w:r>
      <w:r>
        <w:rPr>
          <w:rFonts w:ascii="Arial" w:eastAsia="Arial" w:hAnsi="Arial" w:cs="Arial"/>
          <w:color w:val="000000"/>
          <w:sz w:val="20"/>
          <w:u w:val="single"/>
        </w:rPr>
        <w:t xml:space="preserve">see also </w:t>
      </w:r>
      <w:bookmarkStart w:id="699" w:name="Bookmark_I4W8CFR30K1MNJ15T0000400"/>
      <w:bookmarkEnd w:id="699"/>
      <w:r>
        <w:rPr>
          <w:rFonts w:ascii="Arial" w:eastAsia="Arial" w:hAnsi="Arial" w:cs="Arial"/>
          <w:color w:val="000000"/>
          <w:sz w:val="20"/>
          <w:u w:val="single"/>
        </w:rPr>
        <w:t>Mark H. v. Lemahieu</w:t>
      </w:r>
      <w:r>
        <w:rPr>
          <w:rFonts w:ascii="Arial" w:eastAsia="Arial" w:hAnsi="Arial" w:cs="Arial"/>
          <w:color w:val="000000"/>
          <w:sz w:val="20"/>
        </w:rPr>
        <w:t xml:space="preserve">, 513 F.3d 922, 937-38 (9th Cir. 2008). The test for deliberate indifference in the context of intentional discrimination comprises two prongs: (1) "knowledge that a harm to a federally protected right is substantially likely," and (2) "a failure to act upon that . . . likelihood." </w:t>
      </w:r>
      <w:bookmarkStart w:id="700" w:name="Bookmark_I4W8CFR30K1MNJ15W0000400"/>
      <w:bookmarkEnd w:id="700"/>
      <w:r>
        <w:rPr>
          <w:rFonts w:ascii="Arial" w:eastAsia="Arial" w:hAnsi="Arial" w:cs="Arial"/>
          <w:color w:val="000000"/>
          <w:sz w:val="20"/>
          <w:u w:val="single"/>
        </w:rPr>
        <w:t>Duvall</w:t>
      </w:r>
      <w:r>
        <w:rPr>
          <w:rFonts w:ascii="Arial" w:eastAsia="Arial" w:hAnsi="Arial" w:cs="Arial"/>
          <w:color w:val="000000"/>
          <w:sz w:val="20"/>
        </w:rPr>
        <w:t xml:space="preserve">, 260 F.3d at 1139; </w:t>
      </w:r>
      <w:r>
        <w:rPr>
          <w:rFonts w:ascii="Arial" w:eastAsia="Arial" w:hAnsi="Arial" w:cs="Arial"/>
          <w:color w:val="000000"/>
          <w:sz w:val="20"/>
          <w:u w:val="single"/>
        </w:rPr>
        <w:t xml:space="preserve">see </w:t>
      </w:r>
      <w:bookmarkStart w:id="701" w:name="Bookmark_I4W8CFR30K1MNJ1710000400"/>
      <w:bookmarkEnd w:id="701"/>
      <w:r>
        <w:rPr>
          <w:rFonts w:ascii="Arial" w:eastAsia="Arial" w:hAnsi="Arial" w:cs="Arial"/>
          <w:color w:val="000000"/>
          <w:sz w:val="20"/>
          <w:u w:val="single"/>
        </w:rPr>
        <w:t>Powers</w:t>
      </w:r>
      <w:r>
        <w:rPr>
          <w:rFonts w:ascii="Arial" w:eastAsia="Arial" w:hAnsi="Arial" w:cs="Arial"/>
          <w:color w:val="000000"/>
          <w:sz w:val="20"/>
        </w:rPr>
        <w:t xml:space="preserve">, 184 F.3d at 1153; </w:t>
      </w:r>
      <w:r>
        <w:rPr>
          <w:rFonts w:ascii="Arial" w:eastAsia="Arial" w:hAnsi="Arial" w:cs="Arial"/>
          <w:color w:val="000000"/>
          <w:sz w:val="20"/>
          <w:u w:val="single"/>
        </w:rPr>
        <w:t xml:space="preserve">see also </w:t>
      </w:r>
      <w:bookmarkStart w:id="702" w:name="Bookmark_I4W8CFR30K1MNJ1730000400"/>
      <w:bookmarkEnd w:id="702"/>
      <w:r>
        <w:rPr>
          <w:rFonts w:ascii="Arial" w:eastAsia="Arial" w:hAnsi="Arial" w:cs="Arial"/>
          <w:color w:val="000000"/>
          <w:sz w:val="20"/>
          <w:u w:val="single"/>
        </w:rPr>
        <w:t>City of Canton, Ohio v. Harris</w:t>
      </w:r>
      <w:r>
        <w:rPr>
          <w:rFonts w:ascii="Arial" w:eastAsia="Arial" w:hAnsi="Arial" w:cs="Arial"/>
          <w:color w:val="000000"/>
          <w:sz w:val="20"/>
        </w:rPr>
        <w:t>, 489 U.S. 378, 388-92, 109 S. Ct. 1197, 103 L. Ed. 2d 412 (1989) (discussing the deliberate indifference standard in the context of a § 1983 claim).</w:t>
      </w:r>
    </w:p>
    <w:p w:rsidR="006E038D" w:rsidRDefault="00000000">
      <w:pPr>
        <w:pStyle w:val="Normal5"/>
        <w:widowControl w:val="0"/>
        <w:spacing w:before="200" w:line="260" w:lineRule="atLeast"/>
        <w:jc w:val="both"/>
      </w:pPr>
      <w:bookmarkStart w:id="703" w:name="Bookmark_para_22_3"/>
      <w:bookmarkStart w:id="704" w:name="Bookmark_I0MRK7K0XSD000M3DRV001D4"/>
      <w:bookmarkStart w:id="705" w:name="Bookmark_I0MRK7K1B7V000M3DRV001D7"/>
      <w:bookmarkStart w:id="706" w:name="Bookmark_I4W8CFR30K1MNJ1BH0000400"/>
      <w:bookmarkEnd w:id="703"/>
      <w:bookmarkEnd w:id="704"/>
      <w:bookmarkEnd w:id="705"/>
      <w:bookmarkEnd w:id="706"/>
      <w:r>
        <w:rPr>
          <w:rFonts w:ascii="Arial" w:eastAsia="Arial" w:hAnsi="Arial" w:cs="Arial"/>
          <w:color w:val="000000"/>
          <w:sz w:val="20"/>
        </w:rPr>
        <w:t>Turning to the level of intent required to satisfy the "failure to act" prong of the deliberate indifference test, a</w:t>
      </w:r>
    </w:p>
    <w:p w:rsidR="006E038D" w:rsidRDefault="00000000">
      <w:pPr>
        <w:pStyle w:val="Normal5"/>
        <w:widowControl w:val="0"/>
        <w:spacing w:before="200" w:line="260" w:lineRule="atLeast"/>
        <w:ind w:left="400"/>
        <w:jc w:val="both"/>
      </w:pPr>
      <w:bookmarkStart w:id="707" w:name="Bookmark_para_23_3"/>
      <w:bookmarkStart w:id="708" w:name="Bookmark_I4W8CFR30K1MNJ1BH0000400_2"/>
      <w:bookmarkEnd w:id="707"/>
      <w:bookmarkEnd w:id="708"/>
      <w:r>
        <w:rPr>
          <w:rFonts w:ascii="Arial" w:eastAsia="Arial" w:hAnsi="Arial" w:cs="Arial"/>
          <w:color w:val="000000"/>
          <w:sz w:val="20"/>
        </w:rPr>
        <w:t>"failure to act [is] a result of  [**16] conduct that is more than negligent, and involves an element of deliberateness." Under the second element, "a public entity does not 'act' by proffering just any accommodation: it must consider the particular individual's need when conducting its investigation into what accommodations are reasonable."</w:t>
      </w:r>
    </w:p>
    <w:p w:rsidR="006E038D" w:rsidRDefault="00000000">
      <w:pPr>
        <w:pStyle w:val="Normal5"/>
        <w:widowControl w:val="0"/>
        <w:spacing w:before="200" w:line="260" w:lineRule="atLeast"/>
        <w:jc w:val="both"/>
      </w:pPr>
      <w:bookmarkStart w:id="709" w:name="Bookmark_I4W8CFR30K1MNJ1BH0000400_3"/>
      <w:bookmarkStart w:id="710" w:name="Bookmark_I4W8CFR30K1MNJ1750000400"/>
      <w:bookmarkEnd w:id="709"/>
      <w:bookmarkEnd w:id="710"/>
      <w:r>
        <w:rPr>
          <w:rFonts w:ascii="Arial" w:eastAsia="Arial" w:hAnsi="Arial" w:cs="Arial"/>
          <w:color w:val="000000"/>
          <w:sz w:val="20"/>
          <w:u w:val="single"/>
        </w:rPr>
        <w:t>Lovell v. Chandler</w:t>
      </w:r>
      <w:r>
        <w:rPr>
          <w:rFonts w:ascii="Arial" w:eastAsia="Arial" w:hAnsi="Arial" w:cs="Arial"/>
          <w:color w:val="000000"/>
          <w:sz w:val="20"/>
        </w:rPr>
        <w:t xml:space="preserve">, 303 F.3d 1039, 1056 (9th Cir. 2002) (quoting </w:t>
      </w:r>
      <w:bookmarkStart w:id="711" w:name="Bookmark_I4W8CFR30K1MNJ1BJ0000400"/>
      <w:bookmarkEnd w:id="711"/>
      <w:r>
        <w:rPr>
          <w:rFonts w:ascii="Arial" w:eastAsia="Arial" w:hAnsi="Arial" w:cs="Arial"/>
          <w:color w:val="000000"/>
          <w:sz w:val="20"/>
          <w:u w:val="single"/>
        </w:rPr>
        <w:t>Duvall</w:t>
      </w:r>
      <w:r>
        <w:rPr>
          <w:rFonts w:ascii="Arial" w:eastAsia="Arial" w:hAnsi="Arial" w:cs="Arial"/>
          <w:color w:val="000000"/>
          <w:sz w:val="20"/>
        </w:rPr>
        <w:t>, 260 F.3d at 1139) (internal citations omitted). While we do not dispute the DMV had knowledge that Marcia Barber requested accommodation, the summary judgment evidence, even in the light most favorable to the Barbers, simply would not support a finding that the DMV failed to act in response to that knowledge.</w:t>
      </w:r>
    </w:p>
    <w:p w:rsidR="006E038D" w:rsidRDefault="00000000">
      <w:pPr>
        <w:pStyle w:val="Normal5"/>
        <w:widowControl w:val="0"/>
        <w:spacing w:before="200" w:line="260" w:lineRule="atLeast"/>
        <w:jc w:val="both"/>
      </w:pPr>
      <w:bookmarkStart w:id="712" w:name="Bookmark_para_24_3"/>
      <w:bookmarkStart w:id="713" w:name="Bookmark_I0MRK7K1T10000M3DRV001DB"/>
      <w:bookmarkStart w:id="714" w:name="Bookmark_I4W8CFR30K1MNJ1BN0000400"/>
      <w:bookmarkEnd w:id="712"/>
      <w:bookmarkEnd w:id="713"/>
      <w:bookmarkEnd w:id="714"/>
      <w:r>
        <w:rPr>
          <w:rFonts w:ascii="Arial" w:eastAsia="Arial" w:hAnsi="Arial" w:cs="Arial"/>
          <w:color w:val="000000"/>
          <w:sz w:val="20"/>
        </w:rPr>
        <w:t xml:space="preserve">Two cases from our sister circuits are illustrative. </w:t>
      </w:r>
      <w:bookmarkStart w:id="715" w:name="Bookmark_I4W8CFR30K1MNJ1CM0000400"/>
      <w:bookmarkEnd w:id="715"/>
      <w:r>
        <w:rPr>
          <w:rFonts w:ascii="Arial" w:eastAsia="Arial" w:hAnsi="Arial" w:cs="Arial"/>
          <w:color w:val="000000"/>
          <w:sz w:val="20"/>
        </w:rPr>
        <w:t xml:space="preserve">In </w:t>
      </w:r>
      <w:bookmarkStart w:id="716" w:name="Bookmark_I4W8CFR30K1MNJ1BM0000400"/>
      <w:bookmarkEnd w:id="716"/>
      <w:r>
        <w:rPr>
          <w:rFonts w:ascii="Arial" w:eastAsia="Arial" w:hAnsi="Arial" w:cs="Arial"/>
          <w:color w:val="000000"/>
          <w:sz w:val="20"/>
          <w:u w:val="single"/>
        </w:rPr>
        <w:t>Ferguson v. City of Phoenix</w:t>
      </w:r>
      <w:r>
        <w:rPr>
          <w:rFonts w:ascii="Arial" w:eastAsia="Arial" w:hAnsi="Arial" w:cs="Arial"/>
          <w:color w:val="000000"/>
          <w:sz w:val="20"/>
        </w:rPr>
        <w:t xml:space="preserve">, 157 F.3d 668, 670-71 (9th Cir. 1998), the Ninth Circuit affirmed a district court's grant of summary judgment where hearing-impaired users of the City's telecommunication device (TDD) 9-1-1 emergency service alleged intentional discrimination. There, the plaintiffs claimed that the City failed to respond to their complaints that the TDD service was faulty; however, the court affirmed the district court's conclusions that the City's  [**17] internal self-investigations in response to "sporadic" complaints "followed by diligent effort by the City to upgrade its service" did not  [*1230]  amount to deliberate indifference. </w:t>
      </w:r>
      <w:bookmarkStart w:id="717" w:name="Bookmark_I4W8CFR30K1MNJ1CM0000400_2"/>
      <w:bookmarkStart w:id="718" w:name="Bookmark_I4W8CFR30K1MNJ1CK0000400"/>
      <w:bookmarkEnd w:id="717"/>
      <w:bookmarkEnd w:id="718"/>
      <w:r>
        <w:rPr>
          <w:rFonts w:ascii="Arial" w:eastAsia="Arial" w:hAnsi="Arial" w:cs="Arial"/>
          <w:color w:val="000000"/>
          <w:sz w:val="20"/>
          <w:u w:val="single"/>
        </w:rPr>
        <w:t>Id</w:t>
      </w:r>
      <w:r>
        <w:rPr>
          <w:rFonts w:ascii="Arial" w:eastAsia="Arial" w:hAnsi="Arial" w:cs="Arial"/>
          <w:color w:val="000000"/>
          <w:sz w:val="20"/>
        </w:rPr>
        <w:t>. at 675-76.</w:t>
      </w:r>
    </w:p>
    <w:p w:rsidR="006E038D" w:rsidRDefault="00000000">
      <w:pPr>
        <w:pStyle w:val="Normal5"/>
        <w:widowControl w:val="0"/>
        <w:spacing w:before="200" w:line="260" w:lineRule="atLeast"/>
        <w:jc w:val="both"/>
      </w:pPr>
      <w:bookmarkStart w:id="719" w:name="Bookmark_para_25_3"/>
      <w:bookmarkStart w:id="720" w:name="Bookmark_I0MRK7K1XV4000M3DRV001DC"/>
      <w:bookmarkStart w:id="721" w:name="Bookmark_I4W8CFR30K1MNJ1CP0000400"/>
      <w:bookmarkStart w:id="722" w:name="Bookmark_I4W8CFR30K1MNJ1DN0000400"/>
      <w:bookmarkEnd w:id="719"/>
      <w:bookmarkEnd w:id="720"/>
      <w:bookmarkEnd w:id="721"/>
      <w:bookmarkEnd w:id="722"/>
      <w:r>
        <w:rPr>
          <w:rFonts w:ascii="Arial" w:eastAsia="Arial" w:hAnsi="Arial" w:cs="Arial"/>
          <w:color w:val="000000"/>
          <w:sz w:val="20"/>
        </w:rPr>
        <w:t xml:space="preserve">In another case, the Fifth Circuit affirmed a district court's denial of judgment as a matter of law, finding that a hearing-impaired arrestee produced sufficient evidence to uphold a jury verdict in his favor under the ADA and the Rehabilitation Act. </w:t>
      </w:r>
      <w:bookmarkStart w:id="723" w:name="Bookmark_I4W8CFR30K1MNJ1CN0000400"/>
      <w:bookmarkEnd w:id="723"/>
      <w:r>
        <w:rPr>
          <w:rFonts w:ascii="Arial" w:eastAsia="Arial" w:hAnsi="Arial" w:cs="Arial"/>
          <w:color w:val="000000"/>
          <w:sz w:val="20"/>
          <w:u w:val="single"/>
        </w:rPr>
        <w:t>Delano-Pyle v. Victoria County, Tex</w:t>
      </w:r>
      <w:r>
        <w:rPr>
          <w:rFonts w:ascii="Arial" w:eastAsia="Arial" w:hAnsi="Arial" w:cs="Arial"/>
          <w:color w:val="000000"/>
          <w:sz w:val="20"/>
        </w:rPr>
        <w:t xml:space="preserve">., 302 F.3d 567, 575-76 (5th Cir. 2002). In that case, a police officer, despite having knowledge of the arrestee's disability, administered sobriety tests with verbal instructions, interrogated him at length, and administered Miranda warnings without any accommodations to ensure the arrestee understood those proceedings. </w:t>
      </w:r>
      <w:bookmarkStart w:id="724" w:name="Bookmark_I4W8CFR30K1MNJ1DR0000400"/>
      <w:bookmarkStart w:id="725" w:name="Bookmark_I4W8CFR30K1MNJ1CR0000400"/>
      <w:bookmarkEnd w:id="724"/>
      <w:bookmarkEnd w:id="725"/>
      <w:r>
        <w:rPr>
          <w:rFonts w:ascii="Arial" w:eastAsia="Arial" w:hAnsi="Arial" w:cs="Arial"/>
          <w:color w:val="000000"/>
          <w:sz w:val="20"/>
          <w:u w:val="single"/>
        </w:rPr>
        <w:t>Id</w:t>
      </w:r>
      <w:r>
        <w:rPr>
          <w:rFonts w:ascii="Arial" w:eastAsia="Arial" w:hAnsi="Arial" w:cs="Arial"/>
          <w:color w:val="000000"/>
          <w:sz w:val="20"/>
        </w:rPr>
        <w:t xml:space="preserve">. at 570-71, 575-76. </w:t>
      </w:r>
      <w:bookmarkStart w:id="726" w:name="Bookmark_I4W8CFR30K1MNJ1DR0000400_2"/>
      <w:bookmarkEnd w:id="726"/>
      <w:r>
        <w:rPr>
          <w:rFonts w:ascii="Arial" w:eastAsia="Arial" w:hAnsi="Arial" w:cs="Arial"/>
          <w:color w:val="000000"/>
          <w:sz w:val="20"/>
        </w:rPr>
        <w:t xml:space="preserve">Such a blatant disregard of the arrestee's disability was held to support a finding of deliberate indifference. </w:t>
      </w:r>
      <w:bookmarkStart w:id="727" w:name="Bookmark_I4W8CFR30K1MNJ1DP0000400"/>
      <w:bookmarkEnd w:id="727"/>
      <w:r>
        <w:rPr>
          <w:rFonts w:ascii="Arial" w:eastAsia="Arial" w:hAnsi="Arial" w:cs="Arial"/>
          <w:color w:val="000000"/>
          <w:sz w:val="20"/>
          <w:u w:val="single"/>
        </w:rPr>
        <w:t>Id</w:t>
      </w:r>
      <w:r>
        <w:rPr>
          <w:rFonts w:ascii="Arial" w:eastAsia="Arial" w:hAnsi="Arial" w:cs="Arial"/>
          <w:color w:val="000000"/>
          <w:sz w:val="20"/>
        </w:rPr>
        <w:t>. at 575-76.</w:t>
      </w:r>
    </w:p>
    <w:p w:rsidR="006E038D" w:rsidRDefault="00000000">
      <w:pPr>
        <w:pStyle w:val="Normal5"/>
        <w:widowControl w:val="0"/>
        <w:spacing w:before="200" w:line="260" w:lineRule="atLeast"/>
        <w:jc w:val="both"/>
      </w:pPr>
      <w:bookmarkStart w:id="728" w:name="Bookmark_para_26_3"/>
      <w:bookmarkEnd w:id="728"/>
      <w:r>
        <w:rPr>
          <w:rFonts w:ascii="Arial" w:eastAsia="Arial" w:hAnsi="Arial" w:cs="Arial"/>
          <w:color w:val="000000"/>
          <w:sz w:val="20"/>
        </w:rPr>
        <w:t xml:space="preserve">The unusual facts of this case indicate that the DMV did not act with deliberate indifference. First, the DMV offered Marcia Barber the option of some form of guardianship, which was an eminently reasonable solution already included in the Colorado statute.  [**18] According to Marcia Barber, Mr. Tool, then senior director of the DMV, seemed "genuinely concerned" and "very sympathetic" about the situation. Initially, Mr. Tool consulted the State Attorney General's Office in an effort to find a legally acceptable resolution to the issue. Although the State Attorney General's Office would not permit Julianna's grandfather to supervise her driving without </w:t>
      </w:r>
      <w:r>
        <w:rPr>
          <w:rFonts w:ascii="Arial" w:eastAsia="Arial" w:hAnsi="Arial" w:cs="Arial"/>
          <w:i/>
          <w:color w:val="000000"/>
          <w:sz w:val="20"/>
        </w:rPr>
        <w:t>some</w:t>
      </w:r>
      <w:r>
        <w:rPr>
          <w:rFonts w:ascii="Arial" w:eastAsia="Arial" w:hAnsi="Arial" w:cs="Arial"/>
          <w:color w:val="000000"/>
          <w:sz w:val="20"/>
        </w:rPr>
        <w:t xml:space="preserve"> recognition of the statute's legal requirements, it did offer her the opportunity to permit him to do so with a guardianship. </w:t>
      </w:r>
      <w:r>
        <w:rPr>
          <w:rFonts w:ascii="Arial" w:eastAsia="Arial" w:hAnsi="Arial" w:cs="Arial"/>
          <w:vertAlign w:val="superscript"/>
        </w:rPr>
        <w:footnoteReference w:customMarkFollows="1" w:id="22"/>
        <w:t>4</w:t>
      </w:r>
      <w:r>
        <w:rPr>
          <w:rFonts w:ascii="Arial" w:eastAsia="Arial" w:hAnsi="Arial" w:cs="Arial"/>
          <w:color w:val="000000"/>
          <w:sz w:val="20"/>
        </w:rPr>
        <w:t xml:space="preserve"> Colorado Attorney General John Suthers testified that he further confirmed the option of creating some type of legal guardianship to enable Julianna to practice her driving, indicating, over Marcia Barber's objections to guardianship, that (1) he thought the DMV could find a way to allow the grandfather to supervise Julianna's driving under the statute; (2) he thought a limited guardianship might be appropriate; and (3) he did not think anyone was asking her to surrender any parental rights.</w:t>
      </w:r>
    </w:p>
    <w:p w:rsidR="006E038D" w:rsidRDefault="00000000">
      <w:pPr>
        <w:pStyle w:val="Normal5"/>
        <w:widowControl w:val="0"/>
        <w:spacing w:before="200" w:line="260" w:lineRule="atLeast"/>
        <w:jc w:val="both"/>
      </w:pPr>
      <w:bookmarkStart w:id="730" w:name="Bookmark_para_27_3"/>
      <w:bookmarkEnd w:id="730"/>
      <w:r>
        <w:rPr>
          <w:rFonts w:ascii="Arial" w:eastAsia="Arial" w:hAnsi="Arial" w:cs="Arial"/>
          <w:color w:val="000000"/>
          <w:sz w:val="20"/>
        </w:rPr>
        <w:t xml:space="preserve">Second, in as early as November 2004, the DMV was aware that the statute was progressing toward amendment. Ordinarily, we would not view the fact of statutory amendment via the legislative process as evidence of action on the part of an accommodating institution. However, it is clear here that the DMV was aware that amendment was coming swiftly. The speed and diligence with which senior state officials sought to amend the statute figures prominently in our view of the case. In fact, the Colorado legislature acted about as quickly as a legislature </w:t>
      </w:r>
      <w:r>
        <w:rPr>
          <w:rFonts w:ascii="Arial" w:eastAsia="Arial" w:hAnsi="Arial" w:cs="Arial"/>
          <w:i/>
          <w:color w:val="000000"/>
          <w:sz w:val="20"/>
        </w:rPr>
        <w:t>can</w:t>
      </w:r>
      <w:r>
        <w:rPr>
          <w:rFonts w:ascii="Arial" w:eastAsia="Arial" w:hAnsi="Arial" w:cs="Arial"/>
          <w:color w:val="000000"/>
          <w:sz w:val="20"/>
        </w:rPr>
        <w:t xml:space="preserve"> act. Under these unusual circumstances, we do not view the DMV as having acted with deliberate indifference. However, we stress that our holding in no way supports the view that state officials should be permitted to refuse an accommodation in favor of the more usual, lengthier legislative process.</w:t>
      </w:r>
    </w:p>
    <w:p w:rsidR="006E038D" w:rsidRDefault="00000000">
      <w:pPr>
        <w:pStyle w:val="Normal5"/>
        <w:widowControl w:val="0"/>
        <w:spacing w:before="200" w:line="260" w:lineRule="atLeast"/>
        <w:jc w:val="both"/>
      </w:pPr>
      <w:bookmarkStart w:id="731" w:name="Bookmark_para_28_1"/>
      <w:bookmarkEnd w:id="731"/>
      <w:r>
        <w:rPr>
          <w:rFonts w:ascii="Arial" w:eastAsia="Arial" w:hAnsi="Arial" w:cs="Arial"/>
          <w:color w:val="000000"/>
          <w:sz w:val="20"/>
        </w:rPr>
        <w:t>We recognize that the accommodation proposed by Ms. Barber was very close to the one ultimately accepted by Colorado through legislative amendment. The fact  [**20] that it was objectively reasonable, however, does not carry the day given another objectively reasonable alternative was  [*1231]  available: Colorado law already provided a right to a limited guardianship. Although Marcia Barber does not recall discussing the possibility of a limited guardianship with Mr. Suthers, her deposition testimony clearly indicates that she was not willing to pursue the matter:</w:t>
      </w:r>
    </w:p>
    <w:p w:rsidR="006E038D" w:rsidRDefault="00000000">
      <w:pPr>
        <w:pStyle w:val="Normal5"/>
        <w:widowControl w:val="0"/>
        <w:spacing w:line="260" w:lineRule="atLeast"/>
        <w:ind w:left="400"/>
        <w:jc w:val="both"/>
      </w:pPr>
      <w:bookmarkStart w:id="732" w:name="Bookmark_para_29_1"/>
      <w:bookmarkEnd w:id="732"/>
      <w:r>
        <w:rPr>
          <w:rFonts w:ascii="Arial" w:eastAsia="Arial" w:hAnsi="Arial" w:cs="Arial"/>
          <w:color w:val="000000"/>
          <w:sz w:val="20"/>
        </w:rPr>
        <w:t>[W]hat I was asking for was a reasonable accommodation. Guardianship was guardianship. I thought that was an unreasonable requirement. That's not a reasonable accommodation. That's unreasonable.</w:t>
      </w:r>
    </w:p>
    <w:p w:rsidR="006E038D" w:rsidRDefault="00000000">
      <w:pPr>
        <w:pStyle w:val="Normal5"/>
        <w:widowControl w:val="0"/>
        <w:spacing w:line="260" w:lineRule="atLeast"/>
        <w:ind w:left="400"/>
        <w:jc w:val="both"/>
      </w:pPr>
      <w:bookmarkStart w:id="733" w:name="Bookmark_para_30_1"/>
      <w:bookmarkEnd w:id="733"/>
      <w:r>
        <w:rPr>
          <w:rFonts w:ascii="Arial" w:eastAsia="Arial" w:hAnsi="Arial" w:cs="Arial"/>
          <w:color w:val="000000"/>
          <w:sz w:val="20"/>
        </w:rPr>
        <w:t>. . . .</w:t>
      </w:r>
    </w:p>
    <w:p w:rsidR="006E038D" w:rsidRDefault="00000000">
      <w:pPr>
        <w:pStyle w:val="Normal5"/>
        <w:widowControl w:val="0"/>
        <w:spacing w:line="260" w:lineRule="atLeast"/>
        <w:ind w:left="400"/>
        <w:jc w:val="both"/>
      </w:pPr>
      <w:bookmarkStart w:id="734" w:name="Bookmark_para_31_1"/>
      <w:bookmarkEnd w:id="734"/>
      <w:r>
        <w:rPr>
          <w:rFonts w:ascii="Arial" w:eastAsia="Arial" w:hAnsi="Arial" w:cs="Arial"/>
          <w:color w:val="000000"/>
          <w:sz w:val="20"/>
        </w:rPr>
        <w:t>It's a legal requirement imposed - that would be imposed on me because of my disability that would not be imposed on any other ablebodied person. It called my parenting abilities into question. It required me to give up decision-making responsibility. I wasn't looking to give up my parenting role.</w:t>
      </w:r>
    </w:p>
    <w:p w:rsidR="006E038D" w:rsidRDefault="00000000">
      <w:pPr>
        <w:pStyle w:val="Normal5"/>
        <w:widowControl w:val="0"/>
        <w:spacing w:before="200" w:line="260" w:lineRule="atLeast"/>
        <w:jc w:val="both"/>
      </w:pPr>
      <w:r>
        <w:rPr>
          <w:rFonts w:ascii="Arial" w:eastAsia="Arial" w:hAnsi="Arial" w:cs="Arial"/>
          <w:color w:val="000000"/>
          <w:sz w:val="20"/>
        </w:rPr>
        <w:t>In fact, Marcia Barber later indicated that she didn't "see why [she] should have been required to explore anything," referring to accommodations other than the one she requested that might have satisfied the statute. That Mr. Suthers chose not to respond to Marcia Barber's follow-up letters for her requested  [**21] accommodation, which had already been discussed and foreclosed, does not merit a finding of deliberate indifference.</w:t>
      </w:r>
    </w:p>
    <w:p w:rsidR="006E038D" w:rsidRDefault="00000000">
      <w:pPr>
        <w:pStyle w:val="Normal5"/>
        <w:widowControl w:val="0"/>
        <w:spacing w:before="200" w:line="260" w:lineRule="atLeast"/>
        <w:jc w:val="both"/>
      </w:pPr>
      <w:bookmarkStart w:id="735" w:name="Bookmark_para_32_1"/>
      <w:bookmarkStart w:id="736" w:name="Bookmark_I4W8CFR30K1MNJ1DT0000400"/>
      <w:bookmarkEnd w:id="735"/>
      <w:bookmarkEnd w:id="736"/>
      <w:r>
        <w:rPr>
          <w:rFonts w:ascii="Arial" w:eastAsia="Arial" w:hAnsi="Arial" w:cs="Arial"/>
          <w:color w:val="000000"/>
          <w:sz w:val="20"/>
        </w:rPr>
        <w:t xml:space="preserve">Essentially, Ms. Barber believed that (1) only her suggested accommodation was reasonable, (2) a guardianship would require her to give up her parenting role, and (3) a guardianship called her parenting ability into question. In contrast to Ms. Barber's position, </w:t>
      </w:r>
      <w:bookmarkStart w:id="737" w:name="Bookmark_LNHNREFclscc7_3"/>
      <w:bookmarkEnd w:id="737"/>
      <w:r>
        <w:rPr>
          <w:rFonts w:ascii="Arial" w:eastAsia="Arial" w:hAnsi="Arial" w:cs="Arial"/>
          <w:color w:val="000000"/>
          <w:sz w:val="20"/>
        </w:rPr>
        <w:t xml:space="preserve">"both parties have an obligation to proceed in a reasonably interactive manner" to ascertain a reasonable accommodation. </w:t>
      </w:r>
      <w:bookmarkStart w:id="738" w:name="Bookmark_I4W8CFR30K1MNJ1DS0000400"/>
      <w:bookmarkEnd w:id="738"/>
      <w:r>
        <w:rPr>
          <w:rFonts w:ascii="Arial" w:eastAsia="Arial" w:hAnsi="Arial" w:cs="Arial"/>
          <w:color w:val="000000"/>
          <w:sz w:val="20"/>
          <w:u w:val="single"/>
        </w:rPr>
        <w:t>Smith v. Midland Brake, Inc</w:t>
      </w:r>
      <w:r>
        <w:rPr>
          <w:rFonts w:ascii="Arial" w:eastAsia="Arial" w:hAnsi="Arial" w:cs="Arial"/>
          <w:color w:val="000000"/>
          <w:sz w:val="20"/>
        </w:rPr>
        <w:t>., 180 F.3d 1154, 1172 (10th Cir. 1999). Here, it is clear that Marcia Barber had no intention of engaging in the interactive process with the DMV unless it would yield to her requested accommodation. Surely, in this process Ms. Barber had an obligation to explore the possibility of a guardianship with the DMV, or at least not to refuse to consider the option outright.</w:t>
      </w:r>
    </w:p>
    <w:p w:rsidR="006E038D" w:rsidRDefault="00000000">
      <w:pPr>
        <w:pStyle w:val="Normal5"/>
        <w:widowControl w:val="0"/>
        <w:spacing w:before="200" w:line="260" w:lineRule="atLeast"/>
        <w:jc w:val="both"/>
      </w:pPr>
      <w:bookmarkStart w:id="739" w:name="Bookmark_para_33_1"/>
      <w:bookmarkEnd w:id="739"/>
      <w:r>
        <w:rPr>
          <w:rFonts w:ascii="Arial" w:eastAsia="Arial" w:hAnsi="Arial" w:cs="Arial"/>
          <w:color w:val="000000"/>
          <w:sz w:val="20"/>
        </w:rPr>
        <w:t xml:space="preserve">However, as Marcia Barber made clear in her deposition, she was unwilling to accept any form of guardianship. </w:t>
      </w:r>
      <w:bookmarkStart w:id="740" w:name="Bookmark_I0MRK7K22N8000M3DRV001DD"/>
      <w:bookmarkStart w:id="741" w:name="Bookmark_I0MRK7K26GD000M3DRV001DF"/>
      <w:bookmarkStart w:id="742" w:name="Bookmark_I0MRK7K2B9J000M3DRV001DG"/>
      <w:bookmarkStart w:id="743" w:name="Bookmark_I4W8CFR30K1MNJ1FK0000400"/>
      <w:bookmarkEnd w:id="740"/>
      <w:bookmarkEnd w:id="741"/>
      <w:bookmarkEnd w:id="742"/>
      <w:bookmarkEnd w:id="743"/>
      <w:r>
        <w:rPr>
          <w:rFonts w:ascii="Arial" w:eastAsia="Arial" w:hAnsi="Arial" w:cs="Arial"/>
          <w:color w:val="000000"/>
          <w:sz w:val="20"/>
        </w:rPr>
        <w:t xml:space="preserve">In doing so, she foreclosed her ability to show that the interactive process would have led to a reasonable accommodation. Prior cases establish that a disabled plaintiff alleging that an employer  [**22] failed to properly engage in the interactive process must also establish that the interactive process would have likely produced a reasonable accommodation. </w:t>
      </w:r>
      <w:bookmarkStart w:id="744" w:name="Bookmark_I4W8CFR30K1MNJ1G50000400"/>
      <w:bookmarkEnd w:id="744"/>
      <w:r>
        <w:rPr>
          <w:rFonts w:ascii="Arial" w:eastAsia="Arial" w:hAnsi="Arial" w:cs="Arial"/>
          <w:color w:val="000000"/>
          <w:sz w:val="20"/>
        </w:rPr>
        <w:t xml:space="preserve">For example, in </w:t>
      </w:r>
      <w:r>
        <w:rPr>
          <w:rFonts w:ascii="Arial" w:eastAsia="Arial" w:hAnsi="Arial" w:cs="Arial"/>
          <w:color w:val="000000"/>
          <w:sz w:val="20"/>
          <w:u w:val="single"/>
        </w:rPr>
        <w:t>Frazier v. Simmons</w:t>
      </w:r>
      <w:r>
        <w:rPr>
          <w:rFonts w:ascii="Arial" w:eastAsia="Arial" w:hAnsi="Arial" w:cs="Arial"/>
          <w:color w:val="000000"/>
          <w:sz w:val="20"/>
        </w:rPr>
        <w:t xml:space="preserve">, this court held that a claimant alleging that his employer failed adequately to partake of the interactive process required by the ADA will lose on summary judgment if he fails to show "'that a reasonable accommodation was possible,'" and that the interactive process would have led to an accommodation. </w:t>
      </w:r>
      <w:bookmarkStart w:id="745" w:name="Bookmark_I4W8CFR30K1MNJ1FJ0000400"/>
      <w:bookmarkEnd w:id="745"/>
      <w:r>
        <w:rPr>
          <w:rFonts w:ascii="Arial" w:eastAsia="Arial" w:hAnsi="Arial" w:cs="Arial"/>
          <w:color w:val="000000"/>
          <w:sz w:val="20"/>
        </w:rPr>
        <w:t xml:space="preserve">254 F.3d 1247, 1261-62 (10th Cir. 2001) (quoting </w:t>
      </w:r>
      <w:bookmarkStart w:id="746" w:name="Bookmark_I4W8CFR30K1MNJ1FM0000400"/>
      <w:bookmarkEnd w:id="746"/>
      <w:r>
        <w:rPr>
          <w:rFonts w:ascii="Arial" w:eastAsia="Arial" w:hAnsi="Arial" w:cs="Arial"/>
          <w:color w:val="000000"/>
          <w:sz w:val="20"/>
          <w:u w:val="single"/>
        </w:rPr>
        <w:t>Smith v. Midland Brake, Inc., a Div. of Echlin, Inc</w:t>
      </w:r>
      <w:r>
        <w:rPr>
          <w:rFonts w:ascii="Arial" w:eastAsia="Arial" w:hAnsi="Arial" w:cs="Arial"/>
          <w:color w:val="000000"/>
          <w:sz w:val="20"/>
        </w:rPr>
        <w:t xml:space="preserve">., 180 F.3d 1154, 1174 (10th Cir. 1999) (en banc)); </w:t>
      </w:r>
      <w:r>
        <w:rPr>
          <w:rFonts w:ascii="Arial" w:eastAsia="Arial" w:hAnsi="Arial" w:cs="Arial"/>
          <w:color w:val="000000"/>
          <w:sz w:val="20"/>
          <w:u w:val="single"/>
        </w:rPr>
        <w:t xml:space="preserve">see also </w:t>
      </w:r>
      <w:bookmarkStart w:id="747" w:name="Bookmark_I4W8CFR30K1MNJ1FP0000400"/>
      <w:bookmarkEnd w:id="747"/>
      <w:r>
        <w:rPr>
          <w:rFonts w:ascii="Arial" w:eastAsia="Arial" w:hAnsi="Arial" w:cs="Arial"/>
          <w:color w:val="000000"/>
          <w:sz w:val="20"/>
          <w:u w:val="single"/>
        </w:rPr>
        <w:t>Donahue v. Consol. Rail Corp</w:t>
      </w:r>
      <w:r>
        <w:rPr>
          <w:rFonts w:ascii="Arial" w:eastAsia="Arial" w:hAnsi="Arial" w:cs="Arial"/>
          <w:color w:val="000000"/>
          <w:sz w:val="20"/>
        </w:rPr>
        <w:t xml:space="preserve">., 224 F.3d 226, 233-34 (3rd Cir. 2000) (addressing a Rehabilitation Act claim, and holding that "if, after a full opportunity for discovery, the summary judgment record is insufficient to establish the existence of an appropriate position into which the plaintiff could have been transferred, summary judgment must be granted in favor of the defendant-even if it also appears that the defendant failed to engage in good faith in the interactive process"). </w:t>
      </w:r>
      <w:bookmarkStart w:id="748" w:name="Bookmark_I4W8CFR30K1MNJ1G50000400_2"/>
      <w:bookmarkEnd w:id="748"/>
      <w:r>
        <w:rPr>
          <w:rFonts w:ascii="Arial" w:eastAsia="Arial" w:hAnsi="Arial" w:cs="Arial"/>
          <w:color w:val="000000"/>
          <w:sz w:val="20"/>
        </w:rPr>
        <w:t xml:space="preserve">In this case, Marcia Barber's testimony that she would not  [**23] have accepted a limited guardianship as a reasonable accommodation suggests that, even if the DMV had participated in the interactive  [*1232]  process and offered her a limited guardianship, she would have refused the offer. To bring a Rehabilitation Act claim based on the DMV's failure to participate in the interactive process, the Barbers must demonstrate that they "could have been reasonably accommodated but for the [DMV's] lack of good faith." </w:t>
      </w:r>
      <w:bookmarkStart w:id="749" w:name="Bookmark_I4W8CFR30K1MNJ1G40000400"/>
      <w:bookmarkEnd w:id="749"/>
      <w:r>
        <w:rPr>
          <w:rFonts w:ascii="Arial" w:eastAsia="Arial" w:hAnsi="Arial" w:cs="Arial"/>
          <w:color w:val="000000"/>
          <w:sz w:val="20"/>
          <w:u w:val="single"/>
        </w:rPr>
        <w:t>Taylor v. Phoenixville Sch. Dist</w:t>
      </w:r>
      <w:r>
        <w:rPr>
          <w:rFonts w:ascii="Arial" w:eastAsia="Arial" w:hAnsi="Arial" w:cs="Arial"/>
          <w:color w:val="000000"/>
          <w:sz w:val="20"/>
        </w:rPr>
        <w:t>., 174 F.3d 142, 165 (3rd Cir. 1999). The Barbers have failed to demonstrate that the DMV's participation in the interactive process would have resulted in a reasonable accommodation.</w:t>
      </w:r>
    </w:p>
    <w:p w:rsidR="006E038D" w:rsidRDefault="00000000">
      <w:pPr>
        <w:pStyle w:val="Normal5"/>
        <w:widowControl w:val="0"/>
        <w:spacing w:before="200" w:line="260" w:lineRule="atLeast"/>
        <w:jc w:val="both"/>
      </w:pPr>
      <w:bookmarkStart w:id="750" w:name="Bookmark_para_34_1"/>
      <w:bookmarkStart w:id="751" w:name="Bookmark_I0MRK7K2G4P000M3DRV001DH"/>
      <w:bookmarkStart w:id="752" w:name="Bookmark_I4W8CFR30K1MNJ1G70000400"/>
      <w:bookmarkEnd w:id="750"/>
      <w:bookmarkEnd w:id="751"/>
      <w:bookmarkEnd w:id="752"/>
      <w:r>
        <w:rPr>
          <w:rFonts w:ascii="Arial" w:eastAsia="Arial" w:hAnsi="Arial" w:cs="Arial"/>
          <w:color w:val="000000"/>
          <w:sz w:val="20"/>
        </w:rPr>
        <w:t xml:space="preserve">Furthermore, </w:t>
      </w:r>
      <w:bookmarkStart w:id="753" w:name="Bookmark_LNHNREFclscc8_2"/>
      <w:bookmarkEnd w:id="753"/>
      <w:r>
        <w:rPr>
          <w:rFonts w:ascii="Arial" w:eastAsia="Arial" w:hAnsi="Arial" w:cs="Arial"/>
          <w:color w:val="000000"/>
          <w:sz w:val="20"/>
        </w:rPr>
        <w:t xml:space="preserve">the Supreme Court has indicated, in the context of the ADA, that Congress has not defined "reasonable" as simply meaning the same as "effective," and that "demand for an effective accommodation could prove unreasonable because of its impact." </w:t>
      </w:r>
      <w:bookmarkStart w:id="754" w:name="Bookmark_I4W8CFR30K1MNJ1G60000400"/>
      <w:bookmarkEnd w:id="754"/>
      <w:r>
        <w:rPr>
          <w:rFonts w:ascii="Arial" w:eastAsia="Arial" w:hAnsi="Arial" w:cs="Arial"/>
          <w:color w:val="000000"/>
          <w:sz w:val="20"/>
          <w:u w:val="single"/>
        </w:rPr>
        <w:t>U.S. Airways, Inc. v. Barnett</w:t>
      </w:r>
      <w:r>
        <w:rPr>
          <w:rFonts w:ascii="Arial" w:eastAsia="Arial" w:hAnsi="Arial" w:cs="Arial"/>
          <w:color w:val="000000"/>
          <w:sz w:val="20"/>
        </w:rPr>
        <w:t xml:space="preserve">, 535 U.S. 391, 399-01, 122 S. Ct. 1516, 152 L. Ed. 2d 589 (2002); </w:t>
      </w:r>
      <w:r>
        <w:rPr>
          <w:rFonts w:ascii="Arial" w:eastAsia="Arial" w:hAnsi="Arial" w:cs="Arial"/>
          <w:color w:val="000000"/>
          <w:sz w:val="20"/>
          <w:u w:val="single"/>
        </w:rPr>
        <w:t xml:space="preserve">see also </w:t>
      </w:r>
      <w:bookmarkStart w:id="755" w:name="Bookmark_I4W8CFR30K1MNJ1GF0000400"/>
      <w:bookmarkEnd w:id="755"/>
      <w:r>
        <w:rPr>
          <w:rFonts w:ascii="Arial" w:eastAsia="Arial" w:hAnsi="Arial" w:cs="Arial"/>
          <w:color w:val="000000"/>
          <w:sz w:val="20"/>
          <w:u w:val="single"/>
        </w:rPr>
        <w:t>Dilley v. SuperValu, Inc</w:t>
      </w:r>
      <w:r>
        <w:rPr>
          <w:rFonts w:ascii="Arial" w:eastAsia="Arial" w:hAnsi="Arial" w:cs="Arial"/>
          <w:color w:val="000000"/>
          <w:sz w:val="20"/>
        </w:rPr>
        <w:t xml:space="preserve">., 296 F.3d 958, 963 (10th Cir. 2002) (stating that an accommodation will ordinarily be deemed unreasonable if it directly conflicts with a collectively bargained-for seniority system); </w:t>
      </w:r>
      <w:bookmarkStart w:id="756" w:name="Bookmark_I4W8CFR30K1MNJ1GH0000400"/>
      <w:bookmarkEnd w:id="756"/>
      <w:r>
        <w:rPr>
          <w:rFonts w:ascii="Arial" w:eastAsia="Arial" w:hAnsi="Arial" w:cs="Arial"/>
          <w:color w:val="000000"/>
          <w:sz w:val="20"/>
          <w:u w:val="single"/>
        </w:rPr>
        <w:t>Reed v. LePage Bakeries, Inc</w:t>
      </w:r>
      <w:r>
        <w:rPr>
          <w:rFonts w:ascii="Arial" w:eastAsia="Arial" w:hAnsi="Arial" w:cs="Arial"/>
          <w:color w:val="000000"/>
          <w:sz w:val="20"/>
        </w:rPr>
        <w:t xml:space="preserve">., 244 F.3d 254, 259 (1st Cir. 2001)  [**24] ("[W]hat plaintiff must show further . . . is that her requested accommodation is 'reasonable.' And consistent with its usage throughout the law, the concept of reasonableness . . . constrains the plaintiff in what she can demand from the defendant."). To uphold the Barbers' claim for compensatory damages, we would necessarily need to hold that an institution's rejection of </w:t>
      </w:r>
      <w:r>
        <w:rPr>
          <w:rFonts w:ascii="Arial" w:eastAsia="Arial" w:hAnsi="Arial" w:cs="Arial"/>
          <w:i/>
          <w:color w:val="000000"/>
          <w:sz w:val="20"/>
        </w:rPr>
        <w:t>any</w:t>
      </w:r>
      <w:r>
        <w:rPr>
          <w:rFonts w:ascii="Arial" w:eastAsia="Arial" w:hAnsi="Arial" w:cs="Arial"/>
          <w:color w:val="000000"/>
          <w:sz w:val="20"/>
        </w:rPr>
        <w:t xml:space="preserve"> requested accommodation, even when other reasonable options that are more acceptable to the institution are available, results per se in deliberate indifference. The mere fact that the DMV did not accept Marcia Barber's suggested resolution does not establish a deliberate indifference to her situation or her rights.</w:t>
      </w:r>
    </w:p>
    <w:p w:rsidR="006E038D" w:rsidRDefault="00000000">
      <w:pPr>
        <w:pStyle w:val="Normal5"/>
        <w:widowControl w:val="0"/>
        <w:spacing w:before="200" w:line="260" w:lineRule="atLeast"/>
        <w:jc w:val="both"/>
      </w:pPr>
      <w:bookmarkStart w:id="757" w:name="Bookmark_para_35_1"/>
      <w:bookmarkEnd w:id="757"/>
      <w:r>
        <w:rPr>
          <w:rFonts w:ascii="Arial" w:eastAsia="Arial" w:hAnsi="Arial" w:cs="Arial"/>
          <w:color w:val="000000"/>
          <w:sz w:val="20"/>
        </w:rPr>
        <w:t>In a related argument, the Barbers claim that the district court erred in concluding that the DMV could not have discriminated because it was adhering to a state statute when denying her requested accommodation. In making this claim, the Barbers specifically point to the following language in the district court's order:</w:t>
      </w:r>
    </w:p>
    <w:p w:rsidR="006E038D" w:rsidRDefault="00000000">
      <w:pPr>
        <w:pStyle w:val="Normal5"/>
        <w:widowControl w:val="0"/>
        <w:spacing w:before="200" w:line="260" w:lineRule="atLeast"/>
        <w:ind w:left="400"/>
        <w:jc w:val="both"/>
      </w:pPr>
      <w:bookmarkStart w:id="758" w:name="Bookmark_para_36_1"/>
      <w:bookmarkStart w:id="759" w:name="Bookmark_I4W8CFR30K1MNJ1JW0000400"/>
      <w:bookmarkEnd w:id="758"/>
      <w:bookmarkEnd w:id="759"/>
      <w:r>
        <w:rPr>
          <w:rFonts w:ascii="Arial" w:eastAsia="Arial" w:hAnsi="Arial" w:cs="Arial"/>
          <w:color w:val="000000"/>
          <w:sz w:val="20"/>
        </w:rPr>
        <w:t xml:space="preserve">An accommodation that would have required defendants to willfully ignore or violate the law is </w:t>
      </w:r>
      <w:r>
        <w:rPr>
          <w:rFonts w:ascii="Arial" w:eastAsia="Arial" w:hAnsi="Arial" w:cs="Arial"/>
          <w:i/>
          <w:color w:val="000000"/>
          <w:sz w:val="20"/>
        </w:rPr>
        <w:t>per se</w:t>
      </w:r>
      <w:r>
        <w:rPr>
          <w:rFonts w:ascii="Arial" w:eastAsia="Arial" w:hAnsi="Arial" w:cs="Arial"/>
          <w:color w:val="000000"/>
          <w:sz w:val="20"/>
        </w:rPr>
        <w:t xml:space="preserve"> not reasonable. Plaintiffs' frustration with the limited legal options available  [**25] to them short of amendment of the statute is insufficient to sustain their burden of showing that defendants were deliberately indifferent to their federally protected rights.</w:t>
      </w:r>
    </w:p>
    <w:p w:rsidR="006E038D" w:rsidRDefault="00000000">
      <w:pPr>
        <w:pStyle w:val="Normal5"/>
        <w:widowControl w:val="0"/>
        <w:spacing w:before="200" w:line="260" w:lineRule="atLeast"/>
        <w:jc w:val="both"/>
      </w:pPr>
      <w:bookmarkStart w:id="760" w:name="Bookmark_I4W8CFR30K1MNJ1JW0000400_2"/>
      <w:bookmarkStart w:id="761" w:name="Bookmark_I4W8CFR30K1MNJ1GK0000400"/>
      <w:bookmarkEnd w:id="760"/>
      <w:bookmarkEnd w:id="761"/>
      <w:r>
        <w:rPr>
          <w:rFonts w:ascii="Arial" w:eastAsia="Arial" w:hAnsi="Arial" w:cs="Arial"/>
          <w:color w:val="000000"/>
          <w:sz w:val="20"/>
          <w:u w:val="single"/>
        </w:rPr>
        <w:t>Barber</w:t>
      </w:r>
      <w:r>
        <w:rPr>
          <w:rFonts w:ascii="Arial" w:eastAsia="Arial" w:hAnsi="Arial" w:cs="Arial"/>
          <w:color w:val="000000"/>
          <w:sz w:val="20"/>
        </w:rPr>
        <w:t>, 2007 U.S. Dist. LEXIS 35082, 2007 WL 1430103, at *2. Essentially, the Barbers claim that the DMV disregarded its duties under § 504 in adhering to the Colorado licensing statute, thus triggering a conflict with the Supremacy Clause.</w:t>
      </w:r>
    </w:p>
    <w:p w:rsidR="006E038D" w:rsidRDefault="00000000">
      <w:pPr>
        <w:pStyle w:val="Normal5"/>
        <w:widowControl w:val="0"/>
        <w:spacing w:before="200" w:line="260" w:lineRule="atLeast"/>
        <w:jc w:val="both"/>
      </w:pPr>
      <w:bookmarkStart w:id="762" w:name="Bookmark_para_37_1"/>
      <w:bookmarkStart w:id="763" w:name="Bookmark_I4W8CFR30K1MNJ1JY0000400"/>
      <w:bookmarkStart w:id="764" w:name="Bookmark_I4W8CFR30K1MNJ1K10000400"/>
      <w:bookmarkEnd w:id="762"/>
      <w:bookmarkEnd w:id="763"/>
      <w:bookmarkEnd w:id="764"/>
      <w:r>
        <w:rPr>
          <w:rFonts w:ascii="Arial" w:eastAsia="Arial" w:hAnsi="Arial" w:cs="Arial"/>
          <w:color w:val="000000"/>
          <w:sz w:val="20"/>
        </w:rPr>
        <w:t xml:space="preserve">It is well established that </w:t>
      </w:r>
      <w:bookmarkStart w:id="765" w:name="Bookmark_LNHNREFclscc9_2"/>
      <w:bookmarkEnd w:id="765"/>
      <w:r>
        <w:rPr>
          <w:rFonts w:ascii="Arial" w:eastAsia="Arial" w:hAnsi="Arial" w:cs="Arial"/>
          <w:color w:val="000000"/>
          <w:sz w:val="20"/>
        </w:rPr>
        <w:t xml:space="preserve">"Congress has the power to preempt state law." </w:t>
      </w:r>
      <w:bookmarkStart w:id="766" w:name="Bookmark_I4W8CFR30K1MNJ1JX0000400"/>
      <w:bookmarkEnd w:id="766"/>
      <w:r>
        <w:rPr>
          <w:rFonts w:ascii="Arial" w:eastAsia="Arial" w:hAnsi="Arial" w:cs="Arial"/>
          <w:color w:val="000000"/>
          <w:sz w:val="20"/>
          <w:u w:val="single"/>
        </w:rPr>
        <w:t>Crosby v. Nat'l Foreign Trade Council</w:t>
      </w:r>
      <w:r>
        <w:rPr>
          <w:rFonts w:ascii="Arial" w:eastAsia="Arial" w:hAnsi="Arial" w:cs="Arial"/>
          <w:color w:val="000000"/>
          <w:sz w:val="20"/>
        </w:rPr>
        <w:t xml:space="preserve">, 530 U.S. 363, 372, 120 S. Ct. 2288, 147 L. Ed. 2d 352 (2000). A state statute must yield when it conflicts with a federal statute, as in the case where "'[the challenged state statute] stands as an obstacle to the accomplishment and execution of the full purposes and objectives of Congress.'" </w:t>
      </w:r>
      <w:bookmarkStart w:id="767" w:name="Bookmark_I4W8CFR30K1MNJ1K00000400"/>
      <w:bookmarkEnd w:id="767"/>
      <w:r>
        <w:rPr>
          <w:rFonts w:ascii="Arial" w:eastAsia="Arial" w:hAnsi="Arial" w:cs="Arial"/>
          <w:color w:val="000000"/>
          <w:sz w:val="20"/>
          <w:u w:val="single"/>
        </w:rPr>
        <w:t>Id</w:t>
      </w:r>
      <w:r>
        <w:rPr>
          <w:rFonts w:ascii="Arial" w:eastAsia="Arial" w:hAnsi="Arial" w:cs="Arial"/>
          <w:color w:val="000000"/>
          <w:sz w:val="20"/>
        </w:rPr>
        <w:t xml:space="preserve">. at 373 (quoting </w:t>
      </w:r>
      <w:bookmarkStart w:id="768" w:name="Bookmark_I4W8CFR30K1MNJ1KS0000400"/>
      <w:bookmarkEnd w:id="768"/>
      <w:r>
        <w:rPr>
          <w:rFonts w:ascii="Arial" w:eastAsia="Arial" w:hAnsi="Arial" w:cs="Arial"/>
          <w:color w:val="000000"/>
          <w:sz w:val="20"/>
          <w:u w:val="single"/>
        </w:rPr>
        <w:t>Hines v. Davidowitz</w:t>
      </w:r>
      <w:r>
        <w:rPr>
          <w:rFonts w:ascii="Arial" w:eastAsia="Arial" w:hAnsi="Arial" w:cs="Arial"/>
          <w:color w:val="000000"/>
          <w:sz w:val="20"/>
        </w:rPr>
        <w:t xml:space="preserve">, 312 U.S. 52, 67, 61 S. Ct. 399, 85 L. Ed. 581 (1941)). "What is a sufficient obstacle is a matter of judgment, to be informed by examining the federal statute as a whole and identifying its purpose and intended effects." </w:t>
      </w:r>
      <w:r>
        <w:rPr>
          <w:rFonts w:ascii="Arial" w:eastAsia="Arial" w:hAnsi="Arial" w:cs="Arial"/>
          <w:color w:val="000000"/>
          <w:sz w:val="20"/>
          <w:u w:val="single"/>
        </w:rPr>
        <w:t>Id</w:t>
      </w:r>
      <w:r>
        <w:rPr>
          <w:rFonts w:ascii="Arial" w:eastAsia="Arial" w:hAnsi="Arial" w:cs="Arial"/>
          <w:color w:val="000000"/>
          <w:sz w:val="20"/>
        </w:rPr>
        <w:t>.</w:t>
      </w:r>
    </w:p>
    <w:p w:rsidR="006E038D" w:rsidRDefault="00000000">
      <w:pPr>
        <w:pStyle w:val="Normal5"/>
        <w:widowControl w:val="0"/>
        <w:spacing w:before="200" w:line="260" w:lineRule="atLeast"/>
        <w:jc w:val="both"/>
      </w:pPr>
      <w:bookmarkStart w:id="769" w:name="Bookmark_para_38_1"/>
      <w:bookmarkEnd w:id="769"/>
      <w:r>
        <w:rPr>
          <w:rFonts w:ascii="Arial" w:eastAsia="Arial" w:hAnsi="Arial" w:cs="Arial"/>
          <w:color w:val="000000"/>
          <w:sz w:val="20"/>
        </w:rPr>
        <w:t>The Supremacy Clause does not govern the outcome of this case; there was no conflict because Marcia Barber had an option under the statute other than simply seeking amendment or being denied meaningful access,  [**26] namely, some form of guardianship  [*1233]  allowing Julianna's grandfather to supervise her driving. That the Barbers ultimately achieved a political victory in obtaining a statutory amendment does not equate to a valid legal claim that the statute conflicted with the Rehabilitation Act. Marcia Barber rejected the obvious solution under the statute. That she did so does not mean that the statute conflicted with § 504 or that the DMV failed to acknowledge its duty under § 504, nor does it entitle the Barbers to compensatory damages.</w:t>
      </w:r>
    </w:p>
    <w:p w:rsidR="006E038D" w:rsidRDefault="00000000">
      <w:pPr>
        <w:pStyle w:val="Normal5"/>
        <w:widowControl w:val="0"/>
        <w:spacing w:before="200" w:line="260" w:lineRule="atLeast"/>
        <w:jc w:val="both"/>
      </w:pPr>
      <w:bookmarkStart w:id="770" w:name="Bookmark_para_39_1"/>
      <w:bookmarkStart w:id="771" w:name="Bookmark_I4W8CFR30K1MNJ1KW0000400"/>
      <w:bookmarkStart w:id="772" w:name="Bookmark_I4W8CFR30K1MNJ1MG0000400"/>
      <w:bookmarkEnd w:id="770"/>
      <w:bookmarkEnd w:id="771"/>
      <w:bookmarkEnd w:id="772"/>
      <w:r>
        <w:rPr>
          <w:rFonts w:ascii="Arial" w:eastAsia="Arial" w:hAnsi="Arial" w:cs="Arial"/>
          <w:color w:val="000000"/>
          <w:sz w:val="20"/>
        </w:rPr>
        <w:t xml:space="preserve">In so holding, we in no way affirm the district court's conclusion that "[a]n accommodation that would have required defendants to willfully ignore or violate the law is </w:t>
      </w:r>
      <w:r>
        <w:rPr>
          <w:rFonts w:ascii="Arial" w:eastAsia="Arial" w:hAnsi="Arial" w:cs="Arial"/>
          <w:i/>
          <w:color w:val="000000"/>
          <w:sz w:val="20"/>
        </w:rPr>
        <w:t>per se</w:t>
      </w:r>
      <w:r>
        <w:rPr>
          <w:rFonts w:ascii="Arial" w:eastAsia="Arial" w:hAnsi="Arial" w:cs="Arial"/>
          <w:color w:val="000000"/>
          <w:sz w:val="20"/>
        </w:rPr>
        <w:t xml:space="preserve"> not reasonable." </w:t>
      </w:r>
      <w:bookmarkStart w:id="773" w:name="Bookmark_I4W8CFR30K1MNJ1KV0000400"/>
      <w:bookmarkEnd w:id="773"/>
      <w:r>
        <w:rPr>
          <w:rFonts w:ascii="Arial" w:eastAsia="Arial" w:hAnsi="Arial" w:cs="Arial"/>
          <w:color w:val="000000"/>
          <w:sz w:val="20"/>
          <w:u w:val="single"/>
        </w:rPr>
        <w:t>Barber</w:t>
      </w:r>
      <w:r>
        <w:rPr>
          <w:rFonts w:ascii="Arial" w:eastAsia="Arial" w:hAnsi="Arial" w:cs="Arial"/>
          <w:color w:val="000000"/>
          <w:sz w:val="20"/>
        </w:rPr>
        <w:t xml:space="preserve">, 2007 U.S. Dist. LEXIS 35082, 2007 WL 1430103, at *2. As Judge Easterbrook so aptly described the same situation in </w:t>
      </w:r>
      <w:r>
        <w:rPr>
          <w:rFonts w:ascii="Arial" w:eastAsia="Arial" w:hAnsi="Arial" w:cs="Arial"/>
          <w:color w:val="000000"/>
          <w:sz w:val="20"/>
          <w:u w:val="single"/>
        </w:rPr>
        <w:t>Quinones v. City of Evanston, Ill</w:t>
      </w:r>
      <w:r>
        <w:rPr>
          <w:rFonts w:ascii="Arial" w:eastAsia="Arial" w:hAnsi="Arial" w:cs="Arial"/>
          <w:color w:val="000000"/>
          <w:sz w:val="20"/>
        </w:rPr>
        <w:t xml:space="preserve">., "[Defendant] believes that it is compelled to follow the directive from the state, but the Supremacy Clause of the Constitution requires a different order of priority. </w:t>
      </w:r>
      <w:bookmarkStart w:id="774" w:name="Bookmark_LNHNREFclscc10_2"/>
      <w:bookmarkEnd w:id="774"/>
      <w:r>
        <w:rPr>
          <w:rFonts w:ascii="Arial" w:eastAsia="Arial" w:hAnsi="Arial" w:cs="Arial"/>
          <w:color w:val="000000"/>
          <w:sz w:val="20"/>
        </w:rPr>
        <w:t xml:space="preserve">A discriminatory state law is not a </w:t>
      </w:r>
      <w:r>
        <w:rPr>
          <w:rFonts w:ascii="Arial" w:eastAsia="Arial" w:hAnsi="Arial" w:cs="Arial"/>
          <w:i/>
          <w:color w:val="000000"/>
          <w:sz w:val="20"/>
        </w:rPr>
        <w:t>defense</w:t>
      </w:r>
      <w:r>
        <w:rPr>
          <w:rFonts w:ascii="Arial" w:eastAsia="Arial" w:hAnsi="Arial" w:cs="Arial"/>
          <w:color w:val="000000"/>
          <w:sz w:val="20"/>
        </w:rPr>
        <w:t xml:space="preserve"> to liability under federal law; it is a </w:t>
      </w:r>
      <w:r>
        <w:rPr>
          <w:rFonts w:ascii="Arial" w:eastAsia="Arial" w:hAnsi="Arial" w:cs="Arial"/>
          <w:i/>
          <w:color w:val="000000"/>
          <w:sz w:val="20"/>
        </w:rPr>
        <w:t>source</w:t>
      </w:r>
      <w:r>
        <w:rPr>
          <w:rFonts w:ascii="Arial" w:eastAsia="Arial" w:hAnsi="Arial" w:cs="Arial"/>
          <w:color w:val="000000"/>
          <w:sz w:val="20"/>
        </w:rPr>
        <w:t xml:space="preserve"> of liability under federal law." </w:t>
      </w:r>
      <w:bookmarkStart w:id="775" w:name="Bookmark_I4W8CFR30K1MNJ1KX0000400"/>
      <w:bookmarkEnd w:id="775"/>
      <w:r>
        <w:rPr>
          <w:rFonts w:ascii="Arial" w:eastAsia="Arial" w:hAnsi="Arial" w:cs="Arial"/>
          <w:color w:val="000000"/>
          <w:sz w:val="20"/>
        </w:rPr>
        <w:t xml:space="preserve">58 F.3d 275, 277 (7th Cir. 1995) (citing </w:t>
      </w:r>
      <w:bookmarkStart w:id="776" w:name="Bookmark_I4W8CFR30K1MNJ1MH0000400"/>
      <w:bookmarkEnd w:id="776"/>
      <w:r>
        <w:rPr>
          <w:rFonts w:ascii="Arial" w:eastAsia="Arial" w:hAnsi="Arial" w:cs="Arial"/>
          <w:color w:val="000000"/>
          <w:sz w:val="20"/>
          <w:u w:val="single"/>
        </w:rPr>
        <w:t>Williams v. Gen. Foods Corp</w:t>
      </w:r>
      <w:r>
        <w:rPr>
          <w:rFonts w:ascii="Arial" w:eastAsia="Arial" w:hAnsi="Arial" w:cs="Arial"/>
          <w:color w:val="000000"/>
          <w:sz w:val="20"/>
        </w:rPr>
        <w:t>., 492 F.2d 399, 404 (7th Cir. 1974)).  [**27] Reliance on state statutes to excuse non-compliance with federal laws is simply unacceptable under the Supremacy Clause.</w:t>
      </w:r>
    </w:p>
    <w:p w:rsidR="006E038D" w:rsidRDefault="00000000">
      <w:pPr>
        <w:pStyle w:val="Normal5"/>
        <w:widowControl w:val="0"/>
        <w:spacing w:before="200" w:line="260" w:lineRule="atLeast"/>
        <w:jc w:val="both"/>
      </w:pPr>
      <w:bookmarkStart w:id="777" w:name="Bookmark_para_40_1"/>
      <w:bookmarkEnd w:id="777"/>
      <w:r>
        <w:rPr>
          <w:rFonts w:ascii="Arial" w:eastAsia="Arial" w:hAnsi="Arial" w:cs="Arial"/>
          <w:color w:val="000000"/>
          <w:sz w:val="20"/>
        </w:rPr>
        <w:t>In this case, the DMV took adequate steps to ameliorate the situation by engaging in discussion about guardianship and pursuing legislative amendment. Further, even assuming that the DMV did not adequately participate in the interactive process in this case, the Barbers have failed to show that the DMV's participation in the interactive process would have likely produced a reasonable accommodation. Therefore, we affirm the district court's grant of summary judgment and find no grounds to reverse its denial of the motion to reconsider.</w:t>
      </w:r>
    </w:p>
    <w:p w:rsidR="006E038D" w:rsidRDefault="00000000">
      <w:pPr>
        <w:pStyle w:val="Normal5"/>
        <w:widowControl w:val="0"/>
        <w:spacing w:before="200" w:line="260" w:lineRule="atLeast"/>
        <w:jc w:val="both"/>
      </w:pPr>
      <w:bookmarkStart w:id="778" w:name="Bookmark_para_41_1"/>
      <w:bookmarkEnd w:id="778"/>
      <w:r>
        <w:rPr>
          <w:rFonts w:ascii="Arial" w:eastAsia="Arial" w:hAnsi="Arial" w:cs="Arial"/>
          <w:color w:val="000000"/>
          <w:sz w:val="20"/>
        </w:rPr>
        <w:t>AFFIRMED.</w:t>
      </w:r>
    </w:p>
    <w:p w:rsidR="006E038D" w:rsidRDefault="00000000">
      <w:pPr>
        <w:pStyle w:val="Normal5"/>
        <w:widowControl w:val="0"/>
        <w:spacing w:before="240" w:line="260" w:lineRule="atLeast"/>
      </w:pPr>
      <w:bookmarkStart w:id="779" w:name="Concur_by"/>
      <w:bookmarkEnd w:id="779"/>
      <w:r>
        <w:rPr>
          <w:rFonts w:ascii="Arial" w:eastAsia="Arial" w:hAnsi="Arial" w:cs="Arial"/>
          <w:b/>
          <w:color w:val="000000"/>
          <w:sz w:val="20"/>
        </w:rPr>
        <w:t>Concur by:</w:t>
      </w:r>
      <w:r>
        <w:rPr>
          <w:rFonts w:ascii="Arial" w:eastAsia="Arial" w:hAnsi="Arial" w:cs="Arial"/>
          <w:color w:val="000000"/>
          <w:sz w:val="20"/>
        </w:rPr>
        <w:t> GORSUCH</w:t>
      </w:r>
    </w:p>
    <w:p w:rsidR="006E038D" w:rsidRDefault="00000000">
      <w:pPr>
        <w:pStyle w:val="Normal5"/>
        <w:keepNext/>
        <w:widowControl w:val="0"/>
        <w:spacing w:before="240" w:line="340" w:lineRule="atLeast"/>
      </w:pPr>
      <w:bookmarkStart w:id="780" w:name="Concur"/>
      <w:bookmarkEnd w:id="780"/>
      <w:r>
        <w:rPr>
          <w:rFonts w:ascii="Arial" w:eastAsia="Arial" w:hAnsi="Arial" w:cs="Arial"/>
          <w:b/>
          <w:color w:val="000000"/>
          <w:sz w:val="28"/>
        </w:rPr>
        <w:t>Concur</w:t>
      </w:r>
    </w:p>
    <w:p w:rsidR="006E038D" w:rsidRDefault="008C3211">
      <w:pPr>
        <w:pStyle w:val="Normal5"/>
        <w:spacing w:line="60" w:lineRule="exact"/>
      </w:pPr>
      <w:r>
        <w:rPr>
          <w:noProof/>
        </w:rP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88752277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D82E2" id="Line 1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6E038D" w:rsidRDefault="006E038D">
      <w:pPr>
        <w:pStyle w:val="Normal5"/>
      </w:pPr>
    </w:p>
    <w:p w:rsidR="006E038D" w:rsidRDefault="00000000">
      <w:pPr>
        <w:pStyle w:val="Normal5"/>
        <w:widowControl w:val="0"/>
        <w:spacing w:before="200" w:line="260" w:lineRule="atLeast"/>
        <w:jc w:val="both"/>
      </w:pPr>
      <w:bookmarkStart w:id="781" w:name="Bookmark_para_42_1"/>
      <w:bookmarkEnd w:id="781"/>
      <w:r>
        <w:rPr>
          <w:rFonts w:ascii="Arial" w:eastAsia="Arial" w:hAnsi="Arial" w:cs="Arial"/>
          <w:b/>
          <w:color w:val="000000"/>
          <w:sz w:val="20"/>
        </w:rPr>
        <w:t>GORSUCH, J</w:t>
      </w:r>
      <w:r>
        <w:rPr>
          <w:rFonts w:ascii="Arial" w:eastAsia="Arial" w:hAnsi="Arial" w:cs="Arial"/>
          <w:color w:val="000000"/>
          <w:sz w:val="20"/>
        </w:rPr>
        <w:t>., Circuit Judge, concurring in the judgment.</w:t>
      </w:r>
    </w:p>
    <w:p w:rsidR="006E038D" w:rsidRDefault="00000000">
      <w:pPr>
        <w:pStyle w:val="Normal5"/>
        <w:widowControl w:val="0"/>
        <w:spacing w:before="200" w:line="260" w:lineRule="atLeast"/>
        <w:jc w:val="both"/>
      </w:pPr>
      <w:bookmarkStart w:id="782" w:name="Bookmark_para_43_1"/>
      <w:bookmarkEnd w:id="782"/>
      <w:r>
        <w:rPr>
          <w:rFonts w:ascii="Arial" w:eastAsia="Arial" w:hAnsi="Arial" w:cs="Arial"/>
          <w:color w:val="000000"/>
          <w:sz w:val="20"/>
        </w:rPr>
        <w:t xml:space="preserve">When this dispute began, Colorado law provided that 15-year old minors could receive a permit to practice driving under the supervision of a "parent, stepparent, or guardian" before becoming eligible for a full driver's license at age 16. Colo. Rev. Stat. § 42-2-106. The public safety rationale for this statute was obvious: to ensure that new, minor, and as-yet unlicensed, drivers operated under the care of someone with lawful authority to control their conduct on  [**28] the roads. At the same time, the guardian discussed in the statute didn't have to be a person with full guardianship authority. Instead, it could be an individual with authority limited solely to overseeing the child's driving. </w:t>
      </w:r>
      <w:r>
        <w:rPr>
          <w:rFonts w:ascii="Arial" w:eastAsia="Arial" w:hAnsi="Arial" w:cs="Arial"/>
          <w:i/>
          <w:color w:val="000000"/>
          <w:sz w:val="20"/>
        </w:rPr>
        <w:t>See</w:t>
      </w:r>
      <w:r>
        <w:rPr>
          <w:rFonts w:ascii="Arial" w:eastAsia="Arial" w:hAnsi="Arial" w:cs="Arial"/>
          <w:color w:val="000000"/>
          <w:sz w:val="20"/>
        </w:rPr>
        <w:t xml:space="preserve"> Colo. Rev. Stat. § 15-14-102(4) (recognizing limited guardianships); Colo. Rev. Stat. § 15-14-105 ("a parent or guardian" may delegate "any power," however small, "regarding care, custody, or property" of a child to another). Under Colorado law, then, Ms. Barber was free simply to sign a piece of paper - no court involvement or other formality required - giving any person of her choosing authority to supervise (only) her daughter's practice driving sessions. </w:t>
      </w:r>
      <w:bookmarkStart w:id="783" w:name="Bookmark_I0MRK7K2KYV000M3DRV001DJ"/>
      <w:bookmarkStart w:id="784" w:name="Bookmark_I0MRK7K2T2P000M3DRV001DK"/>
      <w:bookmarkStart w:id="785" w:name="Bookmark_I0MRK7K2XWV000M3DRV001DM"/>
      <w:bookmarkStart w:id="786" w:name="Bookmark_I4W8CFR30K1MNJ1MM0000400"/>
      <w:bookmarkEnd w:id="783"/>
      <w:bookmarkEnd w:id="784"/>
      <w:bookmarkEnd w:id="785"/>
      <w:bookmarkEnd w:id="786"/>
      <w:r>
        <w:rPr>
          <w:rFonts w:ascii="Arial" w:eastAsia="Arial" w:hAnsi="Arial" w:cs="Arial"/>
          <w:color w:val="000000"/>
          <w:sz w:val="20"/>
        </w:rPr>
        <w:t xml:space="preserve">Plaintiffs have admitted that they never considered, and would never have agreed to, this option. But no one has shown why this option - designed to ensure that 15 year-old minors operate motor vehicles under the supervision of an adult with lawful authority over them - discriminated against the handicapped, such that the need for a remedial interactive process aimed at finding a reasonable accommodation was triggered. </w:t>
      </w:r>
      <w:bookmarkStart w:id="787" w:name="Bookmark_I4W8CFR30K1MNJ1MK0000400"/>
      <w:bookmarkEnd w:id="787"/>
      <w:r>
        <w:rPr>
          <w:rFonts w:ascii="Arial" w:eastAsia="Arial" w:hAnsi="Arial" w:cs="Arial"/>
          <w:i/>
          <w:color w:val="000000"/>
          <w:sz w:val="20"/>
        </w:rPr>
        <w:t>Alexander v. Choate</w:t>
      </w:r>
      <w:r>
        <w:rPr>
          <w:rFonts w:ascii="Arial" w:eastAsia="Arial" w:hAnsi="Arial" w:cs="Arial"/>
          <w:color w:val="000000"/>
          <w:sz w:val="20"/>
        </w:rPr>
        <w:t xml:space="preserve">, 469 U.S. 287, 301, 105 S. Ct. 712, 83  [*1234]  L. Ed. 2d 661 (1985); </w:t>
      </w:r>
      <w:r>
        <w:rPr>
          <w:rFonts w:ascii="Arial" w:eastAsia="Arial" w:hAnsi="Arial" w:cs="Arial"/>
          <w:i/>
          <w:color w:val="000000"/>
          <w:sz w:val="20"/>
        </w:rPr>
        <w:t xml:space="preserve">see also </w:t>
      </w:r>
      <w:bookmarkStart w:id="788" w:name="Bookmark_I4W8CFR30K1MNJ1RB0000400"/>
      <w:bookmarkEnd w:id="788"/>
      <w:r>
        <w:rPr>
          <w:rFonts w:ascii="Arial" w:eastAsia="Arial" w:hAnsi="Arial" w:cs="Arial"/>
          <w:i/>
          <w:color w:val="000000"/>
          <w:sz w:val="20"/>
        </w:rPr>
        <w:t>Wisconsin Comty. Servs. v. City of Milwaukee</w:t>
      </w:r>
      <w:r>
        <w:rPr>
          <w:rFonts w:ascii="Arial" w:eastAsia="Arial" w:hAnsi="Arial" w:cs="Arial"/>
          <w:color w:val="000000"/>
          <w:sz w:val="20"/>
        </w:rPr>
        <w:t xml:space="preserve">, 465 F.3d 737, 751 (7th Cir. 2006)  [**29] (en banc) (reasonable accommodation is required only if it is "necessary to avoid discrimination on the basis of a disability") (emphases deleted); </w:t>
      </w:r>
      <w:bookmarkStart w:id="789" w:name="Bookmark_I4W8CFR30K1MNJ1RD0000400"/>
      <w:bookmarkEnd w:id="789"/>
      <w:r>
        <w:rPr>
          <w:rFonts w:ascii="Arial" w:eastAsia="Arial" w:hAnsi="Arial" w:cs="Arial"/>
          <w:i/>
          <w:color w:val="000000"/>
          <w:sz w:val="20"/>
        </w:rPr>
        <w:t>Mark H. v. Lemahieu</w:t>
      </w:r>
      <w:r>
        <w:rPr>
          <w:rFonts w:ascii="Arial" w:eastAsia="Arial" w:hAnsi="Arial" w:cs="Arial"/>
          <w:color w:val="000000"/>
          <w:sz w:val="20"/>
        </w:rPr>
        <w:t xml:space="preserve">, 513 F.3d 922, 937 (9th Cir. 2008) ("reasonable modifications" to state regulatory schemes are required if but only if "necessary to correct for instances" where disabled persons are "prevented from enjoying 'meaningful access' to a benefit because of their disability") (emphasis deleted). To be sure, had Colorado law imposed more onerous restrictions on handicapped persons - for example, forcing them to assign away full guardianship rights, or to endure needless bureaucratic red tape - we would have a very different case. But Colorado law did no such thing. </w:t>
      </w:r>
      <w:r>
        <w:rPr>
          <w:rFonts w:ascii="Arial" w:eastAsia="Arial" w:hAnsi="Arial" w:cs="Arial"/>
          <w:vertAlign w:val="superscript"/>
        </w:rPr>
        <w:footnoteReference w:customMarkFollows="1" w:id="23"/>
        <w:t>1</w:t>
      </w:r>
      <w:r>
        <w:rPr>
          <w:rFonts w:ascii="Arial" w:eastAsia="Arial" w:hAnsi="Arial" w:cs="Arial"/>
          <w:color w:val="000000"/>
          <w:sz w:val="20"/>
        </w:rPr>
        <w:t xml:space="preserve"> </w:t>
      </w:r>
    </w:p>
    <w:p w:rsidR="006E038D" w:rsidRDefault="00000000">
      <w:pPr>
        <w:pStyle w:val="Normal5"/>
        <w:widowControl w:val="0"/>
        <w:spacing w:before="200" w:line="260" w:lineRule="atLeast"/>
        <w:jc w:val="both"/>
      </w:pPr>
      <w:bookmarkStart w:id="791" w:name="Bookmark_para_44_1"/>
      <w:bookmarkStart w:id="792" w:name="Bookmark_I0MRK7K32R0000M3DRV001DN"/>
      <w:bookmarkStart w:id="793" w:name="Bookmark_I4W8CFR30K1MNJ1RP0000400"/>
      <w:bookmarkStart w:id="794" w:name="Bookmark_I0MRK7K36J4000M3DRV001DP"/>
      <w:bookmarkStart w:id="795" w:name="Bookmark_I4W8CFR30K1MNJ1RS0000400"/>
      <w:bookmarkEnd w:id="791"/>
      <w:bookmarkEnd w:id="792"/>
      <w:bookmarkEnd w:id="793"/>
      <w:bookmarkEnd w:id="794"/>
      <w:bookmarkEnd w:id="795"/>
      <w:r>
        <w:rPr>
          <w:rFonts w:ascii="Arial" w:eastAsia="Arial" w:hAnsi="Arial" w:cs="Arial"/>
          <w:color w:val="000000"/>
          <w:sz w:val="20"/>
        </w:rPr>
        <w:t xml:space="preserve">If Colorado law </w:t>
      </w:r>
      <w:r>
        <w:rPr>
          <w:rFonts w:ascii="Arial" w:eastAsia="Arial" w:hAnsi="Arial" w:cs="Arial"/>
          <w:i/>
          <w:color w:val="000000"/>
          <w:sz w:val="20"/>
        </w:rPr>
        <w:t>had</w:t>
      </w:r>
      <w:r>
        <w:rPr>
          <w:rFonts w:ascii="Arial" w:eastAsia="Arial" w:hAnsi="Arial" w:cs="Arial"/>
          <w:color w:val="000000"/>
          <w:sz w:val="20"/>
        </w:rPr>
        <w:t xml:space="preserve"> discriminated on the basis of disability, in violation of the Rehabilitation Act, the State defendants argue they still shouldn't be held liable, in part because they were bound to follow State law unless and until the State legislature stepped in to change State law. But a state law at odds with a valid Act of Congress is no law at all. </w:t>
      </w:r>
      <w:bookmarkStart w:id="796" w:name="Bookmark_I4W8CFR30K1MNJ1RG0000400"/>
      <w:bookmarkEnd w:id="796"/>
      <w:r>
        <w:rPr>
          <w:rFonts w:ascii="Arial" w:eastAsia="Arial" w:hAnsi="Arial" w:cs="Arial"/>
          <w:i/>
          <w:color w:val="000000"/>
          <w:sz w:val="20"/>
        </w:rPr>
        <w:t>McCulloch v. Maryland</w:t>
      </w:r>
      <w:r>
        <w:rPr>
          <w:rFonts w:ascii="Arial" w:eastAsia="Arial" w:hAnsi="Arial" w:cs="Arial"/>
          <w:color w:val="000000"/>
          <w:sz w:val="20"/>
        </w:rPr>
        <w:t xml:space="preserve">, 17 U.S. 316, 4 L. Ed. 579 (1819); U.S. Const. art. VI, cl. 2 (Supremacy Clause). Accordingly, the demands of the federal Rehabilitation Act do not yield to state laws that discriminate against the disabled; it works the other way around. </w:t>
      </w:r>
      <w:r>
        <w:rPr>
          <w:rFonts w:ascii="Arial" w:eastAsia="Arial" w:hAnsi="Arial" w:cs="Arial"/>
          <w:i/>
          <w:color w:val="000000"/>
          <w:sz w:val="20"/>
        </w:rPr>
        <w:t xml:space="preserve">See </w:t>
      </w:r>
      <w:bookmarkStart w:id="797" w:name="Bookmark_I4W8CFR30K1MNJ1RR0000400"/>
      <w:bookmarkEnd w:id="797"/>
      <w:r>
        <w:rPr>
          <w:rFonts w:ascii="Arial" w:eastAsia="Arial" w:hAnsi="Arial" w:cs="Arial"/>
          <w:i/>
          <w:color w:val="000000"/>
          <w:sz w:val="20"/>
        </w:rPr>
        <w:t>Quinones v. City of Evanston, Ill</w:t>
      </w:r>
      <w:r>
        <w:rPr>
          <w:rFonts w:ascii="Arial" w:eastAsia="Arial" w:hAnsi="Arial" w:cs="Arial"/>
          <w:color w:val="000000"/>
          <w:sz w:val="20"/>
        </w:rPr>
        <w:t>., 58 F.3d 275, 277 (7th Cir. 1995). State officials who rely on their compliance with discriminatory state laws as evidence of their reasonableness will normally find themselves proving their own liability, not shielding themselves from it. That result is avoided here only because the Colorado law  [**31] in question was not discriminatory.</w:t>
      </w:r>
    </w:p>
    <w:p w:rsidR="006E038D" w:rsidRDefault="006E038D">
      <w:pPr>
        <w:pStyle w:val="Normal5"/>
      </w:pPr>
    </w:p>
    <w:p w:rsidR="006E038D" w:rsidRDefault="00000000">
      <w:pPr>
        <w:pStyle w:val="Normal5"/>
        <w:ind w:left="200"/>
        <w:sectPr w:rsidR="006E038D">
          <w:type w:val="continuous"/>
          <w:pgSz w:w="12240" w:h="15840"/>
          <w:pgMar w:top="840" w:right="1000" w:bottom="840" w:left="1000" w:header="400" w:footer="400" w:gutter="0"/>
          <w:cols w:num="2" w:space="240"/>
        </w:sectPr>
      </w:pPr>
      <w:r>
        <w:br/>
      </w:r>
      <w:r w:rsidR="008C3211">
        <w:rPr>
          <w:noProof/>
        </w:rPr>
        <mc:AlternateContent>
          <mc:Choice Requires="wps">
            <w:drawing>
              <wp:anchor distT="0" distB="0" distL="114300" distR="114300" simplePos="0" relativeHeight="25167155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2635735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7F0ABD"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6E038D" w:rsidRDefault="006E038D">
      <w:pPr>
        <w:pStyle w:val="Normal6"/>
        <w:sectPr w:rsidR="006E038D">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gutter="0"/>
          <w:cols w:space="720"/>
          <w:titlePg/>
        </w:sectPr>
      </w:pPr>
    </w:p>
    <w:p w:rsidR="006E038D" w:rsidRDefault="006E038D">
      <w:pPr>
        <w:pStyle w:val="Normal6"/>
      </w:pPr>
    </w:p>
    <w:p w:rsidR="006E038D" w:rsidRDefault="00000000">
      <w:pPr>
        <w:pStyle w:val="Heading15"/>
        <w:keepNext w:val="0"/>
        <w:widowControl w:val="0"/>
        <w:spacing w:after="200" w:line="340" w:lineRule="atLeast"/>
        <w:jc w:val="center"/>
      </w:pPr>
      <w:r>
        <w:rPr>
          <w:rFonts w:eastAsia="Arial"/>
          <w:color w:val="000000"/>
          <w:sz w:val="28"/>
        </w:rPr>
        <w:t>Mason v. Corr. Med. Servs., Inc.</w:t>
      </w:r>
    </w:p>
    <w:p w:rsidR="006E038D" w:rsidRDefault="00000000">
      <w:pPr>
        <w:pStyle w:val="Normal6"/>
        <w:widowControl w:val="0"/>
        <w:spacing w:before="120" w:line="260" w:lineRule="atLeast"/>
        <w:jc w:val="center"/>
      </w:pPr>
      <w:r>
        <w:rPr>
          <w:rFonts w:ascii="Arial" w:eastAsia="Arial" w:hAnsi="Arial" w:cs="Arial"/>
          <w:color w:val="000000"/>
          <w:sz w:val="20"/>
        </w:rPr>
        <w:t>United States Court of Appeals for the Eighth Circuit</w:t>
      </w:r>
    </w:p>
    <w:p w:rsidR="006E038D" w:rsidRDefault="00000000">
      <w:pPr>
        <w:pStyle w:val="Normal6"/>
        <w:widowControl w:val="0"/>
        <w:spacing w:before="120" w:line="260" w:lineRule="atLeast"/>
        <w:jc w:val="center"/>
      </w:pPr>
      <w:r>
        <w:rPr>
          <w:rFonts w:ascii="Arial" w:eastAsia="Arial" w:hAnsi="Arial" w:cs="Arial"/>
          <w:color w:val="000000"/>
          <w:sz w:val="20"/>
        </w:rPr>
        <w:t>April 18, 2008, Submitted; March 24, 2009, Filed</w:t>
      </w:r>
    </w:p>
    <w:p w:rsidR="006E038D" w:rsidRDefault="00000000">
      <w:pPr>
        <w:pStyle w:val="Normal6"/>
        <w:widowControl w:val="0"/>
        <w:spacing w:before="120" w:line="260" w:lineRule="atLeast"/>
        <w:jc w:val="center"/>
        <w:sectPr w:rsidR="006E038D">
          <w:type w:val="continuous"/>
          <w:pgSz w:w="12240" w:h="15840"/>
          <w:pgMar w:top="840" w:right="1000" w:bottom="840" w:left="1000" w:header="400" w:footer="400" w:gutter="0"/>
          <w:cols w:space="240"/>
        </w:sectPr>
      </w:pPr>
      <w:r>
        <w:rPr>
          <w:rFonts w:ascii="Arial" w:eastAsia="Arial" w:hAnsi="Arial" w:cs="Arial"/>
          <w:color w:val="000000"/>
          <w:sz w:val="20"/>
        </w:rPr>
        <w:t>No. 07-2814</w:t>
      </w:r>
    </w:p>
    <w:p w:rsidR="006E038D" w:rsidRDefault="006E038D">
      <w:pPr>
        <w:pStyle w:val="Normal6"/>
        <w:widowControl w:val="0"/>
        <w:spacing w:line="240" w:lineRule="atLeast"/>
        <w:jc w:val="both"/>
      </w:pPr>
      <w:bookmarkStart w:id="798" w:name="Bookmark_7"/>
      <w:bookmarkEnd w:id="798"/>
    </w:p>
    <w:p w:rsidR="006E038D" w:rsidRDefault="00000000">
      <w:pPr>
        <w:pStyle w:val="Normal6"/>
        <w:widowControl w:val="0"/>
        <w:spacing w:before="200" w:line="240" w:lineRule="atLeast"/>
      </w:pPr>
      <w:bookmarkStart w:id="799" w:name="Reporter_5"/>
      <w:bookmarkEnd w:id="799"/>
      <w:r>
        <w:rPr>
          <w:rFonts w:ascii="Arial" w:eastAsia="Arial" w:hAnsi="Arial" w:cs="Arial"/>
          <w:b/>
          <w:color w:val="000000"/>
          <w:sz w:val="18"/>
        </w:rPr>
        <w:t>Reporter</w:t>
      </w:r>
    </w:p>
    <w:p w:rsidR="006E038D" w:rsidRDefault="00000000">
      <w:pPr>
        <w:pStyle w:val="Normal6"/>
        <w:widowControl w:val="0"/>
        <w:spacing w:line="240" w:lineRule="atLeast"/>
        <w:sectPr w:rsidR="006E038D">
          <w:type w:val="continuous"/>
          <w:pgSz w:w="12240" w:h="15840"/>
          <w:pgMar w:top="840" w:right="1000" w:bottom="840" w:left="1000" w:header="400" w:footer="400" w:gutter="0"/>
          <w:cols w:space="240"/>
        </w:sectPr>
      </w:pPr>
      <w:r>
        <w:rPr>
          <w:rFonts w:ascii="Arial" w:eastAsia="Arial" w:hAnsi="Arial" w:cs="Arial"/>
          <w:color w:val="000000"/>
          <w:sz w:val="18"/>
        </w:rPr>
        <w:t>559 F.3d 880 *; 2009 U.S. App. LEXIS 6068 **</w:t>
      </w:r>
    </w:p>
    <w:p w:rsidR="006E038D" w:rsidRDefault="00000000">
      <w:pPr>
        <w:pStyle w:val="Normal6"/>
        <w:widowControl w:val="0"/>
        <w:spacing w:before="120" w:line="260" w:lineRule="atLeast"/>
      </w:pPr>
      <w:r>
        <w:rPr>
          <w:rFonts w:ascii="Arial" w:eastAsia="Arial" w:hAnsi="Arial" w:cs="Arial"/>
          <w:color w:val="000000"/>
          <w:sz w:val="20"/>
        </w:rPr>
        <w:t>Alex A. Mason, Plaintiff/Appellant, v. Correctional Medical Services, Inc.; Gary Campbell, Dr., Defendants/Appellees, Elizabeth Conley; Unknown Rice; Unknown Rakestraw; Unknown Gavett, Dr., Defendants, James Carter; Missouri Department of Corrections, Defendants/Appellees, Mason Eye Clinic; Dean P. Hainsworth, Dr.; Unknown Hendrix, Dr.; Lenworth N. Johnson, Dr.; Unknown Doctors; Gary Kempker; Jim Moore, Defendants.</w:t>
      </w:r>
    </w:p>
    <w:p w:rsidR="006E038D" w:rsidRDefault="00000000">
      <w:pPr>
        <w:pStyle w:val="Normal6"/>
        <w:widowControl w:val="0"/>
        <w:spacing w:before="240" w:line="260" w:lineRule="atLeast"/>
        <w:jc w:val="both"/>
      </w:pPr>
      <w:bookmarkStart w:id="800" w:name="Prior_History_5"/>
      <w:bookmarkEnd w:id="800"/>
      <w:r>
        <w:rPr>
          <w:rFonts w:ascii="Arial" w:eastAsia="Arial" w:hAnsi="Arial" w:cs="Arial"/>
          <w:b/>
          <w:color w:val="000000"/>
          <w:sz w:val="20"/>
        </w:rPr>
        <w:t>Prior History:</w:t>
      </w:r>
      <w:r>
        <w:rPr>
          <w:rFonts w:ascii="Arial" w:eastAsia="Arial" w:hAnsi="Arial" w:cs="Arial"/>
          <w:color w:val="000000"/>
          <w:sz w:val="20"/>
        </w:rPr>
        <w:t>  [**1] </w:t>
      </w:r>
      <w:bookmarkStart w:id="801" w:name="Bookmark_para_1_5"/>
      <w:bookmarkEnd w:id="801"/>
      <w:r>
        <w:rPr>
          <w:rFonts w:ascii="Arial" w:eastAsia="Arial" w:hAnsi="Arial" w:cs="Arial"/>
          <w:color w:val="000000"/>
          <w:sz w:val="20"/>
        </w:rPr>
        <w:t>Appeal from the United States District Court for the Eastern District of Missouri.</w:t>
      </w:r>
    </w:p>
    <w:p w:rsidR="006E038D" w:rsidRDefault="00000000">
      <w:pPr>
        <w:pStyle w:val="Normal6"/>
        <w:widowControl w:val="0"/>
        <w:spacing w:before="120" w:line="260" w:lineRule="atLeast"/>
      </w:pPr>
      <w:r>
        <w:rPr>
          <w:rFonts w:ascii="Arial" w:eastAsia="Arial" w:hAnsi="Arial" w:cs="Arial"/>
          <w:color w:val="000000"/>
          <w:sz w:val="20"/>
        </w:rPr>
        <w:t>Mason v. Corr. Med. Serv., 2007 U.S. Dist. LEXIS 8444 (E.D. Mo., Feb. 6, 2007)</w:t>
      </w:r>
    </w:p>
    <w:p w:rsidR="006E038D" w:rsidRDefault="00000000">
      <w:pPr>
        <w:pStyle w:val="Normal6"/>
        <w:widowControl w:val="0"/>
        <w:spacing w:before="240" w:line="260" w:lineRule="atLeast"/>
      </w:pPr>
      <w:bookmarkStart w:id="802" w:name="Counsel_5"/>
      <w:bookmarkEnd w:id="802"/>
      <w:r>
        <w:rPr>
          <w:rFonts w:ascii="Arial" w:eastAsia="Arial" w:hAnsi="Arial" w:cs="Arial"/>
          <w:b/>
          <w:color w:val="000000"/>
          <w:sz w:val="20"/>
        </w:rPr>
        <w:t>Counsel:</w:t>
      </w:r>
      <w:r>
        <w:rPr>
          <w:rFonts w:ascii="Arial" w:eastAsia="Arial" w:hAnsi="Arial" w:cs="Arial"/>
          <w:color w:val="000000"/>
          <w:sz w:val="20"/>
        </w:rPr>
        <w:t> For Alex A. Mason, Plaintiff - Appellant: Jonathan David Valentino, ARMSTRONG &amp; TEASDALE, St. Louis, MO; Alex A. Mason, Bowling Green, MO.</w:t>
      </w:r>
    </w:p>
    <w:p w:rsidR="006E038D" w:rsidRDefault="00000000">
      <w:pPr>
        <w:pStyle w:val="Normal6"/>
        <w:widowControl w:val="0"/>
        <w:spacing w:before="120" w:line="260" w:lineRule="atLeast"/>
      </w:pPr>
      <w:r>
        <w:rPr>
          <w:rFonts w:ascii="Arial" w:eastAsia="Arial" w:hAnsi="Arial" w:cs="Arial"/>
          <w:color w:val="000000"/>
          <w:sz w:val="20"/>
        </w:rPr>
        <w:t>For Correctional Medical Services, Inc., Gary Campbell, Dr., Defendants - Appellees: Martin John Buckley, David Scott Davis, Adrian Phillip Sulser, BUCKLEY &amp; BUCKLEY, St. Louis, MO; John J. Treu, Assistant General Counsel, Jefferson City, MO.</w:t>
      </w:r>
    </w:p>
    <w:p w:rsidR="006E038D" w:rsidRDefault="00000000">
      <w:pPr>
        <w:pStyle w:val="Normal6"/>
        <w:widowControl w:val="0"/>
        <w:spacing w:before="120" w:line="260" w:lineRule="atLeast"/>
      </w:pPr>
      <w:r>
        <w:rPr>
          <w:rFonts w:ascii="Arial" w:eastAsia="Arial" w:hAnsi="Arial" w:cs="Arial"/>
          <w:color w:val="000000"/>
          <w:sz w:val="20"/>
        </w:rPr>
        <w:t>For James Carter, Missouri Department of Corrections, Defendants - Appellees: Dana C. Ceresia, Assistant Attorney General, ATTORNEY GENERAL'S OFFICE, St. Louis, MO; Tiffany B. Kieffer, GALLOP &amp; JOHNSON, St. Louis, MO; James R. McAdams, MISSOURI DEPARTMENT OF INSURANCE, Administrative Division, Jefferson City, MO.</w:t>
      </w:r>
    </w:p>
    <w:p w:rsidR="006E038D" w:rsidRDefault="00000000">
      <w:pPr>
        <w:pStyle w:val="Normal6"/>
        <w:widowControl w:val="0"/>
        <w:spacing w:before="120" w:line="260" w:lineRule="atLeast"/>
      </w:pPr>
      <w:r>
        <w:rPr>
          <w:rFonts w:ascii="Arial" w:eastAsia="Arial" w:hAnsi="Arial" w:cs="Arial"/>
          <w:color w:val="000000"/>
          <w:sz w:val="20"/>
        </w:rPr>
        <w:t>For Gary Kempker, Jim Moore, Defendants: Tiffany B. Kieffer, GALLOP &amp; JOHNSON, St. Louis, MO; James R. McAdams, MISSOURI DEPARTMENT OF INSURANCE, Administrative Division, Jefferson City, MO.</w:t>
      </w:r>
    </w:p>
    <w:p w:rsidR="006E038D" w:rsidRDefault="00000000">
      <w:pPr>
        <w:pStyle w:val="Normal6"/>
        <w:widowControl w:val="0"/>
        <w:spacing w:before="240" w:line="260" w:lineRule="atLeast"/>
      </w:pPr>
      <w:bookmarkStart w:id="803" w:name="Judges_5"/>
      <w:bookmarkEnd w:id="803"/>
      <w:r>
        <w:rPr>
          <w:rFonts w:ascii="Arial" w:eastAsia="Arial" w:hAnsi="Arial" w:cs="Arial"/>
          <w:b/>
          <w:color w:val="000000"/>
          <w:sz w:val="20"/>
        </w:rPr>
        <w:t>Judges:</w:t>
      </w:r>
      <w:r>
        <w:rPr>
          <w:rFonts w:ascii="Arial" w:eastAsia="Arial" w:hAnsi="Arial" w:cs="Arial"/>
          <w:color w:val="000000"/>
          <w:sz w:val="20"/>
        </w:rPr>
        <w:t> Before MURPHY, COLLOTON, and SHEPHERD, Circuit Judges.</w:t>
      </w:r>
    </w:p>
    <w:p w:rsidR="006E038D" w:rsidRDefault="00000000">
      <w:pPr>
        <w:pStyle w:val="Normal6"/>
        <w:widowControl w:val="0"/>
        <w:spacing w:before="240" w:line="260" w:lineRule="atLeast"/>
      </w:pPr>
      <w:bookmarkStart w:id="804" w:name="Opinion_by_4"/>
      <w:bookmarkEnd w:id="804"/>
      <w:r>
        <w:rPr>
          <w:rFonts w:ascii="Arial" w:eastAsia="Arial" w:hAnsi="Arial" w:cs="Arial"/>
          <w:b/>
          <w:color w:val="000000"/>
          <w:sz w:val="20"/>
        </w:rPr>
        <w:t>Opinion by:</w:t>
      </w:r>
      <w:r>
        <w:rPr>
          <w:rFonts w:ascii="Arial" w:eastAsia="Arial" w:hAnsi="Arial" w:cs="Arial"/>
          <w:color w:val="000000"/>
          <w:sz w:val="20"/>
        </w:rPr>
        <w:t> COLLOTON</w:t>
      </w:r>
    </w:p>
    <w:p w:rsidR="006E038D" w:rsidRDefault="00000000">
      <w:pPr>
        <w:pStyle w:val="Normal6"/>
        <w:keepNext/>
        <w:widowControl w:val="0"/>
        <w:spacing w:before="240" w:line="340" w:lineRule="atLeast"/>
      </w:pPr>
      <w:bookmarkStart w:id="805" w:name="Opinion_5"/>
      <w:bookmarkEnd w:id="805"/>
      <w:r>
        <w:rPr>
          <w:rFonts w:ascii="Arial" w:eastAsia="Arial" w:hAnsi="Arial" w:cs="Arial"/>
          <w:b/>
          <w:color w:val="000000"/>
          <w:sz w:val="28"/>
        </w:rPr>
        <w:t>Opinion</w:t>
      </w:r>
    </w:p>
    <w:p w:rsidR="006E038D" w:rsidRDefault="008C3211">
      <w:pPr>
        <w:pStyle w:val="Normal6"/>
        <w:spacing w:line="60" w:lineRule="exact"/>
      </w:pPr>
      <w:r>
        <w:rPr>
          <w:noProof/>
        </w:rPr>
        <mc:AlternateContent>
          <mc:Choice Requires="wps">
            <w:drawing>
              <wp:anchor distT="0" distB="0" distL="114300" distR="114300" simplePos="0" relativeHeight="25167257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473572877"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6C9621"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6E038D" w:rsidRDefault="006E038D">
      <w:pPr>
        <w:pStyle w:val="Normal6"/>
      </w:pPr>
    </w:p>
    <w:p w:rsidR="006E038D" w:rsidRDefault="00000000">
      <w:pPr>
        <w:pStyle w:val="Normal6"/>
        <w:widowControl w:val="0"/>
        <w:spacing w:before="200" w:line="260" w:lineRule="atLeast"/>
        <w:jc w:val="both"/>
      </w:pPr>
      <w:bookmarkStart w:id="806" w:name="Bookmark_para_2_5"/>
      <w:bookmarkEnd w:id="806"/>
      <w:r>
        <w:rPr>
          <w:rFonts w:ascii="Arial" w:eastAsia="Arial" w:hAnsi="Arial" w:cs="Arial"/>
          <w:color w:val="000000"/>
          <w:sz w:val="20"/>
        </w:rPr>
        <w:t> [*883]  COLLOTON, Circuit Judge.</w:t>
      </w:r>
    </w:p>
    <w:p w:rsidR="006E038D" w:rsidRDefault="00000000">
      <w:pPr>
        <w:pStyle w:val="Normal6"/>
        <w:widowControl w:val="0"/>
        <w:spacing w:before="200" w:line="260" w:lineRule="atLeast"/>
        <w:jc w:val="both"/>
      </w:pPr>
      <w:bookmarkStart w:id="807" w:name="Bookmark_para_3_5"/>
      <w:bookmarkEnd w:id="807"/>
      <w:r>
        <w:rPr>
          <w:rFonts w:ascii="Arial" w:eastAsia="Arial" w:hAnsi="Arial" w:cs="Arial"/>
          <w:color w:val="000000"/>
          <w:sz w:val="20"/>
        </w:rPr>
        <w:t>Alex Mason, a Missouri state prisoner, suffered a blood clot that caused permanent blindness in his left eye. Mason sued the manager of his prison housing  [**2] unit, James Carter, and the director of prison medical services, Dr. Gary Campbell, alleging that they violated his Eighth Amendment rights by failing to facilitate or render adequate medical treatment. Mason also sued the Missouri Department of Corrections ("MDOC"), alleging that the MDOC denied him meaningful access to prison benefits and services after he became blind, in violation of the Americans with Disabilities Act ("ADA"), 42 U.S.C. § 12132.</w:t>
      </w:r>
    </w:p>
    <w:p w:rsidR="006E038D" w:rsidRDefault="00000000">
      <w:pPr>
        <w:pStyle w:val="Normal6"/>
        <w:widowControl w:val="0"/>
        <w:spacing w:before="200" w:line="260" w:lineRule="atLeast"/>
        <w:jc w:val="both"/>
      </w:pPr>
      <w:bookmarkStart w:id="808" w:name="Bookmark_para_4_5"/>
      <w:bookmarkStart w:id="809" w:name="Bookmark_I4W37YWH0K1MNJ39Y0000400"/>
      <w:bookmarkEnd w:id="808"/>
      <w:bookmarkEnd w:id="809"/>
      <w:r>
        <w:rPr>
          <w:rFonts w:ascii="Arial" w:eastAsia="Arial" w:hAnsi="Arial" w:cs="Arial"/>
          <w:color w:val="000000"/>
          <w:sz w:val="20"/>
        </w:rPr>
        <w:t xml:space="preserve">The district court </w:t>
      </w:r>
      <w:r>
        <w:rPr>
          <w:rFonts w:ascii="Arial" w:eastAsia="Arial" w:hAnsi="Arial" w:cs="Arial"/>
          <w:vertAlign w:val="superscript"/>
        </w:rPr>
        <w:footnoteReference w:customMarkFollows="1" w:id="24"/>
        <w:t>1</w:t>
      </w:r>
      <w:r>
        <w:rPr>
          <w:rFonts w:ascii="Arial" w:eastAsia="Arial" w:hAnsi="Arial" w:cs="Arial"/>
          <w:color w:val="000000"/>
          <w:sz w:val="20"/>
        </w:rPr>
        <w:t xml:space="preserve"> granted summary judgment in favor of Dr. Campbell and MDOC. </w:t>
      </w:r>
      <w:bookmarkStart w:id="811" w:name="Bookmark_I4W37YWH0K1MNJ39X0000400"/>
      <w:bookmarkEnd w:id="811"/>
      <w:r>
        <w:rPr>
          <w:rFonts w:ascii="Arial" w:eastAsia="Arial" w:hAnsi="Arial" w:cs="Arial"/>
          <w:i/>
          <w:color w:val="000000"/>
          <w:sz w:val="20"/>
        </w:rPr>
        <w:t>Mason v. Corr. Med. Serv., Inc</w:t>
      </w:r>
      <w:r>
        <w:rPr>
          <w:rFonts w:ascii="Arial" w:eastAsia="Arial" w:hAnsi="Arial" w:cs="Arial"/>
          <w:color w:val="000000"/>
          <w:sz w:val="20"/>
        </w:rPr>
        <w:t xml:space="preserve">., No. 2:04-CV-32, 2007 U.S. Dist. LEXIS 8444, 2007 WL 433380 (E.D. Mo. Feb. 6, 2007). Mason's claim against Carter proceeded to trial, and a jury returned a verdict in favor of Carter. The district court </w:t>
      </w:r>
      <w:r>
        <w:rPr>
          <w:rFonts w:ascii="Arial" w:eastAsia="Arial" w:hAnsi="Arial" w:cs="Arial"/>
          <w:vertAlign w:val="superscript"/>
        </w:rPr>
        <w:footnoteReference w:customMarkFollows="1" w:id="25"/>
        <w:t>2</w:t>
      </w:r>
      <w:r>
        <w:rPr>
          <w:rFonts w:ascii="Arial" w:eastAsia="Arial" w:hAnsi="Arial" w:cs="Arial"/>
          <w:color w:val="000000"/>
          <w:sz w:val="20"/>
        </w:rPr>
        <w:t xml:space="preserve"> then denied Mason's post-trial motion for judgment as a matter of law. Mason appeals the district court's decisions granting summary judgment for Campbell and MDOC, and refusing to set aside the jury's verdict for Carter. We affirm.</w:t>
      </w:r>
    </w:p>
    <w:p w:rsidR="006E038D" w:rsidRDefault="00000000">
      <w:pPr>
        <w:pStyle w:val="Normal6"/>
        <w:widowControl w:val="0"/>
        <w:spacing w:before="120" w:line="260" w:lineRule="atLeast"/>
      </w:pPr>
      <w:r>
        <w:rPr>
          <w:rFonts w:ascii="Arial" w:eastAsia="Arial" w:hAnsi="Arial" w:cs="Arial"/>
          <w:color w:val="000000"/>
          <w:sz w:val="20"/>
        </w:rPr>
        <w:t>I.</w:t>
      </w:r>
    </w:p>
    <w:p w:rsidR="006E038D" w:rsidRDefault="00000000">
      <w:pPr>
        <w:pStyle w:val="Normal6"/>
        <w:widowControl w:val="0"/>
        <w:spacing w:before="200" w:line="260" w:lineRule="atLeast"/>
        <w:jc w:val="both"/>
      </w:pPr>
      <w:bookmarkStart w:id="813" w:name="Bookmark_para_5_5"/>
      <w:bookmarkEnd w:id="813"/>
      <w:r>
        <w:rPr>
          <w:rFonts w:ascii="Arial" w:eastAsia="Arial" w:hAnsi="Arial" w:cs="Arial"/>
          <w:color w:val="000000"/>
          <w:sz w:val="20"/>
        </w:rPr>
        <w:t>Mason is incarcerated  [**3] at the Northeast Correctional Center ("NECC") in Missouri. He has been partially blind since childhood, when he lost use of his right eye. Mason awoke in prison on the morning of July 13, 2003, to find his left eye swollen and watering. By July 15, his vision had become blurred, and he was experiencing throbbing head pain.</w:t>
      </w:r>
    </w:p>
    <w:p w:rsidR="006E038D" w:rsidRDefault="00000000">
      <w:pPr>
        <w:pStyle w:val="Normal6"/>
        <w:widowControl w:val="0"/>
        <w:spacing w:before="200" w:line="260" w:lineRule="atLeast"/>
        <w:jc w:val="both"/>
      </w:pPr>
      <w:bookmarkStart w:id="814" w:name="Bookmark_para_6_5"/>
      <w:bookmarkEnd w:id="814"/>
      <w:r>
        <w:rPr>
          <w:rFonts w:ascii="Arial" w:eastAsia="Arial" w:hAnsi="Arial" w:cs="Arial"/>
          <w:color w:val="000000"/>
          <w:sz w:val="20"/>
        </w:rPr>
        <w:t>On July 15, Mason visited the medical wing of the NECC, and saw Dr. Christine Gavett, an independent contractor employed by Correctional Medical Services, Inc. ("CMS"). Dr. Gavett noted that Mason may have developed a blood clot in the left eye, termed a Central Retinal Arterial Occlusion ("CRAO"). She characterized CRAO as an emergency condition, and referred Mason to an outside ophthalmologist, Dr. Jason Hendrix, for an appointment later that day. Dr. Hendrix, however, did not receive Mason's medical file or Dr. Gavett's suspicion that Mason had suffered a CRAO. Dr. Hendrix diagnosed Mason as having diabetic retinopathy, a nonemergency condition, scheduled Mason for a routine reexamination one week later, and sent Mason back to the prison without treatment.</w:t>
      </w:r>
    </w:p>
    <w:p w:rsidR="006E038D" w:rsidRDefault="00000000">
      <w:pPr>
        <w:pStyle w:val="Normal6"/>
        <w:widowControl w:val="0"/>
        <w:spacing w:before="200" w:line="260" w:lineRule="atLeast"/>
        <w:jc w:val="both"/>
      </w:pPr>
      <w:bookmarkStart w:id="815" w:name="Bookmark_para_7_5"/>
      <w:bookmarkEnd w:id="815"/>
      <w:r>
        <w:rPr>
          <w:rFonts w:ascii="Arial" w:eastAsia="Arial" w:hAnsi="Arial" w:cs="Arial"/>
          <w:color w:val="000000"/>
          <w:sz w:val="20"/>
        </w:rPr>
        <w:t>When Mason woke up the next morning, July 16, he was blind in the left eye, and his pain had worsened. Mason  [**4] alleges that he and his cellmate, Willie Oliver, went to the office of James Carter, the prison housing unit manager, and requested emergency medical care. Mason alleges that Carter agreed to notify Correctional Medical Services, and then ordered Mason and Oliver to return to their cell. Upon returning to his cell, Mason was bedridden. Other inmates gave him ibuprofen and a damp cloth for his injured left eye. When they did not hear from CMS later that day, Mason alleges that  [*884]  several inmates went to see Carter to request medical care for Mason. One of the inmates who went to see Carter, James Bailey, testified that Carter told him that he was "taking care" of Mason's request. Another inmate, Mason's cellmate, testified that Carter "never responded" when he asked why Mason had not received medical care, and that Carter told him to submit a Medical Services Request. Mason's cellmate testified that he completed a request with Mason's help and put it in the appropriate mailbox. Carter testified that he could not remember anyone visiting him about Mason's medical condition.</w:t>
      </w:r>
    </w:p>
    <w:p w:rsidR="006E038D" w:rsidRDefault="00000000">
      <w:pPr>
        <w:pStyle w:val="Normal6"/>
        <w:widowControl w:val="0"/>
        <w:spacing w:before="200" w:line="260" w:lineRule="atLeast"/>
        <w:jc w:val="both"/>
      </w:pPr>
      <w:bookmarkStart w:id="816" w:name="Bookmark_para_8_5"/>
      <w:bookmarkEnd w:id="816"/>
      <w:r>
        <w:rPr>
          <w:rFonts w:ascii="Arial" w:eastAsia="Arial" w:hAnsi="Arial" w:cs="Arial"/>
          <w:color w:val="000000"/>
          <w:sz w:val="20"/>
        </w:rPr>
        <w:t>For the next six days, Mason did not leave his bed. He claims that pain produced by the CRAO made it impossible for  [**5] him to eat, sleep, or move about during that period.</w:t>
      </w:r>
    </w:p>
    <w:p w:rsidR="006E038D" w:rsidRDefault="00000000">
      <w:pPr>
        <w:pStyle w:val="Normal6"/>
        <w:widowControl w:val="0"/>
        <w:spacing w:before="200" w:line="260" w:lineRule="atLeast"/>
        <w:jc w:val="both"/>
      </w:pPr>
      <w:bookmarkStart w:id="817" w:name="Bookmark_para_9_5"/>
      <w:bookmarkEnd w:id="817"/>
      <w:r>
        <w:rPr>
          <w:rFonts w:ascii="Arial" w:eastAsia="Arial" w:hAnsi="Arial" w:cs="Arial"/>
          <w:color w:val="000000"/>
          <w:sz w:val="20"/>
        </w:rPr>
        <w:t>On July 22, Mason saw Dr. Gavett for the reexamination that Dr. Hendrix had scheduled seven days earlier. Dr. Gavett observed that Mason's condition had deteriorated, and called the office of CMS's Regional Medical Director for permission to make another emergency referral to the outside clinic. Mason testified that he was in the room and "specifically heard Dr. Gavett refer to Dr. Campbell by name during this call." (App. 145). After the emergency referral was approved, an ophthalmologist at the outside clinic concluded that Mason had suffered an irreversible CRAO in the left eye, and that the only treatment available was to reduce the pain.</w:t>
      </w:r>
    </w:p>
    <w:p w:rsidR="006E038D" w:rsidRDefault="00000000">
      <w:pPr>
        <w:pStyle w:val="Normal6"/>
        <w:widowControl w:val="0"/>
        <w:spacing w:before="200" w:line="260" w:lineRule="atLeast"/>
        <w:jc w:val="both"/>
      </w:pPr>
      <w:bookmarkStart w:id="818" w:name="Bookmark_para_10_5"/>
      <w:bookmarkEnd w:id="818"/>
      <w:r>
        <w:rPr>
          <w:rFonts w:ascii="Arial" w:eastAsia="Arial" w:hAnsi="Arial" w:cs="Arial"/>
          <w:color w:val="000000"/>
          <w:sz w:val="20"/>
        </w:rPr>
        <w:t>Mason sued Carter and Dr. Campbell for alleged violations of the Eighth Amendment, pursuant to 42 U.S.C. § 1983, and MDOC for alleged violations of the ADA. The district court granted summary judgment for Dr. Campbell and MDOC, and the claim against Carter proceeded to trial. At the conclusion of the evidence, the district court concluded as a matter of law that Mason had a "serious medical need" of which Carter had knowledge, but ruled as a matter of law that Carter did not cause Mason's blindness,  [**6] because the CRAO led to irreversible blindness prior to May 16. Because Mason presented evidence that he suffered pain as a result of delayed treatment, however, the court instructed the jury to decide whether Carter had been deliberately indifferent to Mason's serious medical need, and whether Mason had suffered damages as a result. The jury returned a verdict in favor of Carter. The district court denied Mason's subsequent motion for judgment as a matter of law.</w:t>
      </w:r>
    </w:p>
    <w:p w:rsidR="006E038D" w:rsidRDefault="00000000">
      <w:pPr>
        <w:pStyle w:val="Normal6"/>
        <w:widowControl w:val="0"/>
        <w:spacing w:before="120" w:line="260" w:lineRule="atLeast"/>
      </w:pPr>
      <w:r>
        <w:rPr>
          <w:rFonts w:ascii="Arial" w:eastAsia="Arial" w:hAnsi="Arial" w:cs="Arial"/>
          <w:color w:val="000000"/>
          <w:sz w:val="20"/>
        </w:rPr>
        <w:t>II.</w:t>
      </w:r>
    </w:p>
    <w:p w:rsidR="006E038D" w:rsidRDefault="00000000">
      <w:pPr>
        <w:pStyle w:val="Normal6"/>
        <w:widowControl w:val="0"/>
        <w:spacing w:before="200" w:line="260" w:lineRule="atLeast"/>
        <w:jc w:val="both"/>
      </w:pPr>
      <w:bookmarkStart w:id="819" w:name="Bookmark_para_11_4"/>
      <w:bookmarkEnd w:id="819"/>
      <w:r>
        <w:rPr>
          <w:rFonts w:ascii="Arial" w:eastAsia="Arial" w:hAnsi="Arial" w:cs="Arial"/>
          <w:color w:val="000000"/>
          <w:sz w:val="20"/>
        </w:rPr>
        <w:t>A.</w:t>
      </w:r>
    </w:p>
    <w:p w:rsidR="006E038D" w:rsidRDefault="00000000">
      <w:pPr>
        <w:pStyle w:val="Normal6"/>
        <w:widowControl w:val="0"/>
        <w:spacing w:before="200" w:line="260" w:lineRule="atLeast"/>
        <w:jc w:val="both"/>
      </w:pPr>
      <w:bookmarkStart w:id="820" w:name="Bookmark_para_12_4"/>
      <w:bookmarkEnd w:id="820"/>
      <w:r>
        <w:rPr>
          <w:rFonts w:ascii="Arial" w:eastAsia="Arial" w:hAnsi="Arial" w:cs="Arial"/>
          <w:color w:val="000000"/>
          <w:sz w:val="20"/>
        </w:rPr>
        <w:t xml:space="preserve">Mason argues that the district court erred by granting summary judgment on the claim that Dr. Campbell violated Mason's rights under the Eighth Amendment. The district court concluded as a matter of law that Mason failed to show that Dr. Campbell knew of Mason's serious medical need. The court relied on the facts that Mason had not informed Dr. Campbell of his blindness in a timely manner to allow him to take action, that Dr. Conley, not Dr. Campbell, approved inmate medical referrals, and that Mason's medical records undermined his claim that Dr. Gavett mentioned Dr. Campbell's name in speaking to CMS personnel before declaring an emergency. </w:t>
      </w:r>
      <w:bookmarkStart w:id="821" w:name="Bookmark_I4W37YWH0K1MNJ3B10000400"/>
      <w:bookmarkEnd w:id="821"/>
      <w:r>
        <w:rPr>
          <w:rFonts w:ascii="Arial" w:eastAsia="Arial" w:hAnsi="Arial" w:cs="Arial"/>
          <w:color w:val="000000"/>
          <w:sz w:val="20"/>
        </w:rPr>
        <w:t xml:space="preserve">Based on these undisputed facts, the district court determined that no reasonable  [**7] juror could conclude that Dr. Campbell was personally involved. </w:t>
      </w:r>
      <w:bookmarkStart w:id="822" w:name="Bookmark_LNHNREFclscc1_5"/>
      <w:bookmarkEnd w:id="822"/>
      <w:r>
        <w:rPr>
          <w:rFonts w:ascii="Arial" w:eastAsia="Arial" w:hAnsi="Arial" w:cs="Arial"/>
          <w:color w:val="000000"/>
          <w:sz w:val="20"/>
        </w:rPr>
        <w:t xml:space="preserve">We review a grant of summary judgment </w:t>
      </w:r>
      <w:r>
        <w:rPr>
          <w:rFonts w:ascii="Arial" w:eastAsia="Arial" w:hAnsi="Arial" w:cs="Arial"/>
          <w:i/>
          <w:color w:val="000000"/>
          <w:sz w:val="20"/>
        </w:rPr>
        <w:t>de novo</w:t>
      </w:r>
      <w:r>
        <w:rPr>
          <w:rFonts w:ascii="Arial" w:eastAsia="Arial" w:hAnsi="Arial" w:cs="Arial"/>
          <w:color w:val="000000"/>
          <w:sz w:val="20"/>
        </w:rPr>
        <w:t xml:space="preserve">, viewing the evidence and drawing all reasonable inferences in favor of Mason, the non-moving party. </w:t>
      </w:r>
      <w:bookmarkStart w:id="823" w:name="Bookmark_I4W37YWH0K1MNJ3B00000400"/>
      <w:bookmarkEnd w:id="823"/>
      <w:r>
        <w:rPr>
          <w:rFonts w:ascii="Arial" w:eastAsia="Arial" w:hAnsi="Arial" w:cs="Arial"/>
          <w:i/>
          <w:color w:val="000000"/>
          <w:sz w:val="20"/>
        </w:rPr>
        <w:t>Rehrs v. Iams Co</w:t>
      </w:r>
      <w:r>
        <w:rPr>
          <w:rFonts w:ascii="Arial" w:eastAsia="Arial" w:hAnsi="Arial" w:cs="Arial"/>
          <w:color w:val="000000"/>
          <w:sz w:val="20"/>
        </w:rPr>
        <w:t>., 486 F.3d 353, 355-56 (8th Cir. 2007). Summary judgment is appropriate "if the pleadings, depositions, answers to interrogatories, and admissions  [*885]  on file . . . show that there is no genuine issue as to any material fact and that the moving party is entitled to judgment as a matter of law." Fed. R. Civ. P. 56(c).</w:t>
      </w:r>
    </w:p>
    <w:p w:rsidR="006E038D" w:rsidRDefault="00000000">
      <w:pPr>
        <w:pStyle w:val="Normal6"/>
        <w:widowControl w:val="0"/>
        <w:spacing w:before="200" w:line="260" w:lineRule="atLeast"/>
        <w:jc w:val="both"/>
      </w:pPr>
      <w:bookmarkStart w:id="824" w:name="Bookmark_para_13_4"/>
      <w:bookmarkStart w:id="825" w:name="Bookmark_I4W37YWH0K1MNJ3BT0000400"/>
      <w:bookmarkStart w:id="826" w:name="Bookmark_LNHNREFclscc2_5"/>
      <w:bookmarkEnd w:id="824"/>
      <w:bookmarkEnd w:id="825"/>
      <w:bookmarkEnd w:id="826"/>
      <w:r>
        <w:rPr>
          <w:rFonts w:ascii="Arial" w:eastAsia="Arial" w:hAnsi="Arial" w:cs="Arial"/>
          <w:color w:val="000000"/>
          <w:sz w:val="20"/>
        </w:rPr>
        <w:t xml:space="preserve">To prevail on his claim based on the Eighth Amendment, Mason must show that he had a serious medical need of which Dr. Campbell was aware, and that Campbell's deliberate indifference to that need caused harm to Mason. </w:t>
      </w:r>
      <w:r>
        <w:rPr>
          <w:rFonts w:ascii="Arial" w:eastAsia="Arial" w:hAnsi="Arial" w:cs="Arial"/>
          <w:i/>
          <w:color w:val="000000"/>
          <w:sz w:val="20"/>
        </w:rPr>
        <w:t xml:space="preserve">See </w:t>
      </w:r>
      <w:bookmarkStart w:id="827" w:name="Bookmark_I4W37YWH0K1MNJ3B20000400"/>
      <w:bookmarkEnd w:id="827"/>
      <w:r>
        <w:rPr>
          <w:rFonts w:ascii="Arial" w:eastAsia="Arial" w:hAnsi="Arial" w:cs="Arial"/>
          <w:i/>
          <w:color w:val="000000"/>
          <w:sz w:val="20"/>
        </w:rPr>
        <w:t>Senty-Haugen v. Goodno</w:t>
      </w:r>
      <w:r>
        <w:rPr>
          <w:rFonts w:ascii="Arial" w:eastAsia="Arial" w:hAnsi="Arial" w:cs="Arial"/>
          <w:color w:val="000000"/>
          <w:sz w:val="20"/>
        </w:rPr>
        <w:t>, 462 F.3d 876, 889-90 (8th Cir. 2006). In support of his contention that Campbell knew of Mason's serious medical need, Mason points to his own testimony that he was in the room on July 22 when Dr. Gavett called the CMS's Regional Medical Director for permission to make another emergency referral, and that he "specifically heard Dr. Gavett refer to Dr. Campbell by name during this call."</w:t>
      </w:r>
    </w:p>
    <w:p w:rsidR="006E038D" w:rsidRDefault="00000000">
      <w:pPr>
        <w:pStyle w:val="Normal6"/>
        <w:widowControl w:val="0"/>
        <w:spacing w:before="200" w:line="260" w:lineRule="atLeast"/>
        <w:jc w:val="both"/>
      </w:pPr>
      <w:bookmarkStart w:id="828" w:name="Bookmark_para_14_4"/>
      <w:bookmarkEnd w:id="828"/>
      <w:r>
        <w:rPr>
          <w:rFonts w:ascii="Arial" w:eastAsia="Arial" w:hAnsi="Arial" w:cs="Arial"/>
          <w:color w:val="000000"/>
          <w:sz w:val="20"/>
        </w:rPr>
        <w:t xml:space="preserve">We conclude that Mason  [**8] did not submit any admissible evidence that Dr. Campbell had knowledge of Mason's serious medical need. We question whether it is reasonable to infer from the snippet of conversation to which Mason refers that Dr. Gavett made a referral to Dr. Campbell. That Dr. Gavett mentioned Dr. Campbell's name during the telephone call does not establish that Dr. Gavett was speaking with Dr. Campbell. But in any event, Mason's testimony is inadmissible hearsay. Dr. Gavett's alleged statement referring to Dr. Campbell was made out of court, and it was offered by Mason to prove that Dr. Campbell was the person on the other end of the phone. </w:t>
      </w:r>
      <w:bookmarkStart w:id="829" w:name="Bookmark_I4W37YWH0K1MNJ3BW0000400"/>
      <w:bookmarkEnd w:id="829"/>
      <w:r>
        <w:rPr>
          <w:rFonts w:ascii="Arial" w:eastAsia="Arial" w:hAnsi="Arial" w:cs="Arial"/>
          <w:color w:val="000000"/>
          <w:sz w:val="20"/>
        </w:rPr>
        <w:t xml:space="preserve">Mason has not argued that the statement falls under any exception to the hearsay rule, and we conclude that none is applicable. </w:t>
      </w:r>
      <w:bookmarkStart w:id="830" w:name="Bookmark_LNHNREFclscc3_5"/>
      <w:bookmarkEnd w:id="830"/>
      <w:r>
        <w:rPr>
          <w:rFonts w:ascii="Arial" w:eastAsia="Arial" w:hAnsi="Arial" w:cs="Arial"/>
          <w:color w:val="000000"/>
          <w:sz w:val="20"/>
        </w:rPr>
        <w:t xml:space="preserve">Mason cannot rely on hearsay to avoid summary judgment. </w:t>
      </w:r>
      <w:bookmarkStart w:id="831" w:name="Bookmark_I4W37YWH0K1MNJ3BV0000400"/>
      <w:bookmarkEnd w:id="831"/>
      <w:r>
        <w:rPr>
          <w:rFonts w:ascii="Arial" w:eastAsia="Arial" w:hAnsi="Arial" w:cs="Arial"/>
          <w:i/>
          <w:color w:val="000000"/>
          <w:sz w:val="20"/>
        </w:rPr>
        <w:t>Tuttle v. Lorillard Tobacco Co</w:t>
      </w:r>
      <w:r>
        <w:rPr>
          <w:rFonts w:ascii="Arial" w:eastAsia="Arial" w:hAnsi="Arial" w:cs="Arial"/>
          <w:color w:val="000000"/>
          <w:sz w:val="20"/>
        </w:rPr>
        <w:t>., 377 F.3d 917, 923 (8th Cir. 2004). Without any admissible evidence that Dr. Campbell was informed of Mason's serious medical need, there is no basis for an Eighth Amendment claim against him, and the district court correctly granted summary judgment.</w:t>
      </w:r>
    </w:p>
    <w:p w:rsidR="006E038D" w:rsidRDefault="00000000">
      <w:pPr>
        <w:pStyle w:val="Normal6"/>
        <w:widowControl w:val="0"/>
        <w:spacing w:before="200" w:line="260" w:lineRule="atLeast"/>
        <w:jc w:val="both"/>
      </w:pPr>
      <w:bookmarkStart w:id="832" w:name="Bookmark_para_15_4"/>
      <w:bookmarkEnd w:id="832"/>
      <w:r>
        <w:rPr>
          <w:rFonts w:ascii="Arial" w:eastAsia="Arial" w:hAnsi="Arial" w:cs="Arial"/>
          <w:color w:val="000000"/>
          <w:sz w:val="20"/>
        </w:rPr>
        <w:t>B.</w:t>
      </w:r>
    </w:p>
    <w:p w:rsidR="006E038D" w:rsidRDefault="00000000">
      <w:pPr>
        <w:pStyle w:val="Normal6"/>
        <w:widowControl w:val="0"/>
        <w:spacing w:before="200" w:line="260" w:lineRule="atLeast"/>
        <w:jc w:val="both"/>
      </w:pPr>
      <w:bookmarkStart w:id="833" w:name="Bookmark_para_16_4"/>
      <w:bookmarkStart w:id="834" w:name="Bookmark_I4W37YWH0K1MNJ3BY0000400"/>
      <w:bookmarkEnd w:id="833"/>
      <w:bookmarkEnd w:id="834"/>
      <w:r>
        <w:rPr>
          <w:rFonts w:ascii="Arial" w:eastAsia="Arial" w:hAnsi="Arial" w:cs="Arial"/>
          <w:color w:val="000000"/>
          <w:sz w:val="20"/>
        </w:rPr>
        <w:t xml:space="preserve">Mason next argues that the district court erred by denying his motion for judgment as a matter of  [**9] law after the jury found in favor of Carter, the manager of the prison housing unit. </w:t>
      </w:r>
      <w:bookmarkStart w:id="835" w:name="Bookmark_LNHNREFclscc4_5"/>
      <w:bookmarkEnd w:id="835"/>
      <w:r>
        <w:rPr>
          <w:rFonts w:ascii="Arial" w:eastAsia="Arial" w:hAnsi="Arial" w:cs="Arial"/>
          <w:color w:val="000000"/>
          <w:sz w:val="20"/>
        </w:rPr>
        <w:t xml:space="preserve">We review the district court's denial of Mason's motion </w:t>
      </w:r>
      <w:r>
        <w:rPr>
          <w:rFonts w:ascii="Arial" w:eastAsia="Arial" w:hAnsi="Arial" w:cs="Arial"/>
          <w:i/>
          <w:color w:val="000000"/>
          <w:sz w:val="20"/>
        </w:rPr>
        <w:t>de novo</w:t>
      </w:r>
      <w:r>
        <w:rPr>
          <w:rFonts w:ascii="Arial" w:eastAsia="Arial" w:hAnsi="Arial" w:cs="Arial"/>
          <w:color w:val="000000"/>
          <w:sz w:val="20"/>
        </w:rPr>
        <w:t xml:space="preserve">, upholding the verdict unless no reasonable juror could have found in favor of Carter based on the trial record. </w:t>
      </w:r>
      <w:bookmarkStart w:id="836" w:name="Bookmark_I4W37YWH0K1MNJ3BX0000400"/>
      <w:bookmarkEnd w:id="836"/>
      <w:r>
        <w:rPr>
          <w:rFonts w:ascii="Arial" w:eastAsia="Arial" w:hAnsi="Arial" w:cs="Arial"/>
          <w:i/>
          <w:color w:val="000000"/>
          <w:sz w:val="20"/>
        </w:rPr>
        <w:t>Sanders v. May Dep't Stores Co</w:t>
      </w:r>
      <w:r>
        <w:rPr>
          <w:rFonts w:ascii="Arial" w:eastAsia="Arial" w:hAnsi="Arial" w:cs="Arial"/>
          <w:color w:val="000000"/>
          <w:sz w:val="20"/>
        </w:rPr>
        <w:t>., 315 F.3d 940, 943 (8th Cir. 2003).</w:t>
      </w:r>
    </w:p>
    <w:p w:rsidR="006E038D" w:rsidRDefault="00000000">
      <w:pPr>
        <w:pStyle w:val="Normal6"/>
        <w:widowControl w:val="0"/>
        <w:spacing w:before="200" w:line="260" w:lineRule="atLeast"/>
        <w:jc w:val="both"/>
      </w:pPr>
      <w:bookmarkStart w:id="837" w:name="Bookmark_para_17_4"/>
      <w:bookmarkStart w:id="838" w:name="Bookmark_I0BH7GH2M7T000VXMJ50006H"/>
      <w:bookmarkStart w:id="839" w:name="Bookmark_I4W37YWH0K1MNJ3C10000400"/>
      <w:bookmarkStart w:id="840" w:name="Bookmark_LNHNREFclscc5_5"/>
      <w:bookmarkEnd w:id="837"/>
      <w:bookmarkEnd w:id="838"/>
      <w:bookmarkEnd w:id="839"/>
      <w:bookmarkEnd w:id="840"/>
      <w:r>
        <w:rPr>
          <w:rFonts w:ascii="Arial" w:eastAsia="Arial" w:hAnsi="Arial" w:cs="Arial"/>
          <w:color w:val="000000"/>
          <w:sz w:val="20"/>
        </w:rPr>
        <w:t xml:space="preserve">To prove deliberate indifference, Mason must show that Carter possessed a "state of mind more blameworthy than negligence," amounting to criminal recklessness. </w:t>
      </w:r>
      <w:bookmarkStart w:id="841" w:name="Bookmark_I4W37YWH0K1MNJ3C30000400"/>
      <w:bookmarkStart w:id="842" w:name="Bookmark_I4W37YWH0K1MNJ3C00000400"/>
      <w:bookmarkEnd w:id="841"/>
      <w:bookmarkEnd w:id="842"/>
      <w:r>
        <w:rPr>
          <w:rFonts w:ascii="Arial" w:eastAsia="Arial" w:hAnsi="Arial" w:cs="Arial"/>
          <w:i/>
          <w:color w:val="000000"/>
          <w:sz w:val="20"/>
        </w:rPr>
        <w:t>Farmer v. Brennan</w:t>
      </w:r>
      <w:r>
        <w:rPr>
          <w:rFonts w:ascii="Arial" w:eastAsia="Arial" w:hAnsi="Arial" w:cs="Arial"/>
          <w:color w:val="000000"/>
          <w:sz w:val="20"/>
        </w:rPr>
        <w:t xml:space="preserve">, 511 U.S. 825, 835-36, 114 S. Ct. 1970, 128 L. Ed. 2d 811 (1994). </w:t>
      </w:r>
      <w:bookmarkStart w:id="843" w:name="Bookmark_I4W37YWH0K1MNJ3CB0000400"/>
      <w:bookmarkEnd w:id="843"/>
      <w:r>
        <w:rPr>
          <w:rFonts w:ascii="Arial" w:eastAsia="Arial" w:hAnsi="Arial" w:cs="Arial"/>
          <w:color w:val="000000"/>
          <w:sz w:val="20"/>
        </w:rPr>
        <w:t xml:space="preserve">In other words, Mason must show that Carter was "aware of facts from which the inference could be drawn that a substantial risk of serious harm exist[ed]," and that Carter actually drew that inference. </w:t>
      </w:r>
      <w:bookmarkStart w:id="844" w:name="Bookmark_I4W37YWH0K1MNJ3CB0000400_2"/>
      <w:bookmarkStart w:id="845" w:name="Bookmark_I4W37YWH0K1MNJ3C30000400_2"/>
      <w:bookmarkStart w:id="846" w:name="Bookmark_I4W37YWH0K1MNJ3C20000400"/>
      <w:bookmarkEnd w:id="844"/>
      <w:bookmarkEnd w:id="845"/>
      <w:bookmarkEnd w:id="846"/>
      <w:r>
        <w:rPr>
          <w:rFonts w:ascii="Arial" w:eastAsia="Arial" w:hAnsi="Arial" w:cs="Arial"/>
          <w:i/>
          <w:color w:val="000000"/>
          <w:sz w:val="20"/>
        </w:rPr>
        <w:t>Id</w:t>
      </w:r>
      <w:r>
        <w:rPr>
          <w:rFonts w:ascii="Arial" w:eastAsia="Arial" w:hAnsi="Arial" w:cs="Arial"/>
          <w:color w:val="000000"/>
          <w:sz w:val="20"/>
        </w:rPr>
        <w:t xml:space="preserve">. at 837. Even if Carter knew of Mason's serious medical need, he is not liable if he "believed (albeit unsoundly) that the risk to which the facts gave rise was insubstantial or nonexistent." </w:t>
      </w:r>
      <w:bookmarkStart w:id="847" w:name="Bookmark_I4W37YWH0K1MNJ3C40000400"/>
      <w:bookmarkEnd w:id="847"/>
      <w:r>
        <w:rPr>
          <w:rFonts w:ascii="Arial" w:eastAsia="Arial" w:hAnsi="Arial" w:cs="Arial"/>
          <w:i/>
          <w:color w:val="000000"/>
          <w:sz w:val="20"/>
        </w:rPr>
        <w:t>Id</w:t>
      </w:r>
      <w:r>
        <w:rPr>
          <w:rFonts w:ascii="Arial" w:eastAsia="Arial" w:hAnsi="Arial" w:cs="Arial"/>
          <w:color w:val="000000"/>
          <w:sz w:val="20"/>
        </w:rPr>
        <w:t>. at 844.</w:t>
      </w:r>
    </w:p>
    <w:p w:rsidR="006E038D" w:rsidRDefault="00000000">
      <w:pPr>
        <w:pStyle w:val="Normal6"/>
        <w:widowControl w:val="0"/>
        <w:spacing w:before="200" w:line="260" w:lineRule="atLeast"/>
        <w:jc w:val="both"/>
      </w:pPr>
      <w:bookmarkStart w:id="848" w:name="Bookmark_para_18_4"/>
      <w:bookmarkEnd w:id="848"/>
      <w:r>
        <w:rPr>
          <w:rFonts w:ascii="Arial" w:eastAsia="Arial" w:hAnsi="Arial" w:cs="Arial"/>
          <w:color w:val="000000"/>
          <w:sz w:val="20"/>
        </w:rPr>
        <w:t>Mason alleges that Carter, as unit manager, controlled access to the prison medical system, but refused to allow Mason to receive care on July 16, 2003, despite promising to notify Correctional Medical Services about Mason's complaint. Although the evidence  [**10] shows that the CRAO caused irreversible blindness before Carter's involvement in the chain of events, Mason argues that he suffered unnecessary pain as a result of Carter's inaction. According to Mason, Carter knew that Mason had a serious medical need, and that  [*886]  Mason's serious medical need would go untreated, because "once [Carter] told [Mason] he would handle it there is nothing nobody else in that house could do." (Tr. 136). Carter testified to the contrary, stating that Mason could have received emergency medical care at any time without Carter's permission, by "self-declar[ing] . . . [an] 'emergency' to any staff member," (Tr. 226), pressing "an emergency call button" in any prison cell, (Tr. 227), or submitting a Medical Services Request form directly to CMS. Consistent with the notion that Carter was not the exclusive avenue to medical care, Mason testified that he visited CMS on July 15 without Carter's involvement, after having a corrections officer fill out the necessary request form. In the same vein, Mason's cellmate testified that he submitted a Medical Services Request form on Mason's behalf after Carter told him to do so.</w:t>
      </w:r>
    </w:p>
    <w:p w:rsidR="006E038D" w:rsidRDefault="00000000">
      <w:pPr>
        <w:pStyle w:val="Normal6"/>
        <w:widowControl w:val="0"/>
        <w:spacing w:before="200" w:line="260" w:lineRule="atLeast"/>
        <w:jc w:val="both"/>
      </w:pPr>
      <w:bookmarkStart w:id="849" w:name="Bookmark_para_19_4"/>
      <w:bookmarkStart w:id="850" w:name="Bookmark_I4W37YWH0K1MNJ3CD0000400"/>
      <w:bookmarkEnd w:id="849"/>
      <w:bookmarkEnd w:id="850"/>
      <w:r>
        <w:rPr>
          <w:rFonts w:ascii="Arial" w:eastAsia="Arial" w:hAnsi="Arial" w:cs="Arial"/>
          <w:color w:val="000000"/>
          <w:sz w:val="20"/>
        </w:rPr>
        <w:t xml:space="preserve">We conclude that a reasonable juror could choose  [**11] to believe Carter's testimony and return a verdict in favor of Carter. Carter's testimony, if believed, would support a finding that Carter actually believed (albeit perhaps unsoundly) that the risk of Carter's inaction was "insubstantial or nonexistent," </w:t>
      </w:r>
      <w:bookmarkStart w:id="851" w:name="Bookmark_I4W37YWH0K1MNJ3CC0000400"/>
      <w:bookmarkEnd w:id="851"/>
      <w:r>
        <w:rPr>
          <w:rFonts w:ascii="Arial" w:eastAsia="Arial" w:hAnsi="Arial" w:cs="Arial"/>
          <w:i/>
          <w:color w:val="000000"/>
          <w:sz w:val="20"/>
        </w:rPr>
        <w:t>Farmer</w:t>
      </w:r>
      <w:r>
        <w:rPr>
          <w:rFonts w:ascii="Arial" w:eastAsia="Arial" w:hAnsi="Arial" w:cs="Arial"/>
          <w:color w:val="000000"/>
          <w:sz w:val="20"/>
        </w:rPr>
        <w:t>, 511 U.S. at 844, because Mason had alternative means to obtain emergency medical care. Under the deferential standard of review applicable to a jury's findings, and viewing the evidence in the light most favorable to Carter, we affirm the district court's denial of Mason's motion for judgment as a matter of law.</w:t>
      </w:r>
    </w:p>
    <w:p w:rsidR="006E038D" w:rsidRDefault="00000000">
      <w:pPr>
        <w:pStyle w:val="Normal6"/>
        <w:widowControl w:val="0"/>
        <w:spacing w:before="120" w:line="260" w:lineRule="atLeast"/>
      </w:pPr>
      <w:r>
        <w:rPr>
          <w:rFonts w:ascii="Arial" w:eastAsia="Arial" w:hAnsi="Arial" w:cs="Arial"/>
          <w:color w:val="000000"/>
          <w:sz w:val="20"/>
        </w:rPr>
        <w:t>C.</w:t>
      </w:r>
    </w:p>
    <w:p w:rsidR="006E038D" w:rsidRDefault="00000000">
      <w:pPr>
        <w:pStyle w:val="Normal6"/>
        <w:widowControl w:val="0"/>
        <w:spacing w:before="200" w:line="260" w:lineRule="atLeast"/>
        <w:jc w:val="both"/>
      </w:pPr>
      <w:bookmarkStart w:id="852" w:name="Bookmark_para_20_4"/>
      <w:bookmarkEnd w:id="852"/>
      <w:r>
        <w:rPr>
          <w:rFonts w:ascii="Arial" w:eastAsia="Arial" w:hAnsi="Arial" w:cs="Arial"/>
          <w:color w:val="000000"/>
          <w:sz w:val="20"/>
        </w:rPr>
        <w:t>Mason's final contention is that the district court erred by granting summary judgment in favor of MDOC on Mason's claim under the Americans with Disabilities Act. Mason sought prospective relief in the form of an order requiring MDOC to provide him with certain accommodations in response to his blindness.</w:t>
      </w:r>
    </w:p>
    <w:p w:rsidR="006E038D" w:rsidRDefault="00000000">
      <w:pPr>
        <w:pStyle w:val="Normal6"/>
        <w:widowControl w:val="0"/>
        <w:spacing w:before="200" w:line="260" w:lineRule="atLeast"/>
        <w:jc w:val="both"/>
      </w:pPr>
      <w:bookmarkStart w:id="853" w:name="Bookmark_para_21_4"/>
      <w:bookmarkStart w:id="854" w:name="Bookmark_I4W37YWH0K1MNJ3CG0000400"/>
      <w:bookmarkStart w:id="855" w:name="Bookmark_I4W37YWH0K1MNJ3CJ0000400"/>
      <w:bookmarkStart w:id="856" w:name="Bookmark_LNHNREFclscc6_5"/>
      <w:bookmarkEnd w:id="853"/>
      <w:bookmarkEnd w:id="854"/>
      <w:bookmarkEnd w:id="855"/>
      <w:bookmarkEnd w:id="856"/>
      <w:r>
        <w:rPr>
          <w:rFonts w:ascii="Arial" w:eastAsia="Arial" w:hAnsi="Arial" w:cs="Arial"/>
          <w:color w:val="000000"/>
          <w:sz w:val="20"/>
        </w:rPr>
        <w:t xml:space="preserve">Title II of the ADA states that "no qualified individual with a disability shall, by reason of such disability, be excluded from participation in or be denied the benefits of the services, programs, or activities of a public entity, or be subjected to discrimination by any such entity." 42 U.S.C. § 12132. "[R]ecreational  [**12] activities, medical services, and educational and vocational programs" at state prisons are benefits within the meaning of Title II, </w:t>
      </w:r>
      <w:bookmarkStart w:id="857" w:name="Bookmark_I4W37YWH0K1MNJ3CF0000400"/>
      <w:bookmarkEnd w:id="857"/>
      <w:r>
        <w:rPr>
          <w:rFonts w:ascii="Arial" w:eastAsia="Arial" w:hAnsi="Arial" w:cs="Arial"/>
          <w:i/>
          <w:color w:val="000000"/>
          <w:sz w:val="20"/>
        </w:rPr>
        <w:t>Pa. Dep't of Corr. v. Yeskey</w:t>
      </w:r>
      <w:r>
        <w:rPr>
          <w:rFonts w:ascii="Arial" w:eastAsia="Arial" w:hAnsi="Arial" w:cs="Arial"/>
          <w:color w:val="000000"/>
          <w:sz w:val="20"/>
        </w:rPr>
        <w:t xml:space="preserve">, 524 U.S. 206, 210, 118 S. Ct. 1952, 141 L. Ed. 2d 215 (1998) (internal quotations omitted), and "qualified individual[s] with a disability" are entitled to "meaningful access" to such benefits. </w:t>
      </w:r>
      <w:bookmarkStart w:id="858" w:name="Bookmark_I4W37YWH0K1MNJ3CH0000400"/>
      <w:bookmarkEnd w:id="858"/>
      <w:r>
        <w:rPr>
          <w:rFonts w:ascii="Arial" w:eastAsia="Arial" w:hAnsi="Arial" w:cs="Arial"/>
          <w:i/>
          <w:color w:val="000000"/>
          <w:sz w:val="20"/>
        </w:rPr>
        <w:t>Randolph v. Rodgers</w:t>
      </w:r>
      <w:r>
        <w:rPr>
          <w:rFonts w:ascii="Arial" w:eastAsia="Arial" w:hAnsi="Arial" w:cs="Arial"/>
          <w:color w:val="000000"/>
          <w:sz w:val="20"/>
        </w:rPr>
        <w:t>, 170 F.3d 850, 857-58 (8th Cir. 1999).</w:t>
      </w:r>
    </w:p>
    <w:p w:rsidR="006E038D" w:rsidRDefault="00000000">
      <w:pPr>
        <w:pStyle w:val="Normal6"/>
        <w:widowControl w:val="0"/>
        <w:spacing w:before="200" w:line="260" w:lineRule="atLeast"/>
        <w:jc w:val="both"/>
      </w:pPr>
      <w:bookmarkStart w:id="859" w:name="Bookmark_para_22_4"/>
      <w:bookmarkStart w:id="860" w:name="Bookmark_I4W37YWH0K1MNJ3CM0000400"/>
      <w:bookmarkStart w:id="861" w:name="Bookmark_LNHNREFclscc7_4"/>
      <w:bookmarkEnd w:id="859"/>
      <w:bookmarkEnd w:id="860"/>
      <w:bookmarkEnd w:id="861"/>
      <w:r>
        <w:rPr>
          <w:rFonts w:ascii="Arial" w:eastAsia="Arial" w:hAnsi="Arial" w:cs="Arial"/>
          <w:color w:val="000000"/>
          <w:sz w:val="20"/>
        </w:rPr>
        <w:t xml:space="preserve">A "qualified individual with a disability" is an individual "who, with or without reasonable modifications to rules, policies, or practices, . . . or the provision of auxiliary aids and services, meets the essential eligibility requirements for the receipt of services or the participation in programs or activities provided by a public entity." 42 U.S.C. § 12131(2). As relevant to this case, "auxiliary aids and services" includes "qualified readers, taped texts, audio recordings, Brailled materials, large print materials, or other effective methods of making visually delivered materials available to individuals with visual impairments." 28 C.F.R. § 35.104(2). While a public entity is required to make reasonable accommodations where necessary to give "meaningful access" to programs or benefits, </w:t>
      </w:r>
      <w:bookmarkStart w:id="862" w:name="Bookmark_I4W37YWH0K1MNJ3CK0000400"/>
      <w:bookmarkEnd w:id="862"/>
      <w:r>
        <w:rPr>
          <w:rFonts w:ascii="Arial" w:eastAsia="Arial" w:hAnsi="Arial" w:cs="Arial"/>
          <w:i/>
          <w:color w:val="000000"/>
          <w:sz w:val="20"/>
        </w:rPr>
        <w:t>Randolph</w:t>
      </w:r>
      <w:r>
        <w:rPr>
          <w:rFonts w:ascii="Arial" w:eastAsia="Arial" w:hAnsi="Arial" w:cs="Arial"/>
          <w:color w:val="000000"/>
          <w:sz w:val="20"/>
        </w:rPr>
        <w:t xml:space="preserve">, 170 F.3d at 858,  [**13] the entity need not make available "auxiliary aids and services" if it can show that to do so would be "unduly burdensome." </w:t>
      </w:r>
      <w:bookmarkStart w:id="863" w:name="Bookmark_I4W37YWH0K1MNJ3CN0000400"/>
      <w:bookmarkEnd w:id="863"/>
      <w:r>
        <w:rPr>
          <w:rFonts w:ascii="Arial" w:eastAsia="Arial" w:hAnsi="Arial" w:cs="Arial"/>
          <w:i/>
          <w:color w:val="000000"/>
          <w:sz w:val="20"/>
        </w:rPr>
        <w:t>Id</w:t>
      </w:r>
      <w:r>
        <w:rPr>
          <w:rFonts w:ascii="Arial" w:eastAsia="Arial" w:hAnsi="Arial" w:cs="Arial"/>
          <w:color w:val="000000"/>
          <w:sz w:val="20"/>
        </w:rPr>
        <w:t xml:space="preserve">. at 858-59; </w:t>
      </w:r>
      <w:bookmarkStart w:id="864" w:name="Bookmark_I4W37YWH0K1MNJ3CR0000400"/>
      <w:bookmarkEnd w:id="864"/>
      <w:r>
        <w:rPr>
          <w:rFonts w:ascii="Arial" w:eastAsia="Arial" w:hAnsi="Arial" w:cs="Arial"/>
          <w:i/>
          <w:color w:val="000000"/>
          <w:sz w:val="20"/>
        </w:rPr>
        <w:t>Gorman v. Bartch</w:t>
      </w:r>
      <w:r>
        <w:rPr>
          <w:rFonts w:ascii="Arial" w:eastAsia="Arial" w:hAnsi="Arial" w:cs="Arial"/>
          <w:color w:val="000000"/>
          <w:sz w:val="20"/>
        </w:rPr>
        <w:t xml:space="preserve">, 152 F.3d 907, 912 (8th Cir. 1998); </w:t>
      </w:r>
      <w:r>
        <w:rPr>
          <w:rFonts w:ascii="Arial" w:eastAsia="Arial" w:hAnsi="Arial" w:cs="Arial"/>
          <w:i/>
          <w:color w:val="000000"/>
          <w:sz w:val="20"/>
        </w:rPr>
        <w:t>see</w:t>
      </w:r>
      <w:r>
        <w:rPr>
          <w:rFonts w:ascii="Arial" w:eastAsia="Arial" w:hAnsi="Arial" w:cs="Arial"/>
          <w:color w:val="000000"/>
          <w:sz w:val="20"/>
        </w:rPr>
        <w:t xml:space="preserve"> 28 C.F.R. § 35.150(a)(3).</w:t>
      </w:r>
    </w:p>
    <w:p w:rsidR="006E038D" w:rsidRDefault="00000000">
      <w:pPr>
        <w:pStyle w:val="Normal6"/>
        <w:widowControl w:val="0"/>
        <w:spacing w:before="200" w:line="260" w:lineRule="atLeast"/>
        <w:jc w:val="both"/>
      </w:pPr>
      <w:bookmarkStart w:id="865" w:name="Bookmark_para_23_4"/>
      <w:bookmarkEnd w:id="865"/>
      <w:r>
        <w:rPr>
          <w:rFonts w:ascii="Arial" w:eastAsia="Arial" w:hAnsi="Arial" w:cs="Arial"/>
          <w:color w:val="000000"/>
          <w:sz w:val="20"/>
        </w:rPr>
        <w:t>Mason's argument focuses primarily on two benefits that he claims have  [*887]  been denied. First, Mason argues that he has been denied meaningful access to prison benefits, including library benefits, which require him to read and write. MDOC argues that it provided Mason with meaningful access to these benefits by providing an inmate reader, who is available to read to Mason in person and to create audio tapes of written material at Mason's request, and by granting Mason access to audio materials by mail and to a tape recorder.</w:t>
      </w:r>
    </w:p>
    <w:p w:rsidR="006E038D" w:rsidRDefault="00000000">
      <w:pPr>
        <w:pStyle w:val="Normal6"/>
        <w:widowControl w:val="0"/>
        <w:spacing w:before="200" w:line="260" w:lineRule="atLeast"/>
        <w:jc w:val="both"/>
      </w:pPr>
      <w:bookmarkStart w:id="866" w:name="Bookmark_para_24_4"/>
      <w:bookmarkEnd w:id="866"/>
      <w:r>
        <w:rPr>
          <w:rFonts w:ascii="Arial" w:eastAsia="Arial" w:hAnsi="Arial" w:cs="Arial"/>
          <w:color w:val="000000"/>
          <w:sz w:val="20"/>
        </w:rPr>
        <w:t>Mason says that these accommodations are inadequate, because his current reader, Grayer Dear, is not always available. Mason also asserts that the audio materials he ordered through the mail never arrived. Mason requests, in lieu of MDOC's offering, that the prison provide a qualified reader or interpreter who can read to him as necessary, including when grievance forms need to be signed, and he renews his request for access to audio materials. Alternatively,  [**14] Mason requests training in Braille, or computer software that reads written materials aloud to the blind.</w:t>
      </w:r>
    </w:p>
    <w:p w:rsidR="006E038D" w:rsidRDefault="00000000">
      <w:pPr>
        <w:pStyle w:val="Normal6"/>
        <w:widowControl w:val="0"/>
        <w:spacing w:before="200" w:line="260" w:lineRule="atLeast"/>
        <w:jc w:val="both"/>
      </w:pPr>
      <w:bookmarkStart w:id="867" w:name="Bookmark_para_25_4"/>
      <w:bookmarkEnd w:id="867"/>
      <w:r>
        <w:rPr>
          <w:rFonts w:ascii="Arial" w:eastAsia="Arial" w:hAnsi="Arial" w:cs="Arial"/>
          <w:color w:val="000000"/>
          <w:sz w:val="20"/>
        </w:rPr>
        <w:t>We conclude that Mason has failed to raise a disputed issue of material fact with respect to whether MDOC's accommodations gave him meaningful access to prison benefits involving reading and writing. Mason acknowledged that he was able to select the fellow inmate who would be his assistant, (App. 540), and that Mr. Dear escorts him everywhere he goes and assists him with anything that he needs. (App. 345). He also explained that Mr. Dear recorded written materials onto audio tapes, and that these recordings were furnished to Mason. (App. 350). Mason does complain that Mr. Dear is not always available, but the only example he cites of such unavailability is a parole hearing during which he was not allowed to have an assistant present. He does not point to anything about the absence of an assistant that prevented him from presenting his case at that hearing, and he claims only generally that the outcome of the hearing might have been different had he been able to "assist" himself. (App. 349). It is undisputed that MDOC offered to allow Mason to order audio materials by mail, and Mason's  [**15] vague testimony that this "has never taken place" is insufficient to show that MDOC actually refused to follow through on its offer in response to a proper request from Mason. (App. 350). MDOC, of course, has a continuing obligation under the ADA to make reasonable accommodations for Mason, and the substitution of an assistant who is illiterate or not reasonably available, or the failure to procure requested audio materials, would raise different issues. On this record, however, we agree with the district court's ruling, and because MDOC's present accommodations are sufficient, it is unnecessary to consider alternative accommodations such as Braille materials or computer software.</w:t>
      </w:r>
    </w:p>
    <w:p w:rsidR="006E038D" w:rsidRDefault="00000000">
      <w:pPr>
        <w:pStyle w:val="Normal6"/>
        <w:widowControl w:val="0"/>
        <w:spacing w:before="200" w:line="260" w:lineRule="atLeast"/>
        <w:jc w:val="both"/>
      </w:pPr>
      <w:bookmarkStart w:id="868" w:name="Bookmark_para_26_4"/>
      <w:bookmarkEnd w:id="868"/>
      <w:r>
        <w:rPr>
          <w:rFonts w:ascii="Arial" w:eastAsia="Arial" w:hAnsi="Arial" w:cs="Arial"/>
          <w:color w:val="000000"/>
          <w:sz w:val="20"/>
        </w:rPr>
        <w:t>Mason also argues that he has been denied meaningful access to prison facility benefits by being deprived of a trained assistant capable of assisting him in his day-to-day activities. MDOC responds that it provided Mason with meaningful access to these benefits through provision of an inmate assistant, and by facilitating Mason's ability to make requests of the prison administration by audio recording rather than in writing. Mason contends that the accommodation is inadequate, because his inmate assistant  [**16] is not qualified to teach a blind person how to prepare food, clean, exercise, and bathe, and that he is entitled to professional instruction and assistance.</w:t>
      </w:r>
    </w:p>
    <w:p w:rsidR="006E038D" w:rsidRDefault="00000000">
      <w:pPr>
        <w:pStyle w:val="Normal6"/>
        <w:widowControl w:val="0"/>
        <w:spacing w:before="200" w:line="260" w:lineRule="atLeast"/>
        <w:jc w:val="both"/>
      </w:pPr>
      <w:bookmarkStart w:id="869" w:name="Bookmark_para_27_4"/>
      <w:bookmarkEnd w:id="869"/>
      <w:r>
        <w:rPr>
          <w:rFonts w:ascii="Arial" w:eastAsia="Arial" w:hAnsi="Arial" w:cs="Arial"/>
          <w:color w:val="000000"/>
          <w:sz w:val="20"/>
        </w:rPr>
        <w:t xml:space="preserve">The district court determined that MDOC had reasonably accommodated Mason by making available a prisoner assistant to help Mason with these tasks. </w:t>
      </w:r>
      <w:bookmarkStart w:id="870" w:name="Bookmark_I4W37YWH0K1MNJ3CV0000400"/>
      <w:bookmarkEnd w:id="870"/>
      <w:r>
        <w:rPr>
          <w:rFonts w:ascii="Arial" w:eastAsia="Arial" w:hAnsi="Arial" w:cs="Arial"/>
          <w:color w:val="000000"/>
          <w:sz w:val="20"/>
        </w:rPr>
        <w:t xml:space="preserve">The  [*888]  court further concluded that it would be unduly burdensome to require MDOC to furnish Mason with a trained handler from outside the prison, because such a person would not be trained in safety and security matters, and would require the escort of a prison guard at all times. As Mason does not explain what a professional assistant could teach him about the foregoing tasks that his inmate assistant cannot, we see no basis on this record to overturn the district court's decision. </w:t>
      </w:r>
      <w:r>
        <w:rPr>
          <w:rFonts w:ascii="Arial" w:eastAsia="Arial" w:hAnsi="Arial" w:cs="Arial"/>
          <w:i/>
          <w:color w:val="000000"/>
          <w:sz w:val="20"/>
        </w:rPr>
        <w:t xml:space="preserve">Cf. </w:t>
      </w:r>
      <w:bookmarkStart w:id="871" w:name="Bookmark_I4W37YWH0K1MNJ3CT0000400"/>
      <w:bookmarkEnd w:id="871"/>
      <w:r>
        <w:rPr>
          <w:rFonts w:ascii="Arial" w:eastAsia="Arial" w:hAnsi="Arial" w:cs="Arial"/>
          <w:i/>
          <w:color w:val="000000"/>
          <w:sz w:val="20"/>
        </w:rPr>
        <w:t>Chisolm v. McManimon</w:t>
      </w:r>
      <w:r>
        <w:rPr>
          <w:rFonts w:ascii="Arial" w:eastAsia="Arial" w:hAnsi="Arial" w:cs="Arial"/>
          <w:color w:val="000000"/>
          <w:sz w:val="20"/>
        </w:rPr>
        <w:t>, 275 F.3d 315, 328 (3d Cir. 2001) (holding that a reasonable trier of fact could infer that a deaf inmate whose primary form of communication was American Sign Language required an assistant trained in American Sign Language at critical points).</w:t>
      </w:r>
    </w:p>
    <w:p w:rsidR="006E038D" w:rsidRDefault="00000000">
      <w:pPr>
        <w:pStyle w:val="Normal6"/>
        <w:widowControl w:val="0"/>
        <w:spacing w:before="200" w:line="260" w:lineRule="atLeast"/>
        <w:jc w:val="both"/>
      </w:pPr>
      <w:bookmarkStart w:id="872" w:name="Bookmark_para_28_2"/>
      <w:bookmarkEnd w:id="872"/>
      <w:r>
        <w:rPr>
          <w:rFonts w:ascii="Arial" w:eastAsia="Arial" w:hAnsi="Arial" w:cs="Arial"/>
          <w:color w:val="000000"/>
          <w:sz w:val="20"/>
        </w:rPr>
        <w:t>Mason next argues that he has been deprived of meaningful access to the prison's exercise and recreation facilities. Mason walks with his inmate  [**17] assistant, but he contends that MDOC must accommodate him with an alternative form of recreation, namely, weightlifting. Mason cites no evidence, however, that his assistant was unable to help with weightlifting. Instead, the record shows that Mason himself elected not to lift weights, because lifting weights is "not conducive" to people with his disability. (App. 348). On this undisputed record, there is no genuine dispute about MDOC's reasonable accommodation of Mason's desire to exercise.</w:t>
      </w:r>
    </w:p>
    <w:p w:rsidR="006E038D" w:rsidRDefault="00000000">
      <w:pPr>
        <w:pStyle w:val="Normal6"/>
        <w:widowControl w:val="0"/>
        <w:spacing w:before="200" w:line="260" w:lineRule="atLeast"/>
        <w:jc w:val="both"/>
      </w:pPr>
      <w:bookmarkStart w:id="873" w:name="Bookmark_para_29_2"/>
      <w:bookmarkEnd w:id="873"/>
      <w:r>
        <w:rPr>
          <w:rFonts w:ascii="Arial" w:eastAsia="Arial" w:hAnsi="Arial" w:cs="Arial"/>
          <w:color w:val="000000"/>
          <w:sz w:val="20"/>
        </w:rPr>
        <w:t>Mason further asserts that he was not provided with meaningful access to his housing unit's ADA compliance officer. In particular, Mason alleges that he received no response to several ADA requests, and that the prison never conducted a "disability needs assessment" that he requested.</w:t>
      </w:r>
    </w:p>
    <w:p w:rsidR="006E038D" w:rsidRDefault="00000000">
      <w:pPr>
        <w:pStyle w:val="Normal6"/>
        <w:widowControl w:val="0"/>
        <w:spacing w:before="200" w:line="260" w:lineRule="atLeast"/>
        <w:jc w:val="both"/>
      </w:pPr>
      <w:bookmarkStart w:id="874" w:name="Bookmark_para_30_2"/>
      <w:bookmarkEnd w:id="874"/>
      <w:r>
        <w:rPr>
          <w:rFonts w:ascii="Arial" w:eastAsia="Arial" w:hAnsi="Arial" w:cs="Arial"/>
          <w:color w:val="000000"/>
          <w:sz w:val="20"/>
        </w:rPr>
        <w:t xml:space="preserve">The allegation of non-responsiveness is not supported by the record. Mason testified that he knew the identity of the ADA compliance officer in his housing unit, and that the officer had in fact answered requests that Mason submitted. Mason specifically admitted that the ADA compliance officer had not refused Mason's requests for assistance. On the second point, Mason cites no authority for the proposition that he is  [**18] entitled to a general "disability assessment," and the district court noted that he abandoned this request when briefing the motions for summary judgment. MDOC's current policy is to respond to ADA requests on an "as-needed basis." </w:t>
      </w:r>
      <w:bookmarkStart w:id="875" w:name="Bookmark_LNHNREFclscc8_3"/>
      <w:bookmarkEnd w:id="875"/>
      <w:r>
        <w:rPr>
          <w:rFonts w:ascii="Arial" w:eastAsia="Arial" w:hAnsi="Arial" w:cs="Arial"/>
          <w:color w:val="000000"/>
          <w:sz w:val="20"/>
        </w:rPr>
        <w:t>To show a violation of Title II, Mason must specify a benefit to which he was denied meaningful access based on his disability. 42 U.S.C. § 12132. Mason has failed to identify a particular benefit that MDOC denied him, and the allegation that the requested assessment might uncover unspecified violations of the ADA is not enough to create a disputed issue for trial with respect to this accommodation.</w:t>
      </w:r>
    </w:p>
    <w:p w:rsidR="006E038D" w:rsidRDefault="00000000">
      <w:pPr>
        <w:pStyle w:val="Normal6"/>
        <w:widowControl w:val="0"/>
        <w:spacing w:before="200" w:line="260" w:lineRule="atLeast"/>
        <w:jc w:val="both"/>
      </w:pPr>
      <w:bookmarkStart w:id="876" w:name="Bookmark_para_31_2"/>
      <w:bookmarkEnd w:id="876"/>
      <w:r>
        <w:rPr>
          <w:rFonts w:ascii="Arial" w:eastAsia="Arial" w:hAnsi="Arial" w:cs="Arial"/>
          <w:color w:val="000000"/>
          <w:sz w:val="20"/>
        </w:rPr>
        <w:t>The judgment of the district court is affirmed.</w:t>
      </w:r>
    </w:p>
    <w:p w:rsidR="006E038D" w:rsidRDefault="006E038D">
      <w:pPr>
        <w:pStyle w:val="Normal6"/>
      </w:pPr>
    </w:p>
    <w:p w:rsidR="006E038D" w:rsidRDefault="00000000">
      <w:pPr>
        <w:pStyle w:val="Normal6"/>
        <w:ind w:left="200"/>
        <w:sectPr w:rsidR="006E038D">
          <w:type w:val="continuous"/>
          <w:pgSz w:w="12240" w:h="15840"/>
          <w:pgMar w:top="840" w:right="1000" w:bottom="840" w:left="1000" w:header="400" w:footer="400" w:gutter="0"/>
          <w:cols w:num="2" w:space="240"/>
        </w:sectPr>
      </w:pPr>
      <w:r>
        <w:br/>
      </w:r>
      <w:r w:rsidR="008C3211">
        <w:rPr>
          <w:noProof/>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09569805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42606" id="Line 1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6E038D" w:rsidRDefault="006E038D">
      <w:pPr>
        <w:pStyle w:val="Normal7"/>
        <w:sectPr w:rsidR="006E038D">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gutter="0"/>
          <w:cols w:space="720"/>
          <w:titlePg/>
        </w:sectPr>
      </w:pPr>
    </w:p>
    <w:p w:rsidR="006E038D" w:rsidRDefault="006E038D">
      <w:pPr>
        <w:pStyle w:val="Normal7"/>
      </w:pPr>
    </w:p>
    <w:p w:rsidR="006E038D" w:rsidRDefault="00000000">
      <w:pPr>
        <w:pStyle w:val="Heading16"/>
        <w:keepNext w:val="0"/>
        <w:widowControl w:val="0"/>
        <w:spacing w:after="200" w:line="340" w:lineRule="atLeast"/>
        <w:jc w:val="center"/>
      </w:pPr>
      <w:r>
        <w:rPr>
          <w:rFonts w:eastAsia="Arial"/>
          <w:color w:val="000000"/>
          <w:sz w:val="28"/>
        </w:rPr>
        <w:t>Rylee v. Chapman</w:t>
      </w:r>
    </w:p>
    <w:p w:rsidR="006E038D" w:rsidRDefault="00000000">
      <w:pPr>
        <w:pStyle w:val="Normal7"/>
        <w:widowControl w:val="0"/>
        <w:spacing w:before="120" w:line="260" w:lineRule="atLeast"/>
        <w:jc w:val="center"/>
      </w:pPr>
      <w:r>
        <w:rPr>
          <w:rFonts w:ascii="Arial" w:eastAsia="Arial" w:hAnsi="Arial" w:cs="Arial"/>
          <w:color w:val="000000"/>
          <w:sz w:val="20"/>
        </w:rPr>
        <w:t>United States Court of Appeals for the Eleventh Circuit</w:t>
      </w:r>
    </w:p>
    <w:p w:rsidR="006E038D" w:rsidRDefault="00000000">
      <w:pPr>
        <w:pStyle w:val="Normal7"/>
        <w:widowControl w:val="0"/>
        <w:spacing w:before="120" w:line="260" w:lineRule="atLeast"/>
        <w:jc w:val="center"/>
      </w:pPr>
      <w:r>
        <w:rPr>
          <w:rFonts w:ascii="Arial" w:eastAsia="Arial" w:hAnsi="Arial" w:cs="Arial"/>
          <w:color w:val="000000"/>
          <w:sz w:val="20"/>
        </w:rPr>
        <w:t>February 27, 2009, Decided; February 27, 2009, Filed</w:t>
      </w:r>
    </w:p>
    <w:p w:rsidR="006E038D" w:rsidRDefault="00000000">
      <w:pPr>
        <w:pStyle w:val="Normal7"/>
        <w:widowControl w:val="0"/>
        <w:spacing w:before="120" w:line="260" w:lineRule="atLeast"/>
        <w:jc w:val="center"/>
        <w:sectPr w:rsidR="006E038D">
          <w:type w:val="continuous"/>
          <w:pgSz w:w="12240" w:h="15840"/>
          <w:pgMar w:top="840" w:right="1000" w:bottom="840" w:left="1000" w:header="400" w:footer="400" w:gutter="0"/>
          <w:cols w:space="240"/>
        </w:sectPr>
      </w:pPr>
      <w:r>
        <w:rPr>
          <w:rFonts w:ascii="Arial" w:eastAsia="Arial" w:hAnsi="Arial" w:cs="Arial"/>
          <w:color w:val="000000"/>
          <w:sz w:val="20"/>
        </w:rPr>
        <w:t>No. 08-15036 Non-Argument Calendar</w:t>
      </w:r>
    </w:p>
    <w:p w:rsidR="006E038D" w:rsidRDefault="006E038D">
      <w:pPr>
        <w:pStyle w:val="Normal7"/>
        <w:widowControl w:val="0"/>
        <w:spacing w:line="240" w:lineRule="atLeast"/>
        <w:jc w:val="both"/>
      </w:pPr>
      <w:bookmarkStart w:id="877" w:name="Bookmark_8"/>
      <w:bookmarkEnd w:id="877"/>
    </w:p>
    <w:p w:rsidR="006E038D" w:rsidRDefault="00000000">
      <w:pPr>
        <w:pStyle w:val="Normal7"/>
        <w:widowControl w:val="0"/>
        <w:spacing w:before="200" w:line="240" w:lineRule="atLeast"/>
      </w:pPr>
      <w:bookmarkStart w:id="878" w:name="Reporter_6"/>
      <w:bookmarkEnd w:id="878"/>
      <w:r>
        <w:rPr>
          <w:rFonts w:ascii="Arial" w:eastAsia="Arial" w:hAnsi="Arial" w:cs="Arial"/>
          <w:b/>
          <w:color w:val="000000"/>
          <w:sz w:val="18"/>
        </w:rPr>
        <w:t>Reporter</w:t>
      </w:r>
    </w:p>
    <w:p w:rsidR="006E038D" w:rsidRDefault="00000000">
      <w:pPr>
        <w:pStyle w:val="Normal7"/>
        <w:widowControl w:val="0"/>
        <w:spacing w:line="240" w:lineRule="atLeast"/>
        <w:sectPr w:rsidR="006E038D">
          <w:type w:val="continuous"/>
          <w:pgSz w:w="12240" w:h="15840"/>
          <w:pgMar w:top="840" w:right="1000" w:bottom="840" w:left="1000" w:header="400" w:footer="400" w:gutter="0"/>
          <w:cols w:space="240"/>
        </w:sectPr>
      </w:pPr>
      <w:r>
        <w:rPr>
          <w:rFonts w:ascii="Arial" w:eastAsia="Arial" w:hAnsi="Arial" w:cs="Arial"/>
          <w:color w:val="000000"/>
          <w:sz w:val="18"/>
        </w:rPr>
        <w:t>316 Fed. Appx. 901 *; 2009 U.S. App. LEXIS 5056 **</w:t>
      </w:r>
    </w:p>
    <w:p w:rsidR="006E038D" w:rsidRDefault="00000000">
      <w:pPr>
        <w:pStyle w:val="Normal7"/>
        <w:widowControl w:val="0"/>
        <w:spacing w:before="120" w:line="260" w:lineRule="atLeast"/>
      </w:pPr>
      <w:r>
        <w:rPr>
          <w:rFonts w:ascii="Arial" w:eastAsia="Arial" w:hAnsi="Arial" w:cs="Arial"/>
          <w:color w:val="000000"/>
          <w:sz w:val="20"/>
        </w:rPr>
        <w:t>TIMOTHY RYLEE, Plaintiff-Appellant, versus SHERIFF CHARLES CHAPMAN, in his official capacity as Sheriff of Banks County, BANKS COUNTY, a municipal subdivision of the State of Georgia, JOSEPH CHAPMAN, C. WAY, B. LORD, JOHN DOE, Defendants-Appellees.</w:t>
      </w:r>
    </w:p>
    <w:p w:rsidR="006E038D" w:rsidRDefault="00000000">
      <w:pPr>
        <w:pStyle w:val="Normal7"/>
        <w:widowControl w:val="0"/>
        <w:spacing w:before="240" w:line="260" w:lineRule="atLeast"/>
        <w:jc w:val="both"/>
      </w:pPr>
      <w:bookmarkStart w:id="879" w:name="Notice_1"/>
      <w:bookmarkEnd w:id="879"/>
      <w:r>
        <w:rPr>
          <w:rFonts w:ascii="Arial" w:eastAsia="Arial" w:hAnsi="Arial" w:cs="Arial"/>
          <w:b/>
          <w:color w:val="000000"/>
          <w:sz w:val="20"/>
        </w:rPr>
        <w:t>Notice:</w:t>
      </w:r>
      <w:r>
        <w:rPr>
          <w:rFonts w:ascii="Arial" w:eastAsia="Arial" w:hAnsi="Arial" w:cs="Arial"/>
          <w:color w:val="000000"/>
          <w:sz w:val="20"/>
        </w:rPr>
        <w:t> </w:t>
      </w:r>
      <w:bookmarkStart w:id="880" w:name="Bookmark_para_1_6"/>
      <w:bookmarkEnd w:id="880"/>
      <w:r>
        <w:rPr>
          <w:rFonts w:ascii="Arial" w:eastAsia="Arial" w:hAnsi="Arial" w:cs="Arial"/>
          <w:color w:val="000000"/>
          <w:sz w:val="20"/>
        </w:rPr>
        <w:t>PLEASE REFER TO FEDERAL RULES OF APPELLATE PROCEDURE RULE 32.1 GOVERNING THE CITATION TO UNPUBLISHED OPINIONS.</w:t>
      </w:r>
    </w:p>
    <w:p w:rsidR="006E038D" w:rsidRDefault="00000000">
      <w:pPr>
        <w:pStyle w:val="Normal7"/>
        <w:widowControl w:val="0"/>
        <w:spacing w:before="240" w:line="260" w:lineRule="atLeast"/>
        <w:jc w:val="both"/>
      </w:pPr>
      <w:bookmarkStart w:id="881" w:name="Prior_History_6"/>
      <w:bookmarkEnd w:id="881"/>
      <w:r>
        <w:rPr>
          <w:rFonts w:ascii="Arial" w:eastAsia="Arial" w:hAnsi="Arial" w:cs="Arial"/>
          <w:b/>
          <w:color w:val="000000"/>
          <w:sz w:val="20"/>
        </w:rPr>
        <w:t>Prior History:</w:t>
      </w:r>
      <w:r>
        <w:rPr>
          <w:rFonts w:ascii="Arial" w:eastAsia="Arial" w:hAnsi="Arial" w:cs="Arial"/>
          <w:color w:val="000000"/>
          <w:sz w:val="20"/>
        </w:rPr>
        <w:t>  [**1] </w:t>
      </w:r>
      <w:bookmarkStart w:id="882" w:name="Bookmark_para_2_6"/>
      <w:bookmarkEnd w:id="882"/>
      <w:r>
        <w:rPr>
          <w:rFonts w:ascii="Arial" w:eastAsia="Arial" w:hAnsi="Arial" w:cs="Arial"/>
          <w:color w:val="000000"/>
          <w:sz w:val="20"/>
        </w:rPr>
        <w:t>Appeal from the United States District Court for the Northern District of Georgia. D. C. Docket No. 06-00158-CV-RWS-2.</w:t>
      </w:r>
    </w:p>
    <w:p w:rsidR="006E038D" w:rsidRDefault="00000000">
      <w:pPr>
        <w:pStyle w:val="Normal7"/>
        <w:widowControl w:val="0"/>
        <w:spacing w:before="120" w:line="260" w:lineRule="atLeast"/>
      </w:pPr>
      <w:r>
        <w:rPr>
          <w:rFonts w:ascii="Arial" w:eastAsia="Arial" w:hAnsi="Arial" w:cs="Arial"/>
          <w:color w:val="000000"/>
          <w:sz w:val="20"/>
        </w:rPr>
        <w:t>Rylee v. Chapman, 2008 U.S. Dist. LEXIS 61055 (N.D. Ga., Aug. 11, 2008)</w:t>
      </w:r>
    </w:p>
    <w:p w:rsidR="006E038D" w:rsidRDefault="00000000">
      <w:pPr>
        <w:pStyle w:val="Normal7"/>
        <w:widowControl w:val="0"/>
        <w:spacing w:before="240" w:line="260" w:lineRule="atLeast"/>
        <w:jc w:val="both"/>
      </w:pPr>
      <w:bookmarkStart w:id="883" w:name="Disposition_1"/>
      <w:bookmarkEnd w:id="883"/>
      <w:r>
        <w:rPr>
          <w:rFonts w:ascii="Arial" w:eastAsia="Arial" w:hAnsi="Arial" w:cs="Arial"/>
          <w:b/>
          <w:color w:val="000000"/>
          <w:sz w:val="20"/>
        </w:rPr>
        <w:t>Disposition:</w:t>
      </w:r>
      <w:r>
        <w:rPr>
          <w:rFonts w:ascii="Arial" w:eastAsia="Arial" w:hAnsi="Arial" w:cs="Arial"/>
          <w:color w:val="000000"/>
          <w:sz w:val="20"/>
        </w:rPr>
        <w:t> </w:t>
      </w:r>
      <w:bookmarkStart w:id="884" w:name="Bookmark_clspara_5_1"/>
      <w:bookmarkEnd w:id="884"/>
      <w:r>
        <w:rPr>
          <w:rFonts w:ascii="Arial" w:eastAsia="Arial" w:hAnsi="Arial" w:cs="Arial"/>
          <w:color w:val="000000"/>
          <w:sz w:val="20"/>
        </w:rPr>
        <w:t>AFFIRMED.</w:t>
      </w:r>
    </w:p>
    <w:p w:rsidR="006E038D" w:rsidRDefault="00000000">
      <w:pPr>
        <w:pStyle w:val="Normal7"/>
        <w:widowControl w:val="0"/>
        <w:spacing w:before="240" w:line="260" w:lineRule="atLeast"/>
      </w:pPr>
      <w:bookmarkStart w:id="885" w:name="Counsel_6"/>
      <w:bookmarkEnd w:id="885"/>
      <w:r>
        <w:rPr>
          <w:rFonts w:ascii="Arial" w:eastAsia="Arial" w:hAnsi="Arial" w:cs="Arial"/>
          <w:b/>
          <w:color w:val="000000"/>
          <w:sz w:val="20"/>
        </w:rPr>
        <w:t>Counsel:</w:t>
      </w:r>
      <w:r>
        <w:rPr>
          <w:rFonts w:ascii="Arial" w:eastAsia="Arial" w:hAnsi="Arial" w:cs="Arial"/>
          <w:color w:val="000000"/>
          <w:sz w:val="20"/>
        </w:rPr>
        <w:t> For Timothy Rylee, Appellant: Clifford Harold Hardwick, Hardwick &amp; Associates, ROSWELL, GA.</w:t>
      </w:r>
    </w:p>
    <w:p w:rsidR="006E038D" w:rsidRDefault="00000000">
      <w:pPr>
        <w:pStyle w:val="Normal7"/>
        <w:widowControl w:val="0"/>
        <w:spacing w:before="120" w:line="260" w:lineRule="atLeast"/>
      </w:pPr>
      <w:r>
        <w:rPr>
          <w:rFonts w:ascii="Arial" w:eastAsia="Arial" w:hAnsi="Arial" w:cs="Arial"/>
          <w:color w:val="000000"/>
          <w:sz w:val="20"/>
        </w:rPr>
        <w:t>For Charles Chapman, Banks County, Joseph Chapman, C. Way, B. Lord, Appellees: Jason C. Waymire, Williams, Morris &amp; Blum, LLC, BUFORD, GA.</w:t>
      </w:r>
    </w:p>
    <w:p w:rsidR="006E038D" w:rsidRDefault="00000000">
      <w:pPr>
        <w:pStyle w:val="Normal7"/>
        <w:widowControl w:val="0"/>
        <w:spacing w:before="120" w:line="260" w:lineRule="atLeast"/>
      </w:pPr>
      <w:r>
        <w:rPr>
          <w:rFonts w:ascii="Arial" w:eastAsia="Arial" w:hAnsi="Arial" w:cs="Arial"/>
          <w:color w:val="000000"/>
          <w:sz w:val="20"/>
        </w:rPr>
        <w:t>For John Doe, Appellee: Jason C. Waymire, Williams, Morris &amp; Blum, LLC, BUFORD, GA; Terry Eugene Williams, Terry Williams &amp; Associates, LAWRENCEVILLE, GA.</w:t>
      </w:r>
    </w:p>
    <w:p w:rsidR="006E038D" w:rsidRDefault="00000000">
      <w:pPr>
        <w:pStyle w:val="Normal7"/>
        <w:widowControl w:val="0"/>
        <w:spacing w:before="240" w:line="260" w:lineRule="atLeast"/>
      </w:pPr>
      <w:bookmarkStart w:id="886" w:name="Judges_6"/>
      <w:bookmarkEnd w:id="886"/>
      <w:r>
        <w:rPr>
          <w:rFonts w:ascii="Arial" w:eastAsia="Arial" w:hAnsi="Arial" w:cs="Arial"/>
          <w:b/>
          <w:color w:val="000000"/>
          <w:sz w:val="20"/>
        </w:rPr>
        <w:t>Judges:</w:t>
      </w:r>
      <w:r>
        <w:rPr>
          <w:rFonts w:ascii="Arial" w:eastAsia="Arial" w:hAnsi="Arial" w:cs="Arial"/>
          <w:color w:val="000000"/>
          <w:sz w:val="20"/>
        </w:rPr>
        <w:t> Before BLACK, PRYOR and KRAVITCH, Circuit Judges.</w:t>
      </w:r>
    </w:p>
    <w:p w:rsidR="006E038D" w:rsidRDefault="00000000">
      <w:pPr>
        <w:pStyle w:val="Normal7"/>
        <w:keepNext/>
        <w:widowControl w:val="0"/>
        <w:spacing w:before="240" w:line="340" w:lineRule="atLeast"/>
      </w:pPr>
      <w:bookmarkStart w:id="887" w:name="Opinion_6"/>
      <w:bookmarkEnd w:id="887"/>
      <w:r>
        <w:rPr>
          <w:rFonts w:ascii="Arial" w:eastAsia="Arial" w:hAnsi="Arial" w:cs="Arial"/>
          <w:b/>
          <w:color w:val="000000"/>
          <w:sz w:val="28"/>
        </w:rPr>
        <w:t>Opinion</w:t>
      </w:r>
    </w:p>
    <w:p w:rsidR="006E038D" w:rsidRDefault="008C3211">
      <w:pPr>
        <w:pStyle w:val="Normal7"/>
        <w:spacing w:line="60" w:lineRule="exact"/>
      </w:pPr>
      <w:r>
        <w:rPr>
          <w:noProof/>
        </w:rPr>
        <mc:AlternateContent>
          <mc:Choice Requires="wps">
            <w:drawing>
              <wp:anchor distT="0" distB="0" distL="114300" distR="114300" simplePos="0" relativeHeight="25167462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992901485"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1471F"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6E038D" w:rsidRDefault="006E038D">
      <w:pPr>
        <w:pStyle w:val="Normal7"/>
      </w:pPr>
    </w:p>
    <w:p w:rsidR="006E038D" w:rsidRDefault="00000000">
      <w:pPr>
        <w:pStyle w:val="Normal7"/>
        <w:widowControl w:val="0"/>
        <w:spacing w:before="200" w:line="260" w:lineRule="atLeast"/>
        <w:jc w:val="both"/>
      </w:pPr>
      <w:bookmarkStart w:id="888" w:name="Bookmark_para_3_6"/>
      <w:bookmarkEnd w:id="888"/>
      <w:r>
        <w:rPr>
          <w:rFonts w:ascii="Arial" w:eastAsia="Arial" w:hAnsi="Arial" w:cs="Arial"/>
          <w:color w:val="000000"/>
          <w:sz w:val="20"/>
        </w:rPr>
        <w:t> [*902]  PER CURIAM:</w:t>
      </w:r>
    </w:p>
    <w:p w:rsidR="006E038D" w:rsidRDefault="00000000">
      <w:pPr>
        <w:pStyle w:val="Normal7"/>
        <w:widowControl w:val="0"/>
        <w:spacing w:before="200" w:line="260" w:lineRule="atLeast"/>
        <w:jc w:val="both"/>
      </w:pPr>
      <w:bookmarkStart w:id="889" w:name="Bookmark_para_4_6"/>
      <w:bookmarkEnd w:id="889"/>
      <w:r>
        <w:rPr>
          <w:rFonts w:ascii="Arial" w:eastAsia="Arial" w:hAnsi="Arial" w:cs="Arial"/>
          <w:color w:val="000000"/>
          <w:sz w:val="20"/>
        </w:rPr>
        <w:t xml:space="preserve">Plaintiff-Appellant Timothy Rylee ("Rylee"), an individual with a hearing impairment, alleges that his rights were violated  [*903]  by Defendant-Appellees Charles Chapman, Joseph Chapman, Cary Way, Brian Lord, John Doe, and Banks County, Georgia (collectively "Appellees"), throughout the course of his arrest, booking, interrogation, and first appearance hearing. Rylee brought claims against Appellees under the Americans with Disabilities Act ("ADA"), 42 U.S.C. § 12131, </w:t>
      </w:r>
      <w:r>
        <w:rPr>
          <w:rFonts w:ascii="Arial" w:eastAsia="Arial" w:hAnsi="Arial" w:cs="Arial"/>
          <w:color w:val="000000"/>
          <w:sz w:val="20"/>
          <w:u w:val="single"/>
        </w:rPr>
        <w:t>et seq</w:t>
      </w:r>
      <w:r>
        <w:rPr>
          <w:rFonts w:ascii="Arial" w:eastAsia="Arial" w:hAnsi="Arial" w:cs="Arial"/>
          <w:color w:val="000000"/>
          <w:sz w:val="20"/>
        </w:rPr>
        <w:t>., the Rehabilitation Act ("RA"), 29 U.S.C. § 794, and 42 U.S.C. § 1983. Following discovery, the district court granted summary judgment in favor of the defendants  [**2] on all claims.</w:t>
      </w:r>
    </w:p>
    <w:p w:rsidR="006E038D" w:rsidRDefault="00000000">
      <w:pPr>
        <w:pStyle w:val="Normal7"/>
        <w:widowControl w:val="0"/>
        <w:spacing w:before="240" w:line="260" w:lineRule="atLeast"/>
      </w:pPr>
      <w:r>
        <w:br/>
      </w:r>
      <w:r>
        <w:rPr>
          <w:rFonts w:ascii="Arial" w:eastAsia="Arial" w:hAnsi="Arial" w:cs="Arial"/>
          <w:b/>
          <w:color w:val="000000"/>
          <w:sz w:val="20"/>
        </w:rPr>
        <w:t>I. Facts</w:t>
      </w:r>
    </w:p>
    <w:p w:rsidR="006E038D" w:rsidRDefault="00000000">
      <w:pPr>
        <w:pStyle w:val="Normal7"/>
        <w:widowControl w:val="0"/>
        <w:spacing w:before="200" w:line="260" w:lineRule="atLeast"/>
        <w:jc w:val="both"/>
      </w:pPr>
      <w:bookmarkStart w:id="890" w:name="Bookmark_para_5_6"/>
      <w:bookmarkEnd w:id="890"/>
      <w:r>
        <w:rPr>
          <w:rFonts w:ascii="Arial" w:eastAsia="Arial" w:hAnsi="Arial" w:cs="Arial"/>
          <w:color w:val="000000"/>
          <w:sz w:val="20"/>
        </w:rPr>
        <w:t>On the evening of November 1, 2005, twelve-year-old Kevin Rylee called Banks County 911 and told the operator that he needed assistance because his father, Timothy Rylee, "would not leave [his] mom alone." Rylee's then-wife, Susan Rylee, got on the line and told the 911 operator that she needed officers to come to her residence because her husband had, amongst other things, threatened to kill her, grabbed her around her throat, threw her against a wall, threw glass jars full of fruit at her, and threw a chair at her as she fled down the stairs. At the time of the call, Mrs. Rylee reported that she and her two children were outside the house, hiding from Rylee amongst some trees. She told the 911 operator that her husband was hearing-impaired and did not know sign language, but could read lips and understand someone when they spoke slowly to him.</w:t>
      </w:r>
    </w:p>
    <w:p w:rsidR="006E038D" w:rsidRDefault="00000000">
      <w:pPr>
        <w:pStyle w:val="Normal7"/>
        <w:widowControl w:val="0"/>
        <w:spacing w:before="200" w:line="260" w:lineRule="atLeast"/>
        <w:jc w:val="both"/>
      </w:pPr>
      <w:bookmarkStart w:id="891" w:name="Bookmark_para_6_6"/>
      <w:bookmarkEnd w:id="891"/>
      <w:r>
        <w:rPr>
          <w:rFonts w:ascii="Arial" w:eastAsia="Arial" w:hAnsi="Arial" w:cs="Arial"/>
          <w:color w:val="000000"/>
          <w:sz w:val="20"/>
        </w:rPr>
        <w:t>Appellees Cary Way and Brian Lord, both patrol deputies with the Banks County Sheriff's Office, were dispatched to Rylee's residence. While they were en route, the 911 dispatcher told the deputies that Rylee was hearing impaired, but could read lips. When the deputies arrived, they did not see anyone in the front yard and  [**3] began to approach the house. The front door was open and Rylee's dog was outside. The dog approached the deputies, the deputies pointed their pistols at the dog, and Rylee came outside yelling, "don't shoot the dog." Once Rylee was on the front lawn, the deputies proceeded to question him, including whether he knew the location of his wife and children. At no point did Rylee ask for an interpreter or for any other accommodations in order to help him communicate with or understand the deputies.</w:t>
      </w:r>
    </w:p>
    <w:p w:rsidR="006E038D" w:rsidRDefault="00000000">
      <w:pPr>
        <w:pStyle w:val="Normal7"/>
        <w:widowControl w:val="0"/>
        <w:spacing w:before="200" w:line="260" w:lineRule="atLeast"/>
        <w:jc w:val="both"/>
      </w:pPr>
      <w:bookmarkStart w:id="892" w:name="Bookmark_para_7_6"/>
      <w:bookmarkEnd w:id="892"/>
      <w:r>
        <w:rPr>
          <w:rFonts w:ascii="Arial" w:eastAsia="Arial" w:hAnsi="Arial" w:cs="Arial"/>
          <w:color w:val="000000"/>
          <w:sz w:val="20"/>
        </w:rPr>
        <w:t xml:space="preserve">During or after this exchange, Mrs. Rylee and her two sons emerged from the woods. Deputy Lord escorted Mrs. Rylee into her residence, where he and Sergeant Jimmy Hubbard, </w:t>
      </w:r>
      <w:r>
        <w:rPr>
          <w:rFonts w:ascii="Arial" w:eastAsia="Arial" w:hAnsi="Arial" w:cs="Arial"/>
          <w:vertAlign w:val="superscript"/>
        </w:rPr>
        <w:footnoteReference w:customMarkFollows="1" w:id="26"/>
        <w:t>1</w:t>
      </w:r>
      <w:r>
        <w:rPr>
          <w:rFonts w:ascii="Arial" w:eastAsia="Arial" w:hAnsi="Arial" w:cs="Arial"/>
          <w:color w:val="000000"/>
          <w:sz w:val="20"/>
        </w:rPr>
        <w:t xml:space="preserve"> who had recently arrived on the scene, questioned Mrs. Rylee. Mrs. Rylee gave a statement reciting allegations of violence that were similar to those that she told the 911 operator. She also told the officers that Rylee previously had thrown a carton of ice cream at her and showed the officers the bruise that allegedly resulted from that incident. Inside the house, Sergeant Hubbard noticed that a chair was overturned, consistent with Mrs. Rylee's story that her husband threw a chair at her.</w:t>
      </w:r>
    </w:p>
    <w:p w:rsidR="006E038D" w:rsidRDefault="00000000">
      <w:pPr>
        <w:pStyle w:val="Normal7"/>
        <w:widowControl w:val="0"/>
        <w:spacing w:before="200" w:line="260" w:lineRule="atLeast"/>
        <w:jc w:val="both"/>
      </w:pPr>
      <w:bookmarkStart w:id="894" w:name="Bookmark_para_8_6"/>
      <w:bookmarkEnd w:id="894"/>
      <w:r>
        <w:rPr>
          <w:rFonts w:ascii="Arial" w:eastAsia="Arial" w:hAnsi="Arial" w:cs="Arial"/>
          <w:color w:val="000000"/>
          <w:sz w:val="20"/>
        </w:rPr>
        <w:t>Sergeant Hubbard ordered Rylee arrested. He was taken into custody on charges of simple battery, simple assault, and second degree cruelty to children. Deputy Lord drove Rylee to the Banks County Jail, turned him over to the booking officer, and informed the booking officer that Rylee had a hearing impairment. Jail documents bear the notation that Rylee is "deaf, but can read lips."</w:t>
      </w:r>
    </w:p>
    <w:p w:rsidR="006E038D" w:rsidRDefault="00000000">
      <w:pPr>
        <w:pStyle w:val="Normal7"/>
        <w:widowControl w:val="0"/>
        <w:spacing w:before="200" w:line="260" w:lineRule="atLeast"/>
        <w:jc w:val="both"/>
      </w:pPr>
      <w:bookmarkStart w:id="895" w:name="Bookmark_para_9_6"/>
      <w:bookmarkEnd w:id="895"/>
      <w:r>
        <w:rPr>
          <w:rFonts w:ascii="Arial" w:eastAsia="Arial" w:hAnsi="Arial" w:cs="Arial"/>
          <w:color w:val="000000"/>
          <w:sz w:val="20"/>
        </w:rPr>
        <w:t xml:space="preserve"> [*904]  During the booking process, Rylee asked one booking officer to hand-write her questions and statements to him. She complied with this request. Rylee also asked a jail officer if he could use his cellular telephone so that he could contact his family, but the officer confiscated the phone, along with Rylee's other personal property. </w:t>
      </w:r>
      <w:r>
        <w:rPr>
          <w:rFonts w:ascii="Arial" w:eastAsia="Arial" w:hAnsi="Arial" w:cs="Arial"/>
          <w:vertAlign w:val="superscript"/>
        </w:rPr>
        <w:footnoteReference w:customMarkFollows="1" w:id="27"/>
        <w:t>2</w:t>
      </w:r>
      <w:r>
        <w:rPr>
          <w:rFonts w:ascii="Arial" w:eastAsia="Arial" w:hAnsi="Arial" w:cs="Arial"/>
          <w:color w:val="000000"/>
          <w:sz w:val="20"/>
        </w:rPr>
        <w:t xml:space="preserve"> Later that evening, however, a jail officer contacted one of Rylee's relatives to let them know his whereabouts. After booking, Rylee spent the night in jail. While incarcerated, Rylee acknowledged in writing that he received the Banks County Jail's Inmate Handbook, which specified the jail's grievance procedures.</w:t>
      </w:r>
    </w:p>
    <w:p w:rsidR="006E038D" w:rsidRDefault="00000000">
      <w:pPr>
        <w:pStyle w:val="Normal7"/>
        <w:widowControl w:val="0"/>
        <w:spacing w:before="200" w:line="260" w:lineRule="atLeast"/>
        <w:jc w:val="both"/>
      </w:pPr>
      <w:bookmarkStart w:id="897" w:name="Bookmark_para_10_6"/>
      <w:bookmarkStart w:id="898" w:name="Bookmark_I4W02DFS0K1MNJ0RJ0000400"/>
      <w:bookmarkEnd w:id="897"/>
      <w:bookmarkEnd w:id="898"/>
      <w:r>
        <w:rPr>
          <w:rFonts w:ascii="Arial" w:eastAsia="Arial" w:hAnsi="Arial" w:cs="Arial"/>
          <w:color w:val="000000"/>
          <w:sz w:val="20"/>
        </w:rPr>
        <w:t xml:space="preserve">On the morning following the arrest, Appellee Joseph Chapman, an investigator for the Banks County Sheriff's Office, met with Rylee to interview him. Before the start of the interview, Rylee acknowledged in writing that he had received </w:t>
      </w:r>
      <w:r>
        <w:rPr>
          <w:rFonts w:ascii="Arial" w:eastAsia="Arial" w:hAnsi="Arial" w:cs="Arial"/>
          <w:color w:val="000000"/>
          <w:sz w:val="20"/>
          <w:u w:val="single"/>
        </w:rPr>
        <w:t>Miranda</w:t>
      </w:r>
      <w:r>
        <w:rPr>
          <w:rFonts w:ascii="Arial" w:eastAsia="Arial" w:hAnsi="Arial" w:cs="Arial"/>
          <w:color w:val="000000"/>
          <w:sz w:val="20"/>
        </w:rPr>
        <w:t xml:space="preserve"> </w:t>
      </w:r>
      <w:r>
        <w:rPr>
          <w:rFonts w:ascii="Arial" w:eastAsia="Arial" w:hAnsi="Arial" w:cs="Arial"/>
          <w:vertAlign w:val="superscript"/>
        </w:rPr>
        <w:footnoteReference w:customMarkFollows="1" w:id="28"/>
        <w:t>3</w:t>
      </w:r>
      <w:r>
        <w:rPr>
          <w:rFonts w:ascii="Arial" w:eastAsia="Arial" w:hAnsi="Arial" w:cs="Arial"/>
          <w:color w:val="000000"/>
          <w:sz w:val="20"/>
        </w:rPr>
        <w:t xml:space="preserve"> warnings. Investigator Chapman asked Rylee whether he could read lips, to which he responded "yes," and noted that he could also read and write. During the interview, Investigator Chapman wrote down his communications for Rylee. At no point did Rylee ask for an interpreter. At Rylee's request, Investigator Chapman wrote a statement based on his account, which Rylee signed. The statement alleged that Rylee defended himself after his wife came at him with a knife.</w:t>
      </w:r>
    </w:p>
    <w:p w:rsidR="006E038D" w:rsidRDefault="00000000">
      <w:pPr>
        <w:pStyle w:val="Normal7"/>
        <w:widowControl w:val="0"/>
        <w:spacing w:before="200" w:line="260" w:lineRule="atLeast"/>
        <w:jc w:val="both"/>
      </w:pPr>
      <w:bookmarkStart w:id="901" w:name="Bookmark_para_11_5"/>
      <w:bookmarkEnd w:id="901"/>
      <w:r>
        <w:rPr>
          <w:rFonts w:ascii="Arial" w:eastAsia="Arial" w:hAnsi="Arial" w:cs="Arial"/>
          <w:color w:val="000000"/>
          <w:sz w:val="20"/>
        </w:rPr>
        <w:t>Investigator Chapman thereafter obtained a warrant charging Rylee with simple battery and second degree cruelty to children, and transported Rylee to a bond hearing before  [**6] a magistrate judge. Rylee was met at court by his uncle, a retired attorney. The magistrate judge, having found probable cause for the charges, spoke with Rylee's uncle in chambers and reached a bond agreement. Bail was set, the bond was posted, and Rylee was released.</w:t>
      </w:r>
    </w:p>
    <w:p w:rsidR="006E038D" w:rsidRDefault="00000000">
      <w:pPr>
        <w:pStyle w:val="Normal7"/>
        <w:widowControl w:val="0"/>
        <w:spacing w:before="200" w:line="260" w:lineRule="atLeast"/>
        <w:jc w:val="both"/>
      </w:pPr>
      <w:bookmarkStart w:id="902" w:name="Bookmark_para_12_5"/>
      <w:bookmarkEnd w:id="902"/>
      <w:r>
        <w:rPr>
          <w:rFonts w:ascii="Arial" w:eastAsia="Arial" w:hAnsi="Arial" w:cs="Arial"/>
          <w:color w:val="000000"/>
          <w:sz w:val="20"/>
        </w:rPr>
        <w:t xml:space="preserve">Rylee thereafter brought the instant suit against Appellees. Following discovery, both parties moved for summary judgment. The district court denied Rylee's motion for summary judgment and granted summary judgment in favor of Appellees on the following grounds: (1) Sheriff Chapman is entitled to official immunity from all claims; (2) the RA claims fail because Rylee did not identify any federal funding; </w:t>
      </w:r>
      <w:r>
        <w:rPr>
          <w:rFonts w:ascii="Arial" w:eastAsia="Arial" w:hAnsi="Arial" w:cs="Arial"/>
          <w:vertAlign w:val="superscript"/>
        </w:rPr>
        <w:footnoteReference w:customMarkFollows="1" w:id="29"/>
        <w:t>4</w:t>
      </w:r>
      <w:r>
        <w:rPr>
          <w:rFonts w:ascii="Arial" w:eastAsia="Arial" w:hAnsi="Arial" w:cs="Arial"/>
          <w:color w:val="000000"/>
          <w:sz w:val="20"/>
        </w:rPr>
        <w:t xml:space="preserve"> (3) the ADA claims fail because Rylee did not demonstrate a </w:t>
      </w:r>
      <w:r>
        <w:rPr>
          <w:rFonts w:ascii="Arial" w:eastAsia="Arial" w:hAnsi="Arial" w:cs="Arial"/>
          <w:color w:val="000000"/>
          <w:sz w:val="20"/>
          <w:u w:val="single"/>
        </w:rPr>
        <w:t>prima facie</w:t>
      </w:r>
      <w:r>
        <w:rPr>
          <w:rFonts w:ascii="Arial" w:eastAsia="Arial" w:hAnsi="Arial" w:cs="Arial"/>
          <w:color w:val="000000"/>
          <w:sz w:val="20"/>
        </w:rPr>
        <w:t xml:space="preserve"> case of disability discrimination, individual defendants cannot be sued under the ADA, and Banks County did not deny Rylee reasonable accommodations; and (4) the § 1983 claims fail because Rylee did not show that his due process or equal protection rights were violated.</w:t>
      </w:r>
    </w:p>
    <w:p w:rsidR="006E038D" w:rsidRDefault="00000000">
      <w:pPr>
        <w:pStyle w:val="Normal7"/>
        <w:widowControl w:val="0"/>
        <w:spacing w:before="240" w:line="260" w:lineRule="atLeast"/>
      </w:pPr>
      <w:r>
        <w:br/>
      </w:r>
      <w:r>
        <w:rPr>
          <w:rFonts w:ascii="Arial" w:eastAsia="Arial" w:hAnsi="Arial" w:cs="Arial"/>
          <w:b/>
          <w:color w:val="000000"/>
          <w:sz w:val="20"/>
        </w:rPr>
        <w:t>II. Discussion</w:t>
      </w:r>
    </w:p>
    <w:p w:rsidR="006E038D" w:rsidRDefault="00000000">
      <w:pPr>
        <w:pStyle w:val="Normal7"/>
        <w:widowControl w:val="0"/>
        <w:spacing w:before="240" w:line="260" w:lineRule="atLeast"/>
      </w:pPr>
      <w:r>
        <w:br/>
      </w:r>
      <w:r>
        <w:rPr>
          <w:rFonts w:ascii="Arial" w:eastAsia="Arial" w:hAnsi="Arial" w:cs="Arial"/>
          <w:color w:val="000000"/>
          <w:sz w:val="20"/>
          <w:u w:val="single"/>
        </w:rPr>
        <w:t>A. Standard of Review</w:t>
      </w:r>
    </w:p>
    <w:p w:rsidR="006E038D" w:rsidRDefault="00000000">
      <w:pPr>
        <w:pStyle w:val="Normal7"/>
        <w:widowControl w:val="0"/>
        <w:spacing w:before="200" w:line="260" w:lineRule="atLeast"/>
        <w:jc w:val="both"/>
      </w:pPr>
      <w:bookmarkStart w:id="906" w:name="Bookmark_para_13_5"/>
      <w:bookmarkStart w:id="907" w:name="Bookmark_I4W02DFS0K1MNJ0SY0000400"/>
      <w:bookmarkStart w:id="908" w:name="Bookmark_I4W02DFS0K1MNJ0T10000400"/>
      <w:bookmarkStart w:id="909" w:name="Bookmark_I4W02DFS0K1MNJ0T30000400"/>
      <w:bookmarkStart w:id="910" w:name="Bookmark_LNHNREFclscc1_6"/>
      <w:bookmarkEnd w:id="906"/>
      <w:bookmarkEnd w:id="907"/>
      <w:bookmarkEnd w:id="908"/>
      <w:bookmarkEnd w:id="909"/>
      <w:bookmarkEnd w:id="910"/>
      <w:r>
        <w:rPr>
          <w:rFonts w:ascii="Arial" w:eastAsia="Arial" w:hAnsi="Arial" w:cs="Arial"/>
          <w:color w:val="000000"/>
          <w:sz w:val="20"/>
        </w:rPr>
        <w:t xml:space="preserve">We review a district court's grant of summary judgment </w:t>
      </w:r>
      <w:r>
        <w:rPr>
          <w:rFonts w:ascii="Arial" w:eastAsia="Arial" w:hAnsi="Arial" w:cs="Arial"/>
          <w:color w:val="000000"/>
          <w:sz w:val="20"/>
          <w:u w:val="single"/>
        </w:rPr>
        <w:t>de novo</w:t>
      </w:r>
      <w:r>
        <w:rPr>
          <w:rFonts w:ascii="Arial" w:eastAsia="Arial" w:hAnsi="Arial" w:cs="Arial"/>
          <w:color w:val="000000"/>
          <w:sz w:val="20"/>
        </w:rPr>
        <w:t xml:space="preserve">. </w:t>
      </w:r>
      <w:bookmarkStart w:id="911" w:name="Bookmark_I4W02DFS0K1MNJ0RN0000400"/>
      <w:bookmarkEnd w:id="911"/>
      <w:r>
        <w:rPr>
          <w:rFonts w:ascii="Arial" w:eastAsia="Arial" w:hAnsi="Arial" w:cs="Arial"/>
          <w:color w:val="000000"/>
          <w:sz w:val="20"/>
          <w:u w:val="single"/>
        </w:rPr>
        <w:t>Rojas v. Florida</w:t>
      </w:r>
      <w:r>
        <w:rPr>
          <w:rFonts w:ascii="Arial" w:eastAsia="Arial" w:hAnsi="Arial" w:cs="Arial"/>
          <w:color w:val="000000"/>
          <w:sz w:val="20"/>
        </w:rPr>
        <w:t xml:space="preserve">, 285 F.3d 1339, 1341 (11th Cir. 2002). Summary judgment is proper when  [*905]  the evidence shows there is no genuine issue as to any material fact and the moving party is entitled to judgment as a matter of law. </w:t>
      </w:r>
      <w:bookmarkStart w:id="912" w:name="Bookmark_I4W02DFS0K1MNJ0T00000400"/>
      <w:bookmarkEnd w:id="912"/>
      <w:r>
        <w:rPr>
          <w:rFonts w:ascii="Arial" w:eastAsia="Arial" w:hAnsi="Arial" w:cs="Arial"/>
          <w:color w:val="000000"/>
          <w:sz w:val="20"/>
          <w:u w:val="single"/>
        </w:rPr>
        <w:t>Celotex Corp. v. Catrett</w:t>
      </w:r>
      <w:r>
        <w:rPr>
          <w:rFonts w:ascii="Arial" w:eastAsia="Arial" w:hAnsi="Arial" w:cs="Arial"/>
          <w:color w:val="000000"/>
          <w:sz w:val="20"/>
        </w:rPr>
        <w:t xml:space="preserve">, 477 U.S. 317, 322-23, 106 S. Ct. 2548, 91 L. Ed. 2d 265 (1986); Fed. R. Civ. P. 56(c). We view "the evidence and all reasonable inferences drawn from it in the light most favorable to the nonmoving party." </w:t>
      </w:r>
      <w:bookmarkStart w:id="913" w:name="Bookmark_I4W02DFS0K1MNJ0T20000400"/>
      <w:bookmarkEnd w:id="913"/>
      <w:r>
        <w:rPr>
          <w:rFonts w:ascii="Arial" w:eastAsia="Arial" w:hAnsi="Arial" w:cs="Arial"/>
          <w:color w:val="000000"/>
          <w:sz w:val="20"/>
          <w:u w:val="single"/>
        </w:rPr>
        <w:t>Battle v. Bd. of Regents for Ga</w:t>
      </w:r>
      <w:r>
        <w:rPr>
          <w:rFonts w:ascii="Arial" w:eastAsia="Arial" w:hAnsi="Arial" w:cs="Arial"/>
          <w:color w:val="000000"/>
          <w:sz w:val="20"/>
        </w:rPr>
        <w:t>., 468 F.3d 755, 759 (11th Cir. 2006).</w:t>
      </w:r>
    </w:p>
    <w:p w:rsidR="006E038D" w:rsidRDefault="00000000">
      <w:pPr>
        <w:pStyle w:val="Normal7"/>
        <w:widowControl w:val="0"/>
        <w:spacing w:before="240" w:line="260" w:lineRule="atLeast"/>
      </w:pPr>
      <w:r>
        <w:br/>
      </w:r>
      <w:r>
        <w:rPr>
          <w:rFonts w:ascii="Arial" w:eastAsia="Arial" w:hAnsi="Arial" w:cs="Arial"/>
          <w:color w:val="000000"/>
          <w:sz w:val="20"/>
          <w:u w:val="single"/>
        </w:rPr>
        <w:t>B. Sheriff Chapman's official immunity</w:t>
      </w:r>
    </w:p>
    <w:p w:rsidR="006E038D" w:rsidRDefault="00000000">
      <w:pPr>
        <w:pStyle w:val="Normal7"/>
        <w:widowControl w:val="0"/>
        <w:spacing w:before="200" w:line="260" w:lineRule="atLeast"/>
        <w:jc w:val="both"/>
      </w:pPr>
      <w:bookmarkStart w:id="914" w:name="Bookmark_para_14_5"/>
      <w:bookmarkStart w:id="915" w:name="Bookmark_I4W02DFS0K1MNJ0V20000400"/>
      <w:bookmarkEnd w:id="914"/>
      <w:bookmarkEnd w:id="915"/>
      <w:r>
        <w:rPr>
          <w:rFonts w:ascii="Arial" w:eastAsia="Arial" w:hAnsi="Arial" w:cs="Arial"/>
          <w:color w:val="000000"/>
          <w:sz w:val="20"/>
        </w:rPr>
        <w:t xml:space="preserve">Rylee argues that the district court erred in dismissing his ADA and § 1983 claims against Sheriff Chapman on the basis of official immunity. </w:t>
      </w:r>
      <w:bookmarkStart w:id="916" w:name="Bookmark_I4W02DFS0K1MNJ0V40000400"/>
      <w:bookmarkStart w:id="917" w:name="Bookmark_LNHNREFclscc2_6"/>
      <w:bookmarkEnd w:id="916"/>
      <w:bookmarkEnd w:id="917"/>
      <w:r>
        <w:rPr>
          <w:rFonts w:ascii="Arial" w:eastAsia="Arial" w:hAnsi="Arial" w:cs="Arial"/>
          <w:color w:val="000000"/>
          <w:sz w:val="20"/>
        </w:rPr>
        <w:t xml:space="preserve">The Eleventh Amendment to the United States Constitution bars suit in federal court against an "arm of the state," except where such immunity is waived by the state or abrogated by Congress. </w:t>
      </w:r>
      <w:bookmarkStart w:id="918" w:name="Bookmark_I4W02DFS0K1MNJ0V10000400"/>
      <w:bookmarkEnd w:id="918"/>
      <w:r>
        <w:rPr>
          <w:rFonts w:ascii="Arial" w:eastAsia="Arial" w:hAnsi="Arial" w:cs="Arial"/>
          <w:color w:val="000000"/>
          <w:sz w:val="20"/>
          <w:u w:val="single"/>
        </w:rPr>
        <w:t>Manders v. Lee</w:t>
      </w:r>
      <w:r>
        <w:rPr>
          <w:rFonts w:ascii="Arial" w:eastAsia="Arial" w:hAnsi="Arial" w:cs="Arial"/>
          <w:color w:val="000000"/>
          <w:sz w:val="20"/>
        </w:rPr>
        <w:t xml:space="preserve">, 338 F.3d 1304, 1308 (11th Cir. 2003). </w:t>
      </w:r>
      <w:bookmarkStart w:id="919" w:name="Bookmark_I4W02DFS0K1MNJ0V40000400_2"/>
      <w:bookmarkEnd w:id="919"/>
      <w:r>
        <w:rPr>
          <w:rFonts w:ascii="Arial" w:eastAsia="Arial" w:hAnsi="Arial" w:cs="Arial"/>
          <w:color w:val="000000"/>
          <w:sz w:val="20"/>
        </w:rPr>
        <w:t xml:space="preserve">Georgia law recognizes its sheriffs as "arms of the state." </w:t>
      </w:r>
      <w:bookmarkStart w:id="920" w:name="Bookmark_I4W02DFS0K1MNJ0V30000400"/>
      <w:bookmarkEnd w:id="920"/>
      <w:r>
        <w:rPr>
          <w:rFonts w:ascii="Arial" w:eastAsia="Arial" w:hAnsi="Arial" w:cs="Arial"/>
          <w:color w:val="000000"/>
          <w:sz w:val="20"/>
          <w:u w:val="single"/>
        </w:rPr>
        <w:t>Powell v. Barrett</w:t>
      </w:r>
      <w:r>
        <w:rPr>
          <w:rFonts w:ascii="Arial" w:eastAsia="Arial" w:hAnsi="Arial" w:cs="Arial"/>
          <w:color w:val="000000"/>
          <w:sz w:val="20"/>
        </w:rPr>
        <w:t xml:space="preserve">, 496 F.3d 1288, 1304 (11th Cir. 2007). </w:t>
      </w:r>
      <w:bookmarkStart w:id="921" w:name="Bookmark_I4W02DFS0K1MNJ0W80000400"/>
      <w:bookmarkEnd w:id="921"/>
      <w:r>
        <w:rPr>
          <w:rFonts w:ascii="Arial" w:eastAsia="Arial" w:hAnsi="Arial" w:cs="Arial"/>
          <w:color w:val="000000"/>
          <w:sz w:val="20"/>
        </w:rPr>
        <w:t xml:space="preserve">Rylee's  [**8] brief makes conclusory allegations that Sheriff Chapman is not entitled to immunity, but fails to provide any arguments as to waiver or abrogation. He has therefore waived his opportunity to contest this issue. </w:t>
      </w:r>
      <w:r>
        <w:rPr>
          <w:rFonts w:ascii="Arial" w:eastAsia="Arial" w:hAnsi="Arial" w:cs="Arial"/>
          <w:color w:val="000000"/>
          <w:sz w:val="20"/>
          <w:u w:val="single"/>
        </w:rPr>
        <w:t xml:space="preserve">See </w:t>
      </w:r>
      <w:bookmarkStart w:id="922" w:name="Bookmark_I4W02DFS0K1MNJ0V50000400"/>
      <w:bookmarkEnd w:id="922"/>
      <w:r>
        <w:rPr>
          <w:rFonts w:ascii="Arial" w:eastAsia="Arial" w:hAnsi="Arial" w:cs="Arial"/>
          <w:color w:val="000000"/>
          <w:sz w:val="20"/>
          <w:u w:val="single"/>
        </w:rPr>
        <w:t>Flanigan's Enters. Inc. Of Ga. v. Fulton County, Ga</w:t>
      </w:r>
      <w:r>
        <w:rPr>
          <w:rFonts w:ascii="Arial" w:eastAsia="Arial" w:hAnsi="Arial" w:cs="Arial"/>
          <w:color w:val="000000"/>
          <w:sz w:val="20"/>
        </w:rPr>
        <w:t>., 242 F.3d 976, 978 n.16 (11th Cir. 2001) (</w:t>
      </w:r>
      <w:bookmarkStart w:id="923" w:name="Bookmark_LNHNREFclscc3_6"/>
      <w:bookmarkEnd w:id="923"/>
      <w:r>
        <w:rPr>
          <w:rFonts w:ascii="Arial" w:eastAsia="Arial" w:hAnsi="Arial" w:cs="Arial"/>
          <w:color w:val="000000"/>
          <w:sz w:val="20"/>
        </w:rPr>
        <w:t>a party waives an issue where, although the issue was mentioned in passing, the party did not elaborate or provide any citation of authority in support of the issue). For this reason, we conclude that the district court did not err in granting summary judgment in favor of Sheriff Chapman on the ADA and § 1983 claims, based on official immunity.</w:t>
      </w:r>
    </w:p>
    <w:p w:rsidR="006E038D" w:rsidRDefault="00000000">
      <w:pPr>
        <w:pStyle w:val="Normal7"/>
        <w:widowControl w:val="0"/>
        <w:spacing w:before="240" w:line="260" w:lineRule="atLeast"/>
      </w:pPr>
      <w:r>
        <w:br/>
      </w:r>
      <w:r>
        <w:rPr>
          <w:rFonts w:ascii="Arial" w:eastAsia="Arial" w:hAnsi="Arial" w:cs="Arial"/>
          <w:color w:val="000000"/>
          <w:sz w:val="20"/>
          <w:u w:val="single"/>
        </w:rPr>
        <w:t>C. ADA claims</w:t>
      </w:r>
    </w:p>
    <w:p w:rsidR="006E038D" w:rsidRDefault="00000000">
      <w:pPr>
        <w:pStyle w:val="Normal7"/>
        <w:widowControl w:val="0"/>
        <w:spacing w:before="200" w:line="260" w:lineRule="atLeast"/>
        <w:jc w:val="both"/>
      </w:pPr>
      <w:bookmarkStart w:id="924" w:name="Bookmark_para_15_5"/>
      <w:bookmarkEnd w:id="924"/>
      <w:r>
        <w:rPr>
          <w:rFonts w:ascii="Arial" w:eastAsia="Arial" w:hAnsi="Arial" w:cs="Arial"/>
          <w:i/>
          <w:color w:val="000000"/>
          <w:sz w:val="20"/>
        </w:rPr>
        <w:t>a. Individual Appellees</w:t>
      </w:r>
    </w:p>
    <w:p w:rsidR="006E038D" w:rsidRDefault="00000000">
      <w:pPr>
        <w:pStyle w:val="Normal7"/>
        <w:widowControl w:val="0"/>
        <w:spacing w:before="200" w:line="260" w:lineRule="atLeast"/>
        <w:jc w:val="both"/>
      </w:pPr>
      <w:bookmarkStart w:id="925" w:name="Bookmark_para_16_5"/>
      <w:bookmarkStart w:id="926" w:name="Bookmark_I4W02DFS0K1MNJ0WB0000400"/>
      <w:bookmarkEnd w:id="925"/>
      <w:bookmarkEnd w:id="926"/>
      <w:r>
        <w:rPr>
          <w:rFonts w:ascii="Arial" w:eastAsia="Arial" w:hAnsi="Arial" w:cs="Arial"/>
          <w:color w:val="000000"/>
          <w:sz w:val="20"/>
        </w:rPr>
        <w:t xml:space="preserve">Rylee argues that the district court erred in finding that individuals may not be sued under the ADA. We disagree. </w:t>
      </w:r>
      <w:bookmarkStart w:id="927" w:name="Bookmark_LNHNREFclscc4_6"/>
      <w:bookmarkEnd w:id="927"/>
      <w:r>
        <w:rPr>
          <w:rFonts w:ascii="Arial" w:eastAsia="Arial" w:hAnsi="Arial" w:cs="Arial"/>
          <w:color w:val="000000"/>
          <w:sz w:val="20"/>
        </w:rPr>
        <w:t xml:space="preserve">The ADA prohibits a "public entity" from discriminating against a "qualified individual with a disability" on account of his disability. 42 U.S.C. § 12131. By its terms, the ADA only addresses discrimination by a "public entity." In the employment context, this court has held that "the Disabilities Act does not provide for individual liability, only for employer liability." </w:t>
      </w:r>
      <w:bookmarkStart w:id="928" w:name="Bookmark_I4W02DFS0K1MNJ0W90000400"/>
      <w:bookmarkEnd w:id="928"/>
      <w:r>
        <w:rPr>
          <w:rFonts w:ascii="Arial" w:eastAsia="Arial" w:hAnsi="Arial" w:cs="Arial"/>
          <w:color w:val="000000"/>
          <w:sz w:val="20"/>
          <w:u w:val="single"/>
        </w:rPr>
        <w:t>Mason v. Stallings</w:t>
      </w:r>
      <w:r>
        <w:rPr>
          <w:rFonts w:ascii="Arial" w:eastAsia="Arial" w:hAnsi="Arial" w:cs="Arial"/>
          <w:color w:val="000000"/>
          <w:sz w:val="20"/>
        </w:rPr>
        <w:t xml:space="preserve">, 82 F.3d 1007, 1009 (11th Cir. 2007). </w:t>
      </w:r>
      <w:bookmarkStart w:id="929" w:name="Bookmark_I0JYVX3XR56000RK9P300102"/>
      <w:bookmarkStart w:id="930" w:name="Bookmark_I4W02DFS0K1MNJ0WD0000400"/>
      <w:bookmarkEnd w:id="929"/>
      <w:bookmarkEnd w:id="930"/>
      <w:r>
        <w:rPr>
          <w:rFonts w:ascii="Arial" w:eastAsia="Arial" w:hAnsi="Arial" w:cs="Arial"/>
          <w:color w:val="000000"/>
          <w:sz w:val="20"/>
        </w:rPr>
        <w:t xml:space="preserve"> [**9] Rylee has provided no reasons why this rule should be any different in the context of an arrest. The ADA imposes </w:t>
      </w:r>
      <w:r>
        <w:rPr>
          <w:rFonts w:ascii="Arial" w:eastAsia="Arial" w:hAnsi="Arial" w:cs="Arial"/>
          <w:color w:val="000000"/>
          <w:sz w:val="20"/>
          <w:u w:val="single"/>
        </w:rPr>
        <w:t>respondeat superior</w:t>
      </w:r>
      <w:r>
        <w:rPr>
          <w:rFonts w:ascii="Arial" w:eastAsia="Arial" w:hAnsi="Arial" w:cs="Arial"/>
          <w:color w:val="000000"/>
          <w:sz w:val="20"/>
        </w:rPr>
        <w:t xml:space="preserve"> liability on the employer for the discriminatory acts of its employees. </w:t>
      </w:r>
      <w:r>
        <w:rPr>
          <w:rFonts w:ascii="Arial" w:eastAsia="Arial" w:hAnsi="Arial" w:cs="Arial"/>
          <w:color w:val="000000"/>
          <w:sz w:val="20"/>
          <w:u w:val="single"/>
        </w:rPr>
        <w:t xml:space="preserve">See </w:t>
      </w:r>
      <w:bookmarkStart w:id="931" w:name="Bookmark_I4W02DFS0K1MNJ0WC0000400"/>
      <w:bookmarkEnd w:id="931"/>
      <w:r>
        <w:rPr>
          <w:rFonts w:ascii="Arial" w:eastAsia="Arial" w:hAnsi="Arial" w:cs="Arial"/>
          <w:color w:val="000000"/>
          <w:sz w:val="20"/>
          <w:u w:val="single"/>
        </w:rPr>
        <w:t>id</w:t>
      </w:r>
      <w:r>
        <w:rPr>
          <w:rFonts w:ascii="Arial" w:eastAsia="Arial" w:hAnsi="Arial" w:cs="Arial"/>
          <w:color w:val="000000"/>
          <w:sz w:val="20"/>
        </w:rPr>
        <w:t>. at 1010. We therefore conclude that the district court did not err in granting summary judgment in favor of the individually named Appellees.</w:t>
      </w:r>
    </w:p>
    <w:p w:rsidR="006E038D" w:rsidRDefault="00000000">
      <w:pPr>
        <w:pStyle w:val="Normal7"/>
        <w:widowControl w:val="0"/>
        <w:spacing w:before="200" w:line="260" w:lineRule="atLeast"/>
        <w:jc w:val="both"/>
      </w:pPr>
      <w:bookmarkStart w:id="932" w:name="Bookmark_para_17_5"/>
      <w:bookmarkEnd w:id="932"/>
      <w:r>
        <w:rPr>
          <w:rFonts w:ascii="Arial" w:eastAsia="Arial" w:hAnsi="Arial" w:cs="Arial"/>
          <w:i/>
          <w:color w:val="000000"/>
          <w:sz w:val="20"/>
        </w:rPr>
        <w:t>b. Banks County</w:t>
      </w:r>
    </w:p>
    <w:p w:rsidR="006E038D" w:rsidRDefault="00000000">
      <w:pPr>
        <w:pStyle w:val="Normal7"/>
        <w:widowControl w:val="0"/>
        <w:spacing w:before="200" w:line="260" w:lineRule="atLeast"/>
        <w:jc w:val="both"/>
      </w:pPr>
      <w:bookmarkStart w:id="933" w:name="Bookmark_para_18_5"/>
      <w:bookmarkEnd w:id="933"/>
      <w:r>
        <w:rPr>
          <w:rFonts w:ascii="Arial" w:eastAsia="Arial" w:hAnsi="Arial" w:cs="Arial"/>
          <w:color w:val="000000"/>
          <w:sz w:val="20"/>
        </w:rPr>
        <w:t xml:space="preserve">Rylee's ADA claim against Banks County involves allegations of discrimination by Banks County's employees throughout various portions of Rylee's arrest, booking, and first appearance. In substance, Rylee argues that the officers intentionally discriminated against him and denied him reasonable accommodations that he needed in order to effectively communicate with the officers and magistrate judge. </w:t>
      </w:r>
      <w:r>
        <w:rPr>
          <w:rFonts w:ascii="Arial" w:eastAsia="Arial" w:hAnsi="Arial" w:cs="Arial"/>
          <w:vertAlign w:val="superscript"/>
        </w:rPr>
        <w:footnoteReference w:customMarkFollows="1" w:id="30"/>
        <w:t>5</w:t>
      </w:r>
      <w:r>
        <w:rPr>
          <w:rFonts w:ascii="Arial" w:eastAsia="Arial" w:hAnsi="Arial" w:cs="Arial"/>
          <w:color w:val="000000"/>
          <w:sz w:val="20"/>
        </w:rPr>
        <w:t xml:space="preserve"> </w:t>
      </w:r>
    </w:p>
    <w:p w:rsidR="006E038D" w:rsidRDefault="00000000">
      <w:pPr>
        <w:pStyle w:val="Normal7"/>
        <w:widowControl w:val="0"/>
        <w:spacing w:before="200" w:line="260" w:lineRule="atLeast"/>
        <w:jc w:val="both"/>
      </w:pPr>
      <w:bookmarkStart w:id="935" w:name="Bookmark_para_19_5"/>
      <w:bookmarkStart w:id="936" w:name="Bookmark_I0JYVX3XYHS000RK9P300103"/>
      <w:bookmarkStart w:id="937" w:name="Bookmark_I4W02DFS0K1MNJ0XC0000400"/>
      <w:bookmarkStart w:id="938" w:name="Bookmark_LNHNREFclscc5_6"/>
      <w:bookmarkEnd w:id="935"/>
      <w:bookmarkEnd w:id="936"/>
      <w:bookmarkEnd w:id="937"/>
      <w:bookmarkEnd w:id="938"/>
      <w:r>
        <w:rPr>
          <w:rFonts w:ascii="Arial" w:eastAsia="Arial" w:hAnsi="Arial" w:cs="Arial"/>
          <w:color w:val="000000"/>
          <w:sz w:val="20"/>
        </w:rPr>
        <w:t xml:space="preserve">To establish a </w:t>
      </w:r>
      <w:r>
        <w:rPr>
          <w:rFonts w:ascii="Arial" w:eastAsia="Arial" w:hAnsi="Arial" w:cs="Arial"/>
          <w:color w:val="000000"/>
          <w:sz w:val="20"/>
          <w:u w:val="single"/>
        </w:rPr>
        <w:t>prima facie</w:t>
      </w:r>
      <w:r>
        <w:rPr>
          <w:rFonts w:ascii="Arial" w:eastAsia="Arial" w:hAnsi="Arial" w:cs="Arial"/>
          <w:color w:val="000000"/>
          <w:sz w:val="20"/>
        </w:rPr>
        <w:t xml:space="preserve"> case under  [**10] the ADA, the plaintiff must show:</w:t>
      </w:r>
    </w:p>
    <w:p w:rsidR="006E038D" w:rsidRDefault="00000000">
      <w:pPr>
        <w:pStyle w:val="Normal7"/>
        <w:widowControl w:val="0"/>
        <w:spacing w:before="200" w:line="260" w:lineRule="atLeast"/>
        <w:ind w:left="400"/>
        <w:jc w:val="both"/>
      </w:pPr>
      <w:bookmarkStart w:id="939" w:name="Bookmark_para_20_5"/>
      <w:bookmarkStart w:id="940" w:name="Bookmark_I4W02DFS0K1MNJ0XC0000400_2"/>
      <w:bookmarkEnd w:id="939"/>
      <w:bookmarkEnd w:id="940"/>
      <w:r>
        <w:rPr>
          <w:rFonts w:ascii="Arial" w:eastAsia="Arial" w:hAnsi="Arial" w:cs="Arial"/>
          <w:color w:val="000000"/>
          <w:sz w:val="20"/>
        </w:rPr>
        <w:t>(1) that he is a qualified individual with a disability; (2) that he was either excluded  [*906]  from participation in or denied the benefits of a public entity's services, programs, or activities, or was otherwise discriminated against by the public entity; and (3) that the exclusion, denial of benefit, or discrimination was by reason of the plaintiff's disability.</w:t>
      </w:r>
    </w:p>
    <w:p w:rsidR="006E038D" w:rsidRDefault="00000000">
      <w:pPr>
        <w:pStyle w:val="Normal7"/>
        <w:widowControl w:val="0"/>
        <w:spacing w:before="200" w:line="260" w:lineRule="atLeast"/>
        <w:jc w:val="both"/>
      </w:pPr>
      <w:bookmarkStart w:id="941" w:name="Bookmark_I4W02DFS0K1MNJ0XC0000400_3"/>
      <w:bookmarkStart w:id="942" w:name="Bookmark_I4W02DFS0K1MNJ0XF0000400"/>
      <w:bookmarkStart w:id="943" w:name="Bookmark_I4W02DFS0K1MNJ0XB0000400"/>
      <w:bookmarkEnd w:id="941"/>
      <w:bookmarkEnd w:id="942"/>
      <w:bookmarkEnd w:id="943"/>
      <w:r>
        <w:rPr>
          <w:rFonts w:ascii="Arial" w:eastAsia="Arial" w:hAnsi="Arial" w:cs="Arial"/>
          <w:color w:val="000000"/>
          <w:sz w:val="20"/>
          <w:u w:val="single"/>
        </w:rPr>
        <w:t>Bircoll v. Miami-Dade County</w:t>
      </w:r>
      <w:r>
        <w:rPr>
          <w:rFonts w:ascii="Arial" w:eastAsia="Arial" w:hAnsi="Arial" w:cs="Arial"/>
          <w:color w:val="000000"/>
          <w:sz w:val="20"/>
        </w:rPr>
        <w:t xml:space="preserve">, 480 F.3d 1072, 1083 (11th Cir. 2007). </w:t>
      </w:r>
      <w:bookmarkStart w:id="944" w:name="Bookmark_I4W02DFS0K1MNJ0XF0000400_2"/>
      <w:bookmarkEnd w:id="944"/>
      <w:r>
        <w:rPr>
          <w:rFonts w:ascii="Arial" w:eastAsia="Arial" w:hAnsi="Arial" w:cs="Arial"/>
          <w:color w:val="000000"/>
          <w:sz w:val="20"/>
        </w:rPr>
        <w:t xml:space="preserve">A plaintiff can proceed on theories of intentional discrimination, disparate treatment, or failure to make reasonable accommodations. </w:t>
      </w:r>
      <w:bookmarkStart w:id="945" w:name="Bookmark_I4W02DFS0K1MNJ0YK0000400"/>
      <w:bookmarkStart w:id="946" w:name="Bookmark_I4W02DFS0K1MNJ0XD0000400"/>
      <w:bookmarkEnd w:id="945"/>
      <w:bookmarkEnd w:id="946"/>
      <w:r>
        <w:rPr>
          <w:rFonts w:ascii="Arial" w:eastAsia="Arial" w:hAnsi="Arial" w:cs="Arial"/>
          <w:color w:val="000000"/>
          <w:sz w:val="20"/>
          <w:u w:val="single"/>
        </w:rPr>
        <w:t>Schwarz v. City of Treasure Island</w:t>
      </w:r>
      <w:r>
        <w:rPr>
          <w:rFonts w:ascii="Arial" w:eastAsia="Arial" w:hAnsi="Arial" w:cs="Arial"/>
          <w:color w:val="000000"/>
          <w:sz w:val="20"/>
        </w:rPr>
        <w:t xml:space="preserve">, 544 F.3d 1201, 1212 n.6 (11th Cir. 2008). </w:t>
      </w:r>
      <w:bookmarkStart w:id="947" w:name="Bookmark_I4W02DFS0K1MNJ0YK0000400_2"/>
      <w:bookmarkEnd w:id="947"/>
      <w:r>
        <w:rPr>
          <w:rFonts w:ascii="Arial" w:eastAsia="Arial" w:hAnsi="Arial" w:cs="Arial"/>
          <w:color w:val="000000"/>
          <w:sz w:val="20"/>
        </w:rPr>
        <w:t xml:space="preserve">In cases alleging a failure to make reasonable accommodations, the defendant's duty to provide a reasonable accommodation is not triggered until the plaintiff makes a "specific demand" for an accommodation. </w:t>
      </w:r>
      <w:bookmarkStart w:id="948" w:name="Bookmark_I4W02DFS0K1MNJ0XG0000400"/>
      <w:bookmarkEnd w:id="948"/>
      <w:r>
        <w:rPr>
          <w:rFonts w:ascii="Arial" w:eastAsia="Arial" w:hAnsi="Arial" w:cs="Arial"/>
          <w:color w:val="000000"/>
          <w:sz w:val="20"/>
          <w:u w:val="single"/>
        </w:rPr>
        <w:t>Gaston v. Bellingrath Gardens &amp; Home, Inc</w:t>
      </w:r>
      <w:r>
        <w:rPr>
          <w:rFonts w:ascii="Arial" w:eastAsia="Arial" w:hAnsi="Arial" w:cs="Arial"/>
          <w:color w:val="000000"/>
          <w:sz w:val="20"/>
        </w:rPr>
        <w:t>., 167 F.3d 1361, 1363 (11th Cir. 1999).</w:t>
      </w:r>
    </w:p>
    <w:p w:rsidR="006E038D" w:rsidRDefault="00000000">
      <w:pPr>
        <w:pStyle w:val="Normal7"/>
        <w:widowControl w:val="0"/>
        <w:spacing w:before="200" w:line="260" w:lineRule="atLeast"/>
        <w:jc w:val="both"/>
      </w:pPr>
      <w:bookmarkStart w:id="949" w:name="Bookmark_para_21_5"/>
      <w:bookmarkEnd w:id="949"/>
      <w:r>
        <w:rPr>
          <w:rFonts w:ascii="Arial" w:eastAsia="Arial" w:hAnsi="Arial" w:cs="Arial"/>
          <w:color w:val="000000"/>
          <w:sz w:val="20"/>
        </w:rPr>
        <w:t>Rylee acknowledges that his wife told the 911 operator that Rylee had a hearing impairment, but could read lips. This information was relayed to Deputies Way and Lord, who spoke with Rylee on his lawn. Rylee has presented no evidence from  [**11] which one could infer that the deputies knew or believed that Rylee could not read lips or that Rylee requested an interpreter or the aid of a family member. Once at the police station, Rylee only once asked an officer to write down her questions for him, and that officer complied with Rylee's request. During Investigator Chapman's meeting with Rylee, not only did Rylee answer "yes" when asked if he could read lips, but he affirmatively told Investigator Chapman that he could read and write. Investigator Chapman wrote his questions to Rylee and, at Rylee's request, drafted his statement of the events that transpired at his home the night before. At his first appearance hearing the next morning, Rylee did not request an interpreter. In fact, on appeal Rylee acknowledges that he did not need one because he "furnished his own" by having his uncle present at the hearing.</w:t>
      </w:r>
    </w:p>
    <w:p w:rsidR="006E038D" w:rsidRDefault="00000000">
      <w:pPr>
        <w:pStyle w:val="Normal7"/>
        <w:widowControl w:val="0"/>
        <w:spacing w:before="200" w:line="260" w:lineRule="atLeast"/>
        <w:jc w:val="both"/>
      </w:pPr>
      <w:bookmarkStart w:id="950" w:name="Bookmark_para_22_5"/>
      <w:bookmarkEnd w:id="950"/>
      <w:r>
        <w:rPr>
          <w:rFonts w:ascii="Arial" w:eastAsia="Arial" w:hAnsi="Arial" w:cs="Arial"/>
          <w:color w:val="000000"/>
          <w:sz w:val="20"/>
        </w:rPr>
        <w:t xml:space="preserve">The only instance of even arguable discrimination was when, during the booking process, an unnamed officer denied Rylee's request to use his cellular telephone and confiscated the telephone. Rylee, however, produced no evidence to refute Appellees' claims that this was typical booking procedure. Moreover, despite receiving  [**12] the jail's grievance procedures, Rylee did not take advantage of these procedures during his incarceration. Absent contrary evidence, the district court was correct to conclude that the simple confiscation of a cellular telephone during a brief twenty-four hour detention was insufficient to establish a </w:t>
      </w:r>
      <w:r>
        <w:rPr>
          <w:rFonts w:ascii="Arial" w:eastAsia="Arial" w:hAnsi="Arial" w:cs="Arial"/>
          <w:color w:val="000000"/>
          <w:sz w:val="20"/>
          <w:u w:val="single"/>
        </w:rPr>
        <w:t>prima facie</w:t>
      </w:r>
      <w:r>
        <w:rPr>
          <w:rFonts w:ascii="Arial" w:eastAsia="Arial" w:hAnsi="Arial" w:cs="Arial"/>
          <w:color w:val="000000"/>
          <w:sz w:val="20"/>
        </w:rPr>
        <w:t xml:space="preserve"> case of disability discrimination.</w:t>
      </w:r>
    </w:p>
    <w:p w:rsidR="006E038D" w:rsidRDefault="00000000">
      <w:pPr>
        <w:pStyle w:val="Normal7"/>
        <w:widowControl w:val="0"/>
        <w:spacing w:before="200" w:line="260" w:lineRule="atLeast"/>
        <w:jc w:val="both"/>
      </w:pPr>
      <w:bookmarkStart w:id="951" w:name="Bookmark_para_23_5"/>
      <w:bookmarkEnd w:id="951"/>
      <w:r>
        <w:rPr>
          <w:rFonts w:ascii="Arial" w:eastAsia="Arial" w:hAnsi="Arial" w:cs="Arial"/>
          <w:color w:val="000000"/>
          <w:sz w:val="20"/>
        </w:rPr>
        <w:t xml:space="preserve">Because Rylee did not present </w:t>
      </w:r>
      <w:r>
        <w:rPr>
          <w:rFonts w:ascii="Arial" w:eastAsia="Arial" w:hAnsi="Arial" w:cs="Arial"/>
          <w:color w:val="000000"/>
          <w:sz w:val="20"/>
          <w:u w:val="single"/>
        </w:rPr>
        <w:t>any</w:t>
      </w:r>
      <w:r>
        <w:rPr>
          <w:rFonts w:ascii="Arial" w:eastAsia="Arial" w:hAnsi="Arial" w:cs="Arial"/>
          <w:color w:val="000000"/>
          <w:sz w:val="20"/>
        </w:rPr>
        <w:t xml:space="preserve"> evidence of intentional discrimination, denial of services on account of his disability, or refusal to make requested reasonable accommodations, we conclude that summary judgment was properly granted as to Rylee's ADA claim against Banks County.</w:t>
      </w:r>
    </w:p>
    <w:p w:rsidR="006E038D" w:rsidRDefault="00000000">
      <w:pPr>
        <w:pStyle w:val="Normal7"/>
        <w:widowControl w:val="0"/>
        <w:spacing w:before="240" w:line="260" w:lineRule="atLeast"/>
      </w:pPr>
      <w:r>
        <w:br/>
      </w:r>
      <w:r>
        <w:rPr>
          <w:rFonts w:ascii="Arial" w:eastAsia="Arial" w:hAnsi="Arial" w:cs="Arial"/>
          <w:color w:val="000000"/>
          <w:sz w:val="20"/>
          <w:u w:val="single"/>
        </w:rPr>
        <w:t>D. Section 1983 claims against all remaining Appellees</w:t>
      </w:r>
    </w:p>
    <w:p w:rsidR="006E038D" w:rsidRDefault="00000000">
      <w:pPr>
        <w:pStyle w:val="Normal7"/>
        <w:widowControl w:val="0"/>
        <w:spacing w:before="200" w:line="260" w:lineRule="atLeast"/>
        <w:jc w:val="both"/>
      </w:pPr>
      <w:bookmarkStart w:id="952" w:name="Bookmark_para_24_5"/>
      <w:bookmarkStart w:id="953" w:name="Bookmark_LNHNREFclscc6_6"/>
      <w:bookmarkEnd w:id="952"/>
      <w:bookmarkEnd w:id="953"/>
      <w:r>
        <w:rPr>
          <w:rFonts w:ascii="Arial" w:eastAsia="Arial" w:hAnsi="Arial" w:cs="Arial"/>
          <w:color w:val="000000"/>
          <w:sz w:val="20"/>
        </w:rPr>
        <w:t xml:space="preserve">Section 1983 permits a plaintiff to obtain civil damages from any person who deprives him of constitutional rights, so long as that person is acting under color of state law. 42 U.S.C. § 1983. Rylee argues that the district court erred in granting summary judgment on his § 1983 claims, which are premised on the officers' alleged violations of his Fourteenth Amendment equal protection and due process rights. </w:t>
      </w:r>
      <w:r>
        <w:rPr>
          <w:rFonts w:ascii="Arial" w:eastAsia="Arial" w:hAnsi="Arial" w:cs="Arial"/>
          <w:vertAlign w:val="superscript"/>
        </w:rPr>
        <w:footnoteReference w:customMarkFollows="1" w:id="31"/>
        <w:t>6</w:t>
      </w:r>
      <w:r>
        <w:rPr>
          <w:rFonts w:ascii="Arial" w:eastAsia="Arial" w:hAnsi="Arial" w:cs="Arial"/>
          <w:color w:val="000000"/>
          <w:sz w:val="20"/>
        </w:rPr>
        <w:t xml:space="preserve"> </w:t>
      </w:r>
    </w:p>
    <w:p w:rsidR="006E038D" w:rsidRDefault="00000000">
      <w:pPr>
        <w:pStyle w:val="Normal7"/>
        <w:widowControl w:val="0"/>
        <w:spacing w:before="200" w:line="260" w:lineRule="atLeast"/>
        <w:jc w:val="both"/>
      </w:pPr>
      <w:bookmarkStart w:id="959" w:name="Bookmark_para_25_5"/>
      <w:bookmarkEnd w:id="959"/>
      <w:r>
        <w:rPr>
          <w:rFonts w:ascii="Arial" w:eastAsia="Arial" w:hAnsi="Arial" w:cs="Arial"/>
          <w:color w:val="000000"/>
          <w:sz w:val="20"/>
        </w:rPr>
        <w:t xml:space="preserve"> [*907]  </w:t>
      </w:r>
      <w:r>
        <w:rPr>
          <w:rFonts w:ascii="Arial" w:eastAsia="Arial" w:hAnsi="Arial" w:cs="Arial"/>
          <w:i/>
          <w:color w:val="000000"/>
          <w:sz w:val="20"/>
        </w:rPr>
        <w:t>a. Equal protection</w:t>
      </w:r>
    </w:p>
    <w:p w:rsidR="006E038D" w:rsidRDefault="00000000">
      <w:pPr>
        <w:pStyle w:val="Normal7"/>
        <w:widowControl w:val="0"/>
        <w:spacing w:before="200" w:line="260" w:lineRule="atLeast"/>
        <w:jc w:val="both"/>
      </w:pPr>
      <w:bookmarkStart w:id="960" w:name="Bookmark_para_26_5"/>
      <w:bookmarkStart w:id="961" w:name="Bookmark_I4W02DFS0K1MNJ1050000400"/>
      <w:bookmarkStart w:id="962" w:name="Bookmark_I4W02DFS0K1MNJ1070000400"/>
      <w:bookmarkStart w:id="963" w:name="Bookmark_LNHNREFclscc7_5"/>
      <w:bookmarkEnd w:id="960"/>
      <w:bookmarkEnd w:id="961"/>
      <w:bookmarkEnd w:id="962"/>
      <w:bookmarkEnd w:id="963"/>
      <w:r>
        <w:rPr>
          <w:rFonts w:ascii="Arial" w:eastAsia="Arial" w:hAnsi="Arial" w:cs="Arial"/>
          <w:color w:val="000000"/>
          <w:sz w:val="20"/>
        </w:rPr>
        <w:t xml:space="preserve">The Equal Protection Clause of the Fourteenth Amendment requires the government to treat similarly situated people alike. </w:t>
      </w:r>
      <w:bookmarkStart w:id="964" w:name="Bookmark_I4W02DFS0K1MNJ1040000400"/>
      <w:bookmarkEnd w:id="964"/>
      <w:r>
        <w:rPr>
          <w:rFonts w:ascii="Arial" w:eastAsia="Arial" w:hAnsi="Arial" w:cs="Arial"/>
          <w:color w:val="000000"/>
          <w:sz w:val="20"/>
          <w:u w:val="single"/>
        </w:rPr>
        <w:t>Campbell v. Rainbow City, Ala</w:t>
      </w:r>
      <w:r>
        <w:rPr>
          <w:rFonts w:ascii="Arial" w:eastAsia="Arial" w:hAnsi="Arial" w:cs="Arial"/>
          <w:color w:val="000000"/>
          <w:sz w:val="20"/>
        </w:rPr>
        <w:t xml:space="preserve">., 434 F.3d 1306, 1313 (11th Cir. 2006). </w:t>
      </w:r>
      <w:bookmarkStart w:id="965" w:name="Bookmark_I4W02DFS0K1MNJ10G0000400"/>
      <w:bookmarkEnd w:id="965"/>
      <w:r>
        <w:rPr>
          <w:rFonts w:ascii="Arial" w:eastAsia="Arial" w:hAnsi="Arial" w:cs="Arial"/>
          <w:color w:val="000000"/>
          <w:sz w:val="20"/>
        </w:rPr>
        <w:t xml:space="preserve">"Unless the challenged classification burdens a fundamental right or targets a suspect class, the Equal Protection Clause requires only that the classification be rationally related to a legitimate state interest." </w:t>
      </w:r>
      <w:bookmarkStart w:id="966" w:name="Bookmark_I4W02DFS0K1MNJ1060000400"/>
      <w:bookmarkEnd w:id="966"/>
      <w:r>
        <w:rPr>
          <w:rFonts w:ascii="Arial" w:eastAsia="Arial" w:hAnsi="Arial" w:cs="Arial"/>
          <w:color w:val="000000"/>
          <w:sz w:val="20"/>
          <w:u w:val="single"/>
        </w:rPr>
        <w:t>Lofton v. Sec'y of Dep't of Children and Family Servs</w:t>
      </w:r>
      <w:r>
        <w:rPr>
          <w:rFonts w:ascii="Arial" w:eastAsia="Arial" w:hAnsi="Arial" w:cs="Arial"/>
          <w:color w:val="000000"/>
          <w:sz w:val="20"/>
        </w:rPr>
        <w:t xml:space="preserve">., 377 F.3d 1275, 1277 (11th Cir. 2004). </w:t>
      </w:r>
      <w:bookmarkStart w:id="967" w:name="Bookmark_I4W02DFS0K1MNJ10G0000400_2"/>
      <w:bookmarkStart w:id="968" w:name="Bookmark_I4W02DFS0K1MNJ10J0000400"/>
      <w:bookmarkEnd w:id="967"/>
      <w:bookmarkEnd w:id="968"/>
      <w:r>
        <w:rPr>
          <w:rFonts w:ascii="Arial" w:eastAsia="Arial" w:hAnsi="Arial" w:cs="Arial"/>
          <w:color w:val="000000"/>
          <w:sz w:val="20"/>
        </w:rPr>
        <w:t xml:space="preserve">The Supreme Court has held that the disabled are not a suspect class, and thus a government's  [**14] differential treatment of them is only entitled to rational basis review. </w:t>
      </w:r>
      <w:bookmarkStart w:id="969" w:name="Bookmark_I4W02DFS0K1MNJ1080000400"/>
      <w:bookmarkEnd w:id="969"/>
      <w:r>
        <w:rPr>
          <w:rFonts w:ascii="Arial" w:eastAsia="Arial" w:hAnsi="Arial" w:cs="Arial"/>
          <w:color w:val="000000"/>
          <w:sz w:val="20"/>
          <w:u w:val="single"/>
        </w:rPr>
        <w:t>Cleburne v. Cleburne Living Ctr., Inc</w:t>
      </w:r>
      <w:r>
        <w:rPr>
          <w:rFonts w:ascii="Arial" w:eastAsia="Arial" w:hAnsi="Arial" w:cs="Arial"/>
          <w:color w:val="000000"/>
          <w:sz w:val="20"/>
        </w:rPr>
        <w:t xml:space="preserve">., 473 U.S. 432, 446, 105 S. Ct. 3249, 87 L. Ed. 2d 313 (1985). </w:t>
      </w:r>
      <w:bookmarkStart w:id="970" w:name="Bookmark_I4W02DFS0K1MNJ10J0000400_2"/>
      <w:bookmarkEnd w:id="970"/>
      <w:r>
        <w:rPr>
          <w:rFonts w:ascii="Arial" w:eastAsia="Arial" w:hAnsi="Arial" w:cs="Arial"/>
          <w:color w:val="000000"/>
          <w:sz w:val="20"/>
        </w:rPr>
        <w:t xml:space="preserve">Under rational basis review, there is no equal protection violation so long as "there is a rational relationship between the disparity of treatment and some legitimate governmental purpose." </w:t>
      </w:r>
      <w:bookmarkStart w:id="971" w:name="Bookmark_I4W02DFS0K1MNJ10H0000400"/>
      <w:bookmarkEnd w:id="971"/>
      <w:r>
        <w:rPr>
          <w:rFonts w:ascii="Arial" w:eastAsia="Arial" w:hAnsi="Arial" w:cs="Arial"/>
          <w:color w:val="000000"/>
          <w:sz w:val="20"/>
          <w:u w:val="single"/>
        </w:rPr>
        <w:t>Heller v. Doe</w:t>
      </w:r>
      <w:r>
        <w:rPr>
          <w:rFonts w:ascii="Arial" w:eastAsia="Arial" w:hAnsi="Arial" w:cs="Arial"/>
          <w:color w:val="000000"/>
          <w:sz w:val="20"/>
        </w:rPr>
        <w:t>, 509 U.S. 312, 320, 113 S. Ct. 2637, 125 L. Ed. 2d 257 (1993).</w:t>
      </w:r>
    </w:p>
    <w:p w:rsidR="006E038D" w:rsidRDefault="00000000">
      <w:pPr>
        <w:pStyle w:val="Normal7"/>
        <w:widowControl w:val="0"/>
        <w:spacing w:before="200" w:line="260" w:lineRule="atLeast"/>
        <w:jc w:val="both"/>
      </w:pPr>
      <w:bookmarkStart w:id="972" w:name="Bookmark_para_27_5"/>
      <w:bookmarkEnd w:id="972"/>
      <w:r>
        <w:rPr>
          <w:rFonts w:ascii="Arial" w:eastAsia="Arial" w:hAnsi="Arial" w:cs="Arial"/>
          <w:color w:val="000000"/>
          <w:sz w:val="20"/>
        </w:rPr>
        <w:t xml:space="preserve">In the present case, Rylee has failed to establish any differential treatment. Instead, he proposes that he should receive </w:t>
      </w:r>
      <w:r>
        <w:rPr>
          <w:rFonts w:ascii="Arial" w:eastAsia="Arial" w:hAnsi="Arial" w:cs="Arial"/>
          <w:color w:val="000000"/>
          <w:sz w:val="20"/>
          <w:u w:val="single"/>
        </w:rPr>
        <w:t>preferential</w:t>
      </w:r>
      <w:r>
        <w:rPr>
          <w:rFonts w:ascii="Arial" w:eastAsia="Arial" w:hAnsi="Arial" w:cs="Arial"/>
          <w:color w:val="000000"/>
          <w:sz w:val="20"/>
        </w:rPr>
        <w:t xml:space="preserve"> governmental treatment. For example, he argues that: (1) because of his hearing-impairment, the arresting deputies should have let him spend the night at a relative's home and surrender himself in the morning; and (2) he should have been permitted to use his cellular telephone, even though he has not established that this privilege is available to individuals without hearing impairments. Because Rylee fails to establish a disparity of treatment, his equal protection claim therefore fails. </w:t>
      </w:r>
      <w:r>
        <w:rPr>
          <w:rFonts w:ascii="Arial" w:eastAsia="Arial" w:hAnsi="Arial" w:cs="Arial"/>
          <w:vertAlign w:val="superscript"/>
        </w:rPr>
        <w:footnoteReference w:customMarkFollows="1" w:id="32"/>
        <w:t>7</w:t>
      </w:r>
      <w:r>
        <w:rPr>
          <w:rFonts w:ascii="Arial" w:eastAsia="Arial" w:hAnsi="Arial" w:cs="Arial"/>
          <w:color w:val="000000"/>
          <w:sz w:val="20"/>
        </w:rPr>
        <w:t xml:space="preserve"> </w:t>
      </w:r>
    </w:p>
    <w:p w:rsidR="006E038D" w:rsidRDefault="00000000">
      <w:pPr>
        <w:pStyle w:val="Normal7"/>
        <w:widowControl w:val="0"/>
        <w:spacing w:before="200" w:line="260" w:lineRule="atLeast"/>
        <w:jc w:val="both"/>
      </w:pPr>
      <w:bookmarkStart w:id="977" w:name="Bookmark_para_28_3"/>
      <w:bookmarkEnd w:id="977"/>
      <w:r>
        <w:rPr>
          <w:rFonts w:ascii="Arial" w:eastAsia="Arial" w:hAnsi="Arial" w:cs="Arial"/>
          <w:i/>
          <w:color w:val="000000"/>
          <w:sz w:val="20"/>
        </w:rPr>
        <w:t>b. Due process</w:t>
      </w:r>
    </w:p>
    <w:p w:rsidR="006E038D" w:rsidRDefault="00000000">
      <w:pPr>
        <w:pStyle w:val="Normal7"/>
        <w:widowControl w:val="0"/>
        <w:spacing w:before="200" w:line="260" w:lineRule="atLeast"/>
        <w:jc w:val="both"/>
      </w:pPr>
      <w:bookmarkStart w:id="978" w:name="Bookmark_para_29_3"/>
      <w:bookmarkEnd w:id="978"/>
      <w:r>
        <w:rPr>
          <w:rFonts w:ascii="Arial" w:eastAsia="Arial" w:hAnsi="Arial" w:cs="Arial"/>
          <w:color w:val="000000"/>
          <w:sz w:val="20"/>
        </w:rPr>
        <w:t>Rylee finally argues that his substantive due process rights were violated "[t]hrough a warrantless arrest, incarceration that effective[ly] isolated him from the world, and interrogation without [the] benefit of counsel or an interpreter."</w:t>
      </w:r>
    </w:p>
    <w:p w:rsidR="006E038D" w:rsidRDefault="00000000">
      <w:pPr>
        <w:pStyle w:val="Normal7"/>
        <w:widowControl w:val="0"/>
        <w:spacing w:before="200" w:line="260" w:lineRule="atLeast"/>
        <w:jc w:val="both"/>
      </w:pPr>
      <w:bookmarkStart w:id="979" w:name="Bookmark_para_30_3"/>
      <w:bookmarkStart w:id="980" w:name="Bookmark_I4W02DFS0K1MNJ10W0000400"/>
      <w:bookmarkStart w:id="981" w:name="Bookmark_I4W02DFS0K1MNJ10Y0000400"/>
      <w:bookmarkStart w:id="982" w:name="Bookmark_LNHNREFclscc9_3"/>
      <w:bookmarkEnd w:id="979"/>
      <w:bookmarkEnd w:id="980"/>
      <w:bookmarkEnd w:id="981"/>
      <w:bookmarkEnd w:id="982"/>
      <w:r>
        <w:rPr>
          <w:rFonts w:ascii="Arial" w:eastAsia="Arial" w:hAnsi="Arial" w:cs="Arial"/>
          <w:color w:val="000000"/>
          <w:sz w:val="20"/>
        </w:rPr>
        <w:t xml:space="preserve">"Conduct by a government actor will rise to the level of a substantive due process violation only if the act can be characterized as arbitrary or conscience-shocking in a constitutional sense." </w:t>
      </w:r>
      <w:bookmarkStart w:id="983" w:name="Bookmark_I4W02DFS0K1MNJ10V0000400"/>
      <w:bookmarkEnd w:id="983"/>
      <w:r>
        <w:rPr>
          <w:rFonts w:ascii="Arial" w:eastAsia="Arial" w:hAnsi="Arial" w:cs="Arial"/>
          <w:color w:val="000000"/>
          <w:sz w:val="20"/>
          <w:u w:val="single"/>
        </w:rPr>
        <w:t>Davis v. Carter</w:t>
      </w:r>
      <w:r>
        <w:rPr>
          <w:rFonts w:ascii="Arial" w:eastAsia="Arial" w:hAnsi="Arial" w:cs="Arial"/>
          <w:color w:val="000000"/>
          <w:sz w:val="20"/>
        </w:rPr>
        <w:t xml:space="preserve">, 555 F.3d 979, 2009 U.S. App. LEXIS 1144, 2009 WL 152707, at *2 (11th Cir. Jan. 23, 2009). The Supreme Court has noted that this is a steep standard, wherein "conduct intended to injure in some way unjustifiable by any government interest is the sort of official action most likely to rise to the conscience-shocking level." </w:t>
      </w:r>
      <w:bookmarkStart w:id="984" w:name="Bookmark_I4W02DFS0K1MNJ10X0000400"/>
      <w:bookmarkEnd w:id="984"/>
      <w:r>
        <w:rPr>
          <w:rFonts w:ascii="Arial" w:eastAsia="Arial" w:hAnsi="Arial" w:cs="Arial"/>
          <w:color w:val="000000"/>
          <w:sz w:val="20"/>
          <w:u w:val="single"/>
        </w:rPr>
        <w:t>County of Sacramento v. Lewis</w:t>
      </w:r>
      <w:r>
        <w:rPr>
          <w:rFonts w:ascii="Arial" w:eastAsia="Arial" w:hAnsi="Arial" w:cs="Arial"/>
          <w:color w:val="000000"/>
          <w:sz w:val="20"/>
        </w:rPr>
        <w:t>, 523 U.S. 833, 849, 118 S. Ct. 1708, 140 L. Ed. 2d 1043 (1998).</w:t>
      </w:r>
    </w:p>
    <w:p w:rsidR="006E038D" w:rsidRDefault="00000000">
      <w:pPr>
        <w:pStyle w:val="Normal7"/>
        <w:widowControl w:val="0"/>
        <w:spacing w:before="200" w:line="260" w:lineRule="atLeast"/>
        <w:jc w:val="both"/>
      </w:pPr>
      <w:bookmarkStart w:id="985" w:name="Bookmark_para_31_3"/>
      <w:bookmarkStart w:id="986" w:name="Bookmark_I4W02DFS0K1MNJ1110000400"/>
      <w:bookmarkEnd w:id="985"/>
      <w:bookmarkEnd w:id="986"/>
      <w:r>
        <w:rPr>
          <w:rFonts w:ascii="Arial" w:eastAsia="Arial" w:hAnsi="Arial" w:cs="Arial"/>
          <w:color w:val="000000"/>
          <w:sz w:val="20"/>
        </w:rPr>
        <w:t xml:space="preserve">We find Rylee's arguments to be without merit. Although he was arrested without a warrant, the statements of Mrs. Rylee and her children gave the officers probable cause to believe that Rylee  [**16] committed the crimes for which he was arrested. </w:t>
      </w:r>
      <w:r>
        <w:rPr>
          <w:rFonts w:ascii="Arial" w:eastAsia="Arial" w:hAnsi="Arial" w:cs="Arial"/>
          <w:color w:val="000000"/>
          <w:sz w:val="20"/>
          <w:u w:val="single"/>
        </w:rPr>
        <w:t xml:space="preserve">See </w:t>
      </w:r>
      <w:bookmarkStart w:id="987" w:name="Bookmark_I4W02DFS0K1MNJ1100000400"/>
      <w:bookmarkEnd w:id="987"/>
      <w:r>
        <w:rPr>
          <w:rFonts w:ascii="Arial" w:eastAsia="Arial" w:hAnsi="Arial" w:cs="Arial"/>
          <w:color w:val="000000"/>
          <w:sz w:val="20"/>
          <w:u w:val="single"/>
        </w:rPr>
        <w:t>Jordan v. Mosley</w:t>
      </w:r>
      <w:r>
        <w:rPr>
          <w:rFonts w:ascii="Arial" w:eastAsia="Arial" w:hAnsi="Arial" w:cs="Arial"/>
          <w:color w:val="000000"/>
          <w:sz w:val="20"/>
        </w:rPr>
        <w:t>, 487 F.3d 1350, 1355 (11th Cir. 2006) (</w:t>
      </w:r>
      <w:bookmarkStart w:id="988" w:name="Bookmark_LNHNREFclscc10_3"/>
      <w:bookmarkEnd w:id="988"/>
      <w:r>
        <w:rPr>
          <w:rFonts w:ascii="Arial" w:eastAsia="Arial" w:hAnsi="Arial" w:cs="Arial"/>
          <w:color w:val="000000"/>
          <w:sz w:val="20"/>
        </w:rPr>
        <w:t>"Probable cause exists when 'the facts and circumstances  [*908]  within the officers' knowledge, of which he or she has reasonably trustworthy information, would cause a prudent person to believe, under the circumstances shown, that the suspect has committed, is committing, or is about to commit an offense.'") (citation omitted). Rylee did not invoke his right to counsel or request an interpreter and he has presented no evidence creating a genuine issue of material fact as to whether any of Appellees engaged in behavior that is so egregious that it "shocks the conscience." As such, we find that summary judgment was properly granted on his § 1983 due process claims.</w:t>
      </w:r>
    </w:p>
    <w:p w:rsidR="006E038D" w:rsidRDefault="00000000">
      <w:pPr>
        <w:pStyle w:val="Normal7"/>
        <w:widowControl w:val="0"/>
        <w:spacing w:before="240" w:line="260" w:lineRule="atLeast"/>
      </w:pPr>
      <w:r>
        <w:br/>
      </w:r>
      <w:r>
        <w:rPr>
          <w:rFonts w:ascii="Arial" w:eastAsia="Arial" w:hAnsi="Arial" w:cs="Arial"/>
          <w:color w:val="000000"/>
          <w:sz w:val="20"/>
          <w:u w:val="single"/>
        </w:rPr>
        <w:t>E. Conclusion</w:t>
      </w:r>
    </w:p>
    <w:p w:rsidR="006E038D" w:rsidRDefault="00000000">
      <w:pPr>
        <w:pStyle w:val="Normal7"/>
        <w:widowControl w:val="0"/>
        <w:spacing w:before="200" w:line="260" w:lineRule="atLeast"/>
        <w:jc w:val="both"/>
      </w:pPr>
      <w:bookmarkStart w:id="989" w:name="Bookmark_para_32_2"/>
      <w:bookmarkEnd w:id="989"/>
      <w:r>
        <w:rPr>
          <w:rFonts w:ascii="Arial" w:eastAsia="Arial" w:hAnsi="Arial" w:cs="Arial"/>
          <w:color w:val="000000"/>
          <w:sz w:val="20"/>
        </w:rPr>
        <w:t>For the reasons stated, we conclude that the district court did not err in granting summary judgment in favor of Appellees on all claims.</w:t>
      </w:r>
    </w:p>
    <w:p w:rsidR="006E038D" w:rsidRDefault="00000000">
      <w:pPr>
        <w:pStyle w:val="Normal7"/>
        <w:widowControl w:val="0"/>
        <w:spacing w:before="200" w:line="260" w:lineRule="atLeast"/>
        <w:jc w:val="both"/>
      </w:pPr>
      <w:bookmarkStart w:id="990" w:name="Bookmark_para_33_2"/>
      <w:bookmarkEnd w:id="990"/>
      <w:r>
        <w:rPr>
          <w:rFonts w:ascii="Arial" w:eastAsia="Arial" w:hAnsi="Arial" w:cs="Arial"/>
          <w:b/>
          <w:color w:val="000000"/>
          <w:sz w:val="20"/>
        </w:rPr>
        <w:t>AFFIRMED</w:t>
      </w:r>
      <w:r>
        <w:rPr>
          <w:rFonts w:ascii="Arial" w:eastAsia="Arial" w:hAnsi="Arial" w:cs="Arial"/>
          <w:color w:val="000000"/>
          <w:sz w:val="20"/>
        </w:rPr>
        <w:t>.</w:t>
      </w:r>
    </w:p>
    <w:p w:rsidR="006E038D" w:rsidRDefault="006E038D">
      <w:pPr>
        <w:pStyle w:val="Normal7"/>
      </w:pPr>
    </w:p>
    <w:p w:rsidR="006E038D" w:rsidRDefault="00000000">
      <w:pPr>
        <w:pStyle w:val="Normal7"/>
        <w:ind w:left="200"/>
        <w:sectPr w:rsidR="006E038D">
          <w:type w:val="continuous"/>
          <w:pgSz w:w="12240" w:h="15840"/>
          <w:pgMar w:top="840" w:right="1000" w:bottom="840" w:left="1000" w:header="400" w:footer="400" w:gutter="0"/>
          <w:cols w:num="2" w:space="240"/>
        </w:sectPr>
      </w:pPr>
      <w:r>
        <w:br/>
      </w:r>
      <w:r w:rsidR="008C3211">
        <w:rPr>
          <w:noProof/>
        </w:rP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42216582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73B2F" id="Line 1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6E038D" w:rsidRDefault="006E038D">
      <w:pPr>
        <w:pStyle w:val="Normal8"/>
        <w:sectPr w:rsidR="006E038D">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gutter="0"/>
          <w:cols w:space="720"/>
          <w:titlePg/>
        </w:sectPr>
      </w:pPr>
    </w:p>
    <w:p w:rsidR="006E038D" w:rsidRDefault="006E038D">
      <w:pPr>
        <w:pStyle w:val="Normal8"/>
      </w:pPr>
    </w:p>
    <w:p w:rsidR="006E038D" w:rsidRDefault="00000000">
      <w:pPr>
        <w:pStyle w:val="Heading17"/>
        <w:keepNext w:val="0"/>
        <w:widowControl w:val="0"/>
        <w:spacing w:after="200" w:line="340" w:lineRule="atLeast"/>
        <w:jc w:val="center"/>
      </w:pPr>
      <w:r>
        <w:rPr>
          <w:rFonts w:eastAsia="Arial"/>
          <w:color w:val="000000"/>
          <w:sz w:val="28"/>
        </w:rPr>
        <w:t>Rambacher v. Bemus Point Cent. Sch. Dist.</w:t>
      </w:r>
    </w:p>
    <w:p w:rsidR="006E038D" w:rsidRDefault="00000000">
      <w:pPr>
        <w:pStyle w:val="Normal8"/>
        <w:widowControl w:val="0"/>
        <w:spacing w:before="120" w:line="260" w:lineRule="atLeast"/>
        <w:jc w:val="center"/>
      </w:pPr>
      <w:r>
        <w:rPr>
          <w:rFonts w:ascii="Arial" w:eastAsia="Arial" w:hAnsi="Arial" w:cs="Arial"/>
          <w:color w:val="000000"/>
          <w:sz w:val="20"/>
        </w:rPr>
        <w:t>United States Court of Appeals for the Second Circuit</w:t>
      </w:r>
    </w:p>
    <w:p w:rsidR="006E038D" w:rsidRDefault="00000000">
      <w:pPr>
        <w:pStyle w:val="Normal8"/>
        <w:widowControl w:val="0"/>
        <w:spacing w:before="120" w:line="260" w:lineRule="atLeast"/>
        <w:jc w:val="center"/>
      </w:pPr>
      <w:r>
        <w:rPr>
          <w:rFonts w:ascii="Arial" w:eastAsia="Arial" w:hAnsi="Arial" w:cs="Arial"/>
          <w:color w:val="000000"/>
          <w:sz w:val="20"/>
        </w:rPr>
        <w:t>January 22, 2009, Decided</w:t>
      </w:r>
    </w:p>
    <w:p w:rsidR="006E038D" w:rsidRDefault="00000000">
      <w:pPr>
        <w:pStyle w:val="Normal8"/>
        <w:widowControl w:val="0"/>
        <w:spacing w:before="120" w:line="260" w:lineRule="atLeast"/>
        <w:jc w:val="center"/>
        <w:sectPr w:rsidR="006E038D">
          <w:type w:val="continuous"/>
          <w:pgSz w:w="12240" w:h="15840"/>
          <w:pgMar w:top="840" w:right="1000" w:bottom="840" w:left="1000" w:header="400" w:footer="400" w:gutter="0"/>
          <w:cols w:space="240"/>
        </w:sectPr>
      </w:pPr>
      <w:r>
        <w:rPr>
          <w:rFonts w:ascii="Arial" w:eastAsia="Arial" w:hAnsi="Arial" w:cs="Arial"/>
          <w:color w:val="000000"/>
          <w:sz w:val="20"/>
        </w:rPr>
        <w:t>No. 07-4728-cv</w:t>
      </w:r>
    </w:p>
    <w:p w:rsidR="006E038D" w:rsidRDefault="006E038D">
      <w:pPr>
        <w:pStyle w:val="Normal8"/>
        <w:widowControl w:val="0"/>
        <w:spacing w:line="240" w:lineRule="atLeast"/>
        <w:jc w:val="both"/>
      </w:pPr>
      <w:bookmarkStart w:id="991" w:name="Bookmark_9"/>
      <w:bookmarkEnd w:id="991"/>
    </w:p>
    <w:p w:rsidR="006E038D" w:rsidRDefault="00000000">
      <w:pPr>
        <w:pStyle w:val="Normal8"/>
        <w:widowControl w:val="0"/>
        <w:spacing w:before="200" w:line="240" w:lineRule="atLeast"/>
      </w:pPr>
      <w:bookmarkStart w:id="992" w:name="Reporter_7"/>
      <w:bookmarkEnd w:id="992"/>
      <w:r>
        <w:rPr>
          <w:rFonts w:ascii="Arial" w:eastAsia="Arial" w:hAnsi="Arial" w:cs="Arial"/>
          <w:b/>
          <w:color w:val="000000"/>
          <w:sz w:val="18"/>
        </w:rPr>
        <w:t>Reporter</w:t>
      </w:r>
    </w:p>
    <w:p w:rsidR="006E038D" w:rsidRDefault="00000000">
      <w:pPr>
        <w:pStyle w:val="Normal8"/>
        <w:widowControl w:val="0"/>
        <w:spacing w:line="240" w:lineRule="atLeast"/>
        <w:sectPr w:rsidR="006E038D">
          <w:type w:val="continuous"/>
          <w:pgSz w:w="12240" w:h="15840"/>
          <w:pgMar w:top="840" w:right="1000" w:bottom="840" w:left="1000" w:header="400" w:footer="400" w:gutter="0"/>
          <w:cols w:space="240"/>
        </w:sectPr>
      </w:pPr>
      <w:r>
        <w:rPr>
          <w:rFonts w:ascii="Arial" w:eastAsia="Arial" w:hAnsi="Arial" w:cs="Arial"/>
          <w:color w:val="000000"/>
          <w:sz w:val="18"/>
        </w:rPr>
        <w:t>307 Fed. Appx. 541 *; 2009 U.S. App. LEXIS 1119 **</w:t>
      </w:r>
    </w:p>
    <w:p w:rsidR="006E038D" w:rsidRDefault="00000000">
      <w:pPr>
        <w:pStyle w:val="Normal8"/>
        <w:widowControl w:val="0"/>
        <w:spacing w:before="120" w:line="260" w:lineRule="atLeast"/>
      </w:pPr>
      <w:r>
        <w:rPr>
          <w:rFonts w:ascii="Arial" w:eastAsia="Arial" w:hAnsi="Arial" w:cs="Arial"/>
          <w:color w:val="000000"/>
          <w:sz w:val="20"/>
        </w:rPr>
        <w:t>DIANE K. RAMBACHER, Plaintiff-Appellant, -v.- BEMUS POINT CENTRAL SCHOOL DISTRICT, Defendant-Appellee, ALBERT D'ATTILIO, TERRANCE L. WOODFIELD, JR., GORDON R. NELSON, JEROME G. ADAMS, KAREN L. BOHALL, DEBRA A. RAYNOR, FLETCHER E. WARD, VERNON E. WETMORE, THOM E. SHAGLA, JUDITH A. BRIGGS, JOHN P. SITZENSTATTER, LORI A. MCGOWAN, and PIERRE E. CHAGON, Defendants.</w:t>
      </w:r>
    </w:p>
    <w:p w:rsidR="006E038D" w:rsidRDefault="00000000">
      <w:pPr>
        <w:pStyle w:val="Normal8"/>
        <w:widowControl w:val="0"/>
        <w:spacing w:before="240" w:line="260" w:lineRule="atLeast"/>
        <w:jc w:val="both"/>
      </w:pPr>
      <w:bookmarkStart w:id="993" w:name="Notice_2"/>
      <w:bookmarkEnd w:id="993"/>
      <w:r>
        <w:rPr>
          <w:rFonts w:ascii="Arial" w:eastAsia="Arial" w:hAnsi="Arial" w:cs="Arial"/>
          <w:b/>
          <w:color w:val="000000"/>
          <w:sz w:val="20"/>
        </w:rPr>
        <w:t>Notice:</w:t>
      </w:r>
      <w:r>
        <w:rPr>
          <w:rFonts w:ascii="Arial" w:eastAsia="Arial" w:hAnsi="Arial" w:cs="Arial"/>
          <w:color w:val="000000"/>
          <w:sz w:val="20"/>
        </w:rPr>
        <w:t> </w:t>
      </w:r>
      <w:bookmarkStart w:id="994" w:name="Bookmark_para_1_7"/>
      <w:bookmarkEnd w:id="994"/>
      <w:r>
        <w:rPr>
          <w:rFonts w:ascii="Arial" w:eastAsia="Arial" w:hAnsi="Arial" w:cs="Arial"/>
          <w:color w:val="000000"/>
          <w:sz w:val="20"/>
        </w:rPr>
        <w:t>PLEASE REFER TO FEDERAL RULES OF APPELLATE PROCEDURE RULE 32.1 GOVERNING THE CITATION TO UNPUBLISHED OPINIONS.</w:t>
      </w:r>
    </w:p>
    <w:p w:rsidR="006E038D" w:rsidRDefault="00000000">
      <w:pPr>
        <w:pStyle w:val="Normal8"/>
        <w:widowControl w:val="0"/>
        <w:spacing w:before="240" w:line="260" w:lineRule="atLeast"/>
        <w:jc w:val="both"/>
      </w:pPr>
      <w:bookmarkStart w:id="995" w:name="Prior_History_7"/>
      <w:bookmarkEnd w:id="995"/>
      <w:r>
        <w:rPr>
          <w:rFonts w:ascii="Arial" w:eastAsia="Arial" w:hAnsi="Arial" w:cs="Arial"/>
          <w:b/>
          <w:color w:val="000000"/>
          <w:sz w:val="20"/>
        </w:rPr>
        <w:t>Prior History:</w:t>
      </w:r>
      <w:r>
        <w:rPr>
          <w:rFonts w:ascii="Arial" w:eastAsia="Arial" w:hAnsi="Arial" w:cs="Arial"/>
          <w:color w:val="000000"/>
          <w:sz w:val="20"/>
        </w:rPr>
        <w:t>  [**1] </w:t>
      </w:r>
      <w:bookmarkStart w:id="996" w:name="Bookmark_para_2_7"/>
      <w:bookmarkEnd w:id="996"/>
      <w:r>
        <w:rPr>
          <w:rFonts w:ascii="Arial" w:eastAsia="Arial" w:hAnsi="Arial" w:cs="Arial"/>
          <w:color w:val="000000"/>
          <w:sz w:val="20"/>
        </w:rPr>
        <w:t>Appeal from a judgment of the United States District Court for the Western District of New York (Richard J. Arcara, Chief Judge).</w:t>
      </w:r>
    </w:p>
    <w:p w:rsidR="006E038D" w:rsidRDefault="00000000">
      <w:pPr>
        <w:pStyle w:val="Normal8"/>
        <w:widowControl w:val="0"/>
        <w:spacing w:before="120" w:line="260" w:lineRule="atLeast"/>
      </w:pPr>
      <w:r>
        <w:rPr>
          <w:rFonts w:ascii="Arial" w:eastAsia="Arial" w:hAnsi="Arial" w:cs="Arial"/>
          <w:color w:val="000000"/>
          <w:sz w:val="20"/>
        </w:rPr>
        <w:t>Rambacher v. Bemus Point Cent. Sch. Dist., 2007 U.S. Dist. LEXIS 72836 (W.D.N.Y., Sept. 28, 2007)</w:t>
      </w:r>
    </w:p>
    <w:p w:rsidR="006E038D" w:rsidRDefault="00000000">
      <w:pPr>
        <w:pStyle w:val="Normal8"/>
        <w:widowControl w:val="0"/>
        <w:spacing w:before="240" w:line="260" w:lineRule="atLeast"/>
      </w:pPr>
      <w:bookmarkStart w:id="997" w:name="Counsel_7"/>
      <w:bookmarkEnd w:id="997"/>
      <w:r>
        <w:rPr>
          <w:rFonts w:ascii="Arial" w:eastAsia="Arial" w:hAnsi="Arial" w:cs="Arial"/>
          <w:b/>
          <w:color w:val="000000"/>
          <w:sz w:val="20"/>
        </w:rPr>
        <w:t>Counsel:</w:t>
      </w:r>
      <w:r>
        <w:rPr>
          <w:rFonts w:ascii="Arial" w:eastAsia="Arial" w:hAnsi="Arial" w:cs="Arial"/>
          <w:color w:val="000000"/>
          <w:sz w:val="20"/>
        </w:rPr>
        <w:t> COUNSEL FOR APPELLANT: CHRISTEN ARCHER PIERROT, Chiacchia &amp; Fleming, LLP, Hamburg, NY.</w:t>
      </w:r>
    </w:p>
    <w:p w:rsidR="006E038D" w:rsidRDefault="00000000">
      <w:pPr>
        <w:pStyle w:val="Normal8"/>
        <w:widowControl w:val="0"/>
        <w:spacing w:before="120" w:line="260" w:lineRule="atLeast"/>
      </w:pPr>
      <w:r>
        <w:rPr>
          <w:rFonts w:ascii="Arial" w:eastAsia="Arial" w:hAnsi="Arial" w:cs="Arial"/>
          <w:color w:val="000000"/>
          <w:sz w:val="20"/>
        </w:rPr>
        <w:t>COUNSEL FOR APPELLEE: JAMES R. GRASSO, Phillips Lytle LLP, Buffalo, NY.</w:t>
      </w:r>
    </w:p>
    <w:p w:rsidR="006E038D" w:rsidRDefault="00000000">
      <w:pPr>
        <w:pStyle w:val="Normal8"/>
        <w:widowControl w:val="0"/>
        <w:spacing w:before="240" w:line="260" w:lineRule="atLeast"/>
      </w:pPr>
      <w:bookmarkStart w:id="998" w:name="Judges_7"/>
      <w:bookmarkEnd w:id="998"/>
      <w:r>
        <w:rPr>
          <w:rFonts w:ascii="Arial" w:eastAsia="Arial" w:hAnsi="Arial" w:cs="Arial"/>
          <w:b/>
          <w:color w:val="000000"/>
          <w:sz w:val="20"/>
        </w:rPr>
        <w:t>Judges:</w:t>
      </w:r>
      <w:r>
        <w:rPr>
          <w:rFonts w:ascii="Arial" w:eastAsia="Arial" w:hAnsi="Arial" w:cs="Arial"/>
          <w:color w:val="000000"/>
          <w:sz w:val="20"/>
        </w:rPr>
        <w:t xml:space="preserve"> PRESENT: JOSE A. CABRANES, DEBRA ANN LIVINGSTON, Circuit Judges, RICHARD K. EATON, Judge. </w:t>
      </w:r>
      <w:r>
        <w:rPr>
          <w:rFonts w:ascii="Arial" w:eastAsia="Arial" w:hAnsi="Arial" w:cs="Arial"/>
          <w:vertAlign w:val="superscript"/>
        </w:rPr>
        <w:footnoteReference w:customMarkFollows="1" w:id="33"/>
        <w:t>*</w:t>
      </w:r>
    </w:p>
    <w:p w:rsidR="006E038D" w:rsidRDefault="00000000">
      <w:pPr>
        <w:pStyle w:val="Normal8"/>
        <w:keepNext/>
        <w:widowControl w:val="0"/>
        <w:spacing w:before="240" w:line="340" w:lineRule="atLeast"/>
      </w:pPr>
      <w:bookmarkStart w:id="1000" w:name="Opinion_7"/>
      <w:bookmarkEnd w:id="1000"/>
      <w:r>
        <w:rPr>
          <w:rFonts w:ascii="Arial" w:eastAsia="Arial" w:hAnsi="Arial" w:cs="Arial"/>
          <w:b/>
          <w:color w:val="000000"/>
          <w:sz w:val="28"/>
        </w:rPr>
        <w:t>Opinion</w:t>
      </w:r>
    </w:p>
    <w:p w:rsidR="006E038D" w:rsidRDefault="008C3211">
      <w:pPr>
        <w:pStyle w:val="Normal8"/>
        <w:spacing w:line="60" w:lineRule="exact"/>
      </w:pPr>
      <w:r>
        <w:rPr>
          <w:noProof/>
        </w:rPr>
        <mc:AlternateContent>
          <mc:Choice Requires="wps">
            <w:drawing>
              <wp:anchor distT="0" distB="0" distL="114300" distR="114300" simplePos="0" relativeHeight="25167667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93442750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C4085" id="Line 19"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6E038D" w:rsidRDefault="006E038D">
      <w:pPr>
        <w:pStyle w:val="Normal8"/>
        <w:spacing w:line="120" w:lineRule="exact"/>
      </w:pPr>
    </w:p>
    <w:p w:rsidR="006E038D" w:rsidRDefault="00000000">
      <w:pPr>
        <w:pStyle w:val="Normal8"/>
        <w:widowControl w:val="0"/>
        <w:spacing w:before="240" w:line="260" w:lineRule="atLeast"/>
      </w:pPr>
      <w:r>
        <w:br/>
      </w:r>
      <w:r>
        <w:rPr>
          <w:rFonts w:ascii="Arial" w:eastAsia="Arial" w:hAnsi="Arial" w:cs="Arial"/>
          <w:color w:val="000000"/>
          <w:sz w:val="20"/>
        </w:rPr>
        <w:t xml:space="preserve"> [*543]  </w:t>
      </w:r>
      <w:r>
        <w:rPr>
          <w:rFonts w:ascii="Arial" w:eastAsia="Arial" w:hAnsi="Arial" w:cs="Arial"/>
          <w:b/>
          <w:color w:val="000000"/>
          <w:sz w:val="20"/>
        </w:rPr>
        <w:t>SUMMARY ORDER</w:t>
      </w:r>
    </w:p>
    <w:p w:rsidR="006E038D" w:rsidRDefault="00000000">
      <w:pPr>
        <w:pStyle w:val="Normal8"/>
        <w:widowControl w:val="0"/>
        <w:spacing w:before="200" w:line="260" w:lineRule="atLeast"/>
        <w:jc w:val="both"/>
      </w:pPr>
      <w:bookmarkStart w:id="1001" w:name="Bookmark_para_3_7"/>
      <w:bookmarkEnd w:id="1001"/>
      <w:r>
        <w:rPr>
          <w:rFonts w:ascii="Arial" w:eastAsia="Arial" w:hAnsi="Arial" w:cs="Arial"/>
          <w:b/>
          <w:color w:val="000000"/>
          <w:sz w:val="20"/>
        </w:rPr>
        <w:t>UPON CONSIDERATION WHEREOF, IT IS HEREBY ORDERED, ADJUDGED, AND DECREED</w:t>
      </w:r>
      <w:r>
        <w:rPr>
          <w:rFonts w:ascii="Arial" w:eastAsia="Arial" w:hAnsi="Arial" w:cs="Arial"/>
          <w:color w:val="000000"/>
          <w:sz w:val="20"/>
        </w:rPr>
        <w:t xml:space="preserve"> that the judgment of the District Court is hereby </w:t>
      </w:r>
      <w:r>
        <w:rPr>
          <w:rFonts w:ascii="Arial" w:eastAsia="Arial" w:hAnsi="Arial" w:cs="Arial"/>
          <w:b/>
          <w:color w:val="000000"/>
          <w:sz w:val="20"/>
        </w:rPr>
        <w:t>VACATED</w:t>
      </w:r>
      <w:r>
        <w:rPr>
          <w:rFonts w:ascii="Arial" w:eastAsia="Arial" w:hAnsi="Arial" w:cs="Arial"/>
          <w:color w:val="000000"/>
          <w:sz w:val="20"/>
        </w:rPr>
        <w:t xml:space="preserve"> and the cause is </w:t>
      </w:r>
      <w:r>
        <w:rPr>
          <w:rFonts w:ascii="Arial" w:eastAsia="Arial" w:hAnsi="Arial" w:cs="Arial"/>
          <w:b/>
          <w:color w:val="000000"/>
          <w:sz w:val="20"/>
        </w:rPr>
        <w:t>REMANDED.</w:t>
      </w:r>
    </w:p>
    <w:p w:rsidR="006E038D" w:rsidRDefault="00000000">
      <w:pPr>
        <w:pStyle w:val="Normal8"/>
        <w:widowControl w:val="0"/>
        <w:spacing w:before="200" w:line="260" w:lineRule="atLeast"/>
        <w:jc w:val="both"/>
      </w:pPr>
      <w:bookmarkStart w:id="1002" w:name="Bookmark_para_4_7"/>
      <w:bookmarkStart w:id="1003" w:name="Bookmark_I4VKTY5N0K1MNJ16R0000400"/>
      <w:bookmarkEnd w:id="1002"/>
      <w:bookmarkEnd w:id="1003"/>
      <w:r>
        <w:rPr>
          <w:rFonts w:ascii="Arial" w:eastAsia="Arial" w:hAnsi="Arial" w:cs="Arial"/>
          <w:color w:val="000000"/>
          <w:sz w:val="20"/>
        </w:rPr>
        <w:t xml:space="preserve">Plaintiff Diane K. Rambacher appeals from a judgment of the District Court, entered on September 28, 2007, following a successful motion for summary judgment filed by defendants, who are plaintiff's former employer--the Bemus Point Central School District ("School District")--and supervisors. Plaintiff alleged that defendants failed to provide a reasonable accommodation in light of plaintiff's disability and impermissibly discriminated against plaintiff because of her disability, in violation of the Americans with Disabilities Act of 1990, 42 U.S.C. § 12101 </w:t>
      </w:r>
      <w:r>
        <w:rPr>
          <w:rFonts w:ascii="Arial" w:eastAsia="Arial" w:hAnsi="Arial" w:cs="Arial"/>
          <w:i/>
          <w:color w:val="000000"/>
          <w:sz w:val="20"/>
        </w:rPr>
        <w:t>et seq.</w:t>
      </w:r>
      <w:r>
        <w:rPr>
          <w:rFonts w:ascii="Arial" w:eastAsia="Arial" w:hAnsi="Arial" w:cs="Arial"/>
          <w:color w:val="000000"/>
          <w:sz w:val="20"/>
        </w:rPr>
        <w:t xml:space="preserve">  [**2] ("ADA"). On appeal, plaintiff argues that the District Court erred in concluding that there were no disputed issues of material fact regarding (1) plaintiff's qualification for reinstatement in her previous position, </w:t>
      </w:r>
      <w:r>
        <w:rPr>
          <w:rFonts w:ascii="Arial" w:eastAsia="Arial" w:hAnsi="Arial" w:cs="Arial"/>
          <w:i/>
          <w:color w:val="000000"/>
          <w:sz w:val="20"/>
        </w:rPr>
        <w:t xml:space="preserve">see </w:t>
      </w:r>
      <w:bookmarkStart w:id="1004" w:name="Bookmark_I4VKTY5N0K1MNJ16P0000400"/>
      <w:bookmarkEnd w:id="1004"/>
      <w:r>
        <w:rPr>
          <w:rFonts w:ascii="Arial" w:eastAsia="Arial" w:hAnsi="Arial" w:cs="Arial"/>
          <w:i/>
          <w:color w:val="000000"/>
          <w:sz w:val="20"/>
        </w:rPr>
        <w:t>Rambacher v. Bemus Point Cent. Sch. Dist.,</w:t>
      </w:r>
      <w:r>
        <w:rPr>
          <w:rFonts w:ascii="Arial" w:eastAsia="Arial" w:hAnsi="Arial" w:cs="Arial"/>
          <w:color w:val="000000"/>
          <w:sz w:val="20"/>
        </w:rPr>
        <w:t xml:space="preserve"> No. 01-CV-338A, 2007 U.S. Dist. LEXIS 72836, at *1-2 (W.D.N.Y. Sept. 28, 2007); (2) the availability of plaintiff's previous position, </w:t>
      </w:r>
      <w:bookmarkStart w:id="1005" w:name="Bookmark_I4VKTY5N0K1MNJ16S0000400"/>
      <w:bookmarkEnd w:id="1005"/>
      <w:r>
        <w:rPr>
          <w:rFonts w:ascii="Arial" w:eastAsia="Arial" w:hAnsi="Arial" w:cs="Arial"/>
          <w:i/>
          <w:color w:val="000000"/>
          <w:sz w:val="20"/>
        </w:rPr>
        <w:t>id.</w:t>
      </w:r>
      <w:r>
        <w:rPr>
          <w:rFonts w:ascii="Arial" w:eastAsia="Arial" w:hAnsi="Arial" w:cs="Arial"/>
          <w:color w:val="000000"/>
          <w:sz w:val="20"/>
        </w:rPr>
        <w:t xml:space="preserve"> at *4; and (3) whether similarly-compensated positions were unavailable, so that plaintiff's only option for renewed employment was to take a significant pay cut, </w:t>
      </w:r>
      <w:bookmarkStart w:id="1006" w:name="Bookmark_I4VKTY5N0K1MNJ16V0000400"/>
      <w:bookmarkEnd w:id="1006"/>
      <w:r>
        <w:rPr>
          <w:rFonts w:ascii="Arial" w:eastAsia="Arial" w:hAnsi="Arial" w:cs="Arial"/>
          <w:i/>
          <w:color w:val="000000"/>
          <w:sz w:val="20"/>
        </w:rPr>
        <w:t>id.</w:t>
      </w:r>
      <w:r>
        <w:rPr>
          <w:rFonts w:ascii="Arial" w:eastAsia="Arial" w:hAnsi="Arial" w:cs="Arial"/>
          <w:color w:val="000000"/>
          <w:sz w:val="20"/>
        </w:rPr>
        <w:t xml:space="preserve"> at *6-7. We assume the parties' familiarity with the underlying facts and procedural history of the case.</w:t>
      </w:r>
    </w:p>
    <w:p w:rsidR="006E038D" w:rsidRDefault="00000000">
      <w:pPr>
        <w:pStyle w:val="Normal8"/>
        <w:widowControl w:val="0"/>
        <w:spacing w:before="200" w:line="260" w:lineRule="atLeast"/>
        <w:jc w:val="both"/>
      </w:pPr>
      <w:bookmarkStart w:id="1007" w:name="Bookmark_para_5_7"/>
      <w:bookmarkStart w:id="1008" w:name="Bookmark_I4VKTY5N0K1MNJ18C0000400"/>
      <w:bookmarkStart w:id="1009" w:name="Bookmark_LNHNREFclscc1_7"/>
      <w:bookmarkEnd w:id="1007"/>
      <w:bookmarkEnd w:id="1008"/>
      <w:bookmarkEnd w:id="1009"/>
      <w:r>
        <w:rPr>
          <w:rFonts w:ascii="Arial" w:eastAsia="Arial" w:hAnsi="Arial" w:cs="Arial"/>
          <w:color w:val="000000"/>
          <w:sz w:val="20"/>
        </w:rPr>
        <w:t xml:space="preserve">We review a district court's grant of summary judgment </w:t>
      </w:r>
      <w:r>
        <w:rPr>
          <w:rFonts w:ascii="Arial" w:eastAsia="Arial" w:hAnsi="Arial" w:cs="Arial"/>
          <w:i/>
          <w:color w:val="000000"/>
          <w:sz w:val="20"/>
        </w:rPr>
        <w:t>de novo,</w:t>
      </w:r>
      <w:r>
        <w:rPr>
          <w:rFonts w:ascii="Arial" w:eastAsia="Arial" w:hAnsi="Arial" w:cs="Arial"/>
          <w:color w:val="000000"/>
          <w:sz w:val="20"/>
        </w:rPr>
        <w:t xml:space="preserve"> construing all facts in favor of the non-moving party. </w:t>
      </w:r>
      <w:r>
        <w:rPr>
          <w:rFonts w:ascii="Arial" w:eastAsia="Arial" w:hAnsi="Arial" w:cs="Arial"/>
          <w:i/>
          <w:color w:val="000000"/>
          <w:sz w:val="20"/>
        </w:rPr>
        <w:t xml:space="preserve">See, e.g., </w:t>
      </w:r>
      <w:bookmarkStart w:id="1010" w:name="Bookmark_I4VKTY5N0K1MNJ18B0000400"/>
      <w:bookmarkEnd w:id="1010"/>
      <w:r>
        <w:rPr>
          <w:rFonts w:ascii="Arial" w:eastAsia="Arial" w:hAnsi="Arial" w:cs="Arial"/>
          <w:i/>
          <w:color w:val="000000"/>
          <w:sz w:val="20"/>
        </w:rPr>
        <w:t>Paneccasio v. Unisource Worldwide, Inc.,</w:t>
      </w:r>
      <w:r>
        <w:rPr>
          <w:rFonts w:ascii="Arial" w:eastAsia="Arial" w:hAnsi="Arial" w:cs="Arial"/>
          <w:color w:val="000000"/>
          <w:sz w:val="20"/>
        </w:rPr>
        <w:t xml:space="preserve"> 532 F.3d 101, 107 (2d Cir. 2008).</w:t>
      </w:r>
      <w:bookmarkStart w:id="1011" w:name="Bookmark_LNHNREFclscc2_7"/>
      <w:bookmarkEnd w:id="1011"/>
      <w:r>
        <w:rPr>
          <w:rFonts w:ascii="Arial" w:eastAsia="Arial" w:hAnsi="Arial" w:cs="Arial"/>
          <w:color w:val="000000"/>
          <w:sz w:val="20"/>
        </w:rPr>
        <w:t xml:space="preserve"> Summary judgment is only warranted upon a showing "that there is no genuine issue as to any material fact and that the movant is entitled to judgment as a matter of law." Fed. R. Civ. P. 56(c).</w:t>
      </w:r>
    </w:p>
    <w:p w:rsidR="006E038D" w:rsidRDefault="00000000">
      <w:pPr>
        <w:pStyle w:val="Normal8"/>
        <w:widowControl w:val="0"/>
        <w:spacing w:before="200" w:line="260" w:lineRule="atLeast"/>
        <w:jc w:val="both"/>
      </w:pPr>
      <w:bookmarkStart w:id="1012" w:name="Bookmark_para_6_7"/>
      <w:bookmarkStart w:id="1013" w:name="Bookmark_I0BHTVMHSGW000G4504001JC"/>
      <w:bookmarkStart w:id="1014" w:name="Bookmark_I4VKTY5N0K1MNJ18F0000400"/>
      <w:bookmarkStart w:id="1015" w:name="Bookmark_I4VKTY5N0K1MNJ1970000400"/>
      <w:bookmarkStart w:id="1016" w:name="Bookmark_I4VKTY5N0K1MNJ1990000400"/>
      <w:bookmarkStart w:id="1017" w:name="Bookmark_LNHNREFclscc3_7"/>
      <w:bookmarkEnd w:id="1012"/>
      <w:bookmarkEnd w:id="1013"/>
      <w:bookmarkEnd w:id="1014"/>
      <w:bookmarkEnd w:id="1015"/>
      <w:bookmarkEnd w:id="1016"/>
      <w:bookmarkEnd w:id="1017"/>
      <w:r>
        <w:rPr>
          <w:rFonts w:ascii="Arial" w:eastAsia="Arial" w:hAnsi="Arial" w:cs="Arial"/>
          <w:color w:val="000000"/>
          <w:sz w:val="20"/>
        </w:rPr>
        <w:t xml:space="preserve">We examine claims of workplace discrimination, including claims brought under the ADA, according to the burden-shifting protocol  [**3] established in </w:t>
      </w:r>
      <w:bookmarkStart w:id="1018" w:name="Bookmark_I4VKTY5N0K1MNJ18D0000400"/>
      <w:bookmarkEnd w:id="1018"/>
      <w:r>
        <w:rPr>
          <w:rFonts w:ascii="Arial" w:eastAsia="Arial" w:hAnsi="Arial" w:cs="Arial"/>
          <w:i/>
          <w:color w:val="000000"/>
          <w:sz w:val="20"/>
        </w:rPr>
        <w:t>McDonnell Douglas Corp. v. Green,</w:t>
      </w:r>
      <w:r>
        <w:rPr>
          <w:rFonts w:ascii="Arial" w:eastAsia="Arial" w:hAnsi="Arial" w:cs="Arial"/>
          <w:color w:val="000000"/>
          <w:sz w:val="20"/>
        </w:rPr>
        <w:t xml:space="preserve"> 411 U.S. 792, 93 S. Ct. 1817, 36 L. Ed. 2d 668 (1973) (establishing a "burden-shifting" analysis for claims brought under Title VII of the Civil Rights Act of 1964). </w:t>
      </w:r>
      <w:r>
        <w:rPr>
          <w:rFonts w:ascii="Arial" w:eastAsia="Arial" w:hAnsi="Arial" w:cs="Arial"/>
          <w:i/>
          <w:color w:val="000000"/>
          <w:sz w:val="20"/>
        </w:rPr>
        <w:t xml:space="preserve">See, e.g., </w:t>
      </w:r>
      <w:bookmarkStart w:id="1019" w:name="Bookmark_I4VKTY5N0K1MNJ1960000400"/>
      <w:bookmarkEnd w:id="1019"/>
      <w:r>
        <w:rPr>
          <w:rFonts w:ascii="Arial" w:eastAsia="Arial" w:hAnsi="Arial" w:cs="Arial"/>
          <w:i/>
          <w:color w:val="000000"/>
          <w:sz w:val="20"/>
        </w:rPr>
        <w:t>Reg'l Econ. Cmty. Action Program v. City of Middletown,</w:t>
      </w:r>
      <w:r>
        <w:rPr>
          <w:rFonts w:ascii="Arial" w:eastAsia="Arial" w:hAnsi="Arial" w:cs="Arial"/>
          <w:color w:val="000000"/>
          <w:sz w:val="20"/>
        </w:rPr>
        <w:t xml:space="preserve"> 294 F.3d 35, 48-49 (2d Cir. 2002) (applying </w:t>
      </w:r>
      <w:r>
        <w:rPr>
          <w:rFonts w:ascii="Arial" w:eastAsia="Arial" w:hAnsi="Arial" w:cs="Arial"/>
          <w:i/>
          <w:color w:val="000000"/>
          <w:sz w:val="20"/>
        </w:rPr>
        <w:t>McDonnell Douglas</w:t>
      </w:r>
      <w:r>
        <w:rPr>
          <w:rFonts w:ascii="Arial" w:eastAsia="Arial" w:hAnsi="Arial" w:cs="Arial"/>
          <w:color w:val="000000"/>
          <w:sz w:val="20"/>
        </w:rPr>
        <w:t xml:space="preserve"> burden-shifting protocol to ADA claim). </w:t>
      </w:r>
      <w:r>
        <w:rPr>
          <w:rFonts w:ascii="Arial" w:eastAsia="Arial" w:hAnsi="Arial" w:cs="Arial"/>
          <w:i/>
          <w:color w:val="000000"/>
          <w:sz w:val="20"/>
        </w:rPr>
        <w:t>McDonnell Douglas</w:t>
      </w:r>
      <w:r>
        <w:rPr>
          <w:rFonts w:ascii="Arial" w:eastAsia="Arial" w:hAnsi="Arial" w:cs="Arial"/>
          <w:color w:val="000000"/>
          <w:sz w:val="20"/>
        </w:rPr>
        <w:t xml:space="preserve"> requires a plaintiff to produce some evidence showing the </w:t>
      </w:r>
      <w:r>
        <w:rPr>
          <w:rFonts w:ascii="Arial" w:eastAsia="Arial" w:hAnsi="Arial" w:cs="Arial"/>
          <w:i/>
          <w:color w:val="000000"/>
          <w:sz w:val="20"/>
        </w:rPr>
        <w:t>prima facie</w:t>
      </w:r>
      <w:r>
        <w:rPr>
          <w:rFonts w:ascii="Arial" w:eastAsia="Arial" w:hAnsi="Arial" w:cs="Arial"/>
          <w:color w:val="000000"/>
          <w:sz w:val="20"/>
        </w:rPr>
        <w:t xml:space="preserve"> elements of a discrimination claim, whereupon the "burden of production shifts to the employer to articulate some legitimate, nondiscriminatory reason for the termination." </w:t>
      </w:r>
      <w:bookmarkStart w:id="1020" w:name="Bookmark_I4VKTY5N0K1MNJ1980000400"/>
      <w:bookmarkEnd w:id="1020"/>
      <w:r>
        <w:rPr>
          <w:rFonts w:ascii="Arial" w:eastAsia="Arial" w:hAnsi="Arial" w:cs="Arial"/>
          <w:i/>
          <w:color w:val="000000"/>
          <w:sz w:val="20"/>
        </w:rPr>
        <w:t>Patterson v. County of Oneida,</w:t>
      </w:r>
      <w:r>
        <w:rPr>
          <w:rFonts w:ascii="Arial" w:eastAsia="Arial" w:hAnsi="Arial" w:cs="Arial"/>
          <w:color w:val="000000"/>
          <w:sz w:val="20"/>
        </w:rPr>
        <w:t xml:space="preserve"> 375 F.3d 206, 221 (2d Cir. 2004) (internal quotation marks omitted). If a defendant produces admissible evidence showing legitimate business reasons for terminating plaintiff, "the burden shifts back to the plaintiff to demonstrate by competent evidence that the legitimate reasons offered by the defendant were not its true reasons, but were a pretext for discrimination." </w:t>
      </w:r>
      <w:r>
        <w:rPr>
          <w:rFonts w:ascii="Arial" w:eastAsia="Arial" w:hAnsi="Arial" w:cs="Arial"/>
          <w:i/>
          <w:color w:val="000000"/>
          <w:sz w:val="20"/>
        </w:rPr>
        <w:t>Id.</w:t>
      </w:r>
      <w:r>
        <w:rPr>
          <w:rFonts w:ascii="Arial" w:eastAsia="Arial" w:hAnsi="Arial" w:cs="Arial"/>
          <w:color w:val="000000"/>
          <w:sz w:val="20"/>
        </w:rPr>
        <w:t xml:space="preserve"> (internal quotation marks omitted). Summary judgment is appropriate where "the plaintiff has failed to show that there is evidence that would permit a rational factfinder to infer  [**4] that the employer's proffered rationale is pretext." </w:t>
      </w:r>
      <w:r>
        <w:rPr>
          <w:rFonts w:ascii="Arial" w:eastAsia="Arial" w:hAnsi="Arial" w:cs="Arial"/>
          <w:i/>
          <w:color w:val="000000"/>
          <w:sz w:val="20"/>
        </w:rPr>
        <w:t>Id.</w:t>
      </w:r>
      <w:r>
        <w:rPr>
          <w:rFonts w:ascii="Arial" w:eastAsia="Arial" w:hAnsi="Arial" w:cs="Arial"/>
          <w:color w:val="000000"/>
          <w:sz w:val="20"/>
        </w:rPr>
        <w:t xml:space="preserve"> Of course, "[t]he ultimate burden of persuading the trier of fact that the defendant intentionally discriminated against the plaintiff remains at all times with the plaintiff." </w:t>
      </w:r>
      <w:r>
        <w:rPr>
          <w:rFonts w:ascii="Arial" w:eastAsia="Arial" w:hAnsi="Arial" w:cs="Arial"/>
          <w:i/>
          <w:color w:val="000000"/>
          <w:sz w:val="20"/>
        </w:rPr>
        <w:t>Id.</w:t>
      </w:r>
      <w:r>
        <w:rPr>
          <w:rFonts w:ascii="Arial" w:eastAsia="Arial" w:hAnsi="Arial" w:cs="Arial"/>
          <w:color w:val="000000"/>
          <w:sz w:val="20"/>
        </w:rPr>
        <w:t xml:space="preserve"> (internal quotation marks omitted).</w:t>
      </w:r>
    </w:p>
    <w:p w:rsidR="006E038D" w:rsidRDefault="00000000">
      <w:pPr>
        <w:pStyle w:val="Normal8"/>
        <w:widowControl w:val="0"/>
        <w:spacing w:before="200" w:line="260" w:lineRule="atLeast"/>
        <w:jc w:val="both"/>
      </w:pPr>
      <w:bookmarkStart w:id="1021" w:name="Bookmark_para_7_7"/>
      <w:bookmarkStart w:id="1022" w:name="Bookmark_I4VKTY5N0K1MNJ19X0000400"/>
      <w:bookmarkStart w:id="1023" w:name="Bookmark_I4VKTY5N0K1MNJ1B20000400"/>
      <w:bookmarkEnd w:id="1021"/>
      <w:bookmarkEnd w:id="1022"/>
      <w:bookmarkEnd w:id="1023"/>
      <w:r>
        <w:rPr>
          <w:rFonts w:ascii="Arial" w:eastAsia="Arial" w:hAnsi="Arial" w:cs="Arial"/>
          <w:color w:val="000000"/>
          <w:sz w:val="20"/>
        </w:rPr>
        <w:t xml:space="preserve">The District Court adopted a magistrate judge's recommendation that plaintiff had not shown that she was qualified [*544]  for the position she had previously held and therefore could not prove an element of a </w:t>
      </w:r>
      <w:r>
        <w:rPr>
          <w:rFonts w:ascii="Arial" w:eastAsia="Arial" w:hAnsi="Arial" w:cs="Arial"/>
          <w:i/>
          <w:color w:val="000000"/>
          <w:sz w:val="20"/>
        </w:rPr>
        <w:t>prima facie</w:t>
      </w:r>
      <w:r>
        <w:rPr>
          <w:rFonts w:ascii="Arial" w:eastAsia="Arial" w:hAnsi="Arial" w:cs="Arial"/>
          <w:color w:val="000000"/>
          <w:sz w:val="20"/>
        </w:rPr>
        <w:t xml:space="preserve"> claim of discrimination under the ADA. </w:t>
      </w:r>
      <w:r>
        <w:rPr>
          <w:rFonts w:ascii="Arial" w:eastAsia="Arial" w:hAnsi="Arial" w:cs="Arial"/>
          <w:i/>
          <w:color w:val="000000"/>
          <w:sz w:val="20"/>
        </w:rPr>
        <w:t xml:space="preserve">See </w:t>
      </w:r>
      <w:bookmarkStart w:id="1024" w:name="Bookmark_I4VKTY5N0K1MNJ19B0000400"/>
      <w:bookmarkEnd w:id="1024"/>
      <w:r>
        <w:rPr>
          <w:rFonts w:ascii="Arial" w:eastAsia="Arial" w:hAnsi="Arial" w:cs="Arial"/>
          <w:i/>
          <w:color w:val="000000"/>
          <w:sz w:val="20"/>
        </w:rPr>
        <w:t>Rambacher,</w:t>
      </w:r>
      <w:r>
        <w:rPr>
          <w:rFonts w:ascii="Arial" w:eastAsia="Arial" w:hAnsi="Arial" w:cs="Arial"/>
          <w:color w:val="000000"/>
          <w:sz w:val="20"/>
        </w:rPr>
        <w:t xml:space="preserve"> 2007 U.S. Dist. LEXIS 72836, at *1-2 ("[T]he Court adopts the proposed findings . . . that summary judgment was appropriate because there was insufficient evidence to show that the plaintiff was qualified to perform the duties of Computer Coordinator with or without reasonable accommodation."); </w:t>
      </w:r>
      <w:r>
        <w:rPr>
          <w:rFonts w:ascii="Arial" w:eastAsia="Arial" w:hAnsi="Arial" w:cs="Arial"/>
          <w:i/>
          <w:color w:val="000000"/>
          <w:sz w:val="20"/>
        </w:rPr>
        <w:t xml:space="preserve">see also </w:t>
      </w:r>
      <w:bookmarkStart w:id="1025" w:name="Bookmark_I4VKTY5N0K1MNJ19Y0000400"/>
      <w:bookmarkEnd w:id="1025"/>
      <w:r>
        <w:rPr>
          <w:rFonts w:ascii="Arial" w:eastAsia="Arial" w:hAnsi="Arial" w:cs="Arial"/>
          <w:i/>
          <w:color w:val="000000"/>
          <w:sz w:val="20"/>
        </w:rPr>
        <w:t>Shannon v. N.Y. City Transit Auth.,</w:t>
      </w:r>
      <w:r>
        <w:rPr>
          <w:rFonts w:ascii="Arial" w:eastAsia="Arial" w:hAnsi="Arial" w:cs="Arial"/>
          <w:color w:val="000000"/>
          <w:sz w:val="20"/>
        </w:rPr>
        <w:t xml:space="preserve"> 332 F.3d 95, 99 (2d Cir. 2003) (stating that </w:t>
      </w:r>
      <w:bookmarkStart w:id="1026" w:name="Bookmark_LNHNREFclscc4_7"/>
      <w:bookmarkEnd w:id="1026"/>
      <w:r>
        <w:rPr>
          <w:rFonts w:ascii="Arial" w:eastAsia="Arial" w:hAnsi="Arial" w:cs="Arial"/>
          <w:color w:val="000000"/>
          <w:sz w:val="20"/>
        </w:rPr>
        <w:t xml:space="preserve">the elements of a </w:t>
      </w:r>
      <w:r>
        <w:rPr>
          <w:rFonts w:ascii="Arial" w:eastAsia="Arial" w:hAnsi="Arial" w:cs="Arial"/>
          <w:i/>
          <w:color w:val="000000"/>
          <w:sz w:val="20"/>
        </w:rPr>
        <w:t>prima facie</w:t>
      </w:r>
      <w:r>
        <w:rPr>
          <w:rFonts w:ascii="Arial" w:eastAsia="Arial" w:hAnsi="Arial" w:cs="Arial"/>
          <w:color w:val="000000"/>
          <w:sz w:val="20"/>
        </w:rPr>
        <w:t xml:space="preserve"> claim under the ADA are "(1) [defendant] is subject to the ADA; (2) [plaintiff] was a person with a disability within the meaning of the ADA; (3) [plaintiff] was otherwise </w:t>
      </w:r>
      <w:r>
        <w:rPr>
          <w:rFonts w:ascii="Arial" w:eastAsia="Arial" w:hAnsi="Arial" w:cs="Arial"/>
          <w:i/>
          <w:color w:val="000000"/>
          <w:sz w:val="20"/>
        </w:rPr>
        <w:t>qualified to perform the essential functions of his job,</w:t>
      </w:r>
      <w:r>
        <w:rPr>
          <w:rFonts w:ascii="Arial" w:eastAsia="Arial" w:hAnsi="Arial" w:cs="Arial"/>
          <w:color w:val="000000"/>
          <w:sz w:val="20"/>
        </w:rPr>
        <w:t xml:space="preserve"> with or without  [**5] reasonable accommodation; and (4) [plaintiff] suffered adverse employment action because of [plaintiff's] disability" (emphasis added)). </w:t>
      </w:r>
      <w:r>
        <w:rPr>
          <w:rFonts w:ascii="Arial" w:eastAsia="Arial" w:hAnsi="Arial" w:cs="Arial"/>
          <w:vertAlign w:val="superscript"/>
        </w:rPr>
        <w:footnoteReference w:customMarkFollows="1" w:id="34"/>
        <w:t>1</w:t>
      </w:r>
      <w:r>
        <w:rPr>
          <w:rFonts w:ascii="Arial" w:eastAsia="Arial" w:hAnsi="Arial" w:cs="Arial"/>
          <w:color w:val="000000"/>
          <w:sz w:val="20"/>
        </w:rPr>
        <w:t xml:space="preserve"> We disagree. It is undisputed that, for several years prior to taking medical leave in June 1997, plaintiff held the position she was seeking again in June 1998--"Computer Coordinator." The following facts are also undisputed. In December 1997, plaintiff requested an extension of her medical leave until July 1, 1998. In February 1998, while plaintiff was on medical leave, plaintiff's treating psychiatrist wrote to the School District, stating, "It its my opinion that [plaintiff] is on the mend, and will be able to return to her regular duties (or equivalent) in a few months' time, as depression, even severe (as hers is), is treatable." A few months later, in June 1998, plaintiff contacted the School District, asked to be reinstated in her former position, and volunteered for a medical examination by a physician or psychiatrist of the defendants' choosing to prove her competency. The School District had previously approved plaintiff's medical leave "subject to the right of the District to obtain a further physical and/or psychological examination  [**6] of Ms. Rambacher prior to her either returning to work or extending her leave beyond that granted herein." However, for reasons that are unclear, the School District did not seek an examination of plaintiff. Under these circumstances, there is sufficient evidence in the record for the question of plaintiff's qualification for the job to be submitted to a jury. Summary judgment on this ground was therefore inappropriate.</w:t>
      </w:r>
    </w:p>
    <w:p w:rsidR="006E038D" w:rsidRDefault="00000000">
      <w:pPr>
        <w:pStyle w:val="Normal8"/>
        <w:widowControl w:val="0"/>
        <w:spacing w:before="200" w:line="260" w:lineRule="atLeast"/>
        <w:jc w:val="both"/>
      </w:pPr>
      <w:bookmarkStart w:id="1029" w:name="Bookmark_para_8_7"/>
      <w:bookmarkStart w:id="1030" w:name="Bookmark_I4VKTY5N0K1MNJ1BV0000400"/>
      <w:bookmarkEnd w:id="1029"/>
      <w:bookmarkEnd w:id="1030"/>
      <w:r>
        <w:rPr>
          <w:rFonts w:ascii="Arial" w:eastAsia="Arial" w:hAnsi="Arial" w:cs="Arial"/>
          <w:color w:val="000000"/>
          <w:sz w:val="20"/>
        </w:rPr>
        <w:t xml:space="preserve">Although the magistrate judge's recommendation to grant summary judgment was based solely on plaintiff's qualification for the position of Computer Coordinator, the District Court added two additional reasons for granting summary judgment. First, the District  [**7] Court concluded that "the undisputed evidence indicates that the Computer Coordinator position was no longer available as a result of a [School] District reorganization." </w:t>
      </w:r>
      <w:bookmarkStart w:id="1031" w:name="Bookmark_I4VKTY5N0K1MNJ1BT0000400"/>
      <w:bookmarkEnd w:id="1031"/>
      <w:r>
        <w:rPr>
          <w:rFonts w:ascii="Arial" w:eastAsia="Arial" w:hAnsi="Arial" w:cs="Arial"/>
          <w:i/>
          <w:color w:val="000000"/>
          <w:sz w:val="20"/>
        </w:rPr>
        <w:t>Rambacher,</w:t>
      </w:r>
      <w:r>
        <w:rPr>
          <w:rFonts w:ascii="Arial" w:eastAsia="Arial" w:hAnsi="Arial" w:cs="Arial"/>
          <w:color w:val="000000"/>
          <w:sz w:val="20"/>
        </w:rPr>
        <w:t xml:space="preserve"> 2007 U.S. Dist. LEXIS 72836, at *4. We disagree. After plaintiff requested extension of her medical leave in December 1997, the School District replied, through its attorneys, that "the Board is not able to keep Ms. Rambacher's former position open, and will almost certainly fill that position very shortly." In mid-June 1998, the School District informed plaintiff that "the administrative staff structure has been reorganized  [*545]  during [plaintiff's] absence, and as a result the position she held would not be available for her in the event she returned." However, the Superintendent of the School District stated in his affidavit that the position was only filled "effective February 1, 1998 through June 30, 1998." The Superintendent's affidavit goes on to state that plaintiff's replacement "was appointed Computer Coordinator . . . until June 30, 1998 because the plaintiff had then been absent for approximately seven and a half months and had also requested a further leave of absence until July 1, 1998." This evidence  [**8] suggests that plaintiff's position would have been available on July 1, 1998. Therefore, plaintiff has shown evidence in the record that would permit a jury to conclude that the School District's reason for not hiring plaintiff to her old position was pretextual.</w:t>
      </w:r>
    </w:p>
    <w:p w:rsidR="006E038D" w:rsidRDefault="00000000">
      <w:pPr>
        <w:pStyle w:val="Normal8"/>
        <w:widowControl w:val="0"/>
        <w:spacing w:before="200" w:line="260" w:lineRule="atLeast"/>
        <w:jc w:val="both"/>
      </w:pPr>
      <w:bookmarkStart w:id="1032" w:name="Bookmark_para_9_7"/>
      <w:bookmarkStart w:id="1033" w:name="Bookmark_I4VKTY5N0K1MNJ1BX0000400"/>
      <w:bookmarkStart w:id="1034" w:name="Bookmark_I4VKTY5N0K1MNJ1CP0000400"/>
      <w:bookmarkEnd w:id="1032"/>
      <w:bookmarkEnd w:id="1033"/>
      <w:bookmarkEnd w:id="1034"/>
      <w:r>
        <w:rPr>
          <w:rFonts w:ascii="Arial" w:eastAsia="Arial" w:hAnsi="Arial" w:cs="Arial"/>
          <w:color w:val="000000"/>
          <w:sz w:val="20"/>
        </w:rPr>
        <w:t xml:space="preserve">Second, the District Court concluded that because "plaintiff has not presented any evidence to support her contention that a position more suitable than the one offered (Library Aide) was vacant, summary judgment is appropriate on that ground as well." </w:t>
      </w:r>
      <w:r>
        <w:rPr>
          <w:rFonts w:ascii="Arial" w:eastAsia="Arial" w:hAnsi="Arial" w:cs="Arial"/>
          <w:vertAlign w:val="superscript"/>
        </w:rPr>
        <w:footnoteReference w:customMarkFollows="1" w:id="35"/>
        <w:t>2</w:t>
      </w:r>
      <w:r>
        <w:rPr>
          <w:rFonts w:ascii="Arial" w:eastAsia="Arial" w:hAnsi="Arial" w:cs="Arial"/>
          <w:color w:val="000000"/>
          <w:sz w:val="20"/>
        </w:rPr>
        <w:t xml:space="preserve"> </w:t>
      </w:r>
      <w:bookmarkStart w:id="1036" w:name="Bookmark_I4VKTY5N0K1MNJ1BW0000400"/>
      <w:bookmarkEnd w:id="1036"/>
      <w:r>
        <w:rPr>
          <w:rFonts w:ascii="Arial" w:eastAsia="Arial" w:hAnsi="Arial" w:cs="Arial"/>
          <w:i/>
          <w:color w:val="000000"/>
          <w:sz w:val="20"/>
        </w:rPr>
        <w:t>Rambacher,</w:t>
      </w:r>
      <w:r>
        <w:rPr>
          <w:rFonts w:ascii="Arial" w:eastAsia="Arial" w:hAnsi="Arial" w:cs="Arial"/>
          <w:color w:val="000000"/>
          <w:sz w:val="20"/>
        </w:rPr>
        <w:t xml:space="preserve"> 2007 U.S. Dist. LEXIS 72836, at *7. Here too, we disagree. Although </w:t>
      </w:r>
      <w:bookmarkStart w:id="1037" w:name="Bookmark_LNHNREFclscc5_7"/>
      <w:bookmarkEnd w:id="1037"/>
      <w:r>
        <w:rPr>
          <w:rFonts w:ascii="Arial" w:eastAsia="Arial" w:hAnsi="Arial" w:cs="Arial"/>
          <w:color w:val="000000"/>
          <w:sz w:val="20"/>
        </w:rPr>
        <w:t xml:space="preserve">reassignment to a vacant position may be considered a "reasonable accommodation" where a disabled employee's former position is no longer available, </w:t>
      </w:r>
      <w:bookmarkStart w:id="1038" w:name="Bookmark_I4VKTY5N0K1MNJ1BY0000400"/>
      <w:bookmarkEnd w:id="1038"/>
      <w:r>
        <w:rPr>
          <w:rFonts w:ascii="Arial" w:eastAsia="Arial" w:hAnsi="Arial" w:cs="Arial"/>
          <w:i/>
          <w:color w:val="000000"/>
          <w:sz w:val="20"/>
        </w:rPr>
        <w:t>Norville v. Staten Island Univ. Hosp.,</w:t>
      </w:r>
      <w:r>
        <w:rPr>
          <w:rFonts w:ascii="Arial" w:eastAsia="Arial" w:hAnsi="Arial" w:cs="Arial"/>
          <w:color w:val="000000"/>
          <w:sz w:val="20"/>
        </w:rPr>
        <w:t xml:space="preserve"> 196 F.3d 89, 99 (2d Cir. 1999), plaintiff has established a triable issue of fact as to whether her prior position was available when she attempted to return to work. Therefore, summary judgment on this ground was inappropriate.</w:t>
      </w:r>
    </w:p>
    <w:p w:rsidR="006E038D" w:rsidRDefault="00000000">
      <w:pPr>
        <w:pStyle w:val="Normal8"/>
        <w:widowControl w:val="0"/>
        <w:spacing w:before="200" w:line="260" w:lineRule="atLeast"/>
        <w:jc w:val="both"/>
      </w:pPr>
      <w:bookmarkStart w:id="1039" w:name="Bookmark_para_10_7"/>
      <w:bookmarkEnd w:id="1039"/>
      <w:r>
        <w:rPr>
          <w:rFonts w:ascii="Arial" w:eastAsia="Arial" w:hAnsi="Arial" w:cs="Arial"/>
          <w:color w:val="000000"/>
          <w:sz w:val="20"/>
        </w:rPr>
        <w:t xml:space="preserve">For the foregoing reasons, we </w:t>
      </w:r>
      <w:r>
        <w:rPr>
          <w:rFonts w:ascii="Arial" w:eastAsia="Arial" w:hAnsi="Arial" w:cs="Arial"/>
          <w:b/>
          <w:color w:val="000000"/>
          <w:sz w:val="20"/>
        </w:rPr>
        <w:t>VACATE</w:t>
      </w:r>
      <w:r>
        <w:rPr>
          <w:rFonts w:ascii="Arial" w:eastAsia="Arial" w:hAnsi="Arial" w:cs="Arial"/>
          <w:color w:val="000000"/>
          <w:sz w:val="20"/>
        </w:rPr>
        <w:t xml:space="preserve"> the judgment of the District Court and </w:t>
      </w:r>
      <w:r>
        <w:rPr>
          <w:rFonts w:ascii="Arial" w:eastAsia="Arial" w:hAnsi="Arial" w:cs="Arial"/>
          <w:b/>
          <w:color w:val="000000"/>
          <w:sz w:val="20"/>
        </w:rPr>
        <w:t>REMAND</w:t>
      </w:r>
      <w:r>
        <w:rPr>
          <w:rFonts w:ascii="Arial" w:eastAsia="Arial" w:hAnsi="Arial" w:cs="Arial"/>
          <w:color w:val="000000"/>
          <w:sz w:val="20"/>
        </w:rPr>
        <w:t xml:space="preserve"> for further proceedings consistent with this order.</w:t>
      </w:r>
    </w:p>
    <w:p w:rsidR="006E038D" w:rsidRDefault="006E038D">
      <w:pPr>
        <w:pStyle w:val="Normal8"/>
      </w:pPr>
    </w:p>
    <w:p w:rsidR="006E038D" w:rsidRDefault="00000000">
      <w:pPr>
        <w:pStyle w:val="Normal8"/>
        <w:ind w:left="200"/>
        <w:sectPr w:rsidR="006E038D">
          <w:type w:val="continuous"/>
          <w:pgSz w:w="12240" w:h="15840"/>
          <w:pgMar w:top="840" w:right="1000" w:bottom="840" w:left="1000" w:header="400" w:footer="400" w:gutter="0"/>
          <w:cols w:num="2" w:space="240"/>
        </w:sectPr>
      </w:pPr>
      <w:r>
        <w:br/>
      </w:r>
      <w:r w:rsidR="008C3211">
        <w:rPr>
          <w:noProof/>
        </w:rPr>
        <mc:AlternateContent>
          <mc:Choice Requires="wps">
            <w:drawing>
              <wp:anchor distT="0" distB="0" distL="114300" distR="114300" simplePos="0" relativeHeight="25167769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33485381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D98FD"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6E038D" w:rsidRDefault="006E038D">
      <w:pPr>
        <w:pStyle w:val="Normal9"/>
        <w:sectPr w:rsidR="006E038D">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gutter="0"/>
          <w:cols w:space="720"/>
          <w:titlePg/>
        </w:sectPr>
      </w:pPr>
    </w:p>
    <w:p w:rsidR="006E038D" w:rsidRDefault="006E038D">
      <w:pPr>
        <w:pStyle w:val="Normal9"/>
      </w:pPr>
    </w:p>
    <w:p w:rsidR="006E038D" w:rsidRDefault="00000000">
      <w:pPr>
        <w:pStyle w:val="Heading18"/>
        <w:keepNext w:val="0"/>
        <w:widowControl w:val="0"/>
        <w:spacing w:after="200" w:line="340" w:lineRule="atLeast"/>
        <w:jc w:val="center"/>
      </w:pPr>
      <w:r>
        <w:rPr>
          <w:rFonts w:eastAsia="Arial"/>
          <w:color w:val="000000"/>
          <w:sz w:val="28"/>
        </w:rPr>
        <w:t>EEOC v. Agro Distrib. LLC</w:t>
      </w:r>
    </w:p>
    <w:p w:rsidR="006E038D" w:rsidRDefault="00000000">
      <w:pPr>
        <w:pStyle w:val="Normal9"/>
        <w:widowControl w:val="0"/>
        <w:spacing w:before="120" w:line="260" w:lineRule="atLeast"/>
        <w:jc w:val="center"/>
      </w:pPr>
      <w:r>
        <w:rPr>
          <w:rFonts w:ascii="Arial" w:eastAsia="Arial" w:hAnsi="Arial" w:cs="Arial"/>
          <w:color w:val="000000"/>
          <w:sz w:val="20"/>
        </w:rPr>
        <w:t>United States Court of Appeals for the Fifth Circuit</w:t>
      </w:r>
    </w:p>
    <w:p w:rsidR="006E038D" w:rsidRDefault="00000000">
      <w:pPr>
        <w:pStyle w:val="Normal9"/>
        <w:widowControl w:val="0"/>
        <w:spacing w:before="120" w:line="260" w:lineRule="atLeast"/>
        <w:jc w:val="center"/>
      </w:pPr>
      <w:r>
        <w:rPr>
          <w:rFonts w:ascii="Arial" w:eastAsia="Arial" w:hAnsi="Arial" w:cs="Arial"/>
          <w:color w:val="000000"/>
          <w:sz w:val="20"/>
        </w:rPr>
        <w:t>January 15, 2009, Filed</w:t>
      </w:r>
    </w:p>
    <w:p w:rsidR="006E038D" w:rsidRDefault="00000000">
      <w:pPr>
        <w:pStyle w:val="Normal9"/>
        <w:widowControl w:val="0"/>
        <w:spacing w:before="120" w:line="260" w:lineRule="atLeast"/>
        <w:jc w:val="center"/>
        <w:sectPr w:rsidR="006E038D">
          <w:type w:val="continuous"/>
          <w:pgSz w:w="12240" w:h="15840"/>
          <w:pgMar w:top="840" w:right="1000" w:bottom="840" w:left="1000" w:header="400" w:footer="400" w:gutter="0"/>
          <w:cols w:space="240"/>
        </w:sectPr>
      </w:pPr>
      <w:r>
        <w:rPr>
          <w:rFonts w:ascii="Arial" w:eastAsia="Arial" w:hAnsi="Arial" w:cs="Arial"/>
          <w:color w:val="000000"/>
          <w:sz w:val="20"/>
        </w:rPr>
        <w:t>No. 07-60447</w:t>
      </w:r>
    </w:p>
    <w:p w:rsidR="006E038D" w:rsidRDefault="006E038D">
      <w:pPr>
        <w:pStyle w:val="Normal9"/>
        <w:widowControl w:val="0"/>
        <w:spacing w:line="240" w:lineRule="atLeast"/>
        <w:jc w:val="both"/>
      </w:pPr>
      <w:bookmarkStart w:id="1040" w:name="Bookmark_10"/>
      <w:bookmarkEnd w:id="1040"/>
    </w:p>
    <w:p w:rsidR="006E038D" w:rsidRDefault="00000000">
      <w:pPr>
        <w:pStyle w:val="Normal9"/>
        <w:widowControl w:val="0"/>
        <w:spacing w:before="200" w:line="240" w:lineRule="atLeast"/>
      </w:pPr>
      <w:bookmarkStart w:id="1041" w:name="Reporter_8"/>
      <w:bookmarkEnd w:id="1041"/>
      <w:r>
        <w:rPr>
          <w:rFonts w:ascii="Arial" w:eastAsia="Arial" w:hAnsi="Arial" w:cs="Arial"/>
          <w:b/>
          <w:color w:val="000000"/>
          <w:sz w:val="18"/>
        </w:rPr>
        <w:t>Reporter</w:t>
      </w:r>
    </w:p>
    <w:p w:rsidR="006E038D" w:rsidRDefault="00000000">
      <w:pPr>
        <w:pStyle w:val="Normal9"/>
        <w:widowControl w:val="0"/>
        <w:spacing w:line="240" w:lineRule="atLeast"/>
        <w:sectPr w:rsidR="006E038D">
          <w:type w:val="continuous"/>
          <w:pgSz w:w="12240" w:h="15840"/>
          <w:pgMar w:top="840" w:right="1000" w:bottom="840" w:left="1000" w:header="400" w:footer="400" w:gutter="0"/>
          <w:cols w:space="240"/>
        </w:sectPr>
      </w:pPr>
      <w:r>
        <w:rPr>
          <w:rFonts w:ascii="Arial" w:eastAsia="Arial" w:hAnsi="Arial" w:cs="Arial"/>
          <w:color w:val="000000"/>
          <w:sz w:val="18"/>
        </w:rPr>
        <w:t>555 F.3d 462 *; 2009 U.S. App. LEXIS 959 **; 21 Am. Disabilities Cas. (BNA) 788; 13 Accom. Disabilities Dec. (CCH) P13-195</w:t>
      </w:r>
    </w:p>
    <w:p w:rsidR="006E038D" w:rsidRDefault="00000000">
      <w:pPr>
        <w:pStyle w:val="Normal9"/>
        <w:widowControl w:val="0"/>
        <w:spacing w:before="120" w:line="260" w:lineRule="atLeast"/>
      </w:pPr>
      <w:r>
        <w:rPr>
          <w:rFonts w:ascii="Arial" w:eastAsia="Arial" w:hAnsi="Arial" w:cs="Arial"/>
          <w:color w:val="000000"/>
          <w:sz w:val="20"/>
        </w:rPr>
        <w:t>EQUAL EMPLOYMENT OPPORTUNITY COMMISSION, Plaintiff-Appellant v. AGRO DISTRIBUTION LLC, Defendant-Appellee</w:t>
      </w:r>
    </w:p>
    <w:p w:rsidR="006E038D" w:rsidRDefault="00000000">
      <w:pPr>
        <w:pStyle w:val="Normal9"/>
        <w:widowControl w:val="0"/>
        <w:spacing w:before="240" w:line="260" w:lineRule="atLeast"/>
        <w:jc w:val="both"/>
      </w:pPr>
      <w:bookmarkStart w:id="1042" w:name="Prior_History_8"/>
      <w:bookmarkEnd w:id="1042"/>
      <w:r>
        <w:rPr>
          <w:rFonts w:ascii="Arial" w:eastAsia="Arial" w:hAnsi="Arial" w:cs="Arial"/>
          <w:b/>
          <w:color w:val="000000"/>
          <w:sz w:val="20"/>
        </w:rPr>
        <w:t>Prior History:</w:t>
      </w:r>
      <w:r>
        <w:rPr>
          <w:rFonts w:ascii="Arial" w:eastAsia="Arial" w:hAnsi="Arial" w:cs="Arial"/>
          <w:color w:val="000000"/>
          <w:sz w:val="20"/>
        </w:rPr>
        <w:t>  [**1] </w:t>
      </w:r>
      <w:bookmarkStart w:id="1043" w:name="Bookmark_para_1_8"/>
      <w:bookmarkEnd w:id="1043"/>
      <w:r>
        <w:rPr>
          <w:rFonts w:ascii="Arial" w:eastAsia="Arial" w:hAnsi="Arial" w:cs="Arial"/>
          <w:color w:val="000000"/>
          <w:sz w:val="20"/>
        </w:rPr>
        <w:t>Appeal from the United States District Court for the Southern District of Mississippi.</w:t>
      </w:r>
    </w:p>
    <w:p w:rsidR="006E038D" w:rsidRDefault="00000000">
      <w:pPr>
        <w:pStyle w:val="Normal9"/>
        <w:widowControl w:val="0"/>
        <w:spacing w:before="120" w:line="260" w:lineRule="atLeast"/>
      </w:pPr>
      <w:r>
        <w:rPr>
          <w:rFonts w:ascii="Arial" w:eastAsia="Arial" w:hAnsi="Arial" w:cs="Arial"/>
          <w:color w:val="000000"/>
          <w:sz w:val="20"/>
        </w:rPr>
        <w:t>EEOC v. Agro Distrib., 2007 U.S. Dist. LEXIS 24583 (S.D. Miss., Mar. 29, 2007)</w:t>
      </w:r>
    </w:p>
    <w:p w:rsidR="006E038D" w:rsidRDefault="00000000">
      <w:pPr>
        <w:pStyle w:val="Normal9"/>
        <w:widowControl w:val="0"/>
        <w:spacing w:before="120" w:line="260" w:lineRule="atLeast"/>
      </w:pPr>
      <w:r>
        <w:rPr>
          <w:rFonts w:ascii="Arial" w:eastAsia="Arial" w:hAnsi="Arial" w:cs="Arial"/>
          <w:color w:val="000000"/>
          <w:sz w:val="20"/>
        </w:rPr>
        <w:t>EEOC v. Agro Distribs., LLC, 442 F. Supp. 2d 357, 2006 U.S. Dist. LEXIS 52227 (S.D. Miss., 2006)</w:t>
      </w:r>
    </w:p>
    <w:p w:rsidR="006E038D" w:rsidRDefault="00000000">
      <w:pPr>
        <w:pStyle w:val="Normal9"/>
        <w:widowControl w:val="0"/>
        <w:spacing w:before="240" w:line="260" w:lineRule="atLeast"/>
      </w:pPr>
      <w:bookmarkStart w:id="1044" w:name="Counsel_8"/>
      <w:bookmarkEnd w:id="1044"/>
      <w:r>
        <w:rPr>
          <w:rFonts w:ascii="Arial" w:eastAsia="Arial" w:hAnsi="Arial" w:cs="Arial"/>
          <w:b/>
          <w:color w:val="000000"/>
          <w:sz w:val="20"/>
        </w:rPr>
        <w:t>Counsel:</w:t>
      </w:r>
      <w:r>
        <w:rPr>
          <w:rFonts w:ascii="Arial" w:eastAsia="Arial" w:hAnsi="Arial" w:cs="Arial"/>
          <w:color w:val="000000"/>
          <w:sz w:val="20"/>
        </w:rPr>
        <w:t> For EQUAL EMPLOYMENT OPPORTUNITY COMMISSION, Plaintiff - Appellant: Elizabeth Ellen Theran, US Equal Employment Opportunity Commission, Washington, DC.</w:t>
      </w:r>
    </w:p>
    <w:p w:rsidR="006E038D" w:rsidRDefault="00000000">
      <w:pPr>
        <w:pStyle w:val="Normal9"/>
        <w:widowControl w:val="0"/>
        <w:spacing w:before="120" w:line="260" w:lineRule="atLeast"/>
      </w:pPr>
      <w:r>
        <w:rPr>
          <w:rFonts w:ascii="Arial" w:eastAsia="Arial" w:hAnsi="Arial" w:cs="Arial"/>
          <w:color w:val="000000"/>
          <w:sz w:val="20"/>
        </w:rPr>
        <w:t>For AGRO DISTRIBUTION LLC, Defendant - Appellee: Herbert C Ehrhardt, Bethany Brantley Johnson, Ashley Eley Cannady, Ogletree Deakins, Ridgeland, MS.</w:t>
      </w:r>
    </w:p>
    <w:p w:rsidR="006E038D" w:rsidRDefault="00000000">
      <w:pPr>
        <w:pStyle w:val="Normal9"/>
        <w:widowControl w:val="0"/>
        <w:spacing w:before="120" w:line="260" w:lineRule="atLeast"/>
      </w:pPr>
      <w:r>
        <w:rPr>
          <w:rFonts w:ascii="Arial" w:eastAsia="Arial" w:hAnsi="Arial" w:cs="Arial"/>
          <w:color w:val="000000"/>
          <w:sz w:val="20"/>
        </w:rPr>
        <w:t>For EQUAL EMPLOYMENT ADVISORY COUNCIL, Amicus Curiae: Rae Thiesfield Vann, Norris, Tysse, Lampley &amp; Lakis LLP, Washington, DC.</w:t>
      </w:r>
    </w:p>
    <w:p w:rsidR="006E038D" w:rsidRDefault="00000000">
      <w:pPr>
        <w:pStyle w:val="Normal9"/>
        <w:widowControl w:val="0"/>
        <w:spacing w:before="240" w:line="260" w:lineRule="atLeast"/>
      </w:pPr>
      <w:bookmarkStart w:id="1045" w:name="Judges_8"/>
      <w:bookmarkEnd w:id="1045"/>
      <w:r>
        <w:rPr>
          <w:rFonts w:ascii="Arial" w:eastAsia="Arial" w:hAnsi="Arial" w:cs="Arial"/>
          <w:b/>
          <w:color w:val="000000"/>
          <w:sz w:val="20"/>
        </w:rPr>
        <w:t>Judges:</w:t>
      </w:r>
      <w:r>
        <w:rPr>
          <w:rFonts w:ascii="Arial" w:eastAsia="Arial" w:hAnsi="Arial" w:cs="Arial"/>
          <w:color w:val="000000"/>
          <w:sz w:val="20"/>
        </w:rPr>
        <w:t> Before JONES, Chief Judge, and GARWOOD and SMITH, Circuit Judges.</w:t>
      </w:r>
    </w:p>
    <w:p w:rsidR="006E038D" w:rsidRDefault="00000000">
      <w:pPr>
        <w:pStyle w:val="Normal9"/>
        <w:widowControl w:val="0"/>
        <w:spacing w:before="240" w:line="260" w:lineRule="atLeast"/>
      </w:pPr>
      <w:bookmarkStart w:id="1046" w:name="Opinion_by_5"/>
      <w:bookmarkEnd w:id="1046"/>
      <w:r>
        <w:rPr>
          <w:rFonts w:ascii="Arial" w:eastAsia="Arial" w:hAnsi="Arial" w:cs="Arial"/>
          <w:b/>
          <w:color w:val="000000"/>
          <w:sz w:val="20"/>
        </w:rPr>
        <w:t>Opinion by:</w:t>
      </w:r>
      <w:r>
        <w:rPr>
          <w:rFonts w:ascii="Arial" w:eastAsia="Arial" w:hAnsi="Arial" w:cs="Arial"/>
          <w:color w:val="000000"/>
          <w:sz w:val="20"/>
        </w:rPr>
        <w:t> EDITH H. JONES</w:t>
      </w:r>
    </w:p>
    <w:p w:rsidR="006E038D" w:rsidRDefault="00000000">
      <w:pPr>
        <w:pStyle w:val="Normal9"/>
        <w:keepNext/>
        <w:widowControl w:val="0"/>
        <w:spacing w:before="240" w:line="340" w:lineRule="atLeast"/>
      </w:pPr>
      <w:bookmarkStart w:id="1047" w:name="Opinion_8"/>
      <w:bookmarkEnd w:id="1047"/>
      <w:r>
        <w:rPr>
          <w:rFonts w:ascii="Arial" w:eastAsia="Arial" w:hAnsi="Arial" w:cs="Arial"/>
          <w:b/>
          <w:color w:val="000000"/>
          <w:sz w:val="28"/>
        </w:rPr>
        <w:t>Opinion</w:t>
      </w:r>
    </w:p>
    <w:p w:rsidR="006E038D" w:rsidRDefault="008C3211">
      <w:pPr>
        <w:pStyle w:val="Normal9"/>
        <w:spacing w:line="60" w:lineRule="exact"/>
      </w:pPr>
      <w:r>
        <w:rPr>
          <w:noProof/>
        </w:rPr>
        <mc:AlternateContent>
          <mc:Choice Requires="wps">
            <w:drawing>
              <wp:anchor distT="0" distB="0" distL="114300" distR="114300" simplePos="0" relativeHeight="25167872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618698533"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68D848" id="Line 2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6E038D" w:rsidRDefault="006E038D">
      <w:pPr>
        <w:pStyle w:val="Normal9"/>
      </w:pPr>
    </w:p>
    <w:p w:rsidR="006E038D" w:rsidRDefault="00000000">
      <w:pPr>
        <w:pStyle w:val="Normal9"/>
        <w:widowControl w:val="0"/>
        <w:spacing w:before="200" w:line="260" w:lineRule="atLeast"/>
        <w:jc w:val="both"/>
      </w:pPr>
      <w:bookmarkStart w:id="1048" w:name="Bookmark_para_2_8"/>
      <w:bookmarkEnd w:id="1048"/>
      <w:r>
        <w:rPr>
          <w:rFonts w:ascii="Arial" w:eastAsia="Arial" w:hAnsi="Arial" w:cs="Arial"/>
          <w:color w:val="000000"/>
          <w:sz w:val="20"/>
        </w:rPr>
        <w:t> [*465]  EDITH H. JONES, Chief Judge:</w:t>
      </w:r>
    </w:p>
    <w:p w:rsidR="006E038D" w:rsidRDefault="00000000">
      <w:pPr>
        <w:pStyle w:val="Normal9"/>
        <w:widowControl w:val="0"/>
        <w:spacing w:before="200" w:line="260" w:lineRule="atLeast"/>
        <w:jc w:val="both"/>
      </w:pPr>
      <w:bookmarkStart w:id="1049" w:name="Bookmark_para_3_8"/>
      <w:bookmarkEnd w:id="1049"/>
      <w:r>
        <w:rPr>
          <w:rFonts w:ascii="Arial" w:eastAsia="Arial" w:hAnsi="Arial" w:cs="Arial"/>
          <w:color w:val="000000"/>
          <w:sz w:val="20"/>
        </w:rPr>
        <w:t>The Equal Employment Opportunity Commission brought suit against Agro Distribution, LLC ("Agro") for violating the Americans with Disabilities Act ("ADA") by failing to provide a reasonable accommodation to Henry Velez ("Velez") and by terminating his employment on the basis of his disability. The district court dismissed the suit and awarded approximately $ 225,000 attorneys' fees and costs to the defendant. The EEOC appeals this dismissal and award. Because Velez is not disabled within the meaning of the ADA, Agro did not refuse to provide reasonable accommodation, and this  [**2] suit lacked foundation following Velez's deposition, we AFFIRM.</w:t>
      </w:r>
    </w:p>
    <w:p w:rsidR="006E038D" w:rsidRDefault="00000000">
      <w:pPr>
        <w:pStyle w:val="Normal9"/>
        <w:widowControl w:val="0"/>
        <w:spacing w:before="240" w:line="260" w:lineRule="atLeast"/>
      </w:pPr>
      <w:r>
        <w:br/>
      </w:r>
      <w:r>
        <w:rPr>
          <w:rFonts w:ascii="Arial" w:eastAsia="Arial" w:hAnsi="Arial" w:cs="Arial"/>
          <w:b/>
          <w:color w:val="000000"/>
          <w:sz w:val="20"/>
        </w:rPr>
        <w:t>I. BACKGROUND</w:t>
      </w:r>
    </w:p>
    <w:p w:rsidR="006E038D" w:rsidRDefault="00000000">
      <w:pPr>
        <w:pStyle w:val="Normal9"/>
        <w:widowControl w:val="0"/>
        <w:spacing w:before="200" w:line="260" w:lineRule="atLeast"/>
        <w:jc w:val="both"/>
      </w:pPr>
      <w:bookmarkStart w:id="1050" w:name="Bookmark_para_4_8"/>
      <w:bookmarkEnd w:id="1050"/>
      <w:r>
        <w:rPr>
          <w:rFonts w:ascii="Arial" w:eastAsia="Arial" w:hAnsi="Arial" w:cs="Arial"/>
          <w:color w:val="000000"/>
          <w:sz w:val="20"/>
        </w:rPr>
        <w:t xml:space="preserve">Henry Velez testified that he suffers from a medical condition called anhidrotic ectodermal dysplasia, a condition that may be accompanied by an absence of sweat glands. Velez was born with this condition and has never sweated. </w:t>
      </w:r>
      <w:r>
        <w:rPr>
          <w:rFonts w:ascii="Arial" w:eastAsia="Arial" w:hAnsi="Arial" w:cs="Arial"/>
          <w:vertAlign w:val="superscript"/>
        </w:rPr>
        <w:footnoteReference w:customMarkFollows="1" w:id="36"/>
        <w:t>1</w:t>
      </w:r>
      <w:r>
        <w:rPr>
          <w:rFonts w:ascii="Arial" w:eastAsia="Arial" w:hAnsi="Arial" w:cs="Arial"/>
          <w:color w:val="000000"/>
          <w:sz w:val="20"/>
        </w:rPr>
        <w:t xml:space="preserve"> Being unable to perspire, in hot weather, he must cool himself with water or a fan more frequently than the average individual.</w:t>
      </w:r>
    </w:p>
    <w:p w:rsidR="006E038D" w:rsidRDefault="00000000">
      <w:pPr>
        <w:pStyle w:val="Normal9"/>
        <w:widowControl w:val="0"/>
        <w:spacing w:before="200" w:line="260" w:lineRule="atLeast"/>
        <w:jc w:val="both"/>
      </w:pPr>
      <w:bookmarkStart w:id="1052" w:name="Bookmark_para_5_8"/>
      <w:bookmarkEnd w:id="1052"/>
      <w:r>
        <w:rPr>
          <w:rFonts w:ascii="Arial" w:eastAsia="Arial" w:hAnsi="Arial" w:cs="Arial"/>
          <w:color w:val="000000"/>
          <w:sz w:val="20"/>
        </w:rPr>
        <w:t>Despite this condition, Velez has worked at manual labor in Mississippi and Louisiana for his entire life. He worked at an un-air-conditioned body shop; his duties included manually removing car parts and  [*466]  straightening them and welding while wearing gloves and a hood. While employed on offshore rigs in the Gulf of Mexico, Velez was assigned 12-hour shifts  [**3] of manual labor. In another position, Velez cleaned diesel engines while wearing a solid rubber "wetsuit." If he became too hot during these jobs, Velez would take a break, cool off, and return to work.</w:t>
      </w:r>
    </w:p>
    <w:p w:rsidR="006E038D" w:rsidRDefault="00000000">
      <w:pPr>
        <w:pStyle w:val="Normal9"/>
        <w:widowControl w:val="0"/>
        <w:spacing w:before="200" w:line="260" w:lineRule="atLeast"/>
        <w:jc w:val="both"/>
      </w:pPr>
      <w:bookmarkStart w:id="1053" w:name="Bookmark_para_6_8"/>
      <w:bookmarkEnd w:id="1053"/>
      <w:r>
        <w:rPr>
          <w:rFonts w:ascii="Arial" w:eastAsia="Arial" w:hAnsi="Arial" w:cs="Arial"/>
          <w:color w:val="000000"/>
          <w:sz w:val="20"/>
        </w:rPr>
        <w:t>Eventually, Velez was hired at Agro Distribution's Hattiesburg facility as a truck driver in February 2000. He stopped working for Agro in April but returned to his position as a truck driver in March 2001. His duties included assisting with manual labor. Wesley Graham, the location manager who hired Velez, testified that everyone knew of Velez's condition and knew that Velez needed to take breaks to cool off. When working for Agro, Velez took breaks as he needed them without requesting permission--no one at Agro ever told him that he could not take a break.</w:t>
      </w:r>
    </w:p>
    <w:p w:rsidR="006E038D" w:rsidRDefault="00000000">
      <w:pPr>
        <w:pStyle w:val="Normal9"/>
        <w:widowControl w:val="0"/>
        <w:spacing w:before="200" w:line="260" w:lineRule="atLeast"/>
        <w:jc w:val="both"/>
      </w:pPr>
      <w:bookmarkStart w:id="1054" w:name="Bookmark_para_7_8"/>
      <w:bookmarkEnd w:id="1054"/>
      <w:r>
        <w:rPr>
          <w:rFonts w:ascii="Arial" w:eastAsia="Arial" w:hAnsi="Arial" w:cs="Arial"/>
          <w:color w:val="000000"/>
          <w:sz w:val="20"/>
        </w:rPr>
        <w:t>On July 15, 2002, Will Griffin, who replaced Graham as facility manager, scheduled all non-office personnel to load barrels on a trailer at 6:00 a.m. the next morning. Agro would receive drums full of cattle feed, deliver them to customers, pick them up empty, and return them to manufacturers for a deposit refund. When empty, the barrels weigh between 15 and 20 pounds. After being used to feed cattle, the barrels are filthy and smelly--loading  [**4] them is an unpleasant task.</w:t>
      </w:r>
    </w:p>
    <w:p w:rsidR="006E038D" w:rsidRDefault="00000000">
      <w:pPr>
        <w:pStyle w:val="Normal9"/>
        <w:widowControl w:val="0"/>
        <w:spacing w:before="200" w:line="260" w:lineRule="atLeast"/>
        <w:jc w:val="both"/>
      </w:pPr>
      <w:bookmarkStart w:id="1055" w:name="Bookmark_para_8_8"/>
      <w:bookmarkEnd w:id="1055"/>
      <w:r>
        <w:rPr>
          <w:rFonts w:ascii="Arial" w:eastAsia="Arial" w:hAnsi="Arial" w:cs="Arial"/>
          <w:color w:val="000000"/>
          <w:sz w:val="20"/>
        </w:rPr>
        <w:t>On two previous occasions, Velez and another individual had loaded barrels. Velez testified that the second time they loaded the barrels, it was the last stop in the afternoon, and they rushed to get through the task, so he became nauseated.</w:t>
      </w:r>
    </w:p>
    <w:p w:rsidR="006E038D" w:rsidRDefault="00000000">
      <w:pPr>
        <w:pStyle w:val="Normal9"/>
        <w:widowControl w:val="0"/>
        <w:spacing w:before="200" w:line="260" w:lineRule="atLeast"/>
        <w:jc w:val="both"/>
      </w:pPr>
      <w:bookmarkStart w:id="1056" w:name="Bookmark_para_9_8"/>
      <w:bookmarkEnd w:id="1056"/>
      <w:r>
        <w:rPr>
          <w:rFonts w:ascii="Arial" w:eastAsia="Arial" w:hAnsi="Arial" w:cs="Arial"/>
          <w:color w:val="000000"/>
          <w:sz w:val="20"/>
        </w:rPr>
        <w:t xml:space="preserve">Velez spoke with Griffin and informed him that he could not load the barrels in the morning because it would be too hot and he would get sick. </w:t>
      </w:r>
      <w:r>
        <w:rPr>
          <w:rFonts w:ascii="Arial" w:eastAsia="Arial" w:hAnsi="Arial" w:cs="Arial"/>
          <w:vertAlign w:val="superscript"/>
        </w:rPr>
        <w:footnoteReference w:customMarkFollows="1" w:id="37"/>
        <w:t>2</w:t>
      </w:r>
      <w:r>
        <w:rPr>
          <w:rFonts w:ascii="Arial" w:eastAsia="Arial" w:hAnsi="Arial" w:cs="Arial"/>
          <w:color w:val="000000"/>
          <w:sz w:val="20"/>
        </w:rPr>
        <w:t xml:space="preserve"> Griffin told Velez that if he did not participate in loading the drums, he would "suffer the consequences." Griffin did not tell Velez that he could not take breaks, and Griffin did not tell Velez that he had to participate non-stop, only that Velez had to be present to help. When Velez did not show up to assist with the loading, Agro terminated him.</w:t>
      </w:r>
    </w:p>
    <w:p w:rsidR="006E038D" w:rsidRDefault="00000000">
      <w:pPr>
        <w:pStyle w:val="Normal9"/>
        <w:widowControl w:val="0"/>
        <w:spacing w:before="200" w:line="260" w:lineRule="atLeast"/>
        <w:jc w:val="both"/>
      </w:pPr>
      <w:bookmarkStart w:id="1059" w:name="Bookmark_para_10_8"/>
      <w:bookmarkEnd w:id="1059"/>
      <w:r>
        <w:rPr>
          <w:rFonts w:ascii="Arial" w:eastAsia="Arial" w:hAnsi="Arial" w:cs="Arial"/>
          <w:color w:val="000000"/>
          <w:sz w:val="20"/>
        </w:rPr>
        <w:t>Velez filed a charge with the EEOC on July 19, 2002. By January  [**5] 2003, before investigating beyond speaking with Velez and Graham, the EEOC classified the charge as "A2." Ben Bradley, the EEOC Area Director for the Jackson Office, explained in his deposition that this means the Commission was "leaning towards a cause determination" and "[the EEOC] probably could either mediate or [the EEOC] could put a cause out there."</w:t>
      </w:r>
    </w:p>
    <w:p w:rsidR="006E038D" w:rsidRDefault="00000000">
      <w:pPr>
        <w:pStyle w:val="Normal9"/>
        <w:widowControl w:val="0"/>
        <w:spacing w:before="200" w:line="260" w:lineRule="atLeast"/>
        <w:jc w:val="both"/>
      </w:pPr>
      <w:bookmarkStart w:id="1060" w:name="Bookmark_para_11_6"/>
      <w:bookmarkEnd w:id="1060"/>
      <w:r>
        <w:rPr>
          <w:rFonts w:ascii="Arial" w:eastAsia="Arial" w:hAnsi="Arial" w:cs="Arial"/>
          <w:color w:val="000000"/>
          <w:sz w:val="20"/>
        </w:rPr>
        <w:t>LaOuida Small, an EEOC Investigator, performed an on-site investigation on May 22, 2003. The next day, Herbert Ehrhardt, Agro's attorney, mailed a letter to the EEOC expressing concern about Small's investigation. Ehrhardt reported that she made insulting remarks during interviews; indicated disgust for the statements of management witnesses; raised her voice; rephrased witnesses' statements to favor the charge; and selectively recorded portions of the statements. The EEOC never responded to this letter and left Small in charge of the investigation.</w:t>
      </w:r>
    </w:p>
    <w:p w:rsidR="006E038D" w:rsidRDefault="00000000">
      <w:pPr>
        <w:pStyle w:val="Normal9"/>
        <w:widowControl w:val="0"/>
        <w:spacing w:before="200" w:line="260" w:lineRule="atLeast"/>
        <w:jc w:val="both"/>
      </w:pPr>
      <w:bookmarkStart w:id="1061" w:name="Bookmark_para_12_6"/>
      <w:bookmarkEnd w:id="1061"/>
      <w:r>
        <w:rPr>
          <w:rFonts w:ascii="Arial" w:eastAsia="Arial" w:hAnsi="Arial" w:cs="Arial"/>
          <w:color w:val="000000"/>
          <w:sz w:val="20"/>
        </w:rPr>
        <w:t xml:space="preserve"> [*467]  On June 17, Small sent a letter to Agro summarizing the evidence obtained. The letter includes factual inaccuracies, including statements that the work was performed on July 15, 2002; that the temperature exceeded 85 degrees; </w:t>
      </w:r>
      <w:r>
        <w:rPr>
          <w:rFonts w:ascii="Arial" w:eastAsia="Arial" w:hAnsi="Arial" w:cs="Arial"/>
          <w:vertAlign w:val="superscript"/>
        </w:rPr>
        <w:footnoteReference w:customMarkFollows="1" w:id="38"/>
        <w:t>3</w:t>
      </w:r>
      <w:r>
        <w:rPr>
          <w:rFonts w:ascii="Arial" w:eastAsia="Arial" w:hAnsi="Arial" w:cs="Arial"/>
          <w:color w:val="000000"/>
          <w:sz w:val="20"/>
        </w:rPr>
        <w:t xml:space="preserve"> and that Agro made "no effort" to accommodate Velez. Agro responded  [**6] to the letter on July 3, noting these errors and explaining that Velez "routinely performed manual labor in heat far worse than what was expected to accompany this assignment." </w:t>
      </w:r>
      <w:r>
        <w:rPr>
          <w:rFonts w:ascii="Arial" w:eastAsia="Arial" w:hAnsi="Arial" w:cs="Arial"/>
          <w:vertAlign w:val="superscript"/>
        </w:rPr>
        <w:footnoteReference w:customMarkFollows="1" w:id="39"/>
        <w:t>4</w:t>
      </w:r>
      <w:r>
        <w:rPr>
          <w:rFonts w:ascii="Arial" w:eastAsia="Arial" w:hAnsi="Arial" w:cs="Arial"/>
          <w:color w:val="000000"/>
          <w:sz w:val="20"/>
        </w:rPr>
        <w:t xml:space="preserve"> </w:t>
      </w:r>
    </w:p>
    <w:p w:rsidR="006E038D" w:rsidRDefault="00000000">
      <w:pPr>
        <w:pStyle w:val="Normal9"/>
        <w:widowControl w:val="0"/>
        <w:spacing w:before="200" w:line="260" w:lineRule="atLeast"/>
        <w:jc w:val="both"/>
      </w:pPr>
      <w:bookmarkStart w:id="1064" w:name="Bookmark_para_13_6"/>
      <w:bookmarkEnd w:id="1064"/>
      <w:r>
        <w:rPr>
          <w:rFonts w:ascii="Arial" w:eastAsia="Arial" w:hAnsi="Arial" w:cs="Arial"/>
          <w:color w:val="000000"/>
          <w:sz w:val="20"/>
        </w:rPr>
        <w:t xml:space="preserve">Bradley issued a Letter of Determination on July 22. He found that the evidence obtained during the investigation established a violation of the ADA and attached a "conciliation agreement" demanding that Agro reinstate Velez, post a notice, submit to EEOC oversight, and pay Velez $ 25,629 in back pay, $ 10,907 in out-of-pocket medical expenses, and $ 120,000 in compensatory damages. </w:t>
      </w:r>
      <w:r>
        <w:rPr>
          <w:rFonts w:ascii="Arial" w:eastAsia="Arial" w:hAnsi="Arial" w:cs="Arial"/>
          <w:vertAlign w:val="superscript"/>
        </w:rPr>
        <w:footnoteReference w:customMarkFollows="1" w:id="40"/>
        <w:t>5</w:t>
      </w:r>
      <w:r>
        <w:rPr>
          <w:rFonts w:ascii="Arial" w:eastAsia="Arial" w:hAnsi="Arial" w:cs="Arial"/>
          <w:color w:val="000000"/>
          <w:sz w:val="20"/>
        </w:rPr>
        <w:t xml:space="preserve"> </w:t>
      </w:r>
    </w:p>
    <w:p w:rsidR="006E038D" w:rsidRDefault="00000000">
      <w:pPr>
        <w:pStyle w:val="Normal9"/>
        <w:widowControl w:val="0"/>
        <w:spacing w:before="200" w:line="260" w:lineRule="atLeast"/>
        <w:jc w:val="both"/>
      </w:pPr>
      <w:bookmarkStart w:id="1066" w:name="Bookmark_para_14_6"/>
      <w:bookmarkEnd w:id="1066"/>
      <w:r>
        <w:rPr>
          <w:rFonts w:ascii="Arial" w:eastAsia="Arial" w:hAnsi="Arial" w:cs="Arial"/>
          <w:color w:val="000000"/>
          <w:sz w:val="20"/>
        </w:rPr>
        <w:t>Small called and left a message for Agro's counsel on Friday, August 15. Agro returned the call on Monday, August 18, and left a message requesting a meeting. The next day, the EEOC sent a letter to Agro announcing that conciliation had failed.</w:t>
      </w:r>
    </w:p>
    <w:p w:rsidR="006E038D" w:rsidRDefault="00000000">
      <w:pPr>
        <w:pStyle w:val="Normal9"/>
        <w:widowControl w:val="0"/>
        <w:spacing w:before="200" w:line="260" w:lineRule="atLeast"/>
        <w:jc w:val="both"/>
      </w:pPr>
      <w:bookmarkStart w:id="1067" w:name="Bookmark_para_15_6"/>
      <w:bookmarkEnd w:id="1067"/>
      <w:r>
        <w:rPr>
          <w:rFonts w:ascii="Arial" w:eastAsia="Arial" w:hAnsi="Arial" w:cs="Arial"/>
          <w:color w:val="000000"/>
          <w:sz w:val="20"/>
        </w:rPr>
        <w:t>On August 22, Agro responded that it was fully prepared to meet with the Commission and again requested a meeting. The EEOC agreed to reopen conciliation in an August 28 letter but required that any settlement must follow its "Remedies Policy." On September 11, Agro requested clarification as to whether EEOC meant that it would be unwilling to settle without reinstatement, full back pay, and compensatory damages. The EEOC did not respond. Agro then offered $ 3,500 in settlement. Nearly ten months later, on July 16, 2004, the EEOC replied to Agro, rejecting the offer and insisting upon reinstatement or front pay, back pay, medical expenses, and compensatory damages.</w:t>
      </w:r>
    </w:p>
    <w:p w:rsidR="006E038D" w:rsidRDefault="00000000">
      <w:pPr>
        <w:pStyle w:val="Normal9"/>
        <w:widowControl w:val="0"/>
        <w:spacing w:before="200" w:line="260" w:lineRule="atLeast"/>
        <w:jc w:val="both"/>
      </w:pPr>
      <w:bookmarkStart w:id="1068" w:name="Bookmark_para_16_6"/>
      <w:bookmarkEnd w:id="1068"/>
      <w:r>
        <w:rPr>
          <w:rFonts w:ascii="Arial" w:eastAsia="Arial" w:hAnsi="Arial" w:cs="Arial"/>
          <w:color w:val="000000"/>
          <w:sz w:val="20"/>
        </w:rPr>
        <w:t>The EEOC filed suit on September 27 seeking $ 250,000 in damages, which included approximately $ 80,000 in punitive damages. Following Velez's deposition, the EEOC offered to settle for $ 42,000.  [**8] The district granted summary judgment to Agro and awarded attorneys' fees dated from Velez's deposition, "the cut-off date for which the EEOC could be given any consideration for acting with any justification." The EEOC appeals.</w:t>
      </w:r>
    </w:p>
    <w:p w:rsidR="006E038D" w:rsidRDefault="00000000">
      <w:pPr>
        <w:pStyle w:val="Normal9"/>
        <w:widowControl w:val="0"/>
        <w:spacing w:before="240" w:line="260" w:lineRule="atLeast"/>
      </w:pPr>
      <w:r>
        <w:br/>
      </w:r>
      <w:r>
        <w:rPr>
          <w:rFonts w:ascii="Arial" w:eastAsia="Arial" w:hAnsi="Arial" w:cs="Arial"/>
          <w:b/>
          <w:color w:val="000000"/>
          <w:sz w:val="20"/>
        </w:rPr>
        <w:t>II. SUBJECT MATTER JURISDICTION</w:t>
      </w:r>
    </w:p>
    <w:p w:rsidR="006E038D" w:rsidRDefault="00000000">
      <w:pPr>
        <w:pStyle w:val="Normal9"/>
        <w:widowControl w:val="0"/>
        <w:spacing w:before="200" w:line="260" w:lineRule="atLeast"/>
        <w:jc w:val="both"/>
      </w:pPr>
      <w:bookmarkStart w:id="1069" w:name="Bookmark_para_17_6"/>
      <w:bookmarkStart w:id="1070" w:name="Bookmark_I4VKD23T0K1MNJ2BJ0000400"/>
      <w:bookmarkStart w:id="1071" w:name="Bookmark_LNHNREFclscc1_8"/>
      <w:bookmarkEnd w:id="1069"/>
      <w:bookmarkEnd w:id="1070"/>
      <w:bookmarkEnd w:id="1071"/>
      <w:r>
        <w:rPr>
          <w:rFonts w:ascii="Arial" w:eastAsia="Arial" w:hAnsi="Arial" w:cs="Arial"/>
          <w:color w:val="000000"/>
          <w:sz w:val="20"/>
        </w:rPr>
        <w:t xml:space="preserve">Although neither party raises the issue of subject matter jurisdiction, this court must consider jurisdiction </w:t>
      </w:r>
      <w:r>
        <w:rPr>
          <w:rFonts w:ascii="Arial" w:eastAsia="Arial" w:hAnsi="Arial" w:cs="Arial"/>
          <w:i/>
          <w:color w:val="000000"/>
          <w:sz w:val="20"/>
        </w:rPr>
        <w:t>sua sponte</w:t>
      </w:r>
      <w:r>
        <w:rPr>
          <w:rFonts w:ascii="Arial" w:eastAsia="Arial" w:hAnsi="Arial" w:cs="Arial"/>
          <w:color w:val="000000"/>
          <w:sz w:val="20"/>
        </w:rPr>
        <w:t xml:space="preserve">. </w:t>
      </w:r>
      <w:bookmarkStart w:id="1072" w:name="Bookmark_I4VKD23T0K1MNJ2BM0000400"/>
      <w:bookmarkStart w:id="1073" w:name="Bookmark_I4VKD23T0K1MNJ2BH0000400"/>
      <w:bookmarkEnd w:id="1072"/>
      <w:bookmarkEnd w:id="1073"/>
      <w:r>
        <w:rPr>
          <w:rFonts w:ascii="Arial" w:eastAsia="Arial" w:hAnsi="Arial" w:cs="Arial"/>
          <w:i/>
          <w:color w:val="000000"/>
          <w:sz w:val="20"/>
        </w:rPr>
        <w:t>Howery v. Allstate Ins. Co</w:t>
      </w:r>
      <w:r>
        <w:rPr>
          <w:rFonts w:ascii="Arial" w:eastAsia="Arial" w:hAnsi="Arial" w:cs="Arial"/>
          <w:color w:val="000000"/>
          <w:sz w:val="20"/>
        </w:rPr>
        <w:t xml:space="preserve">., 243 F.3d 912, 919 (5th Cir. 2001). The district court concluded that the EEOC did not attempt conciliation with Agro in good faith. </w:t>
      </w:r>
      <w:bookmarkStart w:id="1074" w:name="Bookmark_I4VKD23T0K1MNJ2BM0000400_2"/>
      <w:bookmarkStart w:id="1075" w:name="Bookmark_LNHNREFclscc2_8"/>
      <w:bookmarkEnd w:id="1074"/>
      <w:bookmarkEnd w:id="1075"/>
      <w:r>
        <w:rPr>
          <w:rFonts w:ascii="Arial" w:eastAsia="Arial" w:hAnsi="Arial" w:cs="Arial"/>
          <w:color w:val="000000"/>
          <w:sz w:val="20"/>
        </w:rPr>
        <w:t xml:space="preserve">Several cases have held that the EEOC's failure to conciliate in good faith deprives the federal courts of jurisdiction to hear the EEOC's suit. </w:t>
      </w:r>
      <w:r>
        <w:rPr>
          <w:rFonts w:ascii="Arial" w:eastAsia="Arial" w:hAnsi="Arial" w:cs="Arial"/>
          <w:i/>
          <w:color w:val="000000"/>
          <w:sz w:val="20"/>
        </w:rPr>
        <w:t xml:space="preserve">See, e.g., </w:t>
      </w:r>
      <w:bookmarkStart w:id="1076" w:name="Bookmark_I4VKD23T0K1MNJ2BK0000400"/>
      <w:bookmarkEnd w:id="1076"/>
      <w:r>
        <w:rPr>
          <w:rFonts w:ascii="Arial" w:eastAsia="Arial" w:hAnsi="Arial" w:cs="Arial"/>
          <w:i/>
          <w:color w:val="000000"/>
          <w:sz w:val="20"/>
        </w:rPr>
        <w:t>EEOC v. Magnolia Elec. Power Ass'n</w:t>
      </w:r>
      <w:r>
        <w:rPr>
          <w:rFonts w:ascii="Arial" w:eastAsia="Arial" w:hAnsi="Arial" w:cs="Arial"/>
          <w:color w:val="000000"/>
          <w:sz w:val="20"/>
        </w:rPr>
        <w:t>, 635 F.2d 375, 378  [*468]  (5th Cir. 1981) ("[T]he EEOC's failure to follow these procedures concerning a respondent deprives a federal district court of subject matter jurisdiction in a suit by the EEOC against that respondent.").</w:t>
      </w:r>
    </w:p>
    <w:p w:rsidR="006E038D" w:rsidRDefault="00000000">
      <w:pPr>
        <w:pStyle w:val="Normal9"/>
        <w:widowControl w:val="0"/>
        <w:spacing w:before="200" w:line="260" w:lineRule="atLeast"/>
        <w:jc w:val="both"/>
      </w:pPr>
      <w:bookmarkStart w:id="1077" w:name="Bookmark_para_18_6"/>
      <w:bookmarkStart w:id="1078" w:name="Bookmark_LNHNREFclscc3_8"/>
      <w:bookmarkEnd w:id="1077"/>
      <w:bookmarkEnd w:id="1078"/>
      <w:r>
        <w:rPr>
          <w:rFonts w:ascii="Arial" w:eastAsia="Arial" w:hAnsi="Arial" w:cs="Arial"/>
          <w:color w:val="000000"/>
          <w:sz w:val="20"/>
        </w:rPr>
        <w:t xml:space="preserve">The EEOC has a statutory obligation to attempt conciliation with employers: "[T]he Commission shall endeavor to eliminate any such alleged unlawful employment practice by informal methods of conference, conciliation, and persuasion." 42 U.S.C. § 2000e-5(b).  [**9] The Commission may bring a civil action only if "the Commission has been unable to secure from the respondent a conciliation agreement." </w:t>
      </w:r>
      <w:r>
        <w:rPr>
          <w:rFonts w:ascii="Arial" w:eastAsia="Arial" w:hAnsi="Arial" w:cs="Arial"/>
          <w:i/>
          <w:color w:val="000000"/>
          <w:sz w:val="20"/>
        </w:rPr>
        <w:t>Id</w:t>
      </w:r>
      <w:r>
        <w:rPr>
          <w:rFonts w:ascii="Arial" w:eastAsia="Arial" w:hAnsi="Arial" w:cs="Arial"/>
          <w:color w:val="000000"/>
          <w:sz w:val="20"/>
        </w:rPr>
        <w:t>. at § 2000e-5(f)(1).</w:t>
      </w:r>
    </w:p>
    <w:p w:rsidR="006E038D" w:rsidRDefault="00000000">
      <w:pPr>
        <w:pStyle w:val="Normal9"/>
        <w:widowControl w:val="0"/>
        <w:spacing w:before="200" w:line="260" w:lineRule="atLeast"/>
        <w:jc w:val="both"/>
      </w:pPr>
      <w:bookmarkStart w:id="1079" w:name="Bookmark_para_19_6"/>
      <w:bookmarkStart w:id="1080" w:name="Bookmark_I4VKD23T0K1MNJ2DN0000400"/>
      <w:bookmarkStart w:id="1081" w:name="Bookmark_I4VKD23T0K1MNJ2DT0000400"/>
      <w:bookmarkStart w:id="1082" w:name="Bookmark_LNHNREFclscc4_8"/>
      <w:bookmarkEnd w:id="1079"/>
      <w:bookmarkEnd w:id="1080"/>
      <w:bookmarkEnd w:id="1081"/>
      <w:bookmarkEnd w:id="1082"/>
      <w:r>
        <w:rPr>
          <w:rFonts w:ascii="Arial" w:eastAsia="Arial" w:hAnsi="Arial" w:cs="Arial"/>
          <w:color w:val="000000"/>
          <w:sz w:val="20"/>
        </w:rPr>
        <w:t xml:space="preserve">Conciliation is "the preferred means of achieving the objectives of Title VII," </w:t>
      </w:r>
      <w:bookmarkStart w:id="1083" w:name="Bookmark_I4VKD23T0K1MNJ2BN0000400"/>
      <w:bookmarkEnd w:id="1083"/>
      <w:r>
        <w:rPr>
          <w:rFonts w:ascii="Arial" w:eastAsia="Arial" w:hAnsi="Arial" w:cs="Arial"/>
          <w:i/>
          <w:color w:val="000000"/>
          <w:sz w:val="20"/>
        </w:rPr>
        <w:t>EEOC v. Pierce Packing Co</w:t>
      </w:r>
      <w:r>
        <w:rPr>
          <w:rFonts w:ascii="Arial" w:eastAsia="Arial" w:hAnsi="Arial" w:cs="Arial"/>
          <w:color w:val="000000"/>
          <w:sz w:val="20"/>
        </w:rPr>
        <w:t xml:space="preserve">., 669 F.2d 605, 609 (5th Cir. 1982), and is one of the "most essential functions" of the EEOC. </w:t>
      </w:r>
      <w:bookmarkStart w:id="1084" w:name="Bookmark_I4VKD23T0K1MNJ2DP0000400"/>
      <w:bookmarkEnd w:id="1084"/>
      <w:r>
        <w:rPr>
          <w:rFonts w:ascii="Arial" w:eastAsia="Arial" w:hAnsi="Arial" w:cs="Arial"/>
          <w:i/>
          <w:color w:val="000000"/>
          <w:sz w:val="20"/>
        </w:rPr>
        <w:t>EEOC v. Pet, Inc., Funsten Nut Div</w:t>
      </w:r>
      <w:r>
        <w:rPr>
          <w:rFonts w:ascii="Arial" w:eastAsia="Arial" w:hAnsi="Arial" w:cs="Arial"/>
          <w:color w:val="000000"/>
          <w:sz w:val="20"/>
        </w:rPr>
        <w:t xml:space="preserve">., 612 F.2d 1001, 1002 (5th Cir. 1980). </w:t>
      </w:r>
      <w:bookmarkStart w:id="1085" w:name="Bookmark_I4VKD23T0K1MNJ2FS0000400"/>
      <w:bookmarkEnd w:id="1085"/>
      <w:r>
        <w:rPr>
          <w:rFonts w:ascii="Arial" w:eastAsia="Arial" w:hAnsi="Arial" w:cs="Arial"/>
          <w:color w:val="000000"/>
          <w:sz w:val="20"/>
        </w:rPr>
        <w:t xml:space="preserve">A good-faith attempt at conciliation requires that the EEOC: (1) outline to the employer the reasonable cause for its belief that Title VII has been violated; (2) offer an opportunity for voluntary compliance; and (3) respond in a reasonable and flexible manner to the reasonable attitudes of the employer. </w:t>
      </w:r>
      <w:bookmarkStart w:id="1086" w:name="Bookmark_I4VKD23T0K1MNJ2DS0000400"/>
      <w:bookmarkEnd w:id="1086"/>
      <w:r>
        <w:rPr>
          <w:rFonts w:ascii="Arial" w:eastAsia="Arial" w:hAnsi="Arial" w:cs="Arial"/>
          <w:i/>
          <w:color w:val="000000"/>
          <w:sz w:val="20"/>
        </w:rPr>
        <w:t>EEOC v. Klingler Elec. Corp</w:t>
      </w:r>
      <w:r>
        <w:rPr>
          <w:rFonts w:ascii="Arial" w:eastAsia="Arial" w:hAnsi="Arial" w:cs="Arial"/>
          <w:color w:val="000000"/>
          <w:sz w:val="20"/>
        </w:rPr>
        <w:t>., 636 F.2d 104, 107 (5th Cir. 1981).</w:t>
      </w:r>
      <w:bookmarkStart w:id="1087" w:name="Bookmark_I4VKD23T0K1MNJ2FS0000400_2"/>
      <w:bookmarkEnd w:id="1087"/>
      <w:r>
        <w:rPr>
          <w:rFonts w:ascii="Arial" w:eastAsia="Arial" w:hAnsi="Arial" w:cs="Arial"/>
          <w:color w:val="000000"/>
          <w:sz w:val="20"/>
        </w:rPr>
        <w:t xml:space="preserve"> </w:t>
      </w:r>
      <w:r>
        <w:rPr>
          <w:rFonts w:ascii="Arial" w:eastAsia="Arial" w:hAnsi="Arial" w:cs="Arial"/>
          <w:vertAlign w:val="superscript"/>
        </w:rPr>
        <w:footnoteReference w:customMarkFollows="1" w:id="41"/>
        <w:t>6</w:t>
      </w:r>
      <w:r>
        <w:rPr>
          <w:rFonts w:ascii="Arial" w:eastAsia="Arial" w:hAnsi="Arial" w:cs="Arial"/>
          <w:color w:val="000000"/>
          <w:sz w:val="20"/>
        </w:rPr>
        <w:t xml:space="preserve"> </w:t>
      </w:r>
    </w:p>
    <w:p w:rsidR="006E038D" w:rsidRDefault="00000000">
      <w:pPr>
        <w:pStyle w:val="Normal9"/>
        <w:widowControl w:val="0"/>
        <w:spacing w:before="200" w:line="260" w:lineRule="atLeast"/>
        <w:jc w:val="both"/>
      </w:pPr>
      <w:bookmarkStart w:id="1090" w:name="Bookmark_para_20_6"/>
      <w:bookmarkEnd w:id="1090"/>
      <w:r>
        <w:rPr>
          <w:rFonts w:ascii="Arial" w:eastAsia="Arial" w:hAnsi="Arial" w:cs="Arial"/>
          <w:color w:val="000000"/>
          <w:sz w:val="20"/>
        </w:rPr>
        <w:t xml:space="preserve">The district court correctly concluded that in dealing with Agro, the EEOC did not attempt conciliation in good faith. </w:t>
      </w:r>
      <w:bookmarkStart w:id="1091" w:name="Bookmark_I6NSWMXDJRB00005HN2000GT"/>
      <w:bookmarkStart w:id="1092" w:name="Bookmark_I4VKD23T0K1MNJ2FV0000400"/>
      <w:bookmarkEnd w:id="1091"/>
      <w:bookmarkEnd w:id="1092"/>
      <w:r>
        <w:rPr>
          <w:rFonts w:ascii="Arial" w:eastAsia="Arial" w:hAnsi="Arial" w:cs="Arial"/>
          <w:color w:val="000000"/>
          <w:sz w:val="20"/>
        </w:rPr>
        <w:t xml:space="preserve">By repeatedly  [**10] failing to communicate with Agro, the EEOC failed to respond in a reasonable and flexible manner to the reasonable attitudes of the employer. The EEOC abandoned its role as a neutral investigator and compounded its arbitrary assessment that Agro violated the ADA with an insupportable demand for compensatory damages as a weapon to force settlement. The district court concludes, "It appears that the Commission dealt in an arbitrary manner based on preconceived notions of its investigator and ignored the attempts of Agro's counsel to engage the Commission in settlement discussions." The EEOC's take-it-or-leave-it demand for more than $ 150,000 represents the coercive, "all-or-nothing approach" previously condemned by this court in </w:t>
      </w:r>
      <w:bookmarkStart w:id="1093" w:name="Bookmark_I4VKD23T0K1MNJ2FT0000400"/>
      <w:bookmarkEnd w:id="1093"/>
      <w:r>
        <w:rPr>
          <w:rFonts w:ascii="Arial" w:eastAsia="Arial" w:hAnsi="Arial" w:cs="Arial"/>
          <w:i/>
          <w:color w:val="000000"/>
          <w:sz w:val="20"/>
        </w:rPr>
        <w:t>Pet, Inc</w:t>
      </w:r>
      <w:r>
        <w:rPr>
          <w:rFonts w:ascii="Arial" w:eastAsia="Arial" w:hAnsi="Arial" w:cs="Arial"/>
          <w:color w:val="000000"/>
          <w:sz w:val="20"/>
        </w:rPr>
        <w:t>., 612 F.2d at 1002 (per curiam).</w:t>
      </w:r>
    </w:p>
    <w:p w:rsidR="006E038D" w:rsidRDefault="00000000">
      <w:pPr>
        <w:pStyle w:val="Normal9"/>
        <w:widowControl w:val="0"/>
        <w:spacing w:before="200" w:line="260" w:lineRule="atLeast"/>
        <w:jc w:val="both"/>
      </w:pPr>
      <w:bookmarkStart w:id="1094" w:name="Bookmark_para_21_6"/>
      <w:bookmarkStart w:id="1095" w:name="Bookmark_I4VKD23T0K1MNJ2G30000400"/>
      <w:bookmarkEnd w:id="1094"/>
      <w:bookmarkEnd w:id="1095"/>
      <w:r>
        <w:rPr>
          <w:rFonts w:ascii="Arial" w:eastAsia="Arial" w:hAnsi="Arial" w:cs="Arial"/>
          <w:color w:val="000000"/>
          <w:sz w:val="20"/>
        </w:rPr>
        <w:t xml:space="preserve">The EEOC's failure to comply with its statutory duty does not, however, deprive this court of subject matter jurisdiction. The Supreme Court recently addressed whether the 15-or-more employee requirement for liability under Title VII is jurisdictional. </w:t>
      </w:r>
      <w:bookmarkStart w:id="1096" w:name="Bookmark_I4VKD23T0K1MNJ2FW0000400"/>
      <w:bookmarkEnd w:id="1096"/>
      <w:r>
        <w:rPr>
          <w:rFonts w:ascii="Arial" w:eastAsia="Arial" w:hAnsi="Arial" w:cs="Arial"/>
          <w:i/>
          <w:color w:val="000000"/>
          <w:sz w:val="20"/>
        </w:rPr>
        <w:t>Arbaugh v. Y&amp;H Corp</w:t>
      </w:r>
      <w:r>
        <w:rPr>
          <w:rFonts w:ascii="Arial" w:eastAsia="Arial" w:hAnsi="Arial" w:cs="Arial"/>
          <w:color w:val="000000"/>
          <w:sz w:val="20"/>
        </w:rPr>
        <w:t>., 546 U.S. 500, 503, 126 S. Ct. 1235, 1238, 163 L. Ed. 2d 1097 (2006). In holding that the limitation does not restrict jurisdiction, the Court stated:</w:t>
      </w:r>
    </w:p>
    <w:p w:rsidR="006E038D" w:rsidRDefault="00000000">
      <w:pPr>
        <w:pStyle w:val="Normal9"/>
        <w:widowControl w:val="0"/>
        <w:spacing w:before="200" w:line="260" w:lineRule="atLeast"/>
        <w:ind w:left="400"/>
        <w:jc w:val="both"/>
      </w:pPr>
      <w:bookmarkStart w:id="1097" w:name="Bookmark_para_22_6"/>
      <w:bookmarkEnd w:id="1097"/>
      <w:r>
        <w:rPr>
          <w:rFonts w:ascii="Arial" w:eastAsia="Arial" w:hAnsi="Arial" w:cs="Arial"/>
          <w:color w:val="000000"/>
          <w:sz w:val="20"/>
        </w:rPr>
        <w:t xml:space="preserve">[N]either § 1331,  [**11] nor Title VII's jurisdictional provision specifies any threshold ingredient akin to 28 U.S.C. § 1332's monetary floor. . . . [W]e think it the sounder course to refrain from constricting § 1331 or Title VII's jurisdictional provision and to leave the ball in Congress' court. </w:t>
      </w:r>
      <w:bookmarkStart w:id="1098" w:name="Bookmark_I6NSWMXDN0D00005HN200112"/>
      <w:bookmarkStart w:id="1099" w:name="Bookmark_I4VKD23T0K1MNJ2G50000400"/>
      <w:bookmarkStart w:id="1100" w:name="Bookmark_LNHNREFclscc5_8"/>
      <w:bookmarkEnd w:id="1098"/>
      <w:bookmarkEnd w:id="1099"/>
      <w:bookmarkEnd w:id="1100"/>
      <w:r>
        <w:rPr>
          <w:rFonts w:ascii="Arial" w:eastAsia="Arial" w:hAnsi="Arial" w:cs="Arial"/>
          <w:color w:val="000000"/>
          <w:sz w:val="20"/>
        </w:rPr>
        <w:t>If the Legislature clearly states that a threshold limitation on a statute's scope shall count as jurisdictional, then courts and litigants will be duly instructed and will not be left to wrestle with the issue. But when Congress does not rank a statutory limitation on coverage as jurisdictional, courts  [*469]  should treat the restriction as nonjurisdictional in character.</w:t>
      </w:r>
    </w:p>
    <w:p w:rsidR="006E038D" w:rsidRDefault="00000000">
      <w:pPr>
        <w:pStyle w:val="Normal9"/>
        <w:widowControl w:val="0"/>
        <w:spacing w:before="200" w:line="260" w:lineRule="atLeast"/>
        <w:jc w:val="both"/>
      </w:pPr>
      <w:bookmarkStart w:id="1101" w:name="Bookmark_I4VKD23T0K1MNJ2G50000400_2"/>
      <w:bookmarkStart w:id="1102" w:name="Bookmark_I6NSWMXDTNN00005HN200113"/>
      <w:bookmarkStart w:id="1103" w:name="Bookmark_I4VKD23T0K1MNJ2G90000400"/>
      <w:bookmarkStart w:id="1104" w:name="Bookmark_I4VKD23T0K1MNJ2G40000400"/>
      <w:bookmarkEnd w:id="1101"/>
      <w:bookmarkEnd w:id="1102"/>
      <w:bookmarkEnd w:id="1103"/>
      <w:bookmarkEnd w:id="1104"/>
      <w:r>
        <w:rPr>
          <w:rFonts w:ascii="Arial" w:eastAsia="Arial" w:hAnsi="Arial" w:cs="Arial"/>
          <w:color w:val="000000"/>
          <w:sz w:val="20"/>
        </w:rPr>
        <w:t xml:space="preserve">546 U.S. at 515-16; </w:t>
      </w:r>
      <w:bookmarkStart w:id="1105" w:name="Bookmark_I4VKD23T0K1MNJ2G60000400"/>
      <w:bookmarkEnd w:id="1105"/>
      <w:r>
        <w:rPr>
          <w:rFonts w:ascii="Arial" w:eastAsia="Arial" w:hAnsi="Arial" w:cs="Arial"/>
          <w:color w:val="000000"/>
          <w:sz w:val="20"/>
        </w:rPr>
        <w:t xml:space="preserve">126 S. Ct. at 1245 (internal citations omitted). </w:t>
      </w:r>
      <w:bookmarkStart w:id="1106" w:name="Bookmark_I4VKD23T0K1MNJ2G90000400_2"/>
      <w:bookmarkEnd w:id="1106"/>
      <w:r>
        <w:rPr>
          <w:rFonts w:ascii="Arial" w:eastAsia="Arial" w:hAnsi="Arial" w:cs="Arial"/>
          <w:color w:val="000000"/>
          <w:sz w:val="20"/>
        </w:rPr>
        <w:t xml:space="preserve">Following this interpretive approach, we conclude that the EEOC's conciliation requirement is a precondition to suit but not a jurisdictional prerequisite. To the extent that older cases, such as </w:t>
      </w:r>
      <w:bookmarkStart w:id="1107" w:name="Bookmark_I4VKD23T0K1MNJ2G80000400"/>
      <w:bookmarkEnd w:id="1107"/>
      <w:r>
        <w:rPr>
          <w:rFonts w:ascii="Arial" w:eastAsia="Arial" w:hAnsi="Arial" w:cs="Arial"/>
          <w:i/>
          <w:color w:val="000000"/>
          <w:sz w:val="20"/>
        </w:rPr>
        <w:t>Magnolia Electric Power Association</w:t>
      </w:r>
      <w:r>
        <w:rPr>
          <w:rFonts w:ascii="Arial" w:eastAsia="Arial" w:hAnsi="Arial" w:cs="Arial"/>
          <w:color w:val="000000"/>
          <w:sz w:val="20"/>
        </w:rPr>
        <w:t xml:space="preserve">, 635 F.2d at 375, hold that failure to conciliate can deprive courts of subject matter jurisdiction, they have been implicitly overturned by </w:t>
      </w:r>
      <w:bookmarkStart w:id="1108" w:name="Bookmark_I4VKD23T0K1MNJ2GB0000400"/>
      <w:bookmarkEnd w:id="1108"/>
      <w:r>
        <w:rPr>
          <w:rFonts w:ascii="Arial" w:eastAsia="Arial" w:hAnsi="Arial" w:cs="Arial"/>
          <w:i/>
          <w:color w:val="000000"/>
          <w:sz w:val="20"/>
        </w:rPr>
        <w:t>Arbaugh</w:t>
      </w:r>
      <w:r>
        <w:rPr>
          <w:rFonts w:ascii="Arial" w:eastAsia="Arial" w:hAnsi="Arial" w:cs="Arial"/>
          <w:color w:val="000000"/>
          <w:sz w:val="20"/>
        </w:rPr>
        <w:t>, 546 U.S. at 500.</w:t>
      </w:r>
    </w:p>
    <w:p w:rsidR="006E038D" w:rsidRDefault="00000000">
      <w:pPr>
        <w:pStyle w:val="Normal9"/>
        <w:widowControl w:val="0"/>
        <w:spacing w:before="200" w:line="260" w:lineRule="atLeast"/>
        <w:jc w:val="both"/>
      </w:pPr>
      <w:bookmarkStart w:id="1109" w:name="Bookmark_para_23_6"/>
      <w:bookmarkStart w:id="1110" w:name="Bookmark_I4VKD23T0K1MNJ2HP0000400"/>
      <w:bookmarkStart w:id="1111" w:name="Bookmark_LNHNREFclscc6_7"/>
      <w:bookmarkEnd w:id="1109"/>
      <w:bookmarkEnd w:id="1110"/>
      <w:bookmarkEnd w:id="1111"/>
      <w:r>
        <w:rPr>
          <w:rFonts w:ascii="Arial" w:eastAsia="Arial" w:hAnsi="Arial" w:cs="Arial"/>
          <w:color w:val="000000"/>
          <w:sz w:val="20"/>
        </w:rPr>
        <w:t xml:space="preserve">Holding that conciliation is not jurisdictional does not render this requirement meaningless.  [**12] Courts remain free to impose a stay for the EEOC to continue prematurely terminated negotiations, and where the EEOC fails to act in good faith, dismissal remains an appropriate sanction. </w:t>
      </w:r>
      <w:bookmarkStart w:id="1112" w:name="Bookmark_I4VKD23T0K1MNJ2HS0000400"/>
      <w:bookmarkStart w:id="1113" w:name="Bookmark_I4VKD23T0K1MNJ2GD0000400"/>
      <w:bookmarkEnd w:id="1112"/>
      <w:bookmarkEnd w:id="1113"/>
      <w:r>
        <w:rPr>
          <w:rFonts w:ascii="Arial" w:eastAsia="Arial" w:hAnsi="Arial" w:cs="Arial"/>
          <w:i/>
          <w:color w:val="000000"/>
          <w:sz w:val="20"/>
        </w:rPr>
        <w:t>Klingler</w:t>
      </w:r>
      <w:r>
        <w:rPr>
          <w:rFonts w:ascii="Arial" w:eastAsia="Arial" w:hAnsi="Arial" w:cs="Arial"/>
          <w:color w:val="000000"/>
          <w:sz w:val="20"/>
        </w:rPr>
        <w:t xml:space="preserve">, 636 F.2d at 107. </w:t>
      </w:r>
      <w:bookmarkStart w:id="1114" w:name="Bookmark_I4VKD23T0K1MNJ2HS0000400_2"/>
      <w:bookmarkEnd w:id="1114"/>
      <w:r>
        <w:rPr>
          <w:rFonts w:ascii="Arial" w:eastAsia="Arial" w:hAnsi="Arial" w:cs="Arial"/>
          <w:color w:val="000000"/>
          <w:sz w:val="20"/>
        </w:rPr>
        <w:t xml:space="preserve">The EEOC acts unreasonably in disregarding procedural requirements for suit, and attorneys' fees may be awarded. </w:t>
      </w:r>
      <w:r>
        <w:rPr>
          <w:rFonts w:ascii="Arial" w:eastAsia="Arial" w:hAnsi="Arial" w:cs="Arial"/>
          <w:i/>
          <w:color w:val="000000"/>
          <w:sz w:val="20"/>
        </w:rPr>
        <w:t xml:space="preserve">See </w:t>
      </w:r>
      <w:bookmarkStart w:id="1115" w:name="Bookmark_I4VKD23T0K1MNJ2HR0000400"/>
      <w:bookmarkEnd w:id="1115"/>
      <w:r>
        <w:rPr>
          <w:rFonts w:ascii="Arial" w:eastAsia="Arial" w:hAnsi="Arial" w:cs="Arial"/>
          <w:i/>
          <w:color w:val="000000"/>
          <w:sz w:val="20"/>
        </w:rPr>
        <w:t>Pierce Packing</w:t>
      </w:r>
      <w:r>
        <w:rPr>
          <w:rFonts w:ascii="Arial" w:eastAsia="Arial" w:hAnsi="Arial" w:cs="Arial"/>
          <w:color w:val="000000"/>
          <w:sz w:val="20"/>
        </w:rPr>
        <w:t xml:space="preserve">, 669 F.2d at 609. Under these facts, dismissing the case and awarding attorneys' fees for the failure to conciliate would not have constituted an abuse of discretion. </w:t>
      </w:r>
      <w:r>
        <w:rPr>
          <w:rFonts w:ascii="Arial" w:eastAsia="Arial" w:hAnsi="Arial" w:cs="Arial"/>
          <w:vertAlign w:val="superscript"/>
        </w:rPr>
        <w:footnoteReference w:customMarkFollows="1" w:id="42"/>
        <w:t>7</w:t>
      </w:r>
      <w:r>
        <w:rPr>
          <w:rFonts w:ascii="Arial" w:eastAsia="Arial" w:hAnsi="Arial" w:cs="Arial"/>
          <w:color w:val="000000"/>
          <w:sz w:val="20"/>
        </w:rPr>
        <w:t xml:space="preserve"> Because the district court opted to rule on the merits of the case, we proceed to review the summary judgment.</w:t>
      </w:r>
    </w:p>
    <w:p w:rsidR="006E038D" w:rsidRDefault="00000000">
      <w:pPr>
        <w:pStyle w:val="Normal9"/>
        <w:widowControl w:val="0"/>
        <w:spacing w:before="240" w:line="260" w:lineRule="atLeast"/>
      </w:pPr>
      <w:r>
        <w:br/>
      </w:r>
      <w:r>
        <w:rPr>
          <w:rFonts w:ascii="Arial" w:eastAsia="Arial" w:hAnsi="Arial" w:cs="Arial"/>
          <w:b/>
          <w:color w:val="000000"/>
          <w:sz w:val="20"/>
        </w:rPr>
        <w:t>III. SUMMARY JUDGMENT</w:t>
      </w:r>
    </w:p>
    <w:p w:rsidR="006E038D" w:rsidRDefault="00000000">
      <w:pPr>
        <w:pStyle w:val="Normal9"/>
        <w:widowControl w:val="0"/>
        <w:spacing w:before="200" w:line="260" w:lineRule="atLeast"/>
        <w:jc w:val="both"/>
      </w:pPr>
      <w:bookmarkStart w:id="1117" w:name="Bookmark_para_24_6"/>
      <w:bookmarkEnd w:id="1117"/>
      <w:r>
        <w:rPr>
          <w:rFonts w:ascii="Arial" w:eastAsia="Arial" w:hAnsi="Arial" w:cs="Arial"/>
          <w:color w:val="000000"/>
          <w:sz w:val="20"/>
        </w:rPr>
        <w:t>The EEOC challenges the grant of summary judgment with its contentions that genuine issues exist as to whether Velez is disabled under the ADA and whether Agro failed to provide reasonable accommodation for his disability.</w:t>
      </w:r>
    </w:p>
    <w:p w:rsidR="006E038D" w:rsidRDefault="00000000">
      <w:pPr>
        <w:pStyle w:val="Normal9"/>
        <w:widowControl w:val="0"/>
        <w:spacing w:before="200" w:line="260" w:lineRule="atLeast"/>
        <w:jc w:val="both"/>
      </w:pPr>
      <w:bookmarkStart w:id="1118" w:name="Bookmark_para_25_6"/>
      <w:bookmarkStart w:id="1119" w:name="Bookmark_I4VKD23T0K1MNJ2HV0000400"/>
      <w:bookmarkStart w:id="1120" w:name="Bookmark_LNHNREFclscc7_6"/>
      <w:bookmarkEnd w:id="1118"/>
      <w:bookmarkEnd w:id="1119"/>
      <w:bookmarkEnd w:id="1120"/>
      <w:r>
        <w:rPr>
          <w:rFonts w:ascii="Arial" w:eastAsia="Arial" w:hAnsi="Arial" w:cs="Arial"/>
          <w:color w:val="000000"/>
          <w:sz w:val="20"/>
        </w:rPr>
        <w:t xml:space="preserve">This court reviews a grant of summary judgment </w:t>
      </w:r>
      <w:r>
        <w:rPr>
          <w:rFonts w:ascii="Arial" w:eastAsia="Arial" w:hAnsi="Arial" w:cs="Arial"/>
          <w:i/>
          <w:color w:val="000000"/>
          <w:sz w:val="20"/>
        </w:rPr>
        <w:t>de novo</w:t>
      </w:r>
      <w:r>
        <w:rPr>
          <w:rFonts w:ascii="Arial" w:eastAsia="Arial" w:hAnsi="Arial" w:cs="Arial"/>
          <w:color w:val="000000"/>
          <w:sz w:val="20"/>
        </w:rPr>
        <w:t xml:space="preserve">, applying the same standards as the district court. </w:t>
      </w:r>
      <w:bookmarkStart w:id="1121" w:name="Bookmark_I4VKD23T0K1MNJ2HT0000400"/>
      <w:bookmarkEnd w:id="1121"/>
      <w:r>
        <w:rPr>
          <w:rFonts w:ascii="Arial" w:eastAsia="Arial" w:hAnsi="Arial" w:cs="Arial"/>
          <w:i/>
          <w:color w:val="000000"/>
          <w:sz w:val="20"/>
        </w:rPr>
        <w:t>Kirschbaum v. Reliant Energy, Inc</w:t>
      </w:r>
      <w:r>
        <w:rPr>
          <w:rFonts w:ascii="Arial" w:eastAsia="Arial" w:hAnsi="Arial" w:cs="Arial"/>
          <w:color w:val="000000"/>
          <w:sz w:val="20"/>
        </w:rPr>
        <w:t xml:space="preserve">., 526 F.3d 243, 248 (5th Cir. 2008). </w:t>
      </w:r>
      <w:bookmarkStart w:id="1122" w:name="Bookmark_I4VKD23T0K1MNJ2J80000400"/>
      <w:bookmarkEnd w:id="1122"/>
      <w:r>
        <w:rPr>
          <w:rFonts w:ascii="Arial" w:eastAsia="Arial" w:hAnsi="Arial" w:cs="Arial"/>
          <w:color w:val="000000"/>
          <w:sz w:val="20"/>
        </w:rPr>
        <w:t> [**13] </w:t>
      </w:r>
      <w:bookmarkStart w:id="1123" w:name="Bookmark_LNHNREFclscc8_5"/>
      <w:bookmarkEnd w:id="1123"/>
      <w:r>
        <w:rPr>
          <w:rFonts w:ascii="Arial" w:eastAsia="Arial" w:hAnsi="Arial" w:cs="Arial"/>
          <w:color w:val="000000"/>
          <w:sz w:val="20"/>
        </w:rPr>
        <w:t xml:space="preserve">Summary judgment is proper when the movant can demonstrate that there is no genuine issue of material fact and that he is entitled to judgment as a matter of law. </w:t>
      </w:r>
      <w:r>
        <w:rPr>
          <w:rFonts w:ascii="Arial" w:eastAsia="Arial" w:hAnsi="Arial" w:cs="Arial"/>
          <w:i/>
          <w:color w:val="000000"/>
          <w:sz w:val="20"/>
        </w:rPr>
        <w:t>Id</w:t>
      </w:r>
      <w:r>
        <w:rPr>
          <w:rFonts w:ascii="Arial" w:eastAsia="Arial" w:hAnsi="Arial" w:cs="Arial"/>
          <w:color w:val="000000"/>
          <w:sz w:val="20"/>
        </w:rPr>
        <w:t xml:space="preserve">.; FED R. CIV. P. 56(c). </w:t>
      </w:r>
      <w:bookmarkStart w:id="1124" w:name="Bookmark_I4VKD23T0K1MNJ2J80000400_2"/>
      <w:bookmarkStart w:id="1125" w:name="Bookmark_LNHNREFclscc9_4"/>
      <w:bookmarkEnd w:id="1124"/>
      <w:bookmarkEnd w:id="1125"/>
      <w:r>
        <w:rPr>
          <w:rFonts w:ascii="Arial" w:eastAsia="Arial" w:hAnsi="Arial" w:cs="Arial"/>
          <w:color w:val="000000"/>
          <w:sz w:val="20"/>
        </w:rPr>
        <w:t xml:space="preserve">On review of a grant of summary judgment, all facts and inferences must be construed in the light most favorable to the non-movant. </w:t>
      </w:r>
      <w:bookmarkStart w:id="1126" w:name="Bookmark_I4VKD23T0K1MNJ2J70000400"/>
      <w:bookmarkEnd w:id="1126"/>
      <w:r>
        <w:rPr>
          <w:rFonts w:ascii="Arial" w:eastAsia="Arial" w:hAnsi="Arial" w:cs="Arial"/>
          <w:i/>
          <w:color w:val="000000"/>
          <w:sz w:val="20"/>
        </w:rPr>
        <w:t>Kirschbaum</w:t>
      </w:r>
      <w:r>
        <w:rPr>
          <w:rFonts w:ascii="Arial" w:eastAsia="Arial" w:hAnsi="Arial" w:cs="Arial"/>
          <w:color w:val="000000"/>
          <w:sz w:val="20"/>
        </w:rPr>
        <w:t>, 526 F.3d at 248.</w:t>
      </w:r>
    </w:p>
    <w:p w:rsidR="006E038D" w:rsidRDefault="00000000">
      <w:pPr>
        <w:pStyle w:val="Normal9"/>
        <w:widowControl w:val="0"/>
        <w:spacing w:before="240" w:line="260" w:lineRule="atLeast"/>
      </w:pPr>
      <w:r>
        <w:br/>
      </w:r>
      <w:r>
        <w:rPr>
          <w:rFonts w:ascii="Arial" w:eastAsia="Arial" w:hAnsi="Arial" w:cs="Arial"/>
          <w:b/>
          <w:color w:val="000000"/>
          <w:sz w:val="20"/>
        </w:rPr>
        <w:t>A. Disability</w:t>
      </w:r>
    </w:p>
    <w:p w:rsidR="006E038D" w:rsidRDefault="00000000">
      <w:pPr>
        <w:pStyle w:val="Normal9"/>
        <w:widowControl w:val="0"/>
        <w:spacing w:before="200" w:line="260" w:lineRule="atLeast"/>
        <w:jc w:val="both"/>
      </w:pPr>
      <w:bookmarkStart w:id="1127" w:name="Bookmark_para_26_6"/>
      <w:bookmarkStart w:id="1128" w:name="Bookmark_LNHNREFclscc10_4"/>
      <w:bookmarkEnd w:id="1127"/>
      <w:bookmarkEnd w:id="1128"/>
      <w:r>
        <w:rPr>
          <w:rFonts w:ascii="Arial" w:eastAsia="Arial" w:hAnsi="Arial" w:cs="Arial"/>
          <w:color w:val="000000"/>
          <w:sz w:val="20"/>
        </w:rPr>
        <w:t xml:space="preserve">Under EEOC regulations, a "disability" is "a physical or mental impairment that substantially limits one or more of the major life activities of such individual." 29 C.F.R. § 1630.2(g). "Substantially limits" means a person is "[s]ignificantly restricted as to the condition, manner or duration under which an individual can perform a particular major life activity as compared to the condition, manner, or duration under which the average person in the general population can perform that same major life activity." </w:t>
      </w:r>
      <w:r>
        <w:rPr>
          <w:rFonts w:ascii="Arial" w:eastAsia="Arial" w:hAnsi="Arial" w:cs="Arial"/>
          <w:i/>
          <w:color w:val="000000"/>
          <w:sz w:val="20"/>
        </w:rPr>
        <w:t>Id</w:t>
      </w:r>
      <w:r>
        <w:rPr>
          <w:rFonts w:ascii="Arial" w:eastAsia="Arial" w:hAnsi="Arial" w:cs="Arial"/>
          <w:color w:val="000000"/>
          <w:sz w:val="20"/>
        </w:rPr>
        <w:t xml:space="preserve">. § 1630.2(j)(1)(ii). The EEOC contends that Velez's ectodermal dysplasia is a physical impairment that substantially limits his body's ability to regulate its temperature, a major life activity. </w:t>
      </w:r>
      <w:r>
        <w:rPr>
          <w:rFonts w:ascii="Arial" w:eastAsia="Arial" w:hAnsi="Arial" w:cs="Arial"/>
          <w:vertAlign w:val="superscript"/>
        </w:rPr>
        <w:footnoteReference w:customMarkFollows="1" w:id="43"/>
        <w:t>8</w:t>
      </w:r>
      <w:r>
        <w:rPr>
          <w:rFonts w:ascii="Arial" w:eastAsia="Arial" w:hAnsi="Arial" w:cs="Arial"/>
          <w:color w:val="000000"/>
          <w:sz w:val="20"/>
        </w:rPr>
        <w:t xml:space="preserve"> </w:t>
      </w:r>
    </w:p>
    <w:p w:rsidR="006E038D" w:rsidRDefault="00000000">
      <w:pPr>
        <w:pStyle w:val="Normal9"/>
        <w:widowControl w:val="0"/>
        <w:spacing w:before="200" w:line="260" w:lineRule="atLeast"/>
        <w:jc w:val="both"/>
      </w:pPr>
      <w:bookmarkStart w:id="1141" w:name="Bookmark_para_27_6"/>
      <w:bookmarkStart w:id="1142" w:name="Bookmark_I4VKD23T0K1MNJ2K80000400"/>
      <w:bookmarkStart w:id="1143" w:name="Bookmark_I4VKD23T0K1MNJ2M70000400"/>
      <w:bookmarkStart w:id="1144" w:name="Bookmark_I4VKD23T0K1MNJ2NW0000400"/>
      <w:bookmarkStart w:id="1145" w:name="Bookmark_I4VKD23T0K1MNJ2K70000400"/>
      <w:bookmarkEnd w:id="1141"/>
      <w:bookmarkEnd w:id="1142"/>
      <w:bookmarkEnd w:id="1143"/>
      <w:bookmarkEnd w:id="1144"/>
      <w:bookmarkEnd w:id="1145"/>
      <w:r>
        <w:rPr>
          <w:rFonts w:ascii="Arial" w:eastAsia="Arial" w:hAnsi="Arial" w:cs="Arial"/>
          <w:i/>
          <w:color w:val="000000"/>
          <w:sz w:val="20"/>
        </w:rPr>
        <w:t>Sutton v. United Air Lines, Inc</w:t>
      </w:r>
      <w:r>
        <w:rPr>
          <w:rFonts w:ascii="Arial" w:eastAsia="Arial" w:hAnsi="Arial" w:cs="Arial"/>
          <w:color w:val="000000"/>
          <w:sz w:val="20"/>
        </w:rPr>
        <w:t xml:space="preserve">., 527 U.S. 471, 119 S. Ct. 2139, 144 L. Ed. 2d 450 (1999), directs that </w:t>
      </w:r>
      <w:bookmarkStart w:id="1146" w:name="Bookmark_LNHNREFclscc13_2"/>
      <w:bookmarkEnd w:id="1146"/>
      <w:r>
        <w:rPr>
          <w:rFonts w:ascii="Arial" w:eastAsia="Arial" w:hAnsi="Arial" w:cs="Arial"/>
          <w:color w:val="000000"/>
          <w:sz w:val="20"/>
        </w:rPr>
        <w:t xml:space="preserve">substantial limitation analysis must be an individualized assessment that considers the effects of any mitigating measures taken by the individual. </w:t>
      </w:r>
      <w:bookmarkStart w:id="1147" w:name="Bookmark_I4VKD23T0K1MNJ2NY0000400"/>
      <w:bookmarkStart w:id="1148" w:name="Bookmark_I4VKD23T0K1MNJ2M60000400"/>
      <w:bookmarkEnd w:id="1147"/>
      <w:bookmarkEnd w:id="1148"/>
      <w:r>
        <w:rPr>
          <w:rFonts w:ascii="Arial" w:eastAsia="Arial" w:hAnsi="Arial" w:cs="Arial"/>
          <w:i/>
          <w:color w:val="000000"/>
          <w:sz w:val="20"/>
        </w:rPr>
        <w:t>Id</w:t>
      </w:r>
      <w:r>
        <w:rPr>
          <w:rFonts w:ascii="Arial" w:eastAsia="Arial" w:hAnsi="Arial" w:cs="Arial"/>
          <w:color w:val="000000"/>
          <w:sz w:val="20"/>
        </w:rPr>
        <w:t xml:space="preserve">. at 482; </w:t>
      </w:r>
      <w:bookmarkStart w:id="1149" w:name="Bookmark_I4VKD23T0K1MNJ2M80000400"/>
      <w:bookmarkEnd w:id="1149"/>
      <w:r>
        <w:rPr>
          <w:rFonts w:ascii="Arial" w:eastAsia="Arial" w:hAnsi="Arial" w:cs="Arial"/>
          <w:color w:val="000000"/>
          <w:sz w:val="20"/>
        </w:rPr>
        <w:t xml:space="preserve">119 S. Ct. at 2146. "A 'disability' exists only where an impairment 'substantially limits' a major life activity, not where it 'might,' 'could,' or 'would' be substantially limiting if mitigating measures were not taken." </w:t>
      </w:r>
      <w:r>
        <w:rPr>
          <w:rFonts w:ascii="Arial" w:eastAsia="Arial" w:hAnsi="Arial" w:cs="Arial"/>
          <w:i/>
          <w:color w:val="000000"/>
          <w:sz w:val="20"/>
        </w:rPr>
        <w:t>Id</w:t>
      </w:r>
      <w:r>
        <w:rPr>
          <w:rFonts w:ascii="Arial" w:eastAsia="Arial" w:hAnsi="Arial" w:cs="Arial"/>
          <w:color w:val="000000"/>
          <w:sz w:val="20"/>
        </w:rPr>
        <w:t xml:space="preserve">.; </w:t>
      </w:r>
      <w:bookmarkStart w:id="1150" w:name="Bookmark_I4VKD23T0K1MNJ2MB0000400"/>
      <w:bookmarkEnd w:id="1150"/>
      <w:r>
        <w:rPr>
          <w:rFonts w:ascii="Arial" w:eastAsia="Arial" w:hAnsi="Arial" w:cs="Arial"/>
          <w:color w:val="000000"/>
          <w:sz w:val="20"/>
        </w:rPr>
        <w:t xml:space="preserve">119 S. Ct. at 2146. </w:t>
      </w:r>
      <w:bookmarkStart w:id="1151" w:name="Bookmark_I4VKD23T0K1MNJ2NY0000400_2"/>
      <w:bookmarkEnd w:id="1151"/>
      <w:r>
        <w:rPr>
          <w:rFonts w:ascii="Arial" w:eastAsia="Arial" w:hAnsi="Arial" w:cs="Arial"/>
          <w:color w:val="000000"/>
          <w:sz w:val="20"/>
        </w:rPr>
        <w:t xml:space="preserve">This court holds that whether an impairment is substantially limiting "is determined in light of (1) the nature and severity of the impairment; (2) its duration or expected duration; and (3) its permanent or expected permanent or long-term impact." </w:t>
      </w:r>
      <w:bookmarkStart w:id="1152" w:name="Bookmark_I4VKD23T0K1MNJ2NX0000400"/>
      <w:bookmarkEnd w:id="1152"/>
      <w:r>
        <w:rPr>
          <w:rFonts w:ascii="Arial" w:eastAsia="Arial" w:hAnsi="Arial" w:cs="Arial"/>
          <w:i/>
          <w:color w:val="000000"/>
          <w:sz w:val="20"/>
        </w:rPr>
        <w:t>Dutcher v. Ingalls Shipbuilding</w:t>
      </w:r>
      <w:r>
        <w:rPr>
          <w:rFonts w:ascii="Arial" w:eastAsia="Arial" w:hAnsi="Arial" w:cs="Arial"/>
          <w:color w:val="000000"/>
          <w:sz w:val="20"/>
        </w:rPr>
        <w:t>, 53 F.3d 723, 726 (5th Cir. 1995) (citing 29 C.F.R. § 1630 app., § 1630.2(j)).</w:t>
      </w:r>
    </w:p>
    <w:p w:rsidR="006E038D" w:rsidRDefault="00000000">
      <w:pPr>
        <w:pStyle w:val="Normal9"/>
        <w:widowControl w:val="0"/>
        <w:spacing w:before="200" w:line="260" w:lineRule="atLeast"/>
        <w:jc w:val="both"/>
      </w:pPr>
      <w:bookmarkStart w:id="1153" w:name="Bookmark_para_28_4"/>
      <w:bookmarkStart w:id="1154" w:name="Bookmark_I4VKD23T0K1MNJ2P10000400"/>
      <w:bookmarkStart w:id="1155" w:name="Bookmark_I4VKD23T0K1MNJ2P00000400"/>
      <w:bookmarkEnd w:id="1153"/>
      <w:bookmarkEnd w:id="1154"/>
      <w:bookmarkEnd w:id="1155"/>
      <w:r>
        <w:rPr>
          <w:rFonts w:ascii="Arial" w:eastAsia="Arial" w:hAnsi="Arial" w:cs="Arial"/>
          <w:i/>
          <w:color w:val="000000"/>
          <w:sz w:val="20"/>
        </w:rPr>
        <w:t>Heiko v. Colombo Savings Bank, F.S.B</w:t>
      </w:r>
      <w:r>
        <w:rPr>
          <w:rFonts w:ascii="Arial" w:eastAsia="Arial" w:hAnsi="Arial" w:cs="Arial"/>
          <w:color w:val="000000"/>
          <w:sz w:val="20"/>
        </w:rPr>
        <w:t>., 434 F.3d 249 (4th Cir. 2006), concludes that kidney failure substantially impairs the ability to eliminate bodily waste.  [**16] The Fourth Circuit compared Heiko's method of waste elimination to that of the average person:</w:t>
      </w:r>
    </w:p>
    <w:p w:rsidR="006E038D" w:rsidRDefault="00000000">
      <w:pPr>
        <w:pStyle w:val="Normal9"/>
        <w:widowControl w:val="0"/>
        <w:spacing w:line="260" w:lineRule="atLeast"/>
        <w:ind w:left="400"/>
        <w:jc w:val="both"/>
      </w:pPr>
      <w:bookmarkStart w:id="1156" w:name="Bookmark_para_29_4"/>
      <w:bookmarkStart w:id="1157" w:name="Bookmark_I4VKD23T0K1MNJ2P10000400_2"/>
      <w:bookmarkEnd w:id="1156"/>
      <w:bookmarkEnd w:id="1157"/>
      <w:r>
        <w:rPr>
          <w:rFonts w:ascii="Arial" w:eastAsia="Arial" w:hAnsi="Arial" w:cs="Arial"/>
          <w:color w:val="000000"/>
          <w:sz w:val="20"/>
        </w:rPr>
        <w:t xml:space="preserve">In order to accomplish the equivalent of urination, Heiko had to . . . tether himself to a dialysis machine three afternoons per week, for a total of twelve hours. This did not include travel time to and from the dialysis center, or the time required to set up the dialysis equipment. </w:t>
      </w:r>
      <w:bookmarkStart w:id="1158" w:name="Bookmark_I4VKD23T0K1MNJ2RJ0000400"/>
      <w:bookmarkEnd w:id="1158"/>
      <w:r>
        <w:rPr>
          <w:rFonts w:ascii="Arial" w:eastAsia="Arial" w:hAnsi="Arial" w:cs="Arial"/>
          <w:color w:val="000000"/>
          <w:sz w:val="20"/>
        </w:rPr>
        <w:t xml:space="preserve">Dialysis also unyieldingly set the terms of his daily schedule. </w:t>
      </w:r>
      <w:bookmarkStart w:id="1159" w:name="Bookmark_I4VKD23T0K1MNJ2RM0000400"/>
      <w:bookmarkEnd w:id="1159"/>
      <w:r>
        <w:rPr>
          <w:rFonts w:ascii="Arial" w:eastAsia="Arial" w:hAnsi="Arial" w:cs="Arial"/>
          <w:color w:val="000000"/>
          <w:sz w:val="20"/>
        </w:rPr>
        <w:t>While he was able to work a forty-hour week, his condition required him to arrive at work by 7:00 a.m. every other day. And whereas urination does not have side effects, after dialysis Heiko felt nauseous and depleted, unable even to stand in the shower.</w:t>
      </w:r>
    </w:p>
    <w:p w:rsidR="006E038D" w:rsidRDefault="00000000">
      <w:pPr>
        <w:pStyle w:val="Normal9"/>
        <w:widowControl w:val="0"/>
        <w:spacing w:before="200" w:line="260" w:lineRule="atLeast"/>
        <w:jc w:val="both"/>
      </w:pPr>
      <w:bookmarkStart w:id="1160" w:name="Bookmark_I4VKD23T0K1MNJ2RM0000400_2"/>
      <w:bookmarkStart w:id="1161" w:name="Bookmark_I4VKD23T0K1MNJ2RJ0000400_2"/>
      <w:bookmarkStart w:id="1162" w:name="Bookmark_I4VKD23T0K1MNJ2RH0000400"/>
      <w:bookmarkEnd w:id="1160"/>
      <w:bookmarkEnd w:id="1161"/>
      <w:bookmarkEnd w:id="1162"/>
      <w:r>
        <w:rPr>
          <w:rFonts w:ascii="Arial" w:eastAsia="Arial" w:hAnsi="Arial" w:cs="Arial"/>
          <w:i/>
          <w:color w:val="000000"/>
          <w:sz w:val="20"/>
        </w:rPr>
        <w:t>Id</w:t>
      </w:r>
      <w:r>
        <w:rPr>
          <w:rFonts w:ascii="Arial" w:eastAsia="Arial" w:hAnsi="Arial" w:cs="Arial"/>
          <w:color w:val="000000"/>
          <w:sz w:val="20"/>
        </w:rPr>
        <w:t xml:space="preserve">. at 257. In contrast, the Sixth Circuit described relatively simple treatment when finding that diabetes did not substantially impair major life activities: "The fact that McPherson needed to check his blood sugar regularly and to attend medical appointments does not establish that he was substantially limited in his ability to see or care for himself." </w:t>
      </w:r>
      <w:bookmarkStart w:id="1163" w:name="Bookmark_I4VKD23T0K1MNJ2RK0000400"/>
      <w:bookmarkEnd w:id="1163"/>
      <w:r>
        <w:rPr>
          <w:rFonts w:ascii="Arial" w:eastAsia="Arial" w:hAnsi="Arial" w:cs="Arial"/>
          <w:i/>
          <w:color w:val="000000"/>
          <w:sz w:val="20"/>
        </w:rPr>
        <w:t>McPherson v. Federal Express Corp</w:t>
      </w:r>
      <w:r>
        <w:rPr>
          <w:rFonts w:ascii="Arial" w:eastAsia="Arial" w:hAnsi="Arial" w:cs="Arial"/>
          <w:color w:val="000000"/>
          <w:sz w:val="20"/>
        </w:rPr>
        <w:t xml:space="preserve">., 241 Fed. Appx. 277, 282-83 (6th Cir. 2007). </w:t>
      </w:r>
      <w:bookmarkStart w:id="1164" w:name="Bookmark_LNHNREFclscc14_0"/>
      <w:bookmarkEnd w:id="1164"/>
      <w:r>
        <w:rPr>
          <w:rFonts w:ascii="Arial" w:eastAsia="Arial" w:hAnsi="Arial" w:cs="Arial"/>
          <w:color w:val="000000"/>
          <w:sz w:val="20"/>
        </w:rPr>
        <w:t>The use of artificial means to accomplish a major life activity  [**17] does not alone establish substantial impairment. The court must examine the impact of the mitigating measures on the worker's individual life.</w:t>
      </w:r>
    </w:p>
    <w:p w:rsidR="006E038D" w:rsidRDefault="00000000">
      <w:pPr>
        <w:pStyle w:val="Normal9"/>
        <w:widowControl w:val="0"/>
        <w:spacing w:before="200" w:line="260" w:lineRule="atLeast"/>
        <w:jc w:val="both"/>
      </w:pPr>
      <w:bookmarkStart w:id="1165" w:name="Bookmark_para_30_4"/>
      <w:bookmarkEnd w:id="1165"/>
      <w:r>
        <w:rPr>
          <w:rFonts w:ascii="Arial" w:eastAsia="Arial" w:hAnsi="Arial" w:cs="Arial"/>
          <w:color w:val="000000"/>
          <w:sz w:val="20"/>
        </w:rPr>
        <w:t xml:space="preserve">Velez has over the years adopted a variety of strategies to regulate his body temperature, including drinking cold liquids, sitting in front of a fan, spraying himself with water, resting when laboring on hot days, and using air conditioning. These behaviors are common and, in some cases, essential in southern climates or during heat spells even for individuals capable of sweating. Velez does not require special measures to regulate his body temperature--he simply uses routine  [*471]  measures with greater frequency or longer duration than the average person. Velez testified that with access to water and a fan, he can do manual labor just like anybody else. </w:t>
      </w:r>
      <w:r>
        <w:rPr>
          <w:rFonts w:ascii="Arial" w:eastAsia="Arial" w:hAnsi="Arial" w:cs="Arial"/>
          <w:vertAlign w:val="superscript"/>
        </w:rPr>
        <w:footnoteReference w:customMarkFollows="1" w:id="44"/>
        <w:t>9</w:t>
      </w:r>
      <w:r>
        <w:rPr>
          <w:rFonts w:ascii="Arial" w:eastAsia="Arial" w:hAnsi="Arial" w:cs="Arial"/>
          <w:color w:val="000000"/>
          <w:sz w:val="20"/>
        </w:rPr>
        <w:t xml:space="preserve"> </w:t>
      </w:r>
    </w:p>
    <w:p w:rsidR="006E038D" w:rsidRDefault="00000000">
      <w:pPr>
        <w:pStyle w:val="Normal9"/>
        <w:widowControl w:val="0"/>
        <w:spacing w:before="200" w:line="260" w:lineRule="atLeast"/>
        <w:jc w:val="both"/>
      </w:pPr>
      <w:bookmarkStart w:id="1172" w:name="Bookmark_para_36_2"/>
      <w:bookmarkStart w:id="1173" w:name="Bookmark_I6NSWMXFG5500005HN2000H6"/>
      <w:bookmarkStart w:id="1174" w:name="Bookmark_I4VKD23T0K1MNJ2S20000400"/>
      <w:bookmarkEnd w:id="1172"/>
      <w:bookmarkEnd w:id="1173"/>
      <w:bookmarkEnd w:id="1174"/>
      <w:r>
        <w:rPr>
          <w:rFonts w:ascii="Arial" w:eastAsia="Arial" w:hAnsi="Arial" w:cs="Arial"/>
          <w:color w:val="000000"/>
          <w:sz w:val="20"/>
        </w:rPr>
        <w:t xml:space="preserve">This increased use of ordinary methods of temperature regulation resembles the corrective lenses in </w:t>
      </w:r>
      <w:r>
        <w:rPr>
          <w:rFonts w:ascii="Arial" w:eastAsia="Arial" w:hAnsi="Arial" w:cs="Arial"/>
          <w:i/>
          <w:color w:val="000000"/>
          <w:sz w:val="20"/>
        </w:rPr>
        <w:t>Sutton</w:t>
      </w:r>
      <w:r>
        <w:rPr>
          <w:rFonts w:ascii="Arial" w:eastAsia="Arial" w:hAnsi="Arial" w:cs="Arial"/>
          <w:color w:val="000000"/>
          <w:sz w:val="20"/>
        </w:rPr>
        <w:t xml:space="preserve"> far more closely than it resembles the onerous dialysis regime in </w:t>
      </w:r>
      <w:bookmarkStart w:id="1175" w:name="Bookmark_I4VKD23T0K1MNJ2RN0000400"/>
      <w:bookmarkEnd w:id="1175"/>
      <w:r>
        <w:rPr>
          <w:rFonts w:ascii="Arial" w:eastAsia="Arial" w:hAnsi="Arial" w:cs="Arial"/>
          <w:i/>
          <w:color w:val="000000"/>
          <w:sz w:val="20"/>
        </w:rPr>
        <w:t>Heiko</w:t>
      </w:r>
      <w:bookmarkStart w:id="1176" w:name="Bookmark_I6NSWMXF0CV00005HN200114"/>
      <w:bookmarkStart w:id="1177" w:name="Bookmark_I4VKD23T0K1MNJ2S40000400"/>
      <w:bookmarkEnd w:id="1176"/>
      <w:bookmarkEnd w:id="1177"/>
      <w:r>
        <w:rPr>
          <w:rFonts w:ascii="Arial" w:eastAsia="Arial" w:hAnsi="Arial" w:cs="Arial"/>
          <w:color w:val="000000"/>
          <w:sz w:val="20"/>
        </w:rPr>
        <w:t xml:space="preserve">. Because  [**18] Velez regulates his body temperature without significant side effects and in essentially the same manner as the average person, no genuine issue exists as to whether his impairment "substantially limits" a major life activity. </w:t>
      </w:r>
      <w:bookmarkStart w:id="1178" w:name="Bookmark_I4VKD23T0K1MNJ2S40000400_2"/>
      <w:bookmarkEnd w:id="1178"/>
      <w:r>
        <w:rPr>
          <w:rFonts w:ascii="Arial" w:eastAsia="Arial" w:hAnsi="Arial" w:cs="Arial"/>
          <w:i/>
          <w:color w:val="000000"/>
          <w:sz w:val="20"/>
        </w:rPr>
        <w:t xml:space="preserve">See </w:t>
      </w:r>
      <w:bookmarkStart w:id="1179" w:name="Bookmark_I4VKD23T0K1MNJ2S30000400"/>
      <w:bookmarkEnd w:id="1179"/>
      <w:r>
        <w:rPr>
          <w:rFonts w:ascii="Arial" w:eastAsia="Arial" w:hAnsi="Arial" w:cs="Arial"/>
          <w:i/>
          <w:color w:val="000000"/>
          <w:sz w:val="20"/>
        </w:rPr>
        <w:t>Sutton</w:t>
      </w:r>
      <w:r>
        <w:rPr>
          <w:rFonts w:ascii="Arial" w:eastAsia="Arial" w:hAnsi="Arial" w:cs="Arial"/>
          <w:color w:val="000000"/>
          <w:sz w:val="20"/>
        </w:rPr>
        <w:t xml:space="preserve">, 527 U.S. at 482-83; </w:t>
      </w:r>
      <w:bookmarkStart w:id="1180" w:name="Bookmark_I4VKD23T0K1MNJ2S50000400"/>
      <w:bookmarkEnd w:id="1180"/>
      <w:r>
        <w:rPr>
          <w:rFonts w:ascii="Arial" w:eastAsia="Arial" w:hAnsi="Arial" w:cs="Arial"/>
          <w:color w:val="000000"/>
          <w:sz w:val="20"/>
        </w:rPr>
        <w:t>119 S. Ct. at 2146-47.</w:t>
      </w:r>
    </w:p>
    <w:p w:rsidR="006E038D" w:rsidRDefault="00000000">
      <w:pPr>
        <w:pStyle w:val="Normal9"/>
        <w:widowControl w:val="0"/>
        <w:spacing w:before="240" w:line="260" w:lineRule="atLeast"/>
      </w:pPr>
      <w:r>
        <w:br/>
      </w:r>
      <w:r>
        <w:rPr>
          <w:rFonts w:ascii="Arial" w:eastAsia="Arial" w:hAnsi="Arial" w:cs="Arial"/>
          <w:b/>
          <w:color w:val="000000"/>
          <w:sz w:val="20"/>
        </w:rPr>
        <w:t>B. Reasonable Accommodation</w:t>
      </w:r>
    </w:p>
    <w:p w:rsidR="006E038D" w:rsidRDefault="00000000">
      <w:pPr>
        <w:pStyle w:val="Normal9"/>
        <w:widowControl w:val="0"/>
        <w:spacing w:before="200" w:line="260" w:lineRule="atLeast"/>
        <w:jc w:val="both"/>
      </w:pPr>
      <w:bookmarkStart w:id="1181" w:name="Bookmark_para_37_2"/>
      <w:bookmarkEnd w:id="1181"/>
      <w:r>
        <w:rPr>
          <w:rFonts w:ascii="Arial" w:eastAsia="Arial" w:hAnsi="Arial" w:cs="Arial"/>
          <w:color w:val="000000"/>
          <w:sz w:val="20"/>
        </w:rPr>
        <w:t xml:space="preserve">Even if Velez suffered from a disability as defined by the ADA, no reasonable jury could find that Agro failed to grant his request for a reasonable accommodation. </w:t>
      </w:r>
      <w:bookmarkStart w:id="1182" w:name="Bookmark_I4VKD23T0K1MNJ2TB0000400"/>
      <w:bookmarkStart w:id="1183" w:name="Bookmark_LNHNREFclscc15_0"/>
      <w:bookmarkEnd w:id="1182"/>
      <w:bookmarkEnd w:id="1183"/>
      <w:r>
        <w:rPr>
          <w:rFonts w:ascii="Arial" w:eastAsia="Arial" w:hAnsi="Arial" w:cs="Arial"/>
          <w:color w:val="000000"/>
          <w:sz w:val="20"/>
        </w:rPr>
        <w:t xml:space="preserve">When a qualified individual with a disability requests a reasonable accommodation, the employer and employee should engage in flexible, interactive discussions to determine the appropriate accommodation. 29 C.F.R. pt. 1630, App., § 1630.9. The ADA provides a right to reasonable accommodation, not to the employee's preferred accommodation. </w:t>
      </w:r>
      <w:bookmarkStart w:id="1184" w:name="Bookmark_I4VKD23T0K1MNJ2T90000400"/>
      <w:bookmarkEnd w:id="1184"/>
      <w:r>
        <w:rPr>
          <w:rFonts w:ascii="Arial" w:eastAsia="Arial" w:hAnsi="Arial" w:cs="Arial"/>
          <w:i/>
          <w:color w:val="000000"/>
          <w:sz w:val="20"/>
        </w:rPr>
        <w:t>Hedrick v. Western Reserve Care System</w:t>
      </w:r>
      <w:r>
        <w:rPr>
          <w:rFonts w:ascii="Arial" w:eastAsia="Arial" w:hAnsi="Arial" w:cs="Arial"/>
          <w:color w:val="000000"/>
          <w:sz w:val="20"/>
        </w:rPr>
        <w:t>, 355 F.3d 444, 457 (6th Cir. 2004). The Appendix to the ADA regulations explains:</w:t>
      </w:r>
    </w:p>
    <w:p w:rsidR="006E038D" w:rsidRDefault="00000000">
      <w:pPr>
        <w:pStyle w:val="Normal9"/>
        <w:widowControl w:val="0"/>
        <w:spacing w:before="200" w:line="260" w:lineRule="atLeast"/>
        <w:ind w:left="400"/>
        <w:jc w:val="both"/>
      </w:pPr>
      <w:bookmarkStart w:id="1185" w:name="Bookmark_para_38_2"/>
      <w:bookmarkEnd w:id="1185"/>
      <w:r>
        <w:rPr>
          <w:rFonts w:ascii="Arial" w:eastAsia="Arial" w:hAnsi="Arial" w:cs="Arial"/>
          <w:color w:val="000000"/>
          <w:sz w:val="20"/>
        </w:rPr>
        <w:t>The accommodation, however, does not have to be the "best" accommodation possible, so long as it is sufficient to meet the job-related needs of the individual being accommodated. . . . [T]he employer providing the accommodation has the ultimate discretion to choose between  [**19] effective accommodations, and may choose the less expensive accommodation or the accommodation that is easier for it to provide.</w:t>
      </w:r>
    </w:p>
    <w:p w:rsidR="006E038D" w:rsidRDefault="00000000">
      <w:pPr>
        <w:pStyle w:val="Normal9"/>
        <w:widowControl w:val="0"/>
        <w:spacing w:line="260" w:lineRule="atLeast"/>
        <w:jc w:val="both"/>
      </w:pPr>
      <w:r>
        <w:rPr>
          <w:rFonts w:ascii="Arial" w:eastAsia="Arial" w:hAnsi="Arial" w:cs="Arial"/>
          <w:color w:val="000000"/>
          <w:sz w:val="20"/>
        </w:rPr>
        <w:t>29 C.F.R. pt. 1630, App., § 1630.9.</w:t>
      </w:r>
    </w:p>
    <w:p w:rsidR="006E038D" w:rsidRDefault="00000000">
      <w:pPr>
        <w:pStyle w:val="Normal9"/>
        <w:widowControl w:val="0"/>
        <w:spacing w:before="200" w:line="260" w:lineRule="atLeast"/>
        <w:jc w:val="both"/>
      </w:pPr>
      <w:bookmarkStart w:id="1186" w:name="Bookmark_para_39_2"/>
      <w:bookmarkEnd w:id="1186"/>
      <w:r>
        <w:rPr>
          <w:rFonts w:ascii="Arial" w:eastAsia="Arial" w:hAnsi="Arial" w:cs="Arial"/>
          <w:color w:val="000000"/>
          <w:sz w:val="20"/>
        </w:rPr>
        <w:t xml:space="preserve">During his employment at Agro, Velez had loaded the feed barrels twice before. Agro provided him with reasonable accommodation by allowing him to take breaks as necessary to cool himself off. During his deposition, Velez testified that the only accommodation he needed was "air movement and clean water." </w:t>
      </w:r>
      <w:r>
        <w:rPr>
          <w:rFonts w:ascii="Arial" w:eastAsia="Arial" w:hAnsi="Arial" w:cs="Arial"/>
          <w:vertAlign w:val="superscript"/>
        </w:rPr>
        <w:footnoteReference w:customMarkFollows="1" w:id="45"/>
        <w:t>10</w:t>
      </w:r>
      <w:r>
        <w:rPr>
          <w:rFonts w:ascii="Arial" w:eastAsia="Arial" w:hAnsi="Arial" w:cs="Arial"/>
          <w:color w:val="000000"/>
          <w:sz w:val="20"/>
        </w:rPr>
        <w:t xml:space="preserve"> Velez stated that he was capable of half-an-hour of "hard, physical labor" at 80 degrees before needing to take a break. No evidence suggests that Agro would have denied Velez this accommodation on the day in question. Instead of accepting this accommodation, however, Velez demanded a different accommodation: to be completely excused from the task.</w:t>
      </w:r>
    </w:p>
    <w:p w:rsidR="006E038D" w:rsidRDefault="00000000">
      <w:pPr>
        <w:pStyle w:val="Normal9"/>
        <w:widowControl w:val="0"/>
        <w:spacing w:before="200" w:line="260" w:lineRule="atLeast"/>
        <w:jc w:val="both"/>
      </w:pPr>
      <w:bookmarkStart w:id="1189" w:name="Bookmark_para_40_2"/>
      <w:bookmarkStart w:id="1190" w:name="Bookmark_I4VKD23T0K1MNJ2TD0000400"/>
      <w:bookmarkEnd w:id="1189"/>
      <w:bookmarkEnd w:id="1190"/>
      <w:r>
        <w:rPr>
          <w:rFonts w:ascii="Arial" w:eastAsia="Arial" w:hAnsi="Arial" w:cs="Arial"/>
          <w:color w:val="000000"/>
          <w:sz w:val="20"/>
        </w:rPr>
        <w:t xml:space="preserve">The reasonable accommodation analysis is hindered because Velez did not show up for work. Any discussion of the accommodations that might have been provided or denied is mere speculation. </w:t>
      </w:r>
      <w:r>
        <w:rPr>
          <w:rFonts w:ascii="Arial" w:eastAsia="Arial" w:hAnsi="Arial" w:cs="Arial"/>
          <w:vertAlign w:val="superscript"/>
        </w:rPr>
        <w:footnoteReference w:customMarkFollows="1" w:id="46"/>
        <w:t>11</w:t>
      </w:r>
      <w:r>
        <w:rPr>
          <w:rFonts w:ascii="Arial" w:eastAsia="Arial" w:hAnsi="Arial" w:cs="Arial"/>
          <w:color w:val="000000"/>
          <w:sz w:val="20"/>
        </w:rPr>
        <w:t xml:space="preserve"> The panel in </w:t>
      </w:r>
      <w:bookmarkStart w:id="1192" w:name="Bookmark_I4VKD23T0K1MNJ2TC0000400"/>
      <w:bookmarkEnd w:id="1192"/>
      <w:r>
        <w:rPr>
          <w:rFonts w:ascii="Arial" w:eastAsia="Arial" w:hAnsi="Arial" w:cs="Arial"/>
          <w:i/>
          <w:color w:val="000000"/>
          <w:sz w:val="20"/>
        </w:rPr>
        <w:t>Loulseged v. Akzo Nobel Inc</w:t>
      </w:r>
      <w:r>
        <w:rPr>
          <w:rFonts w:ascii="Arial" w:eastAsia="Arial" w:hAnsi="Arial" w:cs="Arial"/>
          <w:color w:val="000000"/>
          <w:sz w:val="20"/>
        </w:rPr>
        <w:t>., 178 F.3d 731 (5th Cir. 1999),  [**20] confronted a similar issue:</w:t>
      </w:r>
    </w:p>
    <w:p w:rsidR="006E038D" w:rsidRDefault="00000000">
      <w:pPr>
        <w:pStyle w:val="Normal9"/>
        <w:widowControl w:val="0"/>
        <w:spacing w:before="200" w:line="260" w:lineRule="atLeast"/>
        <w:ind w:left="400"/>
        <w:jc w:val="both"/>
      </w:pPr>
      <w:bookmarkStart w:id="1193" w:name="Bookmark_para_41_2"/>
      <w:bookmarkStart w:id="1194" w:name="Bookmark_I4VKD23T0K1MNJ2TD0000400_2"/>
      <w:bookmarkEnd w:id="1193"/>
      <w:bookmarkEnd w:id="1194"/>
      <w:r>
        <w:rPr>
          <w:rFonts w:ascii="Arial" w:eastAsia="Arial" w:hAnsi="Arial" w:cs="Arial"/>
          <w:color w:val="000000"/>
          <w:sz w:val="20"/>
        </w:rPr>
        <w:t xml:space="preserve">It is difficult to judge the reasonableness of accommodations when the employee withdraws before we can say with any authority what these accommodations would have been. . . . Given this time  [*472]  frame, we believe it is impossible to judge the offer [of accommodation] as being the beginning and end of Akzo's substitute accommodations. Had she not quit, Akzo might have provided her with a squadron of Olympic weightlifters and a Mercedes-Benz chemical transport vehicle to aid her in her tasks. </w:t>
      </w:r>
      <w:bookmarkStart w:id="1195" w:name="Bookmark_I6NSWMXF4XN00005HN200115"/>
      <w:bookmarkStart w:id="1196" w:name="Bookmark_I4VKD23T0K1MNJ2V60000400"/>
      <w:bookmarkEnd w:id="1195"/>
      <w:bookmarkEnd w:id="1196"/>
      <w:r>
        <w:rPr>
          <w:rFonts w:ascii="Arial" w:eastAsia="Arial" w:hAnsi="Arial" w:cs="Arial"/>
          <w:color w:val="000000"/>
          <w:sz w:val="20"/>
        </w:rPr>
        <w:t>It also might have ordered her on pain of termination to move fifty-pound containers unaided. Because of Loulseged's decision to quit, we simply cannot know.</w:t>
      </w:r>
    </w:p>
    <w:p w:rsidR="006E038D" w:rsidRDefault="00000000">
      <w:pPr>
        <w:pStyle w:val="Normal9"/>
        <w:widowControl w:val="0"/>
        <w:spacing w:before="200" w:line="260" w:lineRule="atLeast"/>
        <w:jc w:val="both"/>
      </w:pPr>
      <w:bookmarkStart w:id="1197" w:name="Bookmark_I4VKD23T0K1MNJ2V60000400_2"/>
      <w:bookmarkStart w:id="1198" w:name="Bookmark_I4VKD23T0K1MNJ2TF0000400"/>
      <w:bookmarkEnd w:id="1197"/>
      <w:bookmarkEnd w:id="1198"/>
      <w:r>
        <w:rPr>
          <w:rFonts w:ascii="Arial" w:eastAsia="Arial" w:hAnsi="Arial" w:cs="Arial"/>
          <w:i/>
          <w:color w:val="000000"/>
          <w:sz w:val="20"/>
        </w:rPr>
        <w:t>Id</w:t>
      </w:r>
      <w:r>
        <w:rPr>
          <w:rFonts w:ascii="Arial" w:eastAsia="Arial" w:hAnsi="Arial" w:cs="Arial"/>
          <w:color w:val="000000"/>
          <w:sz w:val="20"/>
        </w:rPr>
        <w:t xml:space="preserve">. at 734-35. Agro might have allowed Velez to move a single barrel and let him rest while everyone else loaded barrels, or Agro might have ordered him to load barrels for hours without any breaks. Because Velez refused to show up, as in </w:t>
      </w:r>
      <w:r>
        <w:rPr>
          <w:rFonts w:ascii="Arial" w:eastAsia="Arial" w:hAnsi="Arial" w:cs="Arial"/>
          <w:i/>
          <w:color w:val="000000"/>
          <w:sz w:val="20"/>
        </w:rPr>
        <w:t>Loulseged</w:t>
      </w:r>
      <w:r>
        <w:rPr>
          <w:rFonts w:ascii="Arial" w:eastAsia="Arial" w:hAnsi="Arial" w:cs="Arial"/>
          <w:color w:val="000000"/>
          <w:sz w:val="20"/>
        </w:rPr>
        <w:t>, we simply cannot know.</w:t>
      </w:r>
    </w:p>
    <w:p w:rsidR="006E038D" w:rsidRDefault="00000000">
      <w:pPr>
        <w:pStyle w:val="Normal9"/>
        <w:widowControl w:val="0"/>
        <w:spacing w:before="200" w:line="260" w:lineRule="atLeast"/>
        <w:jc w:val="both"/>
      </w:pPr>
      <w:bookmarkStart w:id="1199" w:name="Bookmark_para_42_2"/>
      <w:bookmarkEnd w:id="1199"/>
      <w:r>
        <w:rPr>
          <w:rFonts w:ascii="Arial" w:eastAsia="Arial" w:hAnsi="Arial" w:cs="Arial"/>
          <w:color w:val="000000"/>
          <w:sz w:val="20"/>
        </w:rPr>
        <w:t>Velez cannot benefit from this uncertainty by assuming that he would not have been allowed sufficient cooling breaks,  [**21] the same accommodation that had previously proven sufficient. Even if the particular heat of that day required Velez to take additional breaks, he was capable of assisting in the loading, at least to some extent. The ADA does not require Agro to credit Velez's unreasonable assertion that no matter the number of cooling breaks, he could not participate in loading, to any degree, without becoming ill. At his deposition, Velez clearly stated that with sufficient opportunities to cool off, he was fully capable of performing manual labor. Agro provided Velez with these opportunities in the past, and Velez's unfounded assumption that Agro would not provide him with sufficient opportunities on the morning of July 16 does not oblige Agro to excuse him from the task.</w:t>
      </w:r>
    </w:p>
    <w:p w:rsidR="006E038D" w:rsidRDefault="00000000">
      <w:pPr>
        <w:pStyle w:val="Normal9"/>
        <w:widowControl w:val="0"/>
        <w:spacing w:before="200" w:line="260" w:lineRule="atLeast"/>
        <w:jc w:val="both"/>
      </w:pPr>
      <w:bookmarkStart w:id="1200" w:name="Bookmark_para_43_2"/>
      <w:bookmarkEnd w:id="1200"/>
      <w:r>
        <w:rPr>
          <w:rFonts w:ascii="Arial" w:eastAsia="Arial" w:hAnsi="Arial" w:cs="Arial"/>
          <w:color w:val="000000"/>
          <w:sz w:val="20"/>
        </w:rPr>
        <w:t>No evidence suggests that Agro would not have provided the same accommodation that Velez previously received, and no evidence suggests that Velez could not have accomplished the task with this accommodation. Even if Velez was substantially limited in the major life activity of regulating body temperature, no genuine issue exists as to whether Agro denied Velez reasonable accommodation.</w:t>
      </w:r>
    </w:p>
    <w:p w:rsidR="006E038D" w:rsidRDefault="00000000">
      <w:pPr>
        <w:pStyle w:val="Normal9"/>
        <w:widowControl w:val="0"/>
        <w:spacing w:before="200" w:line="260" w:lineRule="atLeast"/>
        <w:jc w:val="both"/>
      </w:pPr>
      <w:bookmarkStart w:id="1201" w:name="Bookmark_para_44_2"/>
      <w:bookmarkEnd w:id="1201"/>
      <w:r>
        <w:rPr>
          <w:rFonts w:ascii="Arial" w:eastAsia="Arial" w:hAnsi="Arial" w:cs="Arial"/>
          <w:color w:val="000000"/>
          <w:sz w:val="20"/>
        </w:rPr>
        <w:t>Because no genuine issue of material fact existed  [**22] as to whether Agro denied reasonable accommodation to an individual substantially impaired in a major life activity, summary judgment in favor of Agro was appropriate.</w:t>
      </w:r>
    </w:p>
    <w:p w:rsidR="006E038D" w:rsidRDefault="00000000">
      <w:pPr>
        <w:pStyle w:val="Normal9"/>
        <w:widowControl w:val="0"/>
        <w:spacing w:before="240" w:line="260" w:lineRule="atLeast"/>
      </w:pPr>
      <w:r>
        <w:br/>
      </w:r>
      <w:r>
        <w:rPr>
          <w:rFonts w:ascii="Arial" w:eastAsia="Arial" w:hAnsi="Arial" w:cs="Arial"/>
          <w:b/>
          <w:color w:val="000000"/>
          <w:sz w:val="20"/>
        </w:rPr>
        <w:t>IV. ATTORNEYS' FEES</w:t>
      </w:r>
    </w:p>
    <w:p w:rsidR="006E038D" w:rsidRDefault="00000000">
      <w:pPr>
        <w:pStyle w:val="Normal9"/>
        <w:widowControl w:val="0"/>
        <w:spacing w:before="200" w:line="260" w:lineRule="atLeast"/>
        <w:jc w:val="both"/>
      </w:pPr>
      <w:bookmarkStart w:id="1202" w:name="Bookmark_para_45_1"/>
      <w:bookmarkStart w:id="1203" w:name="Bookmark_I4VKD23T0K1MNJ2V80000400"/>
      <w:bookmarkEnd w:id="1202"/>
      <w:bookmarkEnd w:id="1203"/>
      <w:r>
        <w:rPr>
          <w:rFonts w:ascii="Arial" w:eastAsia="Arial" w:hAnsi="Arial" w:cs="Arial"/>
          <w:color w:val="000000"/>
          <w:sz w:val="20"/>
        </w:rPr>
        <w:t xml:space="preserve">The EEOC additionally challenges the district court's award of attorneys' fees to Agro. Granting summary judgment does not compel the award of these fees. </w:t>
      </w:r>
      <w:bookmarkStart w:id="1204" w:name="Bookmark_LNHNREFclscc16_0"/>
      <w:bookmarkEnd w:id="1204"/>
      <w:r>
        <w:rPr>
          <w:rFonts w:ascii="Arial" w:eastAsia="Arial" w:hAnsi="Arial" w:cs="Arial"/>
          <w:color w:val="000000"/>
          <w:sz w:val="20"/>
        </w:rPr>
        <w:t xml:space="preserve">The district court may, in its discretion, award attorneys' fees to a prevailing defendant in a Title VII case upon a finding that the plaintiff's claim was "frivolous, unreasonable, or groundless, or that the plaintiff continued to litigate after it clearly became so." </w:t>
      </w:r>
      <w:bookmarkStart w:id="1205" w:name="Bookmark_I4VKD23T0K1MNJ2V70000400"/>
      <w:bookmarkEnd w:id="1205"/>
      <w:r>
        <w:rPr>
          <w:rFonts w:ascii="Arial" w:eastAsia="Arial" w:hAnsi="Arial" w:cs="Arial"/>
          <w:i/>
          <w:color w:val="000000"/>
          <w:sz w:val="20"/>
        </w:rPr>
        <w:t>Christiansburg Garment Co. v. EEOC</w:t>
      </w:r>
      <w:r>
        <w:rPr>
          <w:rFonts w:ascii="Arial" w:eastAsia="Arial" w:hAnsi="Arial" w:cs="Arial"/>
          <w:color w:val="000000"/>
          <w:sz w:val="20"/>
        </w:rPr>
        <w:t xml:space="preserve">, 434 U.S. 412, 421-22, 98 S. Ct. 694, 54 L. Ed. 2d 648 (1978). The Court expressly warns against using </w:t>
      </w:r>
      <w:r>
        <w:rPr>
          <w:rFonts w:ascii="Arial" w:eastAsia="Arial" w:hAnsi="Arial" w:cs="Arial"/>
          <w:i/>
          <w:color w:val="000000"/>
          <w:sz w:val="20"/>
        </w:rPr>
        <w:t>post hoc</w:t>
      </w:r>
      <w:r>
        <w:rPr>
          <w:rFonts w:ascii="Arial" w:eastAsia="Arial" w:hAnsi="Arial" w:cs="Arial"/>
          <w:color w:val="000000"/>
          <w:sz w:val="20"/>
        </w:rPr>
        <w:t xml:space="preserve"> reasoning to find that because the plaintiff did not prevail, his action was unreasonable. </w:t>
      </w:r>
      <w:r>
        <w:rPr>
          <w:rFonts w:ascii="Arial" w:eastAsia="Arial" w:hAnsi="Arial" w:cs="Arial"/>
          <w:i/>
          <w:color w:val="000000"/>
          <w:sz w:val="20"/>
        </w:rPr>
        <w:t>Id</w:t>
      </w:r>
      <w:r>
        <w:rPr>
          <w:rFonts w:ascii="Arial" w:eastAsia="Arial" w:hAnsi="Arial" w:cs="Arial"/>
          <w:color w:val="000000"/>
          <w:sz w:val="20"/>
        </w:rPr>
        <w:t>. We review the district court's award of fees for an abuse of discretion.</w:t>
      </w:r>
    </w:p>
    <w:p w:rsidR="006E038D" w:rsidRDefault="00000000">
      <w:pPr>
        <w:pStyle w:val="Normal9"/>
        <w:widowControl w:val="0"/>
        <w:spacing w:before="200" w:line="260" w:lineRule="atLeast"/>
        <w:jc w:val="both"/>
      </w:pPr>
      <w:bookmarkStart w:id="1206" w:name="Bookmark_para_46_0"/>
      <w:bookmarkEnd w:id="1206"/>
      <w:r>
        <w:rPr>
          <w:rFonts w:ascii="Arial" w:eastAsia="Arial" w:hAnsi="Arial" w:cs="Arial"/>
          <w:color w:val="000000"/>
          <w:sz w:val="20"/>
        </w:rPr>
        <w:t xml:space="preserve">Although the district court noted deficiencies in the EEOC's investigation and conciliation, "in an effort to give the EEOC the benefit of every doubt," the court awarded attorneys' fees dated from May 6, 2006. </w:t>
      </w:r>
      <w:r>
        <w:rPr>
          <w:rFonts w:ascii="Arial" w:eastAsia="Arial" w:hAnsi="Arial" w:cs="Arial"/>
          <w:vertAlign w:val="superscript"/>
        </w:rPr>
        <w:footnoteReference w:customMarkFollows="1" w:id="47"/>
        <w:t>12</w:t>
      </w:r>
      <w:r>
        <w:rPr>
          <w:rFonts w:ascii="Arial" w:eastAsia="Arial" w:hAnsi="Arial" w:cs="Arial"/>
          <w:color w:val="000000"/>
          <w:sz w:val="20"/>
        </w:rPr>
        <w:t xml:space="preserve"> On that date, counsel for Agro telephoned the regional counsel for the EEOC and explained that  [**23] Velez's deposition  [*473]  testimony revealed that he had no claim. The district court found that "the EEOC was absolutely unjustified in proceeding past the deposition of Velez."</w:t>
      </w:r>
    </w:p>
    <w:p w:rsidR="006E038D" w:rsidRDefault="00000000">
      <w:pPr>
        <w:pStyle w:val="Normal9"/>
        <w:widowControl w:val="0"/>
        <w:spacing w:before="200" w:line="260" w:lineRule="atLeast"/>
        <w:jc w:val="both"/>
      </w:pPr>
      <w:bookmarkStart w:id="1208" w:name="Bookmark_para_47_0"/>
      <w:bookmarkEnd w:id="1208"/>
      <w:r>
        <w:rPr>
          <w:rFonts w:ascii="Arial" w:eastAsia="Arial" w:hAnsi="Arial" w:cs="Arial"/>
          <w:color w:val="000000"/>
          <w:sz w:val="20"/>
        </w:rPr>
        <w:t xml:space="preserve">At his deposition, Velez testified that he was not substantially limited in a major life activity because he could regulate his body temperature with breaks, fans, and air conditioning. Velez further testified that he was not denied reasonable accommodation because he was capable of performing manual labor (at hotter temperatures than on the day in question) when given breaks to cool off and that Agro had never denied him a break. </w:t>
      </w:r>
      <w:r>
        <w:rPr>
          <w:rFonts w:ascii="Arial" w:eastAsia="Arial" w:hAnsi="Arial" w:cs="Arial"/>
          <w:vertAlign w:val="superscript"/>
        </w:rPr>
        <w:footnoteReference w:customMarkFollows="1" w:id="48"/>
        <w:t>13</w:t>
      </w:r>
      <w:r>
        <w:rPr>
          <w:rFonts w:ascii="Arial" w:eastAsia="Arial" w:hAnsi="Arial" w:cs="Arial"/>
          <w:color w:val="000000"/>
          <w:sz w:val="20"/>
        </w:rPr>
        <w:t xml:space="preserve"> Following the deposition, there was no reason to proceed. Even if the EEOC did not continue the suit in subjective bad faith, its action obviously lacked foundation at least on the question of Agro's denial of reasonable accommodation. The district court did not abuse its discretion by awarding attorneys' fees to Agro.</w:t>
      </w:r>
    </w:p>
    <w:p w:rsidR="006E038D" w:rsidRDefault="00000000">
      <w:pPr>
        <w:pStyle w:val="Normal9"/>
        <w:widowControl w:val="0"/>
        <w:spacing w:before="200" w:line="260" w:lineRule="atLeast"/>
        <w:jc w:val="both"/>
      </w:pPr>
      <w:bookmarkStart w:id="1211" w:name="Bookmark_para_48_0"/>
      <w:bookmarkStart w:id="1212" w:name="Bookmark_I4VKD23T0K1MNJ2VB0000400"/>
      <w:bookmarkEnd w:id="1211"/>
      <w:bookmarkEnd w:id="1212"/>
      <w:r>
        <w:rPr>
          <w:rFonts w:ascii="Arial" w:eastAsia="Arial" w:hAnsi="Arial" w:cs="Arial"/>
          <w:color w:val="000000"/>
          <w:sz w:val="20"/>
        </w:rPr>
        <w:t>The EEOC additionally challenges the amount of the award.</w:t>
      </w:r>
      <w:bookmarkStart w:id="1213" w:name="Bookmark_LNHNREFclscc17_0"/>
      <w:bookmarkEnd w:id="1213"/>
      <w:r>
        <w:rPr>
          <w:rFonts w:ascii="Arial" w:eastAsia="Arial" w:hAnsi="Arial" w:cs="Arial"/>
          <w:color w:val="000000"/>
          <w:sz w:val="20"/>
        </w:rPr>
        <w:t xml:space="preserve"> </w:t>
      </w:r>
      <w:bookmarkStart w:id="1214" w:name="Bookmark_I6NSWMXF9FY00005HN2000H4"/>
      <w:bookmarkStart w:id="1215" w:name="Bookmark_I4VKD23T0K1MNJ2XH0000400"/>
      <w:bookmarkEnd w:id="1214"/>
      <w:bookmarkEnd w:id="1215"/>
      <w:r>
        <w:rPr>
          <w:rFonts w:ascii="Arial" w:eastAsia="Arial" w:hAnsi="Arial" w:cs="Arial"/>
          <w:color w:val="000000"/>
          <w:sz w:val="20"/>
        </w:rPr>
        <w:t xml:space="preserve">This court reviews the determination of reasonable hours and rates for clear error and the application of the relevant factors for abuse of discretion. </w:t>
      </w:r>
      <w:bookmarkStart w:id="1216" w:name="Bookmark_I4VKD23T0K1MNJ2V90000400"/>
      <w:bookmarkEnd w:id="1216"/>
      <w:r>
        <w:rPr>
          <w:rFonts w:ascii="Arial" w:eastAsia="Arial" w:hAnsi="Arial" w:cs="Arial"/>
          <w:i/>
          <w:color w:val="000000"/>
          <w:sz w:val="20"/>
        </w:rPr>
        <w:t>No Barriers, Inc. v. Brinker Chili's Tex., Inc</w:t>
      </w:r>
      <w:r>
        <w:rPr>
          <w:rFonts w:ascii="Arial" w:eastAsia="Arial" w:hAnsi="Arial" w:cs="Arial"/>
          <w:color w:val="000000"/>
          <w:sz w:val="20"/>
        </w:rPr>
        <w:t xml:space="preserve">., 262 F.3d 496 (5th Cir. 2001). </w:t>
      </w:r>
      <w:bookmarkStart w:id="1217" w:name="Bookmark_I4VKD23T0K1MNJ2XH0000400_2"/>
      <w:bookmarkStart w:id="1218" w:name="Bookmark_I4VKD23T0K1MNJ2XK0000400"/>
      <w:bookmarkEnd w:id="1217"/>
      <w:bookmarkEnd w:id="1218"/>
      <w:r>
        <w:rPr>
          <w:rFonts w:ascii="Arial" w:eastAsia="Arial" w:hAnsi="Arial" w:cs="Arial"/>
          <w:color w:val="000000"/>
          <w:sz w:val="20"/>
        </w:rPr>
        <w:t xml:space="preserve">The factors relevant when calculating attorneys' fees are found in </w:t>
      </w:r>
      <w:bookmarkStart w:id="1219" w:name="Bookmark_I4VKD23T0K1MNJ2XG0000400"/>
      <w:bookmarkEnd w:id="1219"/>
      <w:r>
        <w:rPr>
          <w:rFonts w:ascii="Arial" w:eastAsia="Arial" w:hAnsi="Arial" w:cs="Arial"/>
          <w:i/>
          <w:color w:val="000000"/>
          <w:sz w:val="20"/>
        </w:rPr>
        <w:t>Johnson v. Georgia Highway Express</w:t>
      </w:r>
      <w:r>
        <w:rPr>
          <w:rFonts w:ascii="Arial" w:eastAsia="Arial" w:hAnsi="Arial" w:cs="Arial"/>
          <w:color w:val="000000"/>
          <w:sz w:val="20"/>
        </w:rPr>
        <w:t xml:space="preserve">, 488 F.2d 714, 717-19 (5th Cir. 1974). </w:t>
      </w:r>
      <w:bookmarkStart w:id="1220" w:name="Bookmark_I4VKD23T0K1MNJ2XK0000400_2"/>
      <w:bookmarkEnd w:id="1220"/>
      <w:r>
        <w:rPr>
          <w:rFonts w:ascii="Arial" w:eastAsia="Arial" w:hAnsi="Arial" w:cs="Arial"/>
          <w:color w:val="000000"/>
          <w:sz w:val="20"/>
        </w:rPr>
        <w:t xml:space="preserve">The district court need not specifically discuss the </w:t>
      </w:r>
      <w:r>
        <w:rPr>
          <w:rFonts w:ascii="Arial" w:eastAsia="Arial" w:hAnsi="Arial" w:cs="Arial"/>
          <w:i/>
          <w:color w:val="000000"/>
          <w:sz w:val="20"/>
        </w:rPr>
        <w:t>Johnson</w:t>
      </w:r>
      <w:r>
        <w:rPr>
          <w:rFonts w:ascii="Arial" w:eastAsia="Arial" w:hAnsi="Arial" w:cs="Arial"/>
          <w:color w:val="000000"/>
          <w:sz w:val="20"/>
        </w:rPr>
        <w:t xml:space="preserve"> factors where it has applied the </w:t>
      </w:r>
      <w:r>
        <w:rPr>
          <w:rFonts w:ascii="Arial" w:eastAsia="Arial" w:hAnsi="Arial" w:cs="Arial"/>
          <w:i/>
          <w:color w:val="000000"/>
          <w:sz w:val="20"/>
        </w:rPr>
        <w:t>Johnson</w:t>
      </w:r>
      <w:r>
        <w:rPr>
          <w:rFonts w:ascii="Arial" w:eastAsia="Arial" w:hAnsi="Arial" w:cs="Arial"/>
          <w:color w:val="000000"/>
          <w:sz w:val="20"/>
        </w:rPr>
        <w:t xml:space="preserve"> framework. </w:t>
      </w:r>
      <w:bookmarkStart w:id="1221" w:name="Bookmark_I4VKD23T0K1MNJ2XJ0000400"/>
      <w:bookmarkEnd w:id="1221"/>
      <w:r>
        <w:rPr>
          <w:rFonts w:ascii="Arial" w:eastAsia="Arial" w:hAnsi="Arial" w:cs="Arial"/>
          <w:i/>
          <w:color w:val="000000"/>
          <w:sz w:val="20"/>
        </w:rPr>
        <w:t>Cobb v. Miller</w:t>
      </w:r>
      <w:r>
        <w:rPr>
          <w:rFonts w:ascii="Arial" w:eastAsia="Arial" w:hAnsi="Arial" w:cs="Arial"/>
          <w:color w:val="000000"/>
          <w:sz w:val="20"/>
        </w:rPr>
        <w:t>, 818 F.2d 1227, 1232 (5th Cir. 1987).</w:t>
      </w:r>
    </w:p>
    <w:p w:rsidR="006E038D" w:rsidRDefault="00000000">
      <w:pPr>
        <w:pStyle w:val="Normal9"/>
        <w:widowControl w:val="0"/>
        <w:spacing w:before="200" w:line="260" w:lineRule="atLeast"/>
        <w:jc w:val="both"/>
      </w:pPr>
      <w:bookmarkStart w:id="1222" w:name="Bookmark_para_49_0"/>
      <w:bookmarkEnd w:id="1222"/>
      <w:r>
        <w:rPr>
          <w:rFonts w:ascii="Arial" w:eastAsia="Arial" w:hAnsi="Arial" w:cs="Arial"/>
          <w:color w:val="000000"/>
          <w:sz w:val="20"/>
        </w:rPr>
        <w:t xml:space="preserve">The district court's award applies the </w:t>
      </w:r>
      <w:r>
        <w:rPr>
          <w:rFonts w:ascii="Arial" w:eastAsia="Arial" w:hAnsi="Arial" w:cs="Arial"/>
          <w:i/>
          <w:color w:val="000000"/>
          <w:sz w:val="20"/>
        </w:rPr>
        <w:t>Johnson</w:t>
      </w:r>
      <w:r>
        <w:rPr>
          <w:rFonts w:ascii="Arial" w:eastAsia="Arial" w:hAnsi="Arial" w:cs="Arial"/>
          <w:color w:val="000000"/>
          <w:sz w:val="20"/>
        </w:rPr>
        <w:t xml:space="preserve"> framework: "[T]he rates charged by the respective attorneys and staff members are adequately documented and represent reasonable rates for the time and skill of the attorneys involved." The district court did not abuse its discretion in applying these factors, and the calculations of the reasonable hours and rates do not show clear error.</w:t>
      </w:r>
    </w:p>
    <w:p w:rsidR="006E038D" w:rsidRDefault="00000000">
      <w:pPr>
        <w:pStyle w:val="Normal9"/>
        <w:widowControl w:val="0"/>
        <w:spacing w:before="200" w:line="260" w:lineRule="atLeast"/>
        <w:jc w:val="both"/>
      </w:pPr>
      <w:bookmarkStart w:id="1223" w:name="Bookmark_para_50_0"/>
      <w:bookmarkEnd w:id="1223"/>
      <w:r>
        <w:rPr>
          <w:rFonts w:ascii="Arial" w:eastAsia="Arial" w:hAnsi="Arial" w:cs="Arial"/>
          <w:color w:val="000000"/>
          <w:sz w:val="20"/>
        </w:rPr>
        <w:t>Because the action lacked any foundation after Velez's deposition, the district court did not abuse its discretion by awarding attorneys' fees against EEOC.</w:t>
      </w:r>
    </w:p>
    <w:p w:rsidR="006E038D" w:rsidRDefault="00000000">
      <w:pPr>
        <w:pStyle w:val="Normal9"/>
        <w:widowControl w:val="0"/>
        <w:spacing w:before="240" w:line="260" w:lineRule="atLeast"/>
      </w:pPr>
      <w:r>
        <w:br/>
      </w:r>
      <w:r>
        <w:rPr>
          <w:rFonts w:ascii="Arial" w:eastAsia="Arial" w:hAnsi="Arial" w:cs="Arial"/>
          <w:b/>
          <w:color w:val="000000"/>
          <w:sz w:val="20"/>
        </w:rPr>
        <w:t>V. CONCLUSION</w:t>
      </w:r>
    </w:p>
    <w:p w:rsidR="006E038D" w:rsidRDefault="00000000">
      <w:pPr>
        <w:pStyle w:val="Normal9"/>
        <w:widowControl w:val="0"/>
        <w:spacing w:before="200" w:line="260" w:lineRule="atLeast"/>
        <w:jc w:val="both"/>
      </w:pPr>
      <w:bookmarkStart w:id="1224" w:name="Bookmark_para_51_0"/>
      <w:bookmarkStart w:id="1225" w:name="Bookmark_LNHNREFclscc18_0"/>
      <w:bookmarkEnd w:id="1224"/>
      <w:bookmarkEnd w:id="1225"/>
      <w:r>
        <w:rPr>
          <w:rFonts w:ascii="Arial" w:eastAsia="Arial" w:hAnsi="Arial" w:cs="Arial"/>
          <w:color w:val="000000"/>
          <w:sz w:val="20"/>
        </w:rPr>
        <w:t xml:space="preserve">The EEOC must vigorously enforce the  [**25] Americans with Disabilities Act and ensure its protections to affected workers, but in doing so, the EEOC owes duties to employers as well: a duty reasonably to investigate charges, a duty to conciliate in good faith, and a duty to cease enforcement attempts after learning that an action lacks merit. In this case, the EEOC abandoned its duties and pursued a groundless action with exorbitant demands. The district court appropriately granted summary judgment for and awarded attorneys' fees to Agro, and its judgment is </w:t>
      </w:r>
      <w:r>
        <w:rPr>
          <w:rFonts w:ascii="Arial" w:eastAsia="Arial" w:hAnsi="Arial" w:cs="Arial"/>
          <w:b/>
          <w:color w:val="000000"/>
          <w:sz w:val="20"/>
        </w:rPr>
        <w:t>AFFIRMED</w:t>
      </w:r>
      <w:r>
        <w:rPr>
          <w:rFonts w:ascii="Arial" w:eastAsia="Arial" w:hAnsi="Arial" w:cs="Arial"/>
          <w:color w:val="000000"/>
          <w:sz w:val="20"/>
        </w:rPr>
        <w:t>.</w:t>
      </w:r>
    </w:p>
    <w:p w:rsidR="006E038D" w:rsidRDefault="006E038D">
      <w:pPr>
        <w:pStyle w:val="Normal9"/>
      </w:pPr>
    </w:p>
    <w:p w:rsidR="006E038D" w:rsidRDefault="00000000">
      <w:pPr>
        <w:pStyle w:val="Normal9"/>
        <w:ind w:left="200"/>
      </w:pPr>
      <w:r>
        <w:br/>
      </w:r>
      <w:r w:rsidR="008C3211">
        <w:rPr>
          <w:noProof/>
        </w:rPr>
        <mc:AlternateContent>
          <mc:Choice Requires="wps">
            <w:drawing>
              <wp:anchor distT="0" distB="0" distL="114300" distR="114300" simplePos="0" relativeHeight="25167974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45014644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0EC817" id="Line 2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sectPr w:rsidR="006E038D">
      <w:type w:val="continuous"/>
      <w:pgSz w:w="12240" w:h="15840"/>
      <w:pgMar w:top="840" w:right="1000" w:bottom="840" w:left="1000" w:header="400" w:footer="40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B3640" w:rsidRDefault="007B3640">
      <w:r>
        <w:separator/>
      </w:r>
    </w:p>
  </w:endnote>
  <w:endnote w:type="continuationSeparator" w:id="0">
    <w:p w:rsidR="007B3640" w:rsidRDefault="007B3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6E038D">
      <w:trPr>
        <w:jc w:val="center"/>
      </w:trPr>
      <w:tc>
        <w:tcPr>
          <w:tcW w:w="2600" w:type="dxa"/>
          <w:tcMar>
            <w:top w:w="200" w:type="dxa"/>
          </w:tcMar>
          <w:vAlign w:val="center"/>
        </w:tcPr>
        <w:p w:rsidR="006E038D" w:rsidRDefault="006E038D">
          <w:pPr>
            <w:pStyle w:val="Normal0"/>
          </w:pPr>
        </w:p>
      </w:tc>
      <w:tc>
        <w:tcPr>
          <w:tcW w:w="4880" w:type="dxa"/>
          <w:tcMar>
            <w:top w:w="200" w:type="dxa"/>
          </w:tcMar>
          <w:vAlign w:val="center"/>
        </w:tcPr>
        <w:p w:rsidR="006E038D" w:rsidRDefault="006E038D">
          <w:pPr>
            <w:pStyle w:val="Normal0"/>
            <w:jc w:val="center"/>
          </w:pPr>
        </w:p>
      </w:tc>
      <w:tc>
        <w:tcPr>
          <w:tcW w:w="2600" w:type="dxa"/>
          <w:tcMar>
            <w:top w:w="200" w:type="dxa"/>
          </w:tcMar>
          <w:vAlign w:val="center"/>
        </w:tcPr>
        <w:p w:rsidR="006E038D" w:rsidRDefault="006E038D">
          <w:pPr>
            <w:pStyle w:val="Normal0"/>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0"/>
      <w:spacing w:before="20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6E038D">
      <w:trPr>
        <w:jc w:val="center"/>
      </w:trPr>
      <w:tc>
        <w:tcPr>
          <w:tcW w:w="2600" w:type="dxa"/>
          <w:tcMar>
            <w:top w:w="200" w:type="dxa"/>
          </w:tcMar>
          <w:vAlign w:val="center"/>
        </w:tcPr>
        <w:p w:rsidR="006E038D" w:rsidRDefault="006E038D">
          <w:pPr>
            <w:pStyle w:val="Normal1"/>
          </w:pPr>
        </w:p>
      </w:tc>
      <w:tc>
        <w:tcPr>
          <w:tcW w:w="4880" w:type="dxa"/>
          <w:tcMar>
            <w:top w:w="200" w:type="dxa"/>
          </w:tcMar>
          <w:vAlign w:val="center"/>
        </w:tcPr>
        <w:p w:rsidR="006E038D" w:rsidRDefault="006E038D">
          <w:pPr>
            <w:pStyle w:val="Normal1"/>
            <w:jc w:val="center"/>
          </w:pPr>
        </w:p>
      </w:tc>
      <w:tc>
        <w:tcPr>
          <w:tcW w:w="2600" w:type="dxa"/>
          <w:tcMar>
            <w:top w:w="200" w:type="dxa"/>
          </w:tcMar>
          <w:vAlign w:val="center"/>
        </w:tcPr>
        <w:p w:rsidR="006E038D" w:rsidRDefault="006E038D">
          <w:pPr>
            <w:pStyle w:val="Normal1"/>
          </w:pP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1"/>
      <w:spacing w:before="20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2"/>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6E038D">
      <w:trPr>
        <w:jc w:val="center"/>
      </w:trPr>
      <w:tc>
        <w:tcPr>
          <w:tcW w:w="2600" w:type="dxa"/>
          <w:tcMar>
            <w:top w:w="200" w:type="dxa"/>
          </w:tcMar>
          <w:vAlign w:val="center"/>
        </w:tcPr>
        <w:p w:rsidR="006E038D" w:rsidRDefault="006E038D">
          <w:pPr>
            <w:pStyle w:val="Normal2"/>
          </w:pPr>
        </w:p>
      </w:tc>
      <w:tc>
        <w:tcPr>
          <w:tcW w:w="4880" w:type="dxa"/>
          <w:tcMar>
            <w:top w:w="200" w:type="dxa"/>
          </w:tcMar>
          <w:vAlign w:val="center"/>
        </w:tcPr>
        <w:p w:rsidR="006E038D" w:rsidRDefault="006E038D">
          <w:pPr>
            <w:pStyle w:val="Normal2"/>
            <w:jc w:val="center"/>
          </w:pPr>
        </w:p>
      </w:tc>
      <w:tc>
        <w:tcPr>
          <w:tcW w:w="2600" w:type="dxa"/>
          <w:tcMar>
            <w:top w:w="200" w:type="dxa"/>
          </w:tcMar>
          <w:vAlign w:val="center"/>
        </w:tcPr>
        <w:p w:rsidR="006E038D" w:rsidRDefault="006E038D">
          <w:pPr>
            <w:pStyle w:val="Normal2"/>
          </w:pP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2"/>
      <w:spacing w:before="20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3"/>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6E038D">
      <w:trPr>
        <w:jc w:val="center"/>
      </w:trPr>
      <w:tc>
        <w:tcPr>
          <w:tcW w:w="2600" w:type="dxa"/>
          <w:tcMar>
            <w:top w:w="200" w:type="dxa"/>
          </w:tcMar>
          <w:vAlign w:val="center"/>
        </w:tcPr>
        <w:p w:rsidR="006E038D" w:rsidRDefault="006E038D">
          <w:pPr>
            <w:pStyle w:val="Normal3"/>
          </w:pPr>
        </w:p>
      </w:tc>
      <w:tc>
        <w:tcPr>
          <w:tcW w:w="4880" w:type="dxa"/>
          <w:tcMar>
            <w:top w:w="200" w:type="dxa"/>
          </w:tcMar>
          <w:vAlign w:val="center"/>
        </w:tcPr>
        <w:p w:rsidR="006E038D" w:rsidRDefault="006E038D">
          <w:pPr>
            <w:pStyle w:val="Normal3"/>
            <w:jc w:val="center"/>
          </w:pPr>
        </w:p>
      </w:tc>
      <w:tc>
        <w:tcPr>
          <w:tcW w:w="2600" w:type="dxa"/>
          <w:tcMar>
            <w:top w:w="200" w:type="dxa"/>
          </w:tcMar>
          <w:vAlign w:val="center"/>
        </w:tcPr>
        <w:p w:rsidR="006E038D" w:rsidRDefault="006E038D">
          <w:pPr>
            <w:pStyle w:val="Normal3"/>
          </w:pP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3"/>
      <w:spacing w:before="200"/>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4"/>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6E038D">
      <w:trPr>
        <w:jc w:val="center"/>
      </w:trPr>
      <w:tc>
        <w:tcPr>
          <w:tcW w:w="2600" w:type="dxa"/>
          <w:tcMar>
            <w:top w:w="200" w:type="dxa"/>
          </w:tcMar>
          <w:vAlign w:val="center"/>
        </w:tcPr>
        <w:p w:rsidR="006E038D" w:rsidRDefault="006E038D">
          <w:pPr>
            <w:pStyle w:val="Normal4"/>
          </w:pPr>
        </w:p>
      </w:tc>
      <w:tc>
        <w:tcPr>
          <w:tcW w:w="4880" w:type="dxa"/>
          <w:tcMar>
            <w:top w:w="200" w:type="dxa"/>
          </w:tcMar>
          <w:vAlign w:val="center"/>
        </w:tcPr>
        <w:p w:rsidR="006E038D" w:rsidRDefault="006E038D">
          <w:pPr>
            <w:pStyle w:val="Normal4"/>
            <w:jc w:val="center"/>
          </w:pPr>
        </w:p>
      </w:tc>
      <w:tc>
        <w:tcPr>
          <w:tcW w:w="2600" w:type="dxa"/>
          <w:tcMar>
            <w:top w:w="200" w:type="dxa"/>
          </w:tcMar>
          <w:vAlign w:val="center"/>
        </w:tcPr>
        <w:p w:rsidR="006E038D" w:rsidRDefault="006E038D">
          <w:pPr>
            <w:pStyle w:val="Normal4"/>
          </w:pP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4"/>
      <w:spacing w:before="200"/>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5"/>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6E038D">
      <w:trPr>
        <w:jc w:val="center"/>
      </w:trPr>
      <w:tc>
        <w:tcPr>
          <w:tcW w:w="2600" w:type="dxa"/>
          <w:tcMar>
            <w:top w:w="200" w:type="dxa"/>
          </w:tcMar>
          <w:vAlign w:val="center"/>
        </w:tcPr>
        <w:p w:rsidR="006E038D" w:rsidRDefault="006E038D">
          <w:pPr>
            <w:pStyle w:val="Normal5"/>
          </w:pPr>
        </w:p>
      </w:tc>
      <w:tc>
        <w:tcPr>
          <w:tcW w:w="4880" w:type="dxa"/>
          <w:tcMar>
            <w:top w:w="200" w:type="dxa"/>
          </w:tcMar>
          <w:vAlign w:val="center"/>
        </w:tcPr>
        <w:p w:rsidR="006E038D" w:rsidRDefault="006E038D">
          <w:pPr>
            <w:pStyle w:val="Normal5"/>
            <w:jc w:val="center"/>
          </w:pPr>
        </w:p>
      </w:tc>
      <w:tc>
        <w:tcPr>
          <w:tcW w:w="2600" w:type="dxa"/>
          <w:tcMar>
            <w:top w:w="200" w:type="dxa"/>
          </w:tcMar>
          <w:vAlign w:val="center"/>
        </w:tcPr>
        <w:p w:rsidR="006E038D" w:rsidRDefault="006E038D">
          <w:pPr>
            <w:pStyle w:val="Normal5"/>
          </w:pP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5"/>
      <w:spacing w:before="20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6"/>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6E038D">
      <w:trPr>
        <w:jc w:val="center"/>
      </w:trPr>
      <w:tc>
        <w:tcPr>
          <w:tcW w:w="2600" w:type="dxa"/>
          <w:tcMar>
            <w:top w:w="200" w:type="dxa"/>
          </w:tcMar>
          <w:vAlign w:val="center"/>
        </w:tcPr>
        <w:p w:rsidR="006E038D" w:rsidRDefault="006E038D">
          <w:pPr>
            <w:pStyle w:val="Normal6"/>
          </w:pPr>
        </w:p>
      </w:tc>
      <w:tc>
        <w:tcPr>
          <w:tcW w:w="4880" w:type="dxa"/>
          <w:tcMar>
            <w:top w:w="200" w:type="dxa"/>
          </w:tcMar>
          <w:vAlign w:val="center"/>
        </w:tcPr>
        <w:p w:rsidR="006E038D" w:rsidRDefault="006E038D">
          <w:pPr>
            <w:pStyle w:val="Normal6"/>
            <w:jc w:val="center"/>
          </w:pPr>
        </w:p>
      </w:tc>
      <w:tc>
        <w:tcPr>
          <w:tcW w:w="2600" w:type="dxa"/>
          <w:tcMar>
            <w:top w:w="200" w:type="dxa"/>
          </w:tcMar>
          <w:vAlign w:val="center"/>
        </w:tcPr>
        <w:p w:rsidR="006E038D" w:rsidRDefault="006E038D">
          <w:pPr>
            <w:pStyle w:val="Normal6"/>
          </w:pP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6"/>
      <w:spacing w:before="200"/>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7"/>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6E038D">
      <w:trPr>
        <w:jc w:val="center"/>
      </w:trPr>
      <w:tc>
        <w:tcPr>
          <w:tcW w:w="2600" w:type="dxa"/>
          <w:tcMar>
            <w:top w:w="200" w:type="dxa"/>
          </w:tcMar>
          <w:vAlign w:val="center"/>
        </w:tcPr>
        <w:p w:rsidR="006E038D" w:rsidRDefault="006E038D">
          <w:pPr>
            <w:pStyle w:val="Normal7"/>
          </w:pPr>
        </w:p>
      </w:tc>
      <w:tc>
        <w:tcPr>
          <w:tcW w:w="4880" w:type="dxa"/>
          <w:tcMar>
            <w:top w:w="200" w:type="dxa"/>
          </w:tcMar>
          <w:vAlign w:val="center"/>
        </w:tcPr>
        <w:p w:rsidR="006E038D" w:rsidRDefault="006E038D">
          <w:pPr>
            <w:pStyle w:val="Normal7"/>
            <w:jc w:val="center"/>
          </w:pPr>
        </w:p>
      </w:tc>
      <w:tc>
        <w:tcPr>
          <w:tcW w:w="2600" w:type="dxa"/>
          <w:tcMar>
            <w:top w:w="200" w:type="dxa"/>
          </w:tcMar>
          <w:vAlign w:val="center"/>
        </w:tcPr>
        <w:p w:rsidR="006E038D" w:rsidRDefault="006E038D">
          <w:pPr>
            <w:pStyle w:val="Normal7"/>
          </w:pP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7"/>
      <w:spacing w:before="200"/>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8"/>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6E038D">
      <w:trPr>
        <w:jc w:val="center"/>
      </w:trPr>
      <w:tc>
        <w:tcPr>
          <w:tcW w:w="2600" w:type="dxa"/>
          <w:tcMar>
            <w:top w:w="200" w:type="dxa"/>
          </w:tcMar>
          <w:vAlign w:val="center"/>
        </w:tcPr>
        <w:p w:rsidR="006E038D" w:rsidRDefault="006E038D">
          <w:pPr>
            <w:pStyle w:val="Normal8"/>
          </w:pPr>
        </w:p>
      </w:tc>
      <w:tc>
        <w:tcPr>
          <w:tcW w:w="4880" w:type="dxa"/>
          <w:tcMar>
            <w:top w:w="200" w:type="dxa"/>
          </w:tcMar>
          <w:vAlign w:val="center"/>
        </w:tcPr>
        <w:p w:rsidR="006E038D" w:rsidRDefault="006E038D">
          <w:pPr>
            <w:pStyle w:val="Normal8"/>
            <w:jc w:val="center"/>
          </w:pPr>
        </w:p>
      </w:tc>
      <w:tc>
        <w:tcPr>
          <w:tcW w:w="2600" w:type="dxa"/>
          <w:tcMar>
            <w:top w:w="200" w:type="dxa"/>
          </w:tcMar>
          <w:vAlign w:val="center"/>
        </w:tcPr>
        <w:p w:rsidR="006E038D" w:rsidRDefault="006E038D">
          <w:pPr>
            <w:pStyle w:val="Normal8"/>
          </w:pP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8"/>
      <w:spacing w:before="200"/>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9"/>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6E038D">
      <w:trPr>
        <w:jc w:val="center"/>
      </w:trPr>
      <w:tc>
        <w:tcPr>
          <w:tcW w:w="2600" w:type="dxa"/>
          <w:tcMar>
            <w:top w:w="200" w:type="dxa"/>
          </w:tcMar>
          <w:vAlign w:val="center"/>
        </w:tcPr>
        <w:p w:rsidR="006E038D" w:rsidRDefault="006E038D">
          <w:pPr>
            <w:pStyle w:val="Normal9"/>
          </w:pPr>
        </w:p>
      </w:tc>
      <w:tc>
        <w:tcPr>
          <w:tcW w:w="4880" w:type="dxa"/>
          <w:tcMar>
            <w:top w:w="200" w:type="dxa"/>
          </w:tcMar>
          <w:vAlign w:val="center"/>
        </w:tcPr>
        <w:p w:rsidR="006E038D" w:rsidRDefault="006E038D">
          <w:pPr>
            <w:pStyle w:val="Normal9"/>
            <w:jc w:val="center"/>
          </w:pPr>
        </w:p>
      </w:tc>
      <w:tc>
        <w:tcPr>
          <w:tcW w:w="2600" w:type="dxa"/>
          <w:tcMar>
            <w:top w:w="200" w:type="dxa"/>
          </w:tcMar>
          <w:vAlign w:val="center"/>
        </w:tcPr>
        <w:p w:rsidR="006E038D" w:rsidRDefault="006E038D">
          <w:pPr>
            <w:pStyle w:val="Normal9"/>
          </w:pP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9"/>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B3640" w:rsidRDefault="007B3640">
      <w:r>
        <w:separator/>
      </w:r>
    </w:p>
  </w:footnote>
  <w:footnote w:type="continuationSeparator" w:id="0">
    <w:p w:rsidR="007B3640" w:rsidRDefault="007B3640">
      <w:r>
        <w:continuationSeparator/>
      </w:r>
    </w:p>
  </w:footnote>
  <w:footnote w:id="1">
    <w:p w:rsidR="006E038D" w:rsidRDefault="00000000">
      <w:pPr>
        <w:pStyle w:val="Normal0"/>
        <w:widowControl w:val="0"/>
        <w:spacing w:before="120" w:line="240" w:lineRule="atLeast"/>
        <w:jc w:val="both"/>
      </w:pPr>
      <w:r>
        <w:rPr>
          <w:rFonts w:ascii="Arial" w:eastAsia="Arial" w:hAnsi="Arial" w:cs="Arial"/>
          <w:color w:val="000000"/>
          <w:sz w:val="18"/>
          <w:vertAlign w:val="superscript"/>
        </w:rPr>
        <w:t>* </w:t>
      </w:r>
      <w:bookmarkStart w:id="6" w:name="Bookmark_fnpara_1"/>
      <w:bookmarkEnd w:id="6"/>
      <w:r>
        <w:rPr>
          <w:rFonts w:ascii="Arial" w:eastAsia="Arial" w:hAnsi="Arial" w:cs="Arial"/>
          <w:color w:val="000000"/>
          <w:sz w:val="18"/>
        </w:rPr>
        <w:t>Hon. Louis H. Pollak, Senior Judge, United States District Court for the Eastern District of Pennsylvania, sitting by designation.</w:t>
      </w:r>
    </w:p>
  </w:footnote>
  <w:footnote w:id="2">
    <w:p w:rsidR="006E038D" w:rsidRDefault="00000000">
      <w:pPr>
        <w:pStyle w:val="Normal0"/>
        <w:widowControl w:val="0"/>
        <w:spacing w:before="200" w:line="240" w:lineRule="atLeast"/>
        <w:jc w:val="both"/>
      </w:pPr>
      <w:r>
        <w:rPr>
          <w:rFonts w:ascii="Arial" w:eastAsia="Arial" w:hAnsi="Arial" w:cs="Arial"/>
          <w:color w:val="000000"/>
          <w:sz w:val="18"/>
          <w:vertAlign w:val="superscript"/>
        </w:rPr>
        <w:t>1 </w:t>
      </w:r>
      <w:bookmarkStart w:id="207" w:name="Bookmark_fnpara_2"/>
      <w:bookmarkStart w:id="208" w:name="Bookmark_I4X77MYV0K1MNJ13V0000400"/>
      <w:bookmarkEnd w:id="207"/>
      <w:bookmarkEnd w:id="208"/>
      <w:r>
        <w:rPr>
          <w:rFonts w:ascii="Arial" w:eastAsia="Arial" w:hAnsi="Arial" w:cs="Arial"/>
          <w:color w:val="000000"/>
          <w:sz w:val="18"/>
        </w:rPr>
        <w:t xml:space="preserve">Even if the motion to dismiss were converted to a motion for summary judgment, affirmance would be appropriate. It was at most harmless error to fail to notify the parties of the intended conversion, </w:t>
      </w:r>
      <w:bookmarkStart w:id="209" w:name="Bookmark_I4X77MYV0K1MNJ13T0000400"/>
      <w:bookmarkEnd w:id="209"/>
      <w:r>
        <w:rPr>
          <w:rFonts w:ascii="Arial" w:eastAsia="Arial" w:hAnsi="Arial" w:cs="Arial"/>
          <w:i/>
          <w:color w:val="000000"/>
          <w:sz w:val="18"/>
        </w:rPr>
        <w:t>Rose v. Bartle</w:t>
      </w:r>
      <w:r>
        <w:rPr>
          <w:rFonts w:ascii="Arial" w:eastAsia="Arial" w:hAnsi="Arial" w:cs="Arial"/>
          <w:color w:val="000000"/>
          <w:sz w:val="18"/>
        </w:rPr>
        <w:t>, 871 F.2d 331, 342 (3d Cir. 1989), as dismissal would nevertheless have been proper. Given the legal conclusions the District Court was permitted to draw at this stage of the proceedings, the complaint failed to state sufficient facts to proceed beyond this point.</w:t>
      </w:r>
    </w:p>
  </w:footnote>
  <w:footnote w:id="3">
    <w:p w:rsidR="006E038D" w:rsidRDefault="00000000">
      <w:pPr>
        <w:pStyle w:val="Normal1"/>
        <w:widowControl w:val="0"/>
        <w:spacing w:before="200" w:line="240" w:lineRule="atLeast"/>
        <w:jc w:val="both"/>
      </w:pPr>
      <w:r>
        <w:rPr>
          <w:rFonts w:ascii="Arial" w:eastAsia="Arial" w:hAnsi="Arial" w:cs="Arial"/>
          <w:color w:val="000000"/>
          <w:sz w:val="18"/>
          <w:vertAlign w:val="superscript"/>
        </w:rPr>
        <w:t>1 </w:t>
      </w:r>
      <w:bookmarkStart w:id="235" w:name="Bookmark_fnpara_1_0"/>
      <w:bookmarkEnd w:id="235"/>
      <w:r>
        <w:rPr>
          <w:rFonts w:ascii="Arial" w:eastAsia="Arial" w:hAnsi="Arial" w:cs="Arial"/>
          <w:color w:val="000000"/>
          <w:sz w:val="18"/>
        </w:rPr>
        <w:t xml:space="preserve">The Supreme Court also cites the Technical Assistance Manual as authority on the ADA and ADAAG, and notes that the Justice Department's views are entitled to deference. </w:t>
      </w:r>
      <w:r>
        <w:rPr>
          <w:rFonts w:ascii="Arial" w:eastAsia="Arial" w:hAnsi="Arial" w:cs="Arial"/>
          <w:i/>
          <w:color w:val="000000"/>
          <w:sz w:val="18"/>
        </w:rPr>
        <w:t xml:space="preserve">See, e.g., </w:t>
      </w:r>
      <w:bookmarkStart w:id="236" w:name="Bookmark_I4WT9XF80K1MNJ0B90000400"/>
      <w:bookmarkEnd w:id="236"/>
      <w:r>
        <w:rPr>
          <w:rFonts w:ascii="Arial" w:eastAsia="Arial" w:hAnsi="Arial" w:cs="Arial"/>
          <w:i/>
          <w:color w:val="000000"/>
          <w:sz w:val="18"/>
        </w:rPr>
        <w:t>Bragdon v. Abbott</w:t>
      </w:r>
      <w:r>
        <w:rPr>
          <w:rFonts w:ascii="Arial" w:eastAsia="Arial" w:hAnsi="Arial" w:cs="Arial"/>
          <w:color w:val="000000"/>
          <w:sz w:val="18"/>
        </w:rPr>
        <w:t>, 524 U.S. 624, 646, 118 S. Ct. 2196, 141 L. Ed. 2d 540 (1998).</w:t>
      </w:r>
    </w:p>
  </w:footnote>
  <w:footnote w:id="4">
    <w:p w:rsidR="006E038D" w:rsidRDefault="00000000">
      <w:pPr>
        <w:pStyle w:val="Normal1"/>
        <w:widowControl w:val="0"/>
        <w:spacing w:before="200" w:line="240" w:lineRule="atLeast"/>
        <w:jc w:val="both"/>
      </w:pPr>
      <w:r>
        <w:rPr>
          <w:rFonts w:ascii="Arial" w:eastAsia="Arial" w:hAnsi="Arial" w:cs="Arial"/>
          <w:color w:val="000000"/>
          <w:sz w:val="18"/>
          <w:vertAlign w:val="superscript"/>
        </w:rPr>
        <w:t>2 </w:t>
      </w:r>
      <w:bookmarkStart w:id="277" w:name="Bookmark_fnpara_2_0"/>
      <w:bookmarkStart w:id="278" w:name="Bookmark_I4WT9XF80K1MNJ0F40000400"/>
      <w:bookmarkEnd w:id="277"/>
      <w:bookmarkEnd w:id="278"/>
      <w:r>
        <w:rPr>
          <w:rFonts w:ascii="Arial" w:eastAsia="Arial" w:hAnsi="Arial" w:cs="Arial"/>
          <w:color w:val="000000"/>
          <w:sz w:val="18"/>
        </w:rPr>
        <w:t xml:space="preserve">The Ninth Circuit does not, however, grant a plaintiff standing to challenge un-encountered barriers not related to his or her disability. For example, a non-blind, non sight-impaired person who needs a wheelchair for mobility cannot challenge barriers that would only restrict access for a person who is blind or sight-impaired. </w:t>
      </w:r>
      <w:r>
        <w:rPr>
          <w:rFonts w:ascii="Arial" w:eastAsia="Arial" w:hAnsi="Arial" w:cs="Arial"/>
          <w:i/>
          <w:color w:val="000000"/>
          <w:sz w:val="18"/>
        </w:rPr>
        <w:t xml:space="preserve">See </w:t>
      </w:r>
      <w:bookmarkStart w:id="279" w:name="Bookmark_I4WT9XF80K1MNJ0F30000400"/>
      <w:bookmarkEnd w:id="279"/>
      <w:r>
        <w:rPr>
          <w:rFonts w:ascii="Arial" w:eastAsia="Arial" w:hAnsi="Arial" w:cs="Arial"/>
          <w:i/>
          <w:color w:val="000000"/>
          <w:sz w:val="18"/>
        </w:rPr>
        <w:t>Doran</w:t>
      </w:r>
      <w:r>
        <w:rPr>
          <w:rFonts w:ascii="Arial" w:eastAsia="Arial" w:hAnsi="Arial" w:cs="Arial"/>
          <w:color w:val="000000"/>
          <w:sz w:val="18"/>
        </w:rPr>
        <w:t>, 524 F.3d at 1044 n.7.</w:t>
      </w:r>
    </w:p>
  </w:footnote>
  <w:footnote w:id="5">
    <w:p w:rsidR="006E038D" w:rsidRDefault="00000000">
      <w:pPr>
        <w:pStyle w:val="Normal2"/>
        <w:widowControl w:val="0"/>
        <w:spacing w:before="120" w:line="240" w:lineRule="atLeast"/>
        <w:jc w:val="both"/>
      </w:pPr>
      <w:r>
        <w:rPr>
          <w:rFonts w:ascii="Arial" w:eastAsia="Arial" w:hAnsi="Arial" w:cs="Arial"/>
          <w:color w:val="000000"/>
          <w:sz w:val="18"/>
          <w:vertAlign w:val="superscript"/>
        </w:rPr>
        <w:t>1 </w:t>
      </w:r>
      <w:bookmarkStart w:id="330" w:name="Bookmark_fnpara_1_1"/>
      <w:bookmarkEnd w:id="330"/>
      <w:r>
        <w:rPr>
          <w:rFonts w:ascii="Arial" w:eastAsia="Arial" w:hAnsi="Arial" w:cs="Arial"/>
          <w:color w:val="000000"/>
          <w:sz w:val="18"/>
        </w:rPr>
        <w:t>28 C.F.R. § 35.150(d) provides, in relevant part, as follows:</w:t>
      </w:r>
    </w:p>
    <w:p w:rsidR="006E038D" w:rsidRDefault="00000000">
      <w:pPr>
        <w:pStyle w:val="Normal2"/>
        <w:widowControl w:val="0"/>
        <w:spacing w:before="200" w:line="240" w:lineRule="atLeast"/>
        <w:ind w:left="400"/>
        <w:jc w:val="both"/>
      </w:pPr>
      <w:bookmarkStart w:id="331" w:name="Bookmark_para_7_1"/>
      <w:bookmarkStart w:id="332" w:name="Bookmark_LNHNREFclscc2_1"/>
      <w:bookmarkEnd w:id="331"/>
      <w:bookmarkEnd w:id="332"/>
      <w:r>
        <w:rPr>
          <w:rFonts w:ascii="Arial" w:eastAsia="Arial" w:hAnsi="Arial" w:cs="Arial"/>
          <w:color w:val="000000"/>
          <w:sz w:val="18"/>
        </w:rPr>
        <w:t>Transition Plan. (1) In the event that structural changes to facilities will be undertaken to achieve program accessibility, a public entity that employs 50 or more persons shall develop, within six months of January  [**3] 26, 1992, a transition plan setting forth the steps necessary to complete such changes. A public entity shall provide an opportunity to interested persons, including individuals with disabilities or organizations representing individuals with disabilities, to participate in the development of the transition plan by submitting comments. A copy of the transition plan shall be made available for public inspection.</w:t>
      </w:r>
    </w:p>
    <w:p w:rsidR="006E038D" w:rsidRDefault="00000000">
      <w:pPr>
        <w:pStyle w:val="Normal2"/>
        <w:widowControl w:val="0"/>
        <w:spacing w:before="120" w:line="240" w:lineRule="atLeast"/>
        <w:ind w:left="400"/>
        <w:jc w:val="both"/>
      </w:pPr>
      <w:bookmarkStart w:id="333" w:name="Bookmark_para_8_1"/>
      <w:bookmarkEnd w:id="333"/>
      <w:r>
        <w:rPr>
          <w:rFonts w:ascii="Arial" w:eastAsia="Arial" w:hAnsi="Arial" w:cs="Arial"/>
          <w:color w:val="000000"/>
          <w:sz w:val="18"/>
        </w:rPr>
        <w:t>(2) If a public entity has responsibility or authority over streets, roads, or walkways, its transition plan shall include a schedule for providing curb ramps or other sloped areas where pedestrian walks cross curbs, . . . .</w:t>
      </w:r>
    </w:p>
    <w:p w:rsidR="006E038D" w:rsidRDefault="00000000">
      <w:pPr>
        <w:pStyle w:val="Normal2"/>
        <w:widowControl w:val="0"/>
        <w:spacing w:before="120" w:line="240" w:lineRule="atLeast"/>
        <w:ind w:left="400"/>
        <w:jc w:val="both"/>
      </w:pPr>
      <w:bookmarkStart w:id="334" w:name="Bookmark_para_9_1"/>
      <w:bookmarkEnd w:id="334"/>
      <w:r>
        <w:rPr>
          <w:rFonts w:ascii="Arial" w:eastAsia="Arial" w:hAnsi="Arial" w:cs="Arial"/>
          <w:color w:val="000000"/>
          <w:sz w:val="18"/>
        </w:rPr>
        <w:t>(3) The plan shall, at a minimum--</w:t>
      </w:r>
    </w:p>
    <w:p w:rsidR="006E038D" w:rsidRDefault="00000000">
      <w:pPr>
        <w:pStyle w:val="Normal2"/>
        <w:widowControl w:val="0"/>
        <w:spacing w:before="120" w:line="240" w:lineRule="atLeast"/>
        <w:ind w:left="400"/>
        <w:jc w:val="both"/>
      </w:pPr>
      <w:bookmarkStart w:id="335" w:name="Bookmark_para_10_1"/>
      <w:bookmarkEnd w:id="335"/>
      <w:r>
        <w:rPr>
          <w:rFonts w:ascii="Arial" w:eastAsia="Arial" w:hAnsi="Arial" w:cs="Arial"/>
          <w:color w:val="000000"/>
          <w:sz w:val="18"/>
        </w:rPr>
        <w:t>(i) Identify physical obstacles in the public entity's facilities that limit the accessibility of its programs or activities to individuals with disabilities;</w:t>
      </w:r>
    </w:p>
    <w:p w:rsidR="006E038D" w:rsidRDefault="00000000">
      <w:pPr>
        <w:pStyle w:val="Normal2"/>
        <w:widowControl w:val="0"/>
        <w:spacing w:before="120" w:line="240" w:lineRule="atLeast"/>
        <w:ind w:left="400"/>
        <w:jc w:val="both"/>
      </w:pPr>
      <w:bookmarkStart w:id="336" w:name="Bookmark_para_11_1"/>
      <w:bookmarkEnd w:id="336"/>
      <w:r>
        <w:rPr>
          <w:rFonts w:ascii="Arial" w:eastAsia="Arial" w:hAnsi="Arial" w:cs="Arial"/>
          <w:color w:val="000000"/>
          <w:sz w:val="18"/>
        </w:rPr>
        <w:t>(ii) Describe in detail the methods that will be used to make the facilities accessible;</w:t>
      </w:r>
    </w:p>
    <w:p w:rsidR="006E038D" w:rsidRDefault="00000000">
      <w:pPr>
        <w:pStyle w:val="Normal2"/>
        <w:widowControl w:val="0"/>
        <w:spacing w:before="120" w:line="240" w:lineRule="atLeast"/>
        <w:ind w:left="400"/>
        <w:jc w:val="both"/>
      </w:pPr>
      <w:bookmarkStart w:id="337" w:name="Bookmark_para_12_1"/>
      <w:bookmarkEnd w:id="337"/>
      <w:r>
        <w:rPr>
          <w:rFonts w:ascii="Arial" w:eastAsia="Arial" w:hAnsi="Arial" w:cs="Arial"/>
          <w:color w:val="000000"/>
          <w:sz w:val="18"/>
        </w:rPr>
        <w:t>(iii) Specify the schedule for taking the steps necessary to achieve compliance with this section and, if the time period of the transition plan is longer than one year, identify steps that will be taken during each year of the transition period; and</w:t>
      </w:r>
    </w:p>
    <w:p w:rsidR="006E038D" w:rsidRDefault="00000000">
      <w:pPr>
        <w:pStyle w:val="Normal2"/>
        <w:widowControl w:val="0"/>
        <w:spacing w:before="200" w:line="240" w:lineRule="atLeast"/>
        <w:ind w:left="400"/>
        <w:jc w:val="both"/>
      </w:pPr>
      <w:bookmarkStart w:id="338" w:name="Bookmark_para_13_1"/>
      <w:bookmarkEnd w:id="338"/>
      <w:r>
        <w:rPr>
          <w:rFonts w:ascii="Arial" w:eastAsia="Arial" w:hAnsi="Arial" w:cs="Arial"/>
          <w:color w:val="000000"/>
          <w:sz w:val="18"/>
        </w:rPr>
        <w:t>(iv) Indicate the official responsible  [**4] for implementation of the plan.</w:t>
      </w:r>
    </w:p>
  </w:footnote>
  <w:footnote w:id="6">
    <w:p w:rsidR="006E038D" w:rsidRDefault="00000000">
      <w:pPr>
        <w:pStyle w:val="Normal2"/>
        <w:widowControl w:val="0"/>
        <w:spacing w:before="200" w:line="240" w:lineRule="atLeast"/>
        <w:jc w:val="both"/>
      </w:pPr>
      <w:r>
        <w:rPr>
          <w:rFonts w:ascii="Arial" w:eastAsia="Arial" w:hAnsi="Arial" w:cs="Arial"/>
          <w:color w:val="000000"/>
          <w:sz w:val="18"/>
          <w:vertAlign w:val="superscript"/>
        </w:rPr>
        <w:t>2 </w:t>
      </w:r>
      <w:bookmarkStart w:id="340" w:name="Bookmark_fnpara_2_1"/>
      <w:bookmarkEnd w:id="340"/>
      <w:r>
        <w:rPr>
          <w:rFonts w:ascii="Arial" w:eastAsia="Arial" w:hAnsi="Arial" w:cs="Arial"/>
          <w:color w:val="000000"/>
          <w:sz w:val="18"/>
        </w:rPr>
        <w:t>While the parties litigated "phase one," Lonberg also pursued his claims for damages and injunctive relief in connection with the City's alleged failure to make its sidewalks and curb  [**5] ramps accessible.</w:t>
      </w:r>
    </w:p>
  </w:footnote>
  <w:footnote w:id="7">
    <w:p w:rsidR="006E038D" w:rsidRDefault="00000000">
      <w:pPr>
        <w:pStyle w:val="Normal2"/>
        <w:widowControl w:val="0"/>
        <w:spacing w:before="200" w:line="240" w:lineRule="atLeast"/>
        <w:jc w:val="both"/>
      </w:pPr>
      <w:r>
        <w:rPr>
          <w:rFonts w:ascii="Arial" w:eastAsia="Arial" w:hAnsi="Arial" w:cs="Arial"/>
          <w:color w:val="000000"/>
          <w:sz w:val="18"/>
          <w:vertAlign w:val="superscript"/>
        </w:rPr>
        <w:t>3 </w:t>
      </w:r>
      <w:bookmarkStart w:id="352" w:name="Bookmark_fnpara_3"/>
      <w:bookmarkEnd w:id="352"/>
      <w:r>
        <w:rPr>
          <w:rFonts w:ascii="Arial" w:eastAsia="Arial" w:hAnsi="Arial" w:cs="Arial"/>
          <w:color w:val="000000"/>
          <w:sz w:val="18"/>
        </w:rPr>
        <w:t>Moreover, as noted below, we conclude that Lonberg's remedy  [**7] lies not in the enforcement of a transition plan, but in the removal of barriers to meaningful access.</w:t>
      </w:r>
    </w:p>
  </w:footnote>
  <w:footnote w:id="8">
    <w:p w:rsidR="006E038D" w:rsidRDefault="00000000">
      <w:pPr>
        <w:pStyle w:val="Normal2"/>
        <w:widowControl w:val="0"/>
        <w:spacing w:before="120" w:line="240" w:lineRule="atLeast"/>
        <w:jc w:val="both"/>
      </w:pPr>
      <w:r>
        <w:rPr>
          <w:rFonts w:ascii="Arial" w:eastAsia="Arial" w:hAnsi="Arial" w:cs="Arial"/>
          <w:color w:val="000000"/>
          <w:sz w:val="18"/>
          <w:vertAlign w:val="superscript"/>
        </w:rPr>
        <w:t>4 </w:t>
      </w:r>
      <w:bookmarkStart w:id="378" w:name="Bookmark_fnpara_4"/>
      <w:bookmarkEnd w:id="378"/>
      <w:r>
        <w:rPr>
          <w:rFonts w:ascii="Arial" w:eastAsia="Arial" w:hAnsi="Arial" w:cs="Arial"/>
          <w:color w:val="000000"/>
          <w:sz w:val="18"/>
        </w:rPr>
        <w:t>28 C.F.R. § 42.104(b)(2) prohibits a recipient of federal funding from "utiliz[ing] criteria or methods of administration which have the effect of subjecting individuals to discrimination because of their race, color, or national origin . . . ."</w:t>
      </w:r>
    </w:p>
  </w:footnote>
  <w:footnote w:id="9">
    <w:p w:rsidR="006E038D" w:rsidRDefault="00000000">
      <w:pPr>
        <w:pStyle w:val="Normal2"/>
        <w:widowControl w:val="0"/>
        <w:spacing w:before="200" w:line="240" w:lineRule="atLeast"/>
        <w:jc w:val="both"/>
      </w:pPr>
      <w:r>
        <w:rPr>
          <w:rFonts w:ascii="Arial" w:eastAsia="Arial" w:hAnsi="Arial" w:cs="Arial"/>
          <w:color w:val="000000"/>
          <w:sz w:val="18"/>
          <w:vertAlign w:val="superscript"/>
        </w:rPr>
        <w:t>5 </w:t>
      </w:r>
      <w:bookmarkStart w:id="390" w:name="Bookmark_fnpara_5"/>
      <w:bookmarkEnd w:id="390"/>
      <w:r>
        <w:rPr>
          <w:rFonts w:ascii="Arial" w:eastAsia="Arial" w:hAnsi="Arial" w:cs="Arial"/>
          <w:color w:val="000000"/>
          <w:sz w:val="18"/>
        </w:rPr>
        <w:t xml:space="preserve">Section 42.104(b)(2) was promulgated under § 602 of Title VI of the Civil Rights Act of 1964, which authorizes federal agencies "to effectuate the provisions of [§ 601] . . . by issuing rules, regulations, or orders of general applicability." </w:t>
      </w:r>
      <w:bookmarkStart w:id="391" w:name="Bookmark_I4WSNFDM0K1MNJ4V60000400"/>
      <w:bookmarkEnd w:id="391"/>
      <w:r>
        <w:rPr>
          <w:rFonts w:ascii="Arial" w:eastAsia="Arial" w:hAnsi="Arial" w:cs="Arial"/>
          <w:i/>
          <w:color w:val="000000"/>
          <w:sz w:val="18"/>
        </w:rPr>
        <w:t>Sandoval</w:t>
      </w:r>
      <w:r>
        <w:rPr>
          <w:rFonts w:ascii="Arial" w:eastAsia="Arial" w:hAnsi="Arial" w:cs="Arial"/>
          <w:color w:val="000000"/>
          <w:sz w:val="18"/>
        </w:rPr>
        <w:t>, 532 U.S. at 278 (quoting 42 U.S.C. § 2000d-1).</w:t>
      </w:r>
    </w:p>
  </w:footnote>
  <w:footnote w:id="10">
    <w:p w:rsidR="006E038D" w:rsidRDefault="00000000">
      <w:pPr>
        <w:pStyle w:val="Normal2"/>
        <w:widowControl w:val="0"/>
        <w:spacing w:before="200" w:line="240" w:lineRule="atLeast"/>
        <w:jc w:val="both"/>
      </w:pPr>
      <w:r>
        <w:rPr>
          <w:rFonts w:ascii="Arial" w:eastAsia="Arial" w:hAnsi="Arial" w:cs="Arial"/>
          <w:color w:val="000000"/>
          <w:sz w:val="18"/>
          <w:vertAlign w:val="superscript"/>
        </w:rPr>
        <w:t>6 </w:t>
      </w:r>
      <w:bookmarkStart w:id="416" w:name="Bookmark_fnpara_6"/>
      <w:bookmarkStart w:id="417" w:name="Bookmark_LNHNREFclscc10_0"/>
      <w:bookmarkEnd w:id="416"/>
      <w:bookmarkEnd w:id="417"/>
      <w:r>
        <w:rPr>
          <w:rFonts w:ascii="Arial" w:eastAsia="Arial" w:hAnsi="Arial" w:cs="Arial"/>
          <w:color w:val="000000"/>
          <w:sz w:val="18"/>
        </w:rPr>
        <w:t xml:space="preserve">Section 35.150(d) was promulgated by the Attorney General pursuant to § 204 of the ADA, 42 U.S.C. § 12134, in order to implement  [**12] § 202. </w:t>
      </w:r>
      <w:r>
        <w:rPr>
          <w:rFonts w:ascii="Arial" w:eastAsia="Arial" w:hAnsi="Arial" w:cs="Arial"/>
          <w:i/>
          <w:color w:val="000000"/>
          <w:sz w:val="18"/>
        </w:rPr>
        <w:t>See</w:t>
      </w:r>
      <w:r>
        <w:rPr>
          <w:rFonts w:ascii="Arial" w:eastAsia="Arial" w:hAnsi="Arial" w:cs="Arial"/>
          <w:color w:val="000000"/>
          <w:sz w:val="18"/>
        </w:rPr>
        <w:t xml:space="preserve"> 28 C.F.R. § 35.101.</w:t>
      </w:r>
    </w:p>
  </w:footnote>
  <w:footnote w:id="11">
    <w:p w:rsidR="006E038D" w:rsidRDefault="00000000">
      <w:pPr>
        <w:pStyle w:val="Normal2"/>
        <w:widowControl w:val="0"/>
        <w:spacing w:before="200" w:line="240" w:lineRule="atLeast"/>
        <w:jc w:val="both"/>
      </w:pPr>
      <w:r>
        <w:rPr>
          <w:rFonts w:ascii="Arial" w:eastAsia="Arial" w:hAnsi="Arial" w:cs="Arial"/>
          <w:color w:val="000000"/>
          <w:sz w:val="18"/>
          <w:vertAlign w:val="superscript"/>
        </w:rPr>
        <w:t>7 </w:t>
      </w:r>
      <w:bookmarkStart w:id="435" w:name="Bookmark_fnpara_7"/>
      <w:bookmarkEnd w:id="435"/>
      <w:r>
        <w:rPr>
          <w:rFonts w:ascii="Arial" w:eastAsia="Arial" w:hAnsi="Arial" w:cs="Arial"/>
          <w:color w:val="000000"/>
          <w:sz w:val="18"/>
        </w:rPr>
        <w:t>Tellingly, in his 2001 motion for partial summary judgment with respect to the City's transition plan, Lonberg sought no remedy other than a declaration that the City was not in compliance with the regulation. Had section 35.150(d) been the true vehicle to right the wrongs caused  [**14] by the City's alleged ADA violations, Lonberg might have asked for some actual relief in connection with his first attempt to enforce that regulation.</w:t>
      </w:r>
    </w:p>
  </w:footnote>
  <w:footnote w:id="12">
    <w:p w:rsidR="006E038D" w:rsidRDefault="00000000">
      <w:pPr>
        <w:pStyle w:val="Normal3"/>
        <w:widowControl w:val="0"/>
        <w:spacing w:before="120" w:line="240" w:lineRule="atLeast"/>
        <w:jc w:val="both"/>
      </w:pPr>
      <w:r>
        <w:rPr>
          <w:rFonts w:ascii="Arial" w:eastAsia="Arial" w:hAnsi="Arial" w:cs="Arial"/>
          <w:color w:val="000000"/>
          <w:sz w:val="18"/>
          <w:vertAlign w:val="superscript"/>
        </w:rPr>
        <w:t>* </w:t>
      </w:r>
      <w:bookmarkStart w:id="475" w:name="Bookmark_fnpara_1_2"/>
      <w:bookmarkEnd w:id="475"/>
      <w:r>
        <w:rPr>
          <w:rFonts w:ascii="Arial" w:eastAsia="Arial" w:hAnsi="Arial" w:cs="Arial"/>
          <w:color w:val="000000"/>
          <w:sz w:val="18"/>
        </w:rPr>
        <w:t>The Honorable J. Clifford Wallace, United States Court of Appeals for the Ninth Circuit, sitting by designation.</w:t>
      </w:r>
    </w:p>
  </w:footnote>
  <w:footnote w:id="13">
    <w:p w:rsidR="006E038D" w:rsidRDefault="00000000">
      <w:pPr>
        <w:pStyle w:val="Normal3"/>
        <w:widowControl w:val="0"/>
        <w:spacing w:before="120" w:line="240" w:lineRule="atLeast"/>
        <w:jc w:val="both"/>
      </w:pPr>
      <w:r>
        <w:rPr>
          <w:rFonts w:ascii="Arial" w:eastAsia="Arial" w:hAnsi="Arial" w:cs="Arial"/>
          <w:color w:val="000000"/>
          <w:sz w:val="18"/>
          <w:vertAlign w:val="superscript"/>
        </w:rPr>
        <w:t>1 </w:t>
      </w:r>
      <w:bookmarkStart w:id="481" w:name="Bookmark_fnpara_2_2"/>
      <w:bookmarkEnd w:id="481"/>
      <w:r>
        <w:rPr>
          <w:rFonts w:ascii="Arial" w:eastAsia="Arial" w:hAnsi="Arial" w:cs="Arial"/>
          <w:color w:val="000000"/>
          <w:sz w:val="18"/>
        </w:rPr>
        <w:t>Falchenberg also appeals from the district court's July 1, 2005 decision dismissing her claims against the New York City Department of Education and the City of New York (collectively, the "City Defendants"). On April 15, 2009, this Court granted the City Defendants' motion to dismiss the appeal, concluding that Falchenberg waived all claims against the City Defendants by voluntarily omitting them as named parties from the Amended Complaint.</w:t>
      </w:r>
    </w:p>
  </w:footnote>
  <w:footnote w:id="14">
    <w:p w:rsidR="006E038D" w:rsidRDefault="00000000">
      <w:pPr>
        <w:pStyle w:val="Normal3"/>
        <w:widowControl w:val="0"/>
        <w:spacing w:before="200" w:line="240" w:lineRule="atLeast"/>
        <w:jc w:val="both"/>
      </w:pPr>
      <w:r>
        <w:rPr>
          <w:rFonts w:ascii="Arial" w:eastAsia="Arial" w:hAnsi="Arial" w:cs="Arial"/>
          <w:color w:val="000000"/>
          <w:sz w:val="18"/>
          <w:vertAlign w:val="superscript"/>
        </w:rPr>
        <w:t>2 </w:t>
      </w:r>
      <w:bookmarkStart w:id="493" w:name="Bookmark_fnpara_3_0"/>
      <w:bookmarkStart w:id="494" w:name="Bookmark_I4WN1JMG0K1MNJ0N40000400"/>
      <w:bookmarkEnd w:id="493"/>
      <w:bookmarkEnd w:id="494"/>
      <w:r>
        <w:rPr>
          <w:rFonts w:ascii="Arial" w:eastAsia="Arial" w:hAnsi="Arial" w:cs="Arial"/>
          <w:color w:val="000000"/>
          <w:sz w:val="18"/>
        </w:rPr>
        <w:t xml:space="preserve">On appeal, Falchenberg also argues that, even if the LAST does test an examinee's spelling, punctuation, capitalization, and paragraphing skills, those skills are unrelated to the skills needed to work as a qualified teacher. As the district court noted, however, Falchenberg failed to challenge the job-relatedness of any aspect of the LAST in her complaint. </w:t>
      </w:r>
      <w:bookmarkStart w:id="495" w:name="Bookmark_I4WN1JMG0K1MNJ0N60000400"/>
      <w:bookmarkEnd w:id="495"/>
      <w:r>
        <w:rPr>
          <w:rFonts w:ascii="Arial" w:eastAsia="Arial" w:hAnsi="Arial" w:cs="Arial"/>
          <w:i/>
          <w:color w:val="000000"/>
          <w:sz w:val="18"/>
        </w:rPr>
        <w:t xml:space="preserve">See </w:t>
      </w:r>
      <w:bookmarkStart w:id="496" w:name="Bookmark_I4WN1JMG0K1MNJ0N30000400"/>
      <w:bookmarkEnd w:id="496"/>
      <w:r>
        <w:rPr>
          <w:rFonts w:ascii="Arial" w:eastAsia="Arial" w:hAnsi="Arial" w:cs="Arial"/>
          <w:i/>
          <w:color w:val="000000"/>
          <w:sz w:val="18"/>
        </w:rPr>
        <w:t>Falchenberg v. N.Y. State Dep't of Educ.,</w:t>
      </w:r>
      <w:r>
        <w:rPr>
          <w:rFonts w:ascii="Arial" w:eastAsia="Arial" w:hAnsi="Arial" w:cs="Arial"/>
          <w:color w:val="000000"/>
          <w:sz w:val="18"/>
        </w:rPr>
        <w:t xml:space="preserve"> 567 F. Supp. 2d 513, 2008 WL 2780958, at *7 (S.D.N.Y. 2008) ("[T]he certification examination is not an issue in this case. There is no allegation that the certification test itself is discriminatory . . . .") (internal quotation marks omitted). </w:t>
      </w:r>
      <w:bookmarkStart w:id="497" w:name="Bookmark_I4WN1JMG0K1MNJ0N60000400_2"/>
      <w:bookmarkEnd w:id="497"/>
      <w:r>
        <w:rPr>
          <w:rFonts w:ascii="Arial" w:eastAsia="Arial" w:hAnsi="Arial" w:cs="Arial"/>
          <w:color w:val="000000"/>
          <w:sz w:val="18"/>
        </w:rPr>
        <w:t xml:space="preserve">Thus, we need not, and do not, consider whether the LAST tests job-related skills. </w:t>
      </w:r>
      <w:r>
        <w:rPr>
          <w:rFonts w:ascii="Arial" w:eastAsia="Arial" w:hAnsi="Arial" w:cs="Arial"/>
          <w:i/>
          <w:color w:val="000000"/>
          <w:sz w:val="18"/>
        </w:rPr>
        <w:t xml:space="preserve">See </w:t>
      </w:r>
      <w:bookmarkStart w:id="498" w:name="Bookmark_I4WN1JMG0K1MNJ0N50000400"/>
      <w:bookmarkEnd w:id="498"/>
      <w:r>
        <w:rPr>
          <w:rFonts w:ascii="Arial" w:eastAsia="Arial" w:hAnsi="Arial" w:cs="Arial"/>
          <w:i/>
          <w:color w:val="000000"/>
          <w:sz w:val="18"/>
        </w:rPr>
        <w:t>Wilkerson v. Meskill,</w:t>
      </w:r>
      <w:r>
        <w:rPr>
          <w:rFonts w:ascii="Arial" w:eastAsia="Arial" w:hAnsi="Arial" w:cs="Arial"/>
          <w:color w:val="000000"/>
          <w:sz w:val="18"/>
        </w:rPr>
        <w:t xml:space="preserve"> 501 F.2d 297, 298 (2d Cir. 1974)  [**6] (concluding that </w:t>
      </w:r>
      <w:bookmarkStart w:id="499" w:name="Bookmark_LNHNREFclscc3_2"/>
      <w:bookmarkEnd w:id="499"/>
      <w:r>
        <w:rPr>
          <w:rFonts w:ascii="Arial" w:eastAsia="Arial" w:hAnsi="Arial" w:cs="Arial"/>
          <w:color w:val="000000"/>
          <w:sz w:val="18"/>
        </w:rPr>
        <w:t>"we cannot hear" arguments that were not "properly raised below").</w:t>
      </w:r>
    </w:p>
  </w:footnote>
  <w:footnote w:id="15">
    <w:p w:rsidR="006E038D" w:rsidRDefault="00000000">
      <w:pPr>
        <w:pStyle w:val="Normal4"/>
        <w:widowControl w:val="0"/>
        <w:spacing w:before="120" w:line="240" w:lineRule="atLeast"/>
        <w:jc w:val="both"/>
      </w:pPr>
      <w:r>
        <w:rPr>
          <w:rFonts w:ascii="Arial" w:eastAsia="Arial" w:hAnsi="Arial" w:cs="Arial"/>
          <w:color w:val="000000"/>
          <w:sz w:val="18"/>
          <w:vertAlign w:val="superscript"/>
        </w:rPr>
        <w:t>* </w:t>
      </w:r>
      <w:bookmarkStart w:id="523" w:name="Bookmark_fnpara_1_3"/>
      <w:bookmarkEnd w:id="523"/>
      <w:r>
        <w:rPr>
          <w:rFonts w:ascii="Arial" w:eastAsia="Arial" w:hAnsi="Arial" w:cs="Arial"/>
          <w:color w:val="000000"/>
          <w:sz w:val="18"/>
        </w:rPr>
        <w:t>The Honorable Solomon J. Oliver, United States District Judge for the Northern District of Ohio, sitting by designation.</w:t>
      </w:r>
    </w:p>
  </w:footnote>
  <w:footnote w:id="16">
    <w:p w:rsidR="006E038D" w:rsidRDefault="00000000">
      <w:pPr>
        <w:pStyle w:val="Normal4"/>
        <w:widowControl w:val="0"/>
        <w:spacing w:before="200" w:line="240" w:lineRule="atLeast"/>
        <w:jc w:val="both"/>
      </w:pPr>
      <w:r>
        <w:rPr>
          <w:rFonts w:ascii="Arial" w:eastAsia="Arial" w:hAnsi="Arial" w:cs="Arial"/>
          <w:color w:val="000000"/>
          <w:sz w:val="18"/>
          <w:vertAlign w:val="superscript"/>
        </w:rPr>
        <w:t>1 </w:t>
      </w:r>
      <w:bookmarkStart w:id="583" w:name="Bookmark_fnpara_2_3"/>
      <w:bookmarkEnd w:id="583"/>
      <w:r>
        <w:rPr>
          <w:rFonts w:ascii="Arial" w:eastAsia="Arial" w:hAnsi="Arial" w:cs="Arial"/>
          <w:color w:val="000000"/>
          <w:sz w:val="18"/>
        </w:rPr>
        <w:t>Because we conclude that Plaintiff was protected by the FMLA, it is unnecessary to address her argument on appeal that she should be allowed to amend her complaint to include a claim  [**13] of equitable estoppel.</w:t>
      </w:r>
    </w:p>
  </w:footnote>
  <w:footnote w:id="17">
    <w:p w:rsidR="006E038D" w:rsidRDefault="00000000">
      <w:pPr>
        <w:pStyle w:val="Normal4"/>
        <w:widowControl w:val="0"/>
        <w:spacing w:before="200" w:line="240" w:lineRule="atLeast"/>
        <w:jc w:val="both"/>
      </w:pPr>
      <w:r>
        <w:rPr>
          <w:rFonts w:ascii="Arial" w:eastAsia="Arial" w:hAnsi="Arial" w:cs="Arial"/>
          <w:color w:val="000000"/>
          <w:sz w:val="18"/>
          <w:vertAlign w:val="superscript"/>
        </w:rPr>
        <w:t>2 </w:t>
      </w:r>
      <w:bookmarkStart w:id="605" w:name="Bookmark_fnpara_3_1"/>
      <w:bookmarkEnd w:id="605"/>
      <w:r>
        <w:rPr>
          <w:rFonts w:ascii="Arial" w:eastAsia="Arial" w:hAnsi="Arial" w:cs="Arial"/>
          <w:color w:val="000000"/>
          <w:sz w:val="18"/>
        </w:rPr>
        <w:t>The district court also granted summary judgment to Defendant on the basis that, even if Plaintiff remained an employee at the time she requested a reasonable accommodation in the form of a transfer to another position, she was unable to "point to a specific, identified position  [**17] which was available at the time." (J.A. 60.) While the district court acknowledged that Plaintiff presented newspaper clippings advertising Defendant's nursing job openings in August 2003, the district court found that she failed to demonstrate that these positions remained available in October of 2003, at the time Plaintiff requested her accommodation. The district court further concluded that "the only evidence in the record reflects that no nursing positions were filled . . . , and that the assisted living facility was overstaffed." (</w:t>
      </w:r>
      <w:r>
        <w:rPr>
          <w:rFonts w:ascii="Arial" w:eastAsia="Arial" w:hAnsi="Arial" w:cs="Arial"/>
          <w:i/>
          <w:color w:val="000000"/>
          <w:sz w:val="18"/>
        </w:rPr>
        <w:t>Id.</w:t>
      </w:r>
      <w:r>
        <w:rPr>
          <w:rFonts w:ascii="Arial" w:eastAsia="Arial" w:hAnsi="Arial" w:cs="Arial"/>
          <w:color w:val="000000"/>
          <w:sz w:val="18"/>
        </w:rPr>
        <w:t>) Even if these positions were no longer available in October, the record establishes that Defendant offered Plaintiff the position of Restorative License Nurse, a job that Plaintiff was capable of performing with the requirements of lifting and pulling eliminated. The district court therefore erred in finding that Plaintiff failed to identify a position available at the time she sought to return to work.</w:t>
      </w:r>
    </w:p>
  </w:footnote>
  <w:footnote w:id="18">
    <w:p w:rsidR="006E038D" w:rsidRDefault="00000000">
      <w:pPr>
        <w:pStyle w:val="Normal4"/>
        <w:widowControl w:val="0"/>
        <w:spacing w:before="120" w:line="240" w:lineRule="atLeast"/>
        <w:jc w:val="both"/>
      </w:pPr>
      <w:r>
        <w:rPr>
          <w:rFonts w:ascii="Arial" w:eastAsia="Arial" w:hAnsi="Arial" w:cs="Arial"/>
          <w:color w:val="000000"/>
          <w:sz w:val="18"/>
          <w:vertAlign w:val="superscript"/>
        </w:rPr>
        <w:t>3 </w:t>
      </w:r>
      <w:bookmarkStart w:id="610" w:name="Bookmark_fnpara_4_0"/>
      <w:bookmarkEnd w:id="610"/>
      <w:r>
        <w:rPr>
          <w:rFonts w:ascii="Arial" w:eastAsia="Arial" w:hAnsi="Arial" w:cs="Arial"/>
          <w:color w:val="000000"/>
          <w:sz w:val="18"/>
        </w:rPr>
        <w:t>As an alternative theory, Plaintiff claims that she is entitled to relief under the ADA because Defendant failed to reasonably accommodate her foot injury. This claim is unavailing, however, because Defendant quite extensively accommodated this injury by allowing Plaintiff to take twenty-nine weeks of leave.</w:t>
      </w:r>
    </w:p>
  </w:footnote>
  <w:footnote w:id="19">
    <w:p w:rsidR="006E038D" w:rsidRDefault="00000000">
      <w:pPr>
        <w:pStyle w:val="Normal5"/>
        <w:widowControl w:val="0"/>
        <w:spacing w:before="120" w:line="240" w:lineRule="atLeast"/>
        <w:jc w:val="both"/>
      </w:pPr>
      <w:r>
        <w:rPr>
          <w:rFonts w:ascii="Arial" w:eastAsia="Arial" w:hAnsi="Arial" w:cs="Arial"/>
          <w:color w:val="000000"/>
          <w:sz w:val="18"/>
          <w:vertAlign w:val="superscript"/>
        </w:rPr>
        <w:t>1 </w:t>
      </w:r>
      <w:bookmarkStart w:id="626" w:name="Bookmark_fnpara_1_4"/>
      <w:bookmarkEnd w:id="626"/>
      <w:r>
        <w:rPr>
          <w:rFonts w:ascii="Arial" w:eastAsia="Arial" w:hAnsi="Arial" w:cs="Arial"/>
          <w:color w:val="000000"/>
          <w:sz w:val="18"/>
        </w:rPr>
        <w:t>Julianna Barber's mother, Marcia, is blind and thus cannot obtain a driver's license, and Julianna's father does not have custody of her, does not have a driver's license, and lives out of state.</w:t>
      </w:r>
    </w:p>
  </w:footnote>
  <w:footnote w:id="20">
    <w:p w:rsidR="006E038D" w:rsidRDefault="00000000">
      <w:pPr>
        <w:pStyle w:val="Normal5"/>
        <w:widowControl w:val="0"/>
        <w:spacing w:before="200" w:line="240" w:lineRule="atLeast"/>
        <w:jc w:val="both"/>
      </w:pPr>
      <w:r>
        <w:rPr>
          <w:rFonts w:ascii="Arial" w:eastAsia="Arial" w:hAnsi="Arial" w:cs="Arial"/>
          <w:color w:val="000000"/>
          <w:sz w:val="18"/>
          <w:vertAlign w:val="superscript"/>
        </w:rPr>
        <w:t>2 </w:t>
      </w:r>
      <w:bookmarkStart w:id="635" w:name="Bookmark_fnpara_2_4"/>
      <w:bookmarkStart w:id="636" w:name="Bookmark_I4W8CFR30K1MNJ0W80000400"/>
      <w:bookmarkEnd w:id="635"/>
      <w:bookmarkEnd w:id="636"/>
      <w:r>
        <w:rPr>
          <w:rFonts w:ascii="Arial" w:eastAsia="Arial" w:hAnsi="Arial" w:cs="Arial"/>
          <w:color w:val="000000"/>
          <w:sz w:val="18"/>
        </w:rPr>
        <w:t xml:space="preserve">The ADA and § 504 of the Rehabilitation Act both require reasonable modification. </w:t>
      </w:r>
      <w:r>
        <w:rPr>
          <w:rFonts w:ascii="Arial" w:eastAsia="Arial" w:hAnsi="Arial" w:cs="Arial"/>
          <w:color w:val="000000"/>
          <w:sz w:val="18"/>
          <w:u w:val="single"/>
        </w:rPr>
        <w:t xml:space="preserve">See </w:t>
      </w:r>
      <w:bookmarkStart w:id="637" w:name="Bookmark_I4W8CFR30K1MNJ0TJ0000400"/>
      <w:bookmarkEnd w:id="637"/>
      <w:r>
        <w:rPr>
          <w:rFonts w:ascii="Arial" w:eastAsia="Arial" w:hAnsi="Arial" w:cs="Arial"/>
          <w:color w:val="000000"/>
          <w:sz w:val="18"/>
          <w:u w:val="single"/>
        </w:rPr>
        <w:t>Chaffin v. Kan. State Fair Bd</w:t>
      </w:r>
      <w:r>
        <w:rPr>
          <w:rFonts w:ascii="Arial" w:eastAsia="Arial" w:hAnsi="Arial" w:cs="Arial"/>
          <w:color w:val="000000"/>
          <w:sz w:val="18"/>
        </w:rPr>
        <w:t xml:space="preserve">., 348 F.3d 850, 857 (10th Cir. 2003) (discussing the requirement of "meaningful access" under the ADA); </w:t>
      </w:r>
      <w:r>
        <w:rPr>
          <w:rFonts w:ascii="Arial" w:eastAsia="Arial" w:hAnsi="Arial" w:cs="Arial"/>
          <w:color w:val="000000"/>
          <w:sz w:val="18"/>
          <w:u w:val="single"/>
        </w:rPr>
        <w:t xml:space="preserve">see also </w:t>
      </w:r>
      <w:bookmarkStart w:id="638" w:name="Bookmark_I4W8CFR30K1MNJ0W90000400"/>
      <w:bookmarkEnd w:id="638"/>
      <w:r>
        <w:rPr>
          <w:rFonts w:ascii="Arial" w:eastAsia="Arial" w:hAnsi="Arial" w:cs="Arial"/>
          <w:color w:val="000000"/>
          <w:sz w:val="18"/>
          <w:u w:val="single"/>
        </w:rPr>
        <w:t>Alexander v. Choate</w:t>
      </w:r>
      <w:r>
        <w:rPr>
          <w:rFonts w:ascii="Arial" w:eastAsia="Arial" w:hAnsi="Arial" w:cs="Arial"/>
          <w:color w:val="000000"/>
          <w:sz w:val="18"/>
        </w:rPr>
        <w:t>, 469 U.S. 287, 301, 105 S. Ct. 712, 83 L. Ed. 2d 661 (1985). Although the Barbers originally brought claims under both the ADA and § 504  [**7] of the Rehabilitation Act, they proceeded only with the damages claim under § 504.</w:t>
      </w:r>
    </w:p>
  </w:footnote>
  <w:footnote w:id="21">
    <w:p w:rsidR="006E038D" w:rsidRDefault="00000000">
      <w:pPr>
        <w:pStyle w:val="Normal5"/>
        <w:widowControl w:val="0"/>
        <w:spacing w:before="120" w:line="240" w:lineRule="atLeast"/>
        <w:jc w:val="both"/>
      </w:pPr>
      <w:r>
        <w:rPr>
          <w:rFonts w:ascii="Arial" w:eastAsia="Arial" w:hAnsi="Arial" w:cs="Arial"/>
          <w:color w:val="000000"/>
          <w:sz w:val="18"/>
          <w:vertAlign w:val="superscript"/>
        </w:rPr>
        <w:t>3 </w:t>
      </w:r>
      <w:bookmarkStart w:id="691" w:name="Bookmark_fnpara_3_2"/>
      <w:bookmarkEnd w:id="691"/>
      <w:r>
        <w:rPr>
          <w:rFonts w:ascii="Arial" w:eastAsia="Arial" w:hAnsi="Arial" w:cs="Arial"/>
          <w:color w:val="000000"/>
          <w:sz w:val="18"/>
        </w:rPr>
        <w:t>We do so in light of the fact that the government has not raised this issue on appeal.</w:t>
      </w:r>
    </w:p>
  </w:footnote>
  <w:footnote w:id="22">
    <w:p w:rsidR="006E038D" w:rsidRDefault="00000000">
      <w:pPr>
        <w:pStyle w:val="Normal5"/>
        <w:widowControl w:val="0"/>
        <w:spacing w:before="200" w:line="240" w:lineRule="atLeast"/>
        <w:jc w:val="both"/>
      </w:pPr>
      <w:r>
        <w:rPr>
          <w:rFonts w:ascii="Arial" w:eastAsia="Arial" w:hAnsi="Arial" w:cs="Arial"/>
          <w:color w:val="000000"/>
          <w:sz w:val="18"/>
          <w:vertAlign w:val="superscript"/>
        </w:rPr>
        <w:t>4 </w:t>
      </w:r>
      <w:bookmarkStart w:id="729" w:name="Bookmark_fnpara_4_1"/>
      <w:bookmarkEnd w:id="729"/>
      <w:r>
        <w:rPr>
          <w:rFonts w:ascii="Arial" w:eastAsia="Arial" w:hAnsi="Arial" w:cs="Arial"/>
          <w:color w:val="000000"/>
          <w:sz w:val="18"/>
        </w:rPr>
        <w:t>Although a full guardianship was not a reasonable accommodation, the statute clearly also authorized a limited guardianship. The Attorney General and DMV officials may never have  [**19] called that portion of the statute to Marcia Barber's attention, but it was a part of Colorado law, and, because it was an objectively reasonable reading of that law, we are bound to defer.</w:t>
      </w:r>
    </w:p>
  </w:footnote>
  <w:footnote w:id="23">
    <w:p w:rsidR="006E038D" w:rsidRDefault="00000000">
      <w:pPr>
        <w:pStyle w:val="Normal5"/>
        <w:widowControl w:val="0"/>
        <w:spacing w:before="200" w:line="240" w:lineRule="atLeast"/>
        <w:jc w:val="both"/>
      </w:pPr>
      <w:r>
        <w:rPr>
          <w:rFonts w:ascii="Arial" w:eastAsia="Arial" w:hAnsi="Arial" w:cs="Arial"/>
          <w:color w:val="000000"/>
          <w:sz w:val="18"/>
          <w:vertAlign w:val="superscript"/>
        </w:rPr>
        <w:t>1 </w:t>
      </w:r>
      <w:bookmarkStart w:id="790" w:name="Bookmark_fnpara_5_0"/>
      <w:bookmarkEnd w:id="790"/>
      <w:r>
        <w:rPr>
          <w:rFonts w:ascii="Arial" w:eastAsia="Arial" w:hAnsi="Arial" w:cs="Arial"/>
          <w:color w:val="000000"/>
          <w:sz w:val="18"/>
        </w:rPr>
        <w:t>Plaintiffs argue that, in a February 23, 2005 letter, the State misrepresented Colorado law by asking Ms. Barber to sign a document giving full, not limited, guardianship authority to another person. The letter, however, simply stated that, for the "youngest of drivers just learning to drive," State law required "that they be under the direct and immediate supervision of someone with full parental authority." By definition, a limited guardian has full parental  [**30] authority, albeit for prescribed purposes, sometimes even very modest purposes (such as the supervision of a minor while driving). The State thus did not misrepresent to plaintiffs the availability or nature of its limited guardianship statutes.</w:t>
      </w:r>
    </w:p>
  </w:footnote>
  <w:footnote w:id="24">
    <w:p w:rsidR="006E038D" w:rsidRDefault="00000000">
      <w:pPr>
        <w:pStyle w:val="Normal6"/>
        <w:widowControl w:val="0"/>
        <w:spacing w:before="120" w:line="240" w:lineRule="atLeast"/>
        <w:jc w:val="both"/>
      </w:pPr>
      <w:r>
        <w:rPr>
          <w:rFonts w:ascii="Arial" w:eastAsia="Arial" w:hAnsi="Arial" w:cs="Arial"/>
          <w:color w:val="000000"/>
          <w:sz w:val="18"/>
          <w:vertAlign w:val="superscript"/>
        </w:rPr>
        <w:t>1 </w:t>
      </w:r>
      <w:bookmarkStart w:id="810" w:name="Bookmark_fnpara_1_5"/>
      <w:bookmarkEnd w:id="810"/>
      <w:r>
        <w:rPr>
          <w:rFonts w:ascii="Arial" w:eastAsia="Arial" w:hAnsi="Arial" w:cs="Arial"/>
          <w:color w:val="000000"/>
          <w:sz w:val="18"/>
        </w:rPr>
        <w:t>The Honorable Donald J. Stohr, United States District Judge for the Eastern District of Missouri.</w:t>
      </w:r>
    </w:p>
  </w:footnote>
  <w:footnote w:id="25">
    <w:p w:rsidR="006E038D" w:rsidRDefault="00000000">
      <w:pPr>
        <w:pStyle w:val="Normal6"/>
        <w:widowControl w:val="0"/>
        <w:spacing w:before="120" w:line="240" w:lineRule="atLeast"/>
        <w:jc w:val="both"/>
      </w:pPr>
      <w:r>
        <w:rPr>
          <w:rFonts w:ascii="Arial" w:eastAsia="Arial" w:hAnsi="Arial" w:cs="Arial"/>
          <w:color w:val="000000"/>
          <w:sz w:val="18"/>
          <w:vertAlign w:val="superscript"/>
        </w:rPr>
        <w:t>2 </w:t>
      </w:r>
      <w:bookmarkStart w:id="812" w:name="Bookmark_fnpara_2_5"/>
      <w:bookmarkEnd w:id="812"/>
      <w:r>
        <w:rPr>
          <w:rFonts w:ascii="Arial" w:eastAsia="Arial" w:hAnsi="Arial" w:cs="Arial"/>
          <w:color w:val="000000"/>
          <w:sz w:val="18"/>
        </w:rPr>
        <w:t>The Honorable Carol E. Jackson, Chief United States District Judge for the Eastern District of Missouri.</w:t>
      </w:r>
    </w:p>
  </w:footnote>
  <w:footnote w:id="26">
    <w:p w:rsidR="006E038D" w:rsidRDefault="00000000">
      <w:pPr>
        <w:pStyle w:val="Normal7"/>
        <w:widowControl w:val="0"/>
        <w:spacing w:before="200" w:line="240" w:lineRule="atLeast"/>
        <w:jc w:val="both"/>
      </w:pPr>
      <w:r>
        <w:rPr>
          <w:rFonts w:ascii="Arial" w:eastAsia="Arial" w:hAnsi="Arial" w:cs="Arial"/>
          <w:color w:val="000000"/>
          <w:sz w:val="18"/>
          <w:vertAlign w:val="superscript"/>
        </w:rPr>
        <w:t>1 </w:t>
      </w:r>
      <w:bookmarkStart w:id="893" w:name="Bookmark_fnpara_1_6"/>
      <w:bookmarkEnd w:id="893"/>
      <w:r>
        <w:rPr>
          <w:rFonts w:ascii="Arial" w:eastAsia="Arial" w:hAnsi="Arial" w:cs="Arial"/>
          <w:color w:val="000000"/>
          <w:sz w:val="18"/>
        </w:rPr>
        <w:t>Sergeant Hubbard was originally  [**4] a defendant in this case; however, following his death, the district court granted Rylee's motion to dismiss the claims against Sergeant Hubbard.</w:t>
      </w:r>
    </w:p>
  </w:footnote>
  <w:footnote w:id="27">
    <w:p w:rsidR="006E038D" w:rsidRDefault="00000000">
      <w:pPr>
        <w:pStyle w:val="Normal7"/>
        <w:widowControl w:val="0"/>
        <w:spacing w:before="200" w:line="240" w:lineRule="atLeast"/>
        <w:jc w:val="both"/>
      </w:pPr>
      <w:r>
        <w:rPr>
          <w:rFonts w:ascii="Arial" w:eastAsia="Arial" w:hAnsi="Arial" w:cs="Arial"/>
          <w:color w:val="000000"/>
          <w:sz w:val="18"/>
          <w:vertAlign w:val="superscript"/>
        </w:rPr>
        <w:t>2 </w:t>
      </w:r>
      <w:bookmarkStart w:id="896" w:name="Bookmark_fnpara_2_6"/>
      <w:bookmarkEnd w:id="896"/>
      <w:r>
        <w:rPr>
          <w:rFonts w:ascii="Arial" w:eastAsia="Arial" w:hAnsi="Arial" w:cs="Arial"/>
          <w:color w:val="000000"/>
          <w:sz w:val="18"/>
        </w:rPr>
        <w:t>Although Rylee's complaint  [**5] and brief are vague, we assume that the "John Doe" against whom suit was brought is the officer that confiscated Rylee's phone. This officer appears, based on the facts alleged by Rylee, to be the only unnamed individual against whom there is at least an arguable cause of action.</w:t>
      </w:r>
    </w:p>
  </w:footnote>
  <w:footnote w:id="28">
    <w:p w:rsidR="006E038D" w:rsidRDefault="00000000">
      <w:pPr>
        <w:pStyle w:val="Normal7"/>
        <w:widowControl w:val="0"/>
        <w:spacing w:before="200" w:line="240" w:lineRule="atLeast"/>
        <w:jc w:val="both"/>
      </w:pPr>
      <w:r>
        <w:rPr>
          <w:rFonts w:ascii="Arial" w:eastAsia="Arial" w:hAnsi="Arial" w:cs="Arial"/>
          <w:color w:val="000000"/>
          <w:sz w:val="18"/>
          <w:vertAlign w:val="superscript"/>
        </w:rPr>
        <w:t>3 </w:t>
      </w:r>
      <w:bookmarkStart w:id="899" w:name="Bookmark_fnpara_3_3"/>
      <w:bookmarkStart w:id="900" w:name="Bookmark_I4W02DFS0K1MNJ0RH0000400"/>
      <w:bookmarkEnd w:id="899"/>
      <w:bookmarkEnd w:id="900"/>
      <w:r>
        <w:rPr>
          <w:rFonts w:ascii="Arial" w:eastAsia="Arial" w:hAnsi="Arial" w:cs="Arial"/>
          <w:color w:val="000000"/>
          <w:sz w:val="18"/>
          <w:u w:val="single"/>
        </w:rPr>
        <w:t>Miranda v. Arizona</w:t>
      </w:r>
      <w:r>
        <w:rPr>
          <w:rFonts w:ascii="Arial" w:eastAsia="Arial" w:hAnsi="Arial" w:cs="Arial"/>
          <w:color w:val="000000"/>
          <w:sz w:val="18"/>
        </w:rPr>
        <w:t>, 384 U.S. 436, 86 S. Ct. 1602, 16 L. Ed. 2d 694 (1966).</w:t>
      </w:r>
    </w:p>
  </w:footnote>
  <w:footnote w:id="29">
    <w:p w:rsidR="006E038D" w:rsidRDefault="00000000">
      <w:pPr>
        <w:pStyle w:val="Normal7"/>
        <w:widowControl w:val="0"/>
        <w:spacing w:before="200" w:line="240" w:lineRule="atLeast"/>
        <w:jc w:val="both"/>
      </w:pPr>
      <w:r>
        <w:rPr>
          <w:rFonts w:ascii="Arial" w:eastAsia="Arial" w:hAnsi="Arial" w:cs="Arial"/>
          <w:color w:val="000000"/>
          <w:sz w:val="18"/>
          <w:vertAlign w:val="superscript"/>
        </w:rPr>
        <w:t>4 </w:t>
      </w:r>
      <w:bookmarkStart w:id="903" w:name="Bookmark_fnpara_4_2"/>
      <w:bookmarkStart w:id="904" w:name="Bookmark_I4W02DFS0K1MNJ0RM0000400"/>
      <w:bookmarkEnd w:id="903"/>
      <w:bookmarkEnd w:id="904"/>
      <w:r>
        <w:rPr>
          <w:rFonts w:ascii="Arial" w:eastAsia="Arial" w:hAnsi="Arial" w:cs="Arial"/>
          <w:color w:val="000000"/>
          <w:sz w:val="18"/>
        </w:rPr>
        <w:t xml:space="preserve">Rylee's brief does not address this issue or identify any pertinent federal funding. As such, Rylee has waived his ability to challenge summary judgment on his RA claims. </w:t>
      </w:r>
      <w:r>
        <w:rPr>
          <w:rFonts w:ascii="Arial" w:eastAsia="Arial" w:hAnsi="Arial" w:cs="Arial"/>
          <w:color w:val="000000"/>
          <w:sz w:val="18"/>
          <w:u w:val="single"/>
        </w:rPr>
        <w:t xml:space="preserve">See </w:t>
      </w:r>
      <w:bookmarkStart w:id="905" w:name="Bookmark_I4W02DFS0K1MNJ0RK0000400"/>
      <w:bookmarkEnd w:id="905"/>
      <w:r>
        <w:rPr>
          <w:rFonts w:ascii="Arial" w:eastAsia="Arial" w:hAnsi="Arial" w:cs="Arial"/>
          <w:color w:val="000000"/>
          <w:sz w:val="18"/>
          <w:u w:val="single"/>
        </w:rPr>
        <w:t>United States v. Nealy</w:t>
      </w:r>
      <w:r>
        <w:rPr>
          <w:rFonts w:ascii="Arial" w:eastAsia="Arial" w:hAnsi="Arial" w:cs="Arial"/>
          <w:color w:val="000000"/>
          <w:sz w:val="18"/>
        </w:rPr>
        <w:t>, 232 F.3d 825, 830-31 (11th Cir. 2000)  [**7] (an argument not raised in an appellant's brief is deemed waived).</w:t>
      </w:r>
    </w:p>
  </w:footnote>
  <w:footnote w:id="30">
    <w:p w:rsidR="006E038D" w:rsidRDefault="00000000">
      <w:pPr>
        <w:pStyle w:val="Normal7"/>
        <w:widowControl w:val="0"/>
        <w:spacing w:before="120" w:line="240" w:lineRule="atLeast"/>
        <w:jc w:val="both"/>
      </w:pPr>
      <w:r>
        <w:rPr>
          <w:rFonts w:ascii="Arial" w:eastAsia="Arial" w:hAnsi="Arial" w:cs="Arial"/>
          <w:color w:val="000000"/>
          <w:sz w:val="18"/>
          <w:vertAlign w:val="superscript"/>
        </w:rPr>
        <w:t>5 </w:t>
      </w:r>
      <w:bookmarkStart w:id="934" w:name="Bookmark_fnpara_5_1"/>
      <w:bookmarkEnd w:id="934"/>
      <w:r>
        <w:rPr>
          <w:rFonts w:ascii="Arial" w:eastAsia="Arial" w:hAnsi="Arial" w:cs="Arial"/>
          <w:color w:val="000000"/>
          <w:sz w:val="18"/>
        </w:rPr>
        <w:t>Although Rylee's brief states that he should have received a sign language interpreter, he admits that he does not know sign language. He and his family developed some signs in order to aid communication, but there is no reason to believe that a professional interpreter would have known these signals. As such, Rylee does not show he would have benefitted from the services of a interpreter.</w:t>
      </w:r>
    </w:p>
  </w:footnote>
  <w:footnote w:id="31">
    <w:p w:rsidR="006E038D" w:rsidRDefault="00000000">
      <w:pPr>
        <w:pStyle w:val="Normal7"/>
        <w:widowControl w:val="0"/>
        <w:spacing w:before="200" w:line="240" w:lineRule="atLeast"/>
        <w:jc w:val="both"/>
      </w:pPr>
      <w:r>
        <w:rPr>
          <w:rFonts w:ascii="Arial" w:eastAsia="Arial" w:hAnsi="Arial" w:cs="Arial"/>
          <w:color w:val="000000"/>
          <w:sz w:val="18"/>
          <w:vertAlign w:val="superscript"/>
        </w:rPr>
        <w:t>6 </w:t>
      </w:r>
      <w:bookmarkStart w:id="954" w:name="Bookmark_fnpara_6_0"/>
      <w:bookmarkEnd w:id="954"/>
      <w:r>
        <w:rPr>
          <w:rFonts w:ascii="Arial" w:eastAsia="Arial" w:hAnsi="Arial" w:cs="Arial"/>
          <w:color w:val="000000"/>
          <w:sz w:val="18"/>
        </w:rPr>
        <w:t xml:space="preserve">Rylee also argues that he is entitled to relief under § 1983 for claims regarding violations of his Fourth  [**13] and Eighth Amendment rights. </w:t>
      </w:r>
      <w:bookmarkStart w:id="955" w:name="Bookmark_I4W02DFS0K1MNJ0YN0000400"/>
      <w:bookmarkEnd w:id="955"/>
      <w:r>
        <w:rPr>
          <w:rFonts w:ascii="Arial" w:eastAsia="Arial" w:hAnsi="Arial" w:cs="Arial"/>
          <w:color w:val="000000"/>
          <w:sz w:val="18"/>
        </w:rPr>
        <w:t xml:space="preserve">Rylee only mentions his Eighth Amendment claim in passing in his brief and fails to make any argument as to the substance of this claim. This claim is therefore abandoned. </w:t>
      </w:r>
      <w:r>
        <w:rPr>
          <w:rFonts w:ascii="Arial" w:eastAsia="Arial" w:hAnsi="Arial" w:cs="Arial"/>
          <w:color w:val="000000"/>
          <w:sz w:val="18"/>
          <w:u w:val="single"/>
        </w:rPr>
        <w:t xml:space="preserve">See </w:t>
      </w:r>
      <w:bookmarkStart w:id="956" w:name="Bookmark_I4W02DFS0K1MNJ0YM0000400"/>
      <w:bookmarkEnd w:id="956"/>
      <w:r>
        <w:rPr>
          <w:rFonts w:ascii="Arial" w:eastAsia="Arial" w:hAnsi="Arial" w:cs="Arial"/>
          <w:color w:val="000000"/>
          <w:sz w:val="18"/>
          <w:u w:val="single"/>
        </w:rPr>
        <w:t>Love v. Deal</w:t>
      </w:r>
      <w:r>
        <w:rPr>
          <w:rFonts w:ascii="Arial" w:eastAsia="Arial" w:hAnsi="Arial" w:cs="Arial"/>
          <w:color w:val="000000"/>
          <w:sz w:val="18"/>
        </w:rPr>
        <w:t xml:space="preserve">, 5 F.3d 1406, 1407 n.1 (11th Cir. 1993) (an issue raised, but not argued, is deemed abandoned). </w:t>
      </w:r>
      <w:bookmarkStart w:id="957" w:name="Bookmark_I4W02DFS0K1MNJ0YR0000400"/>
      <w:bookmarkEnd w:id="957"/>
      <w:r>
        <w:rPr>
          <w:rFonts w:ascii="Arial" w:eastAsia="Arial" w:hAnsi="Arial" w:cs="Arial"/>
          <w:color w:val="000000"/>
          <w:sz w:val="18"/>
        </w:rPr>
        <w:t xml:space="preserve">Moreover, neither the Fourth nor Eighth Amendment claims were raised in Rylee's complaint before the district court. Thus, these issues may not be considered on appeal. </w:t>
      </w:r>
      <w:r>
        <w:rPr>
          <w:rFonts w:ascii="Arial" w:eastAsia="Arial" w:hAnsi="Arial" w:cs="Arial"/>
          <w:color w:val="000000"/>
          <w:sz w:val="18"/>
          <w:u w:val="single"/>
        </w:rPr>
        <w:t xml:space="preserve">See </w:t>
      </w:r>
      <w:bookmarkStart w:id="958" w:name="Bookmark_I4W02DFS0K1MNJ0YP0000400"/>
      <w:bookmarkEnd w:id="958"/>
      <w:r>
        <w:rPr>
          <w:rFonts w:ascii="Arial" w:eastAsia="Arial" w:hAnsi="Arial" w:cs="Arial"/>
          <w:color w:val="000000"/>
          <w:sz w:val="18"/>
          <w:u w:val="single"/>
        </w:rPr>
        <w:t>Atlanta Prof'l Firefighters Union, Local 134 v. City of Atlanta</w:t>
      </w:r>
      <w:r>
        <w:rPr>
          <w:rFonts w:ascii="Arial" w:eastAsia="Arial" w:hAnsi="Arial" w:cs="Arial"/>
          <w:color w:val="000000"/>
          <w:sz w:val="18"/>
        </w:rPr>
        <w:t>, 920 F.2d 800, 806 (11th Cir. 1991).</w:t>
      </w:r>
    </w:p>
  </w:footnote>
  <w:footnote w:id="32">
    <w:p w:rsidR="006E038D" w:rsidRDefault="00000000">
      <w:pPr>
        <w:pStyle w:val="Normal7"/>
        <w:widowControl w:val="0"/>
        <w:spacing w:before="200" w:line="240" w:lineRule="atLeast"/>
        <w:jc w:val="both"/>
      </w:pPr>
      <w:r>
        <w:rPr>
          <w:rFonts w:ascii="Arial" w:eastAsia="Arial" w:hAnsi="Arial" w:cs="Arial"/>
          <w:color w:val="000000"/>
          <w:sz w:val="18"/>
          <w:vertAlign w:val="superscript"/>
        </w:rPr>
        <w:t>7 </w:t>
      </w:r>
      <w:bookmarkStart w:id="973" w:name="Bookmark_fnpara_7_0"/>
      <w:bookmarkStart w:id="974" w:name="Bookmark_I4W02DFS0K1MNJ10M0000400"/>
      <w:bookmarkEnd w:id="973"/>
      <w:bookmarkEnd w:id="974"/>
      <w:r>
        <w:rPr>
          <w:rFonts w:ascii="Arial" w:eastAsia="Arial" w:hAnsi="Arial" w:cs="Arial"/>
          <w:color w:val="000000"/>
          <w:sz w:val="18"/>
        </w:rPr>
        <w:t xml:space="preserve">The district court based summary judgment on the fact that Banks County had a rational basis for treating Rylee differently than other detainees. We need not reach this issue because we conclude that  [**15] Rylee was not subjected to any differential treatment. </w:t>
      </w:r>
      <w:r>
        <w:rPr>
          <w:rFonts w:ascii="Arial" w:eastAsia="Arial" w:hAnsi="Arial" w:cs="Arial"/>
          <w:color w:val="000000"/>
          <w:sz w:val="18"/>
          <w:u w:val="single"/>
        </w:rPr>
        <w:t xml:space="preserve">See </w:t>
      </w:r>
      <w:bookmarkStart w:id="975" w:name="Bookmark_I4W02DFS0K1MNJ10K0000400"/>
      <w:bookmarkEnd w:id="975"/>
      <w:r>
        <w:rPr>
          <w:rFonts w:ascii="Arial" w:eastAsia="Arial" w:hAnsi="Arial" w:cs="Arial"/>
          <w:color w:val="000000"/>
          <w:sz w:val="18"/>
          <w:u w:val="single"/>
        </w:rPr>
        <w:t>Koziara v. City of Casselberry</w:t>
      </w:r>
      <w:r>
        <w:rPr>
          <w:rFonts w:ascii="Arial" w:eastAsia="Arial" w:hAnsi="Arial" w:cs="Arial"/>
          <w:color w:val="000000"/>
          <w:sz w:val="18"/>
        </w:rPr>
        <w:t>, 392 F.3d 1302, 1306 n.2 (11th Cir. 2004) (</w:t>
      </w:r>
      <w:bookmarkStart w:id="976" w:name="Bookmark_LNHNREFclscc8_4"/>
      <w:bookmarkEnd w:id="976"/>
      <w:r>
        <w:rPr>
          <w:rFonts w:ascii="Arial" w:eastAsia="Arial" w:hAnsi="Arial" w:cs="Arial"/>
          <w:color w:val="000000"/>
          <w:sz w:val="18"/>
        </w:rPr>
        <w:t>this court may affirm on any grounds supported by the record).</w:t>
      </w:r>
    </w:p>
  </w:footnote>
  <w:footnote w:id="33">
    <w:p w:rsidR="006E038D" w:rsidRDefault="00000000">
      <w:pPr>
        <w:pStyle w:val="Normal8"/>
        <w:widowControl w:val="0"/>
        <w:spacing w:before="120" w:line="240" w:lineRule="atLeast"/>
        <w:jc w:val="both"/>
      </w:pPr>
      <w:r>
        <w:rPr>
          <w:rFonts w:ascii="Arial" w:eastAsia="Arial" w:hAnsi="Arial" w:cs="Arial"/>
          <w:color w:val="000000"/>
          <w:sz w:val="18"/>
          <w:vertAlign w:val="superscript"/>
        </w:rPr>
        <w:t>* </w:t>
      </w:r>
      <w:bookmarkStart w:id="999" w:name="Bookmark_fnpara_1_7"/>
      <w:bookmarkEnd w:id="999"/>
      <w:r>
        <w:rPr>
          <w:rFonts w:ascii="Arial" w:eastAsia="Arial" w:hAnsi="Arial" w:cs="Arial"/>
          <w:color w:val="000000"/>
          <w:sz w:val="18"/>
        </w:rPr>
        <w:t>The Honorable Richard K. Eaton, of the United States Court of International Trade, sitting by designation.</w:t>
      </w:r>
    </w:p>
  </w:footnote>
  <w:footnote w:id="34">
    <w:p w:rsidR="006E038D" w:rsidRDefault="00000000">
      <w:pPr>
        <w:pStyle w:val="Normal8"/>
        <w:widowControl w:val="0"/>
        <w:spacing w:before="200" w:line="240" w:lineRule="atLeast"/>
        <w:jc w:val="both"/>
      </w:pPr>
      <w:r>
        <w:rPr>
          <w:rFonts w:ascii="Arial" w:eastAsia="Arial" w:hAnsi="Arial" w:cs="Arial"/>
          <w:color w:val="000000"/>
          <w:sz w:val="18"/>
          <w:vertAlign w:val="superscript"/>
        </w:rPr>
        <w:t>1 </w:t>
      </w:r>
      <w:bookmarkStart w:id="1027" w:name="Bookmark_fnpara_2_7"/>
      <w:bookmarkEnd w:id="1027"/>
      <w:r>
        <w:rPr>
          <w:rFonts w:ascii="Arial" w:eastAsia="Arial" w:hAnsi="Arial" w:cs="Arial"/>
          <w:color w:val="000000"/>
          <w:sz w:val="18"/>
        </w:rPr>
        <w:t xml:space="preserve">The School District has not contested the first two elements of a </w:t>
      </w:r>
      <w:r>
        <w:rPr>
          <w:rFonts w:ascii="Arial" w:eastAsia="Arial" w:hAnsi="Arial" w:cs="Arial"/>
          <w:i/>
          <w:color w:val="000000"/>
          <w:sz w:val="18"/>
        </w:rPr>
        <w:t>prima facie</w:t>
      </w:r>
      <w:r>
        <w:rPr>
          <w:rFonts w:ascii="Arial" w:eastAsia="Arial" w:hAnsi="Arial" w:cs="Arial"/>
          <w:color w:val="000000"/>
          <w:sz w:val="18"/>
        </w:rPr>
        <w:t xml:space="preserve"> ADA claim--that "(1) [defendant] is subject to the ADA; (2) [plaintiff] was a person with a disability within the meaning of the ADA." </w:t>
      </w:r>
      <w:bookmarkStart w:id="1028" w:name="Bookmark_I4VKTY5N0K1MNJ1B10000400"/>
      <w:bookmarkEnd w:id="1028"/>
      <w:r>
        <w:rPr>
          <w:rFonts w:ascii="Arial" w:eastAsia="Arial" w:hAnsi="Arial" w:cs="Arial"/>
          <w:i/>
          <w:color w:val="000000"/>
          <w:sz w:val="18"/>
        </w:rPr>
        <w:t>Shannon v. N.Y. City Transit Auth.,</w:t>
      </w:r>
      <w:r>
        <w:rPr>
          <w:rFonts w:ascii="Arial" w:eastAsia="Arial" w:hAnsi="Arial" w:cs="Arial"/>
          <w:color w:val="000000"/>
          <w:sz w:val="18"/>
        </w:rPr>
        <w:t xml:space="preserve"> 332 F.3d 95, 99 (2d Cir. 2003). The magistrate judge considered and explicitly rejected the School District's argument that plaintiff could not show the fourth element of a </w:t>
      </w:r>
      <w:r>
        <w:rPr>
          <w:rFonts w:ascii="Arial" w:eastAsia="Arial" w:hAnsi="Arial" w:cs="Arial"/>
          <w:i/>
          <w:color w:val="000000"/>
          <w:sz w:val="18"/>
        </w:rPr>
        <w:t>prima facie</w:t>
      </w:r>
      <w:r>
        <w:rPr>
          <w:rFonts w:ascii="Arial" w:eastAsia="Arial" w:hAnsi="Arial" w:cs="Arial"/>
          <w:color w:val="000000"/>
          <w:sz w:val="18"/>
        </w:rPr>
        <w:t xml:space="preserve"> claim--that she "suffered adverse employment action because of [her] disability." </w:t>
      </w:r>
      <w:r>
        <w:rPr>
          <w:rFonts w:ascii="Arial" w:eastAsia="Arial" w:hAnsi="Arial" w:cs="Arial"/>
          <w:i/>
          <w:color w:val="000000"/>
          <w:sz w:val="18"/>
        </w:rPr>
        <w:t>Id.</w:t>
      </w:r>
    </w:p>
  </w:footnote>
  <w:footnote w:id="35">
    <w:p w:rsidR="006E038D" w:rsidRDefault="00000000">
      <w:pPr>
        <w:pStyle w:val="Normal8"/>
        <w:widowControl w:val="0"/>
        <w:spacing w:before="200" w:line="240" w:lineRule="atLeast"/>
        <w:jc w:val="both"/>
      </w:pPr>
      <w:r>
        <w:rPr>
          <w:rFonts w:ascii="Arial" w:eastAsia="Arial" w:hAnsi="Arial" w:cs="Arial"/>
          <w:color w:val="000000"/>
          <w:sz w:val="18"/>
          <w:vertAlign w:val="superscript"/>
        </w:rPr>
        <w:t>2 </w:t>
      </w:r>
      <w:bookmarkStart w:id="1035" w:name="Bookmark_fnpara_3_4"/>
      <w:bookmarkEnd w:id="1035"/>
      <w:r>
        <w:rPr>
          <w:rFonts w:ascii="Arial" w:eastAsia="Arial" w:hAnsi="Arial" w:cs="Arial"/>
          <w:color w:val="000000"/>
          <w:sz w:val="18"/>
        </w:rPr>
        <w:t>Plaintiff claims--and defendants apparently do not dispute--that she earned approximately $ 43,600 as a Computer Coordinator in the 1997-98 school year, but that the compensation for a "Library  [**9] Aide" was only $ 17,000.</w:t>
      </w:r>
    </w:p>
  </w:footnote>
  <w:footnote w:id="36">
    <w:p w:rsidR="006E038D" w:rsidRDefault="00000000">
      <w:pPr>
        <w:pStyle w:val="Normal9"/>
        <w:widowControl w:val="0"/>
        <w:spacing w:before="120" w:line="240" w:lineRule="atLeast"/>
        <w:jc w:val="both"/>
      </w:pPr>
      <w:r>
        <w:rPr>
          <w:rFonts w:ascii="Arial" w:eastAsia="Arial" w:hAnsi="Arial" w:cs="Arial"/>
          <w:color w:val="000000"/>
          <w:sz w:val="18"/>
          <w:vertAlign w:val="superscript"/>
        </w:rPr>
        <w:t>1 </w:t>
      </w:r>
      <w:bookmarkStart w:id="1051" w:name="Bookmark_fnpara_1_8"/>
      <w:bookmarkEnd w:id="1051"/>
      <w:r>
        <w:rPr>
          <w:rFonts w:ascii="Arial" w:eastAsia="Arial" w:hAnsi="Arial" w:cs="Arial"/>
          <w:color w:val="000000"/>
          <w:sz w:val="18"/>
        </w:rPr>
        <w:t>We assume for summary judgment purposes that Velez has anhidrotic ectodermal dysplasia and that he cannot perspire at all. This medical syndrome is unusual. Had there been a genuine issue of fact on relevant ADA issues, it would have been necessary at trial for EEOC to establish the nature and extent of Velez's condition through admissible medical evidence. Fed. R. Evid. 701. No such evidence was presented.</w:t>
      </w:r>
    </w:p>
  </w:footnote>
  <w:footnote w:id="37">
    <w:p w:rsidR="006E038D" w:rsidRDefault="00000000">
      <w:pPr>
        <w:pStyle w:val="Normal9"/>
        <w:widowControl w:val="0"/>
        <w:spacing w:before="120" w:line="240" w:lineRule="atLeast"/>
        <w:jc w:val="both"/>
      </w:pPr>
      <w:r>
        <w:rPr>
          <w:rFonts w:ascii="Arial" w:eastAsia="Arial" w:hAnsi="Arial" w:cs="Arial"/>
          <w:color w:val="000000"/>
          <w:sz w:val="18"/>
          <w:vertAlign w:val="superscript"/>
        </w:rPr>
        <w:t>2 </w:t>
      </w:r>
      <w:bookmarkStart w:id="1057" w:name="Bookmark_fnpara_2_8"/>
      <w:bookmarkEnd w:id="1057"/>
      <w:r>
        <w:rPr>
          <w:rFonts w:ascii="Arial" w:eastAsia="Arial" w:hAnsi="Arial" w:cs="Arial"/>
          <w:color w:val="000000"/>
          <w:sz w:val="18"/>
        </w:rPr>
        <w:t>Agro disputes the substance of this conversation, asserting that Velez told Griffin that he would not show up because it was unfair that he had to load the barrels on this occasion. Velez had loaded barrels previously and other employees at the facility had not.</w:t>
      </w:r>
    </w:p>
    <w:p w:rsidR="006E038D" w:rsidRDefault="00000000">
      <w:pPr>
        <w:pStyle w:val="Normal9"/>
        <w:widowControl w:val="0"/>
        <w:spacing w:before="120" w:line="240" w:lineRule="atLeast"/>
        <w:jc w:val="both"/>
      </w:pPr>
      <w:bookmarkStart w:id="1058" w:name="Bookmark_fnpara_3_5"/>
      <w:bookmarkEnd w:id="1058"/>
      <w:r>
        <w:rPr>
          <w:rFonts w:ascii="Arial" w:eastAsia="Arial" w:hAnsi="Arial" w:cs="Arial"/>
          <w:color w:val="000000"/>
          <w:sz w:val="18"/>
        </w:rPr>
        <w:t>In reviewing a grant of summary judgment, we view the disputed facts in the light most favorable to the non-movant.</w:t>
      </w:r>
    </w:p>
  </w:footnote>
  <w:footnote w:id="38">
    <w:p w:rsidR="006E038D" w:rsidRDefault="00000000">
      <w:pPr>
        <w:pStyle w:val="Normal9"/>
        <w:widowControl w:val="0"/>
        <w:spacing w:before="120" w:line="240" w:lineRule="atLeast"/>
        <w:jc w:val="both"/>
      </w:pPr>
      <w:r>
        <w:rPr>
          <w:rFonts w:ascii="Arial" w:eastAsia="Arial" w:hAnsi="Arial" w:cs="Arial"/>
          <w:color w:val="000000"/>
          <w:sz w:val="18"/>
          <w:vertAlign w:val="superscript"/>
        </w:rPr>
        <w:t>3 </w:t>
      </w:r>
      <w:bookmarkStart w:id="1062" w:name="Bookmark_fnpara_4_3"/>
      <w:bookmarkEnd w:id="1062"/>
      <w:r>
        <w:rPr>
          <w:rFonts w:ascii="Arial" w:eastAsia="Arial" w:hAnsi="Arial" w:cs="Arial"/>
          <w:color w:val="000000"/>
          <w:sz w:val="18"/>
        </w:rPr>
        <w:t>Small's letter states that the temperature was 85 degrees on July 14 and July 15, 2002. The barrels were loaded starting at 6:00 a.m. on July 16. The temperature remained around 70 degrees until 8:00 a.m. and rose to 77 degrees over the next hour.</w:t>
      </w:r>
    </w:p>
  </w:footnote>
  <w:footnote w:id="39">
    <w:p w:rsidR="006E038D" w:rsidRDefault="00000000">
      <w:pPr>
        <w:pStyle w:val="Normal9"/>
        <w:widowControl w:val="0"/>
        <w:spacing w:before="120" w:line="240" w:lineRule="atLeast"/>
        <w:jc w:val="both"/>
      </w:pPr>
      <w:r>
        <w:rPr>
          <w:rFonts w:ascii="Arial" w:eastAsia="Arial" w:hAnsi="Arial" w:cs="Arial"/>
          <w:color w:val="000000"/>
          <w:sz w:val="18"/>
          <w:vertAlign w:val="superscript"/>
        </w:rPr>
        <w:t>4 </w:t>
      </w:r>
      <w:bookmarkStart w:id="1063" w:name="Bookmark_fnpara_5_2"/>
      <w:bookmarkEnd w:id="1063"/>
      <w:r>
        <w:rPr>
          <w:rFonts w:ascii="Arial" w:eastAsia="Arial" w:hAnsi="Arial" w:cs="Arial"/>
          <w:color w:val="000000"/>
          <w:sz w:val="18"/>
        </w:rPr>
        <w:t>Velez supported this statement in his deposition, where he testified that he could perform manual labor in 80 degree heat with sufficient breaks.</w:t>
      </w:r>
    </w:p>
  </w:footnote>
  <w:footnote w:id="40">
    <w:p w:rsidR="006E038D" w:rsidRDefault="00000000">
      <w:pPr>
        <w:pStyle w:val="Normal9"/>
        <w:widowControl w:val="0"/>
        <w:spacing w:before="200" w:line="240" w:lineRule="atLeast"/>
        <w:jc w:val="both"/>
      </w:pPr>
      <w:r>
        <w:rPr>
          <w:rFonts w:ascii="Arial" w:eastAsia="Arial" w:hAnsi="Arial" w:cs="Arial"/>
          <w:color w:val="000000"/>
          <w:sz w:val="18"/>
          <w:vertAlign w:val="superscript"/>
        </w:rPr>
        <w:t>5 </w:t>
      </w:r>
      <w:bookmarkStart w:id="1065" w:name="Bookmark_fnpara_6_1"/>
      <w:bookmarkEnd w:id="1065"/>
      <w:r>
        <w:rPr>
          <w:rFonts w:ascii="Arial" w:eastAsia="Arial" w:hAnsi="Arial" w:cs="Arial"/>
          <w:color w:val="000000"/>
          <w:sz w:val="18"/>
        </w:rPr>
        <w:t>The record does not reveal any basis for compensatory damages. In its Complaint, the EEOC requested damages for "emotional pain, suffering, loss of enjoyment of life, and humiliation." At his deposition, Velez described losing his job with  [**7] Agro as "a blessing in disguise" and denied suffering any emotional problems from the loss.</w:t>
      </w:r>
    </w:p>
  </w:footnote>
  <w:footnote w:id="41">
    <w:p w:rsidR="006E038D" w:rsidRDefault="00000000">
      <w:pPr>
        <w:pStyle w:val="Normal9"/>
        <w:widowControl w:val="0"/>
        <w:spacing w:before="200" w:line="240" w:lineRule="atLeast"/>
        <w:jc w:val="both"/>
      </w:pPr>
      <w:r>
        <w:rPr>
          <w:rFonts w:ascii="Arial" w:eastAsia="Arial" w:hAnsi="Arial" w:cs="Arial"/>
          <w:color w:val="000000"/>
          <w:sz w:val="18"/>
          <w:vertAlign w:val="superscript"/>
        </w:rPr>
        <w:t>6 </w:t>
      </w:r>
      <w:bookmarkStart w:id="1088" w:name="Bookmark_fnpara_7_1"/>
      <w:bookmarkEnd w:id="1088"/>
      <w:r>
        <w:rPr>
          <w:rFonts w:ascii="Arial" w:eastAsia="Arial" w:hAnsi="Arial" w:cs="Arial"/>
          <w:color w:val="000000"/>
          <w:sz w:val="18"/>
        </w:rPr>
        <w:t xml:space="preserve">In contrast to our approach set forth in </w:t>
      </w:r>
      <w:r>
        <w:rPr>
          <w:rFonts w:ascii="Arial" w:eastAsia="Arial" w:hAnsi="Arial" w:cs="Arial"/>
          <w:i/>
          <w:color w:val="000000"/>
          <w:sz w:val="18"/>
        </w:rPr>
        <w:t>Klinger</w:t>
      </w:r>
      <w:r>
        <w:rPr>
          <w:rFonts w:ascii="Arial" w:eastAsia="Arial" w:hAnsi="Arial" w:cs="Arial"/>
          <w:color w:val="000000"/>
          <w:sz w:val="18"/>
        </w:rPr>
        <w:t xml:space="preserve">, the Sixth Circuit declined to examine the substance of the EEOC's conciliation efforts. </w:t>
      </w:r>
      <w:r>
        <w:rPr>
          <w:rFonts w:ascii="Arial" w:eastAsia="Arial" w:hAnsi="Arial" w:cs="Arial"/>
          <w:i/>
          <w:color w:val="000000"/>
          <w:sz w:val="18"/>
        </w:rPr>
        <w:t xml:space="preserve">See </w:t>
      </w:r>
      <w:bookmarkStart w:id="1089" w:name="Bookmark_I4VKD23T0K1MNJ2FR0000400"/>
      <w:bookmarkEnd w:id="1089"/>
      <w:r>
        <w:rPr>
          <w:rFonts w:ascii="Arial" w:eastAsia="Arial" w:hAnsi="Arial" w:cs="Arial"/>
          <w:i/>
          <w:color w:val="000000"/>
          <w:sz w:val="18"/>
        </w:rPr>
        <w:t>EEOC v. Keco Indus., Inc</w:t>
      </w:r>
      <w:r>
        <w:rPr>
          <w:rFonts w:ascii="Arial" w:eastAsia="Arial" w:hAnsi="Arial" w:cs="Arial"/>
          <w:color w:val="000000"/>
          <w:sz w:val="18"/>
        </w:rPr>
        <w:t>., 748 F.2d 1097, 1102 (6th Cir. 1984) (refusing to evaluate the form and substance of conciliation).</w:t>
      </w:r>
    </w:p>
  </w:footnote>
  <w:footnote w:id="42">
    <w:p w:rsidR="006E038D" w:rsidRDefault="00000000">
      <w:pPr>
        <w:pStyle w:val="Normal9"/>
        <w:widowControl w:val="0"/>
        <w:spacing w:before="120" w:line="240" w:lineRule="atLeast"/>
        <w:jc w:val="both"/>
      </w:pPr>
      <w:r>
        <w:rPr>
          <w:rFonts w:ascii="Arial" w:eastAsia="Arial" w:hAnsi="Arial" w:cs="Arial"/>
          <w:color w:val="000000"/>
          <w:sz w:val="18"/>
          <w:vertAlign w:val="superscript"/>
        </w:rPr>
        <w:t>7 </w:t>
      </w:r>
      <w:bookmarkStart w:id="1116" w:name="Bookmark_fnpara_8"/>
      <w:bookmarkEnd w:id="1116"/>
      <w:r>
        <w:rPr>
          <w:rFonts w:ascii="Arial" w:eastAsia="Arial" w:hAnsi="Arial" w:cs="Arial"/>
          <w:color w:val="000000"/>
          <w:sz w:val="18"/>
        </w:rPr>
        <w:t>Agro does not argue that (and thus we need not address whether) the district court abused its discretion by only awarding attorneys' fees dated after Velez's deposition.</w:t>
      </w:r>
    </w:p>
  </w:footnote>
  <w:footnote w:id="43">
    <w:p w:rsidR="006E038D" w:rsidRDefault="00000000">
      <w:pPr>
        <w:pStyle w:val="Normal9"/>
        <w:widowControl w:val="0"/>
        <w:spacing w:before="200" w:line="240" w:lineRule="atLeast"/>
        <w:jc w:val="both"/>
      </w:pPr>
      <w:r>
        <w:rPr>
          <w:rFonts w:ascii="Arial" w:eastAsia="Arial" w:hAnsi="Arial" w:cs="Arial"/>
          <w:color w:val="000000"/>
          <w:sz w:val="18"/>
          <w:vertAlign w:val="superscript"/>
        </w:rPr>
        <w:t>8 </w:t>
      </w:r>
      <w:bookmarkStart w:id="1129" w:name="Bookmark_fnpara_9"/>
      <w:bookmarkEnd w:id="1129"/>
      <w:r>
        <w:rPr>
          <w:rFonts w:ascii="Arial" w:eastAsia="Arial" w:hAnsi="Arial" w:cs="Arial"/>
          <w:color w:val="000000"/>
          <w:sz w:val="18"/>
        </w:rPr>
        <w:t>Because the record creates no genuine factual dispute as to whether Velez was substantially limited in his ability to regulate  [**14] his body temperature, we assume, without deciding, that the regulation of body temperature constitutes a major life activity under the ADA.</w:t>
      </w:r>
    </w:p>
    <w:p w:rsidR="006E038D" w:rsidRDefault="00000000">
      <w:pPr>
        <w:pStyle w:val="Normal9"/>
        <w:widowControl w:val="0"/>
        <w:spacing w:before="200" w:line="240" w:lineRule="atLeast"/>
        <w:jc w:val="both"/>
      </w:pPr>
      <w:bookmarkStart w:id="1130" w:name="Bookmark_fnpara_10"/>
      <w:bookmarkStart w:id="1131" w:name="Bookmark_I4VKD23T0K1MNJ2JB0000400"/>
      <w:bookmarkStart w:id="1132" w:name="Bookmark_I4VKD23T0K1MNJ2K40000400"/>
      <w:bookmarkEnd w:id="1130"/>
      <w:bookmarkEnd w:id="1131"/>
      <w:bookmarkEnd w:id="1132"/>
      <w:r>
        <w:rPr>
          <w:rFonts w:ascii="Arial" w:eastAsia="Arial" w:hAnsi="Arial" w:cs="Arial"/>
          <w:color w:val="000000"/>
          <w:sz w:val="18"/>
        </w:rPr>
        <w:t xml:space="preserve">The EEOC, however, alternatively phrases the major life activity as "regulating body temperature </w:t>
      </w:r>
      <w:r>
        <w:rPr>
          <w:rFonts w:ascii="Arial" w:eastAsia="Arial" w:hAnsi="Arial" w:cs="Arial"/>
          <w:i/>
          <w:color w:val="000000"/>
          <w:sz w:val="18"/>
        </w:rPr>
        <w:t>through perspiration</w:t>
      </w:r>
      <w:r>
        <w:rPr>
          <w:rFonts w:ascii="Arial" w:eastAsia="Arial" w:hAnsi="Arial" w:cs="Arial"/>
          <w:color w:val="000000"/>
          <w:sz w:val="18"/>
        </w:rPr>
        <w:t xml:space="preserve">." Perspiration is one method, among many, of regulating body temperature. If body temperature can be otherwise regulated, the inability to perspire is not "of central importance to daily life." </w:t>
      </w:r>
      <w:r>
        <w:rPr>
          <w:rFonts w:ascii="Arial" w:eastAsia="Arial" w:hAnsi="Arial" w:cs="Arial"/>
          <w:i/>
          <w:color w:val="000000"/>
          <w:sz w:val="18"/>
        </w:rPr>
        <w:t xml:space="preserve">See </w:t>
      </w:r>
      <w:bookmarkStart w:id="1133" w:name="Bookmark_I4VKD23T0K1MNJ2J90000400"/>
      <w:bookmarkEnd w:id="1133"/>
      <w:r>
        <w:rPr>
          <w:rFonts w:ascii="Arial" w:eastAsia="Arial" w:hAnsi="Arial" w:cs="Arial"/>
          <w:i/>
          <w:color w:val="000000"/>
          <w:sz w:val="18"/>
        </w:rPr>
        <w:t>Toyota Motor Mfg. v. Williams</w:t>
      </w:r>
      <w:r>
        <w:rPr>
          <w:rFonts w:ascii="Arial" w:eastAsia="Arial" w:hAnsi="Arial" w:cs="Arial"/>
          <w:color w:val="000000"/>
          <w:sz w:val="18"/>
        </w:rPr>
        <w:t xml:space="preserve">, 534 U.S. 184, 187, 122 S. Ct. 681, 686, 151 L. Ed. 2d 615 (2002). </w:t>
      </w:r>
      <w:bookmarkStart w:id="1134" w:name="Bookmark_I4VKD23T0K1MNJ2K40000400_2"/>
      <w:bookmarkEnd w:id="1134"/>
      <w:r>
        <w:rPr>
          <w:rFonts w:ascii="Arial" w:eastAsia="Arial" w:hAnsi="Arial" w:cs="Arial"/>
          <w:color w:val="000000"/>
          <w:sz w:val="18"/>
        </w:rPr>
        <w:t xml:space="preserve">Defining a major life activity at this level of specificity would open the door to claims such as "seeing without corrective lenses." </w:t>
      </w:r>
      <w:r>
        <w:rPr>
          <w:rFonts w:ascii="Arial" w:eastAsia="Arial" w:hAnsi="Arial" w:cs="Arial"/>
          <w:i/>
          <w:color w:val="000000"/>
          <w:sz w:val="18"/>
        </w:rPr>
        <w:t xml:space="preserve">Cf. </w:t>
      </w:r>
      <w:r>
        <w:rPr>
          <w:rFonts w:ascii="Arial" w:eastAsia="Arial" w:hAnsi="Arial" w:cs="Arial"/>
          <w:color w:val="000000"/>
          <w:sz w:val="18"/>
        </w:rPr>
        <w:t xml:space="preserve"> [*470]  </w:t>
      </w:r>
      <w:bookmarkStart w:id="1135" w:name="Bookmark_I4VKD23T0K1MNJ2JC0000400"/>
      <w:bookmarkEnd w:id="1135"/>
      <w:r>
        <w:rPr>
          <w:rFonts w:ascii="Arial" w:eastAsia="Arial" w:hAnsi="Arial" w:cs="Arial"/>
          <w:i/>
          <w:color w:val="000000"/>
          <w:sz w:val="18"/>
        </w:rPr>
        <w:t>Sutton v. United Air Lines, Inc</w:t>
      </w:r>
      <w:r>
        <w:rPr>
          <w:rFonts w:ascii="Arial" w:eastAsia="Arial" w:hAnsi="Arial" w:cs="Arial"/>
          <w:color w:val="000000"/>
          <w:sz w:val="18"/>
        </w:rPr>
        <w:t xml:space="preserve">., 527 U.S. 471, 475, 119 S. Ct. 2139, 2143, 144 L. Ed. 2d 450 (1999). The EEOC cannot evade </w:t>
      </w:r>
      <w:r>
        <w:rPr>
          <w:rFonts w:ascii="Arial" w:eastAsia="Arial" w:hAnsi="Arial" w:cs="Arial"/>
          <w:i/>
          <w:color w:val="000000"/>
          <w:sz w:val="18"/>
        </w:rPr>
        <w:t>Sutton's</w:t>
      </w:r>
      <w:r>
        <w:rPr>
          <w:rFonts w:ascii="Arial" w:eastAsia="Arial" w:hAnsi="Arial" w:cs="Arial"/>
          <w:color w:val="000000"/>
          <w:sz w:val="18"/>
        </w:rPr>
        <w:t xml:space="preserve"> requirement to consider mitigating measures by narrowly defining a major life activity as accomplished through a particular means.</w:t>
      </w:r>
    </w:p>
    <w:p w:rsidR="006E038D" w:rsidRDefault="00000000">
      <w:pPr>
        <w:pStyle w:val="Normal9"/>
        <w:widowControl w:val="0"/>
        <w:spacing w:before="200" w:line="240" w:lineRule="atLeast"/>
        <w:jc w:val="both"/>
      </w:pPr>
      <w:bookmarkStart w:id="1136" w:name="Bookmark_fnpara_11"/>
      <w:bookmarkStart w:id="1137" w:name="Bookmark_I4VKD23T0K1MNJ2K60000400"/>
      <w:bookmarkEnd w:id="1136"/>
      <w:bookmarkEnd w:id="1137"/>
      <w:r>
        <w:rPr>
          <w:rFonts w:ascii="Arial" w:eastAsia="Arial" w:hAnsi="Arial" w:cs="Arial"/>
          <w:color w:val="000000"/>
          <w:sz w:val="18"/>
        </w:rPr>
        <w:t xml:space="preserve">Congress recently enacted </w:t>
      </w:r>
      <w:bookmarkStart w:id="1138" w:name="Bookmark_LNHNREFclscc11_2"/>
      <w:bookmarkEnd w:id="1138"/>
      <w:r>
        <w:rPr>
          <w:rFonts w:ascii="Arial" w:eastAsia="Arial" w:hAnsi="Arial" w:cs="Arial"/>
          <w:color w:val="000000"/>
          <w:sz w:val="18"/>
        </w:rPr>
        <w:t xml:space="preserve">the ADA Amendments Act of 2008, PUB. L. NO. 110-325, 122 STAT. 3553 (2008), but these changes do not apply retroactively. </w:t>
      </w:r>
      <w:r>
        <w:rPr>
          <w:rFonts w:ascii="Arial" w:eastAsia="Arial" w:hAnsi="Arial" w:cs="Arial"/>
          <w:i/>
          <w:color w:val="000000"/>
          <w:sz w:val="18"/>
        </w:rPr>
        <w:t xml:space="preserve">See </w:t>
      </w:r>
      <w:bookmarkStart w:id="1139" w:name="Bookmark_I4VKD23T0K1MNJ2K50000400"/>
      <w:bookmarkEnd w:id="1139"/>
      <w:r>
        <w:rPr>
          <w:rFonts w:ascii="Arial" w:eastAsia="Arial" w:hAnsi="Arial" w:cs="Arial"/>
          <w:i/>
          <w:color w:val="000000"/>
          <w:sz w:val="18"/>
        </w:rPr>
        <w:t>Rivers v. Roadway Express, Inc</w:t>
      </w:r>
      <w:r>
        <w:rPr>
          <w:rFonts w:ascii="Arial" w:eastAsia="Arial" w:hAnsi="Arial" w:cs="Arial"/>
          <w:color w:val="000000"/>
          <w:sz w:val="18"/>
        </w:rPr>
        <w:t>., 511 U.S. 298, 313, 114 S. Ct. 1510, 1519, 128 L. Ed. 2d 274 (1994) (</w:t>
      </w:r>
      <w:bookmarkStart w:id="1140" w:name="Bookmark_LNHNREFclscc12_2"/>
      <w:bookmarkEnd w:id="1140"/>
      <w:r>
        <w:rPr>
          <w:rFonts w:ascii="Arial" w:eastAsia="Arial" w:hAnsi="Arial" w:cs="Arial"/>
          <w:color w:val="000000"/>
          <w:sz w:val="18"/>
        </w:rPr>
        <w:t>"Even when Congress intends to supersede a rule of  [**15] law embodied in one of our decisions with what it views as a better rule established in earlier decisions, its intent to reach conduct preceding the 'corrective' amendment must clearly appear.").</w:t>
      </w:r>
    </w:p>
  </w:footnote>
  <w:footnote w:id="44">
    <w:p w:rsidR="006E038D" w:rsidRDefault="00000000">
      <w:pPr>
        <w:pStyle w:val="Normal9"/>
        <w:widowControl w:val="0"/>
        <w:spacing w:before="120" w:line="240" w:lineRule="atLeast"/>
        <w:jc w:val="both"/>
      </w:pPr>
      <w:r>
        <w:rPr>
          <w:rFonts w:ascii="Arial" w:eastAsia="Arial" w:hAnsi="Arial" w:cs="Arial"/>
          <w:color w:val="000000"/>
          <w:sz w:val="18"/>
          <w:vertAlign w:val="superscript"/>
        </w:rPr>
        <w:t>9 </w:t>
      </w:r>
      <w:bookmarkStart w:id="1166" w:name="Bookmark_fnpara_12"/>
      <w:bookmarkEnd w:id="1166"/>
      <w:r>
        <w:rPr>
          <w:rFonts w:ascii="Arial" w:eastAsia="Arial" w:hAnsi="Arial" w:cs="Arial"/>
          <w:color w:val="000000"/>
          <w:sz w:val="18"/>
        </w:rPr>
        <w:t>Q: As I understand it, as long as you've got an ability to hydrate yourself, to cool down with water --</w:t>
      </w:r>
    </w:p>
    <w:p w:rsidR="006E038D" w:rsidRDefault="00000000">
      <w:pPr>
        <w:pStyle w:val="Normal9"/>
        <w:widowControl w:val="0"/>
        <w:spacing w:before="120" w:line="240" w:lineRule="atLeast"/>
        <w:ind w:left="400"/>
        <w:jc w:val="both"/>
      </w:pPr>
      <w:bookmarkStart w:id="1167" w:name="Bookmark_para_31_4"/>
      <w:bookmarkEnd w:id="1167"/>
      <w:r>
        <w:rPr>
          <w:rFonts w:ascii="Arial" w:eastAsia="Arial" w:hAnsi="Arial" w:cs="Arial"/>
          <w:color w:val="000000"/>
          <w:sz w:val="18"/>
        </w:rPr>
        <w:t>A: Yes, sir, and air.</w:t>
      </w:r>
    </w:p>
    <w:p w:rsidR="006E038D" w:rsidRDefault="00000000">
      <w:pPr>
        <w:pStyle w:val="Normal9"/>
        <w:widowControl w:val="0"/>
        <w:spacing w:before="120" w:line="240" w:lineRule="atLeast"/>
        <w:ind w:left="400"/>
        <w:jc w:val="both"/>
      </w:pPr>
      <w:bookmarkStart w:id="1168" w:name="Bookmark_para_32_3"/>
      <w:bookmarkEnd w:id="1168"/>
      <w:r>
        <w:rPr>
          <w:rFonts w:ascii="Arial" w:eastAsia="Arial" w:hAnsi="Arial" w:cs="Arial"/>
          <w:color w:val="000000"/>
          <w:sz w:val="18"/>
        </w:rPr>
        <w:t>Q: -- and air, you can do manual work?</w:t>
      </w:r>
    </w:p>
    <w:p w:rsidR="006E038D" w:rsidRDefault="00000000">
      <w:pPr>
        <w:pStyle w:val="Normal9"/>
        <w:widowControl w:val="0"/>
        <w:spacing w:before="120" w:line="240" w:lineRule="atLeast"/>
        <w:ind w:left="400"/>
        <w:jc w:val="both"/>
      </w:pPr>
      <w:bookmarkStart w:id="1169" w:name="Bookmark_para_33_3"/>
      <w:bookmarkEnd w:id="1169"/>
      <w:r>
        <w:rPr>
          <w:rFonts w:ascii="Arial" w:eastAsia="Arial" w:hAnsi="Arial" w:cs="Arial"/>
          <w:color w:val="000000"/>
          <w:sz w:val="18"/>
        </w:rPr>
        <w:t>A: Yes, sir.</w:t>
      </w:r>
    </w:p>
    <w:p w:rsidR="006E038D" w:rsidRDefault="00000000">
      <w:pPr>
        <w:pStyle w:val="Normal9"/>
        <w:widowControl w:val="0"/>
        <w:spacing w:before="120" w:line="240" w:lineRule="atLeast"/>
        <w:ind w:left="400"/>
        <w:jc w:val="both"/>
      </w:pPr>
      <w:bookmarkStart w:id="1170" w:name="Bookmark_para_34_2"/>
      <w:bookmarkEnd w:id="1170"/>
      <w:r>
        <w:rPr>
          <w:rFonts w:ascii="Arial" w:eastAsia="Arial" w:hAnsi="Arial" w:cs="Arial"/>
          <w:color w:val="000000"/>
          <w:sz w:val="18"/>
        </w:rPr>
        <w:t>Q: Just like anybody else?</w:t>
      </w:r>
    </w:p>
    <w:p w:rsidR="006E038D" w:rsidRDefault="00000000">
      <w:pPr>
        <w:pStyle w:val="Normal9"/>
        <w:widowControl w:val="0"/>
        <w:spacing w:before="120" w:line="240" w:lineRule="atLeast"/>
        <w:ind w:left="400"/>
        <w:jc w:val="both"/>
      </w:pPr>
      <w:bookmarkStart w:id="1171" w:name="Bookmark_para_35_2"/>
      <w:bookmarkEnd w:id="1171"/>
      <w:r>
        <w:rPr>
          <w:rFonts w:ascii="Arial" w:eastAsia="Arial" w:hAnsi="Arial" w:cs="Arial"/>
          <w:color w:val="000000"/>
          <w:sz w:val="18"/>
        </w:rPr>
        <w:t>A: Yes, sir.</w:t>
      </w:r>
    </w:p>
  </w:footnote>
  <w:footnote w:id="45">
    <w:p w:rsidR="006E038D" w:rsidRDefault="00000000">
      <w:pPr>
        <w:pStyle w:val="Normal9"/>
        <w:widowControl w:val="0"/>
        <w:spacing w:before="120" w:line="240" w:lineRule="atLeast"/>
        <w:jc w:val="both"/>
      </w:pPr>
      <w:r>
        <w:rPr>
          <w:rFonts w:ascii="Arial" w:eastAsia="Arial" w:hAnsi="Arial" w:cs="Arial"/>
          <w:color w:val="000000"/>
          <w:sz w:val="18"/>
          <w:vertAlign w:val="superscript"/>
        </w:rPr>
        <w:t>10 </w:t>
      </w:r>
      <w:bookmarkStart w:id="1187" w:name="Bookmark_fnpara_13"/>
      <w:bookmarkEnd w:id="1187"/>
      <w:r>
        <w:rPr>
          <w:rFonts w:ascii="Arial" w:eastAsia="Arial" w:hAnsi="Arial" w:cs="Arial"/>
          <w:color w:val="000000"/>
          <w:sz w:val="18"/>
        </w:rPr>
        <w:t>Q: Did you tell them that you needed some accommodation to perform your job?</w:t>
      </w:r>
    </w:p>
    <w:p w:rsidR="006E038D" w:rsidRDefault="00000000">
      <w:pPr>
        <w:pStyle w:val="Normal9"/>
        <w:widowControl w:val="0"/>
        <w:spacing w:before="120" w:line="240" w:lineRule="atLeast"/>
        <w:jc w:val="both"/>
      </w:pPr>
      <w:bookmarkStart w:id="1188" w:name="Bookmark_fnpara_14"/>
      <w:bookmarkEnd w:id="1188"/>
      <w:r>
        <w:rPr>
          <w:rFonts w:ascii="Arial" w:eastAsia="Arial" w:hAnsi="Arial" w:cs="Arial"/>
          <w:color w:val="000000"/>
          <w:sz w:val="18"/>
        </w:rPr>
        <w:t>A: Just fans and water. You know, air movement and clean water.</w:t>
      </w:r>
    </w:p>
  </w:footnote>
  <w:footnote w:id="46">
    <w:p w:rsidR="006E038D" w:rsidRDefault="00000000">
      <w:pPr>
        <w:pStyle w:val="Normal9"/>
        <w:widowControl w:val="0"/>
        <w:spacing w:before="120" w:line="240" w:lineRule="atLeast"/>
        <w:jc w:val="both"/>
      </w:pPr>
      <w:r>
        <w:rPr>
          <w:rFonts w:ascii="Arial" w:eastAsia="Arial" w:hAnsi="Arial" w:cs="Arial"/>
          <w:color w:val="000000"/>
          <w:sz w:val="18"/>
          <w:vertAlign w:val="superscript"/>
        </w:rPr>
        <w:t>11 </w:t>
      </w:r>
      <w:bookmarkStart w:id="1191" w:name="Bookmark_fnpara_15"/>
      <w:bookmarkEnd w:id="1191"/>
      <w:r>
        <w:rPr>
          <w:rFonts w:ascii="Arial" w:eastAsia="Arial" w:hAnsi="Arial" w:cs="Arial"/>
          <w:color w:val="000000"/>
          <w:sz w:val="18"/>
        </w:rPr>
        <w:t>Velez would have a significantly stronger claim if he had attended the loading and Agro had terminated him for taking too many breaks.</w:t>
      </w:r>
    </w:p>
  </w:footnote>
  <w:footnote w:id="47">
    <w:p w:rsidR="006E038D" w:rsidRDefault="00000000">
      <w:pPr>
        <w:pStyle w:val="Normal9"/>
        <w:widowControl w:val="0"/>
        <w:spacing w:before="120" w:line="240" w:lineRule="atLeast"/>
        <w:jc w:val="both"/>
      </w:pPr>
      <w:r>
        <w:rPr>
          <w:rFonts w:ascii="Arial" w:eastAsia="Arial" w:hAnsi="Arial" w:cs="Arial"/>
          <w:color w:val="000000"/>
          <w:sz w:val="18"/>
          <w:vertAlign w:val="superscript"/>
        </w:rPr>
        <w:t>12 </w:t>
      </w:r>
      <w:bookmarkStart w:id="1207" w:name="Bookmark_fnpara_16"/>
      <w:bookmarkEnd w:id="1207"/>
      <w:r>
        <w:rPr>
          <w:rFonts w:ascii="Arial" w:eastAsia="Arial" w:hAnsi="Arial" w:cs="Arial"/>
          <w:color w:val="000000"/>
          <w:sz w:val="18"/>
        </w:rPr>
        <w:t>Although the conclusion of the district court's opinion states May 6, 2005, the opinion as a whole and the amount awarded clarify that fees were awarded from May 6, 2006.</w:t>
      </w:r>
    </w:p>
  </w:footnote>
  <w:footnote w:id="48">
    <w:p w:rsidR="006E038D" w:rsidRDefault="00000000">
      <w:pPr>
        <w:pStyle w:val="Normal9"/>
        <w:widowControl w:val="0"/>
        <w:spacing w:before="120" w:line="240" w:lineRule="atLeast"/>
        <w:jc w:val="both"/>
      </w:pPr>
      <w:r>
        <w:rPr>
          <w:rFonts w:ascii="Arial" w:eastAsia="Arial" w:hAnsi="Arial" w:cs="Arial"/>
          <w:color w:val="000000"/>
          <w:sz w:val="18"/>
          <w:vertAlign w:val="superscript"/>
        </w:rPr>
        <w:t>13 </w:t>
      </w:r>
      <w:bookmarkStart w:id="1209" w:name="Bookmark_fnpara_17"/>
      <w:bookmarkEnd w:id="1209"/>
      <w:r>
        <w:rPr>
          <w:rFonts w:ascii="Arial" w:eastAsia="Arial" w:hAnsi="Arial" w:cs="Arial"/>
          <w:color w:val="000000"/>
          <w:sz w:val="18"/>
        </w:rPr>
        <w:t>Q: [Mr. Griffin] didn't tell you you couldn't take a break if you needed one?</w:t>
      </w:r>
    </w:p>
    <w:p w:rsidR="006E038D" w:rsidRDefault="00000000">
      <w:pPr>
        <w:pStyle w:val="Normal9"/>
        <w:widowControl w:val="0"/>
        <w:spacing w:before="200" w:line="240" w:lineRule="atLeast"/>
        <w:jc w:val="both"/>
      </w:pPr>
      <w:bookmarkStart w:id="1210" w:name="Bookmark_fnpara_18"/>
      <w:bookmarkEnd w:id="1210"/>
      <w:r>
        <w:rPr>
          <w:rFonts w:ascii="Arial" w:eastAsia="Arial" w:hAnsi="Arial" w:cs="Arial"/>
          <w:color w:val="000000"/>
          <w:sz w:val="18"/>
        </w:rPr>
        <w:t>A: No, sir. He didn't  [**24] tell me that.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6E038D">
      <w:trPr>
        <w:jc w:val="center"/>
      </w:trPr>
      <w:tc>
        <w:tcPr>
          <w:tcW w:w="10080" w:type="dxa"/>
          <w:vAlign w:val="center"/>
        </w:tcPr>
        <w:p w:rsidR="006E038D" w:rsidRDefault="006E038D">
          <w:pPr>
            <w:pStyle w:val="Normal0"/>
          </w:pPr>
        </w:p>
      </w:tc>
    </w:tr>
    <w:tr w:rsidR="006E038D">
      <w:trPr>
        <w:jc w:val="center"/>
      </w:trPr>
      <w:tc>
        <w:tcPr>
          <w:tcW w:w="10080" w:type="dxa"/>
        </w:tcPr>
        <w:p w:rsidR="006E038D" w:rsidRDefault="00000000">
          <w:pPr>
            <w:pStyle w:val="Normal0"/>
            <w:spacing w:before="60" w:after="200"/>
            <w:jc w:val="center"/>
          </w:pPr>
          <w:r>
            <w:rPr>
              <w:rFonts w:ascii="Arial" w:eastAsia="Arial" w:hAnsi="Arial" w:cs="Arial"/>
              <w:sz w:val="20"/>
            </w:rPr>
            <w:t>McTernan v. City of York, 577 F.3d 521</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1"/>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6E038D">
      <w:trPr>
        <w:jc w:val="center"/>
      </w:trPr>
      <w:tc>
        <w:tcPr>
          <w:tcW w:w="10080" w:type="dxa"/>
          <w:vAlign w:val="center"/>
        </w:tcPr>
        <w:p w:rsidR="006E038D" w:rsidRDefault="006E038D">
          <w:pPr>
            <w:pStyle w:val="Normal1"/>
          </w:pPr>
        </w:p>
      </w:tc>
    </w:tr>
    <w:tr w:rsidR="006E038D">
      <w:trPr>
        <w:jc w:val="center"/>
      </w:trPr>
      <w:tc>
        <w:tcPr>
          <w:tcW w:w="10080" w:type="dxa"/>
        </w:tcPr>
        <w:p w:rsidR="006E038D" w:rsidRDefault="00000000">
          <w:pPr>
            <w:pStyle w:val="Normal1"/>
            <w:spacing w:before="60" w:after="200"/>
            <w:jc w:val="center"/>
          </w:pPr>
          <w:r>
            <w:rPr>
              <w:rFonts w:ascii="Arial" w:eastAsia="Arial" w:hAnsi="Arial" w:cs="Arial"/>
              <w:sz w:val="20"/>
            </w:rPr>
            <w:t>Chapman v. Pier 1 Imps. (U.S.) Inc., 571 F.3d 853</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6E038D">
      <w:trPr>
        <w:jc w:val="center"/>
      </w:trPr>
      <w:tc>
        <w:tcPr>
          <w:tcW w:w="10080" w:type="dxa"/>
          <w:vAlign w:val="center"/>
        </w:tcPr>
        <w:p w:rsidR="006E038D" w:rsidRDefault="006E038D">
          <w:pPr>
            <w:pStyle w:val="Normal2"/>
          </w:pPr>
        </w:p>
      </w:tc>
    </w:tr>
    <w:tr w:rsidR="006E038D">
      <w:trPr>
        <w:jc w:val="center"/>
      </w:trPr>
      <w:tc>
        <w:tcPr>
          <w:tcW w:w="10080" w:type="dxa"/>
        </w:tcPr>
        <w:p w:rsidR="006E038D" w:rsidRDefault="00000000">
          <w:pPr>
            <w:pStyle w:val="Normal2"/>
            <w:spacing w:before="60" w:after="200"/>
            <w:jc w:val="center"/>
          </w:pPr>
          <w:r>
            <w:rPr>
              <w:rFonts w:ascii="Arial" w:eastAsia="Arial" w:hAnsi="Arial" w:cs="Arial"/>
              <w:sz w:val="20"/>
            </w:rPr>
            <w:t>Lonberg v. City of Riverside, 571 F.3d 846</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2"/>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3"/>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6E038D">
      <w:trPr>
        <w:jc w:val="center"/>
      </w:trPr>
      <w:tc>
        <w:tcPr>
          <w:tcW w:w="10080" w:type="dxa"/>
          <w:vAlign w:val="center"/>
        </w:tcPr>
        <w:p w:rsidR="006E038D" w:rsidRDefault="006E038D">
          <w:pPr>
            <w:pStyle w:val="Normal3"/>
          </w:pPr>
        </w:p>
      </w:tc>
    </w:tr>
    <w:tr w:rsidR="006E038D">
      <w:trPr>
        <w:jc w:val="center"/>
      </w:trPr>
      <w:tc>
        <w:tcPr>
          <w:tcW w:w="10080" w:type="dxa"/>
        </w:tcPr>
        <w:p w:rsidR="006E038D" w:rsidRDefault="00000000">
          <w:pPr>
            <w:pStyle w:val="Normal3"/>
            <w:spacing w:before="60" w:after="200"/>
            <w:jc w:val="center"/>
          </w:pPr>
          <w:r>
            <w:rPr>
              <w:rFonts w:ascii="Arial" w:eastAsia="Arial" w:hAnsi="Arial" w:cs="Arial"/>
              <w:sz w:val="20"/>
            </w:rPr>
            <w:t>Falchenberg v. N.Y. State Dep't of Educ., 338 Fed. Appx. 11</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3"/>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4"/>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6E038D">
      <w:trPr>
        <w:jc w:val="center"/>
      </w:trPr>
      <w:tc>
        <w:tcPr>
          <w:tcW w:w="10080" w:type="dxa"/>
          <w:vAlign w:val="center"/>
        </w:tcPr>
        <w:p w:rsidR="006E038D" w:rsidRDefault="006E038D">
          <w:pPr>
            <w:pStyle w:val="Normal4"/>
          </w:pPr>
        </w:p>
      </w:tc>
    </w:tr>
    <w:tr w:rsidR="006E038D">
      <w:trPr>
        <w:jc w:val="center"/>
      </w:trPr>
      <w:tc>
        <w:tcPr>
          <w:tcW w:w="10080" w:type="dxa"/>
        </w:tcPr>
        <w:p w:rsidR="006E038D" w:rsidRDefault="00000000">
          <w:pPr>
            <w:pStyle w:val="Normal4"/>
            <w:spacing w:before="60" w:after="200"/>
            <w:jc w:val="center"/>
          </w:pPr>
          <w:r>
            <w:rPr>
              <w:rFonts w:ascii="Arial" w:eastAsia="Arial" w:hAnsi="Arial" w:cs="Arial"/>
              <w:sz w:val="20"/>
            </w:rPr>
            <w:t>Lafata v. Church of Christ Home for the Aged, 325 Fed. Appx. 416</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4"/>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5"/>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6E038D">
      <w:trPr>
        <w:jc w:val="center"/>
      </w:trPr>
      <w:tc>
        <w:tcPr>
          <w:tcW w:w="10080" w:type="dxa"/>
          <w:vAlign w:val="center"/>
        </w:tcPr>
        <w:p w:rsidR="006E038D" w:rsidRDefault="006E038D">
          <w:pPr>
            <w:pStyle w:val="Normal5"/>
          </w:pPr>
        </w:p>
      </w:tc>
    </w:tr>
    <w:tr w:rsidR="006E038D">
      <w:trPr>
        <w:jc w:val="center"/>
      </w:trPr>
      <w:tc>
        <w:tcPr>
          <w:tcW w:w="10080" w:type="dxa"/>
        </w:tcPr>
        <w:p w:rsidR="006E038D" w:rsidRDefault="00000000">
          <w:pPr>
            <w:pStyle w:val="Normal5"/>
            <w:spacing w:before="60" w:after="200"/>
            <w:jc w:val="center"/>
          </w:pPr>
          <w:r>
            <w:rPr>
              <w:rFonts w:ascii="Arial" w:eastAsia="Arial" w:hAnsi="Arial" w:cs="Arial"/>
              <w:sz w:val="20"/>
            </w:rPr>
            <w:t>Barber v. Colorado, 562 F.3d 1222</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5"/>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6"/>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6E038D">
      <w:trPr>
        <w:jc w:val="center"/>
      </w:trPr>
      <w:tc>
        <w:tcPr>
          <w:tcW w:w="10080" w:type="dxa"/>
          <w:vAlign w:val="center"/>
        </w:tcPr>
        <w:p w:rsidR="006E038D" w:rsidRDefault="006E038D">
          <w:pPr>
            <w:pStyle w:val="Normal6"/>
          </w:pPr>
        </w:p>
      </w:tc>
    </w:tr>
    <w:tr w:rsidR="006E038D">
      <w:trPr>
        <w:jc w:val="center"/>
      </w:trPr>
      <w:tc>
        <w:tcPr>
          <w:tcW w:w="10080" w:type="dxa"/>
        </w:tcPr>
        <w:p w:rsidR="006E038D" w:rsidRDefault="00000000">
          <w:pPr>
            <w:pStyle w:val="Normal6"/>
            <w:spacing w:before="60" w:after="200"/>
            <w:jc w:val="center"/>
          </w:pPr>
          <w:r>
            <w:rPr>
              <w:rFonts w:ascii="Arial" w:eastAsia="Arial" w:hAnsi="Arial" w:cs="Arial"/>
              <w:sz w:val="20"/>
            </w:rPr>
            <w:t>Mason v. Corr. Med. Servs., Inc., 559 F.3d 880</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6"/>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7"/>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6E038D">
      <w:trPr>
        <w:jc w:val="center"/>
      </w:trPr>
      <w:tc>
        <w:tcPr>
          <w:tcW w:w="10080" w:type="dxa"/>
          <w:vAlign w:val="center"/>
        </w:tcPr>
        <w:p w:rsidR="006E038D" w:rsidRDefault="006E038D">
          <w:pPr>
            <w:pStyle w:val="Normal7"/>
          </w:pPr>
        </w:p>
      </w:tc>
    </w:tr>
    <w:tr w:rsidR="006E038D">
      <w:trPr>
        <w:jc w:val="center"/>
      </w:trPr>
      <w:tc>
        <w:tcPr>
          <w:tcW w:w="10080" w:type="dxa"/>
        </w:tcPr>
        <w:p w:rsidR="006E038D" w:rsidRDefault="00000000">
          <w:pPr>
            <w:pStyle w:val="Normal7"/>
            <w:spacing w:before="60" w:after="200"/>
            <w:jc w:val="center"/>
          </w:pPr>
          <w:r>
            <w:rPr>
              <w:rFonts w:ascii="Arial" w:eastAsia="Arial" w:hAnsi="Arial" w:cs="Arial"/>
              <w:sz w:val="20"/>
            </w:rPr>
            <w:t>Rylee v. Chapman, 316 Fed. Appx. 901</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7"/>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8"/>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6E038D">
      <w:trPr>
        <w:jc w:val="center"/>
      </w:trPr>
      <w:tc>
        <w:tcPr>
          <w:tcW w:w="10080" w:type="dxa"/>
          <w:vAlign w:val="center"/>
        </w:tcPr>
        <w:p w:rsidR="006E038D" w:rsidRDefault="006E038D">
          <w:pPr>
            <w:pStyle w:val="Normal8"/>
          </w:pPr>
        </w:p>
      </w:tc>
    </w:tr>
    <w:tr w:rsidR="006E038D">
      <w:trPr>
        <w:jc w:val="center"/>
      </w:trPr>
      <w:tc>
        <w:tcPr>
          <w:tcW w:w="10080" w:type="dxa"/>
        </w:tcPr>
        <w:p w:rsidR="006E038D" w:rsidRDefault="00000000">
          <w:pPr>
            <w:pStyle w:val="Normal8"/>
            <w:spacing w:before="60" w:after="200"/>
            <w:jc w:val="center"/>
          </w:pPr>
          <w:r>
            <w:rPr>
              <w:rFonts w:ascii="Arial" w:eastAsia="Arial" w:hAnsi="Arial" w:cs="Arial"/>
              <w:sz w:val="20"/>
            </w:rPr>
            <w:t>Rambacher v. Bemus Point Cent. Sch. Dist., 307 Fed. Appx. 541</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8"/>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9"/>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6E038D">
      <w:trPr>
        <w:jc w:val="center"/>
      </w:trPr>
      <w:tc>
        <w:tcPr>
          <w:tcW w:w="10080" w:type="dxa"/>
          <w:vAlign w:val="center"/>
        </w:tcPr>
        <w:p w:rsidR="006E038D" w:rsidRDefault="006E038D">
          <w:pPr>
            <w:pStyle w:val="Normal9"/>
          </w:pPr>
        </w:p>
      </w:tc>
    </w:tr>
    <w:tr w:rsidR="006E038D">
      <w:trPr>
        <w:jc w:val="center"/>
      </w:trPr>
      <w:tc>
        <w:tcPr>
          <w:tcW w:w="10080" w:type="dxa"/>
        </w:tcPr>
        <w:p w:rsidR="006E038D" w:rsidRDefault="00000000">
          <w:pPr>
            <w:pStyle w:val="Normal9"/>
            <w:spacing w:before="60" w:after="200"/>
            <w:jc w:val="center"/>
          </w:pPr>
          <w:r>
            <w:rPr>
              <w:rFonts w:ascii="Arial" w:eastAsia="Arial" w:hAnsi="Arial" w:cs="Arial"/>
              <w:sz w:val="20"/>
            </w:rPr>
            <w:t>EEOC v. Agro Distrib. LLC, 555 F.3d 462</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038D" w:rsidRDefault="006E038D">
    <w:pPr>
      <w:pStyle w:val="Norm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6E038D"/>
    <w:rsid w:val="007B3640"/>
    <w:rsid w:val="008C3211"/>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1585F17-6089-48BC-9DBB-D400B5EF8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 w:type="paragraph" w:customStyle="1" w:styleId="Normal1">
    <w:name w:val="Normal_1"/>
    <w:qFormat/>
    <w:rPr>
      <w:sz w:val="24"/>
      <w:szCs w:val="24"/>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rPr>
  </w:style>
  <w:style w:type="paragraph" w:customStyle="1" w:styleId="Normal2">
    <w:name w:val="Normal_2"/>
    <w:qFormat/>
    <w:rPr>
      <w:sz w:val="24"/>
      <w:szCs w:val="24"/>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rPr>
  </w:style>
  <w:style w:type="paragraph" w:customStyle="1" w:styleId="Normal3">
    <w:name w:val="Normal_3"/>
    <w:qFormat/>
    <w:rPr>
      <w:sz w:val="24"/>
      <w:szCs w:val="24"/>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rPr>
  </w:style>
  <w:style w:type="paragraph" w:customStyle="1" w:styleId="Normal4">
    <w:name w:val="Normal_4"/>
    <w:qFormat/>
    <w:rPr>
      <w:sz w:val="24"/>
      <w:szCs w:val="24"/>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rPr>
  </w:style>
  <w:style w:type="paragraph" w:customStyle="1" w:styleId="Normal5">
    <w:name w:val="Normal_5"/>
    <w:qFormat/>
    <w:rPr>
      <w:sz w:val="24"/>
      <w:szCs w:val="24"/>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rPr>
  </w:style>
  <w:style w:type="paragraph" w:customStyle="1" w:styleId="Normal6">
    <w:name w:val="Normal_6"/>
    <w:qFormat/>
    <w:rPr>
      <w:sz w:val="24"/>
      <w:szCs w:val="24"/>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rPr>
  </w:style>
  <w:style w:type="paragraph" w:customStyle="1" w:styleId="Normal7">
    <w:name w:val="Normal_7"/>
    <w:qFormat/>
    <w:rPr>
      <w:sz w:val="24"/>
      <w:szCs w:val="24"/>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rPr>
  </w:style>
  <w:style w:type="paragraph" w:customStyle="1" w:styleId="Normal8">
    <w:name w:val="Normal_8"/>
    <w:qFormat/>
    <w:rPr>
      <w:sz w:val="24"/>
      <w:szCs w:val="24"/>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rPr>
  </w:style>
  <w:style w:type="paragraph" w:customStyle="1" w:styleId="Normal9">
    <w:name w:val="Normal_9"/>
    <w:qFormat/>
    <w:rPr>
      <w:sz w:val="24"/>
      <w:szCs w:val="24"/>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footer" Target="footer8.xml"/><Relationship Id="rId34" Type="http://schemas.openxmlformats.org/officeDocument/2006/relationships/header" Target="header15.xml"/><Relationship Id="rId42" Type="http://schemas.openxmlformats.org/officeDocument/2006/relationships/header" Target="header19.xml"/><Relationship Id="rId47" Type="http://schemas.openxmlformats.org/officeDocument/2006/relationships/footer" Target="footer21.xml"/><Relationship Id="rId50" Type="http://schemas.openxmlformats.org/officeDocument/2006/relationships/footer" Target="footer22.xml"/><Relationship Id="rId55" Type="http://schemas.openxmlformats.org/officeDocument/2006/relationships/header" Target="header26.xml"/><Relationship Id="rId63" Type="http://schemas.openxmlformats.org/officeDocument/2006/relationships/footer" Target="footer29.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6.xml"/><Relationship Id="rId29" Type="http://schemas.openxmlformats.org/officeDocument/2006/relationships/footer" Target="footer12.xml"/><Relationship Id="rId11" Type="http://schemas.openxmlformats.org/officeDocument/2006/relationships/footer" Target="footer3.xml"/><Relationship Id="rId24" Type="http://schemas.openxmlformats.org/officeDocument/2006/relationships/header" Target="header10.xml"/><Relationship Id="rId32" Type="http://schemas.openxmlformats.org/officeDocument/2006/relationships/footer" Target="footer13.xml"/><Relationship Id="rId37" Type="http://schemas.openxmlformats.org/officeDocument/2006/relationships/header" Target="header17.xml"/><Relationship Id="rId40" Type="http://schemas.openxmlformats.org/officeDocument/2006/relationships/header" Target="header18.xml"/><Relationship Id="rId45" Type="http://schemas.openxmlformats.org/officeDocument/2006/relationships/footer" Target="footer20.xml"/><Relationship Id="rId53" Type="http://schemas.openxmlformats.org/officeDocument/2006/relationships/footer" Target="footer24.xml"/><Relationship Id="rId58" Type="http://schemas.openxmlformats.org/officeDocument/2006/relationships/header" Target="header27.xml"/><Relationship Id="rId66" Type="http://schemas.openxmlformats.org/officeDocument/2006/relationships/fontTable" Target="fontTable.xml"/><Relationship Id="rId5" Type="http://schemas.openxmlformats.org/officeDocument/2006/relationships/endnotes" Target="endnotes.xml"/><Relationship Id="rId61" Type="http://schemas.openxmlformats.org/officeDocument/2006/relationships/header" Target="header29.xml"/><Relationship Id="rId19" Type="http://schemas.openxmlformats.org/officeDocument/2006/relationships/header" Target="header8.xml"/><Relationship Id="rId14" Type="http://schemas.openxmlformats.org/officeDocument/2006/relationships/footer" Target="footer4.xml"/><Relationship Id="rId22" Type="http://schemas.openxmlformats.org/officeDocument/2006/relationships/header" Target="header9.xml"/><Relationship Id="rId27" Type="http://schemas.openxmlformats.org/officeDocument/2006/relationships/footer" Target="footer11.xml"/><Relationship Id="rId30" Type="http://schemas.openxmlformats.org/officeDocument/2006/relationships/header" Target="header13.xml"/><Relationship Id="rId35" Type="http://schemas.openxmlformats.org/officeDocument/2006/relationships/footer" Target="footer15.xml"/><Relationship Id="rId43" Type="http://schemas.openxmlformats.org/officeDocument/2006/relationships/header" Target="header20.xml"/><Relationship Id="rId48" Type="http://schemas.openxmlformats.org/officeDocument/2006/relationships/header" Target="header22.xml"/><Relationship Id="rId56" Type="http://schemas.openxmlformats.org/officeDocument/2006/relationships/footer" Target="footer25.xml"/><Relationship Id="rId64" Type="http://schemas.openxmlformats.org/officeDocument/2006/relationships/header" Target="header30.xml"/><Relationship Id="rId8" Type="http://schemas.openxmlformats.org/officeDocument/2006/relationships/footer" Target="footer1.xml"/><Relationship Id="rId51" Type="http://schemas.openxmlformats.org/officeDocument/2006/relationships/footer" Target="footer23.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header" Target="header11.xml"/><Relationship Id="rId33" Type="http://schemas.openxmlformats.org/officeDocument/2006/relationships/footer" Target="footer14.xml"/><Relationship Id="rId38" Type="http://schemas.openxmlformats.org/officeDocument/2006/relationships/footer" Target="footer16.xml"/><Relationship Id="rId46" Type="http://schemas.openxmlformats.org/officeDocument/2006/relationships/header" Target="header21.xml"/><Relationship Id="rId59" Type="http://schemas.openxmlformats.org/officeDocument/2006/relationships/footer" Target="footer27.xml"/><Relationship Id="rId67" Type="http://schemas.openxmlformats.org/officeDocument/2006/relationships/theme" Target="theme/theme1.xml"/><Relationship Id="rId20" Type="http://schemas.openxmlformats.org/officeDocument/2006/relationships/footer" Target="footer7.xml"/><Relationship Id="rId41" Type="http://schemas.openxmlformats.org/officeDocument/2006/relationships/footer" Target="footer18.xml"/><Relationship Id="rId54" Type="http://schemas.openxmlformats.org/officeDocument/2006/relationships/header" Target="header25.xml"/><Relationship Id="rId62" Type="http://schemas.openxmlformats.org/officeDocument/2006/relationships/footer" Target="footer28.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2.xml"/><Relationship Id="rId36" Type="http://schemas.openxmlformats.org/officeDocument/2006/relationships/header" Target="header16.xml"/><Relationship Id="rId49" Type="http://schemas.openxmlformats.org/officeDocument/2006/relationships/header" Target="header23.xml"/><Relationship Id="rId57" Type="http://schemas.openxmlformats.org/officeDocument/2006/relationships/footer" Target="footer26.xml"/><Relationship Id="rId10" Type="http://schemas.openxmlformats.org/officeDocument/2006/relationships/header" Target="header3.xml"/><Relationship Id="rId31" Type="http://schemas.openxmlformats.org/officeDocument/2006/relationships/header" Target="header14.xml"/><Relationship Id="rId44" Type="http://schemas.openxmlformats.org/officeDocument/2006/relationships/footer" Target="footer19.xml"/><Relationship Id="rId52" Type="http://schemas.openxmlformats.org/officeDocument/2006/relationships/header" Target="header24.xml"/><Relationship Id="rId60" Type="http://schemas.openxmlformats.org/officeDocument/2006/relationships/header" Target="header28.xml"/><Relationship Id="rId65" Type="http://schemas.openxmlformats.org/officeDocument/2006/relationships/footer" Target="footer30.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7.xml"/><Relationship Id="rId39"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31519</Words>
  <Characters>179661</Characters>
  <Application>Microsoft Office Word</Application>
  <DocSecurity>0</DocSecurity>
  <Lines>1497</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EEOC v. Agro Distrib. LLC, 555 F.3d 462</dc:title>
  <dc:creator>Connor Mitchell</dc:creator>
  <cp:lastModifiedBy>Connor Mitchell</cp:lastModifiedBy>
  <cp:revision>2</cp:revision>
  <dcterms:created xsi:type="dcterms:W3CDTF">2023-08-29T16:26:00Z</dcterms:created>
  <dcterms:modified xsi:type="dcterms:W3CDTF">2023-08-29T16:26:00Z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204603896</vt:lpwstr>
  </property>
  <property fmtid="{D5CDD505-2E9C-101B-9397-08002B2CF9AE}" pid="3" name="LADocCount">
    <vt:i4>10</vt:i4>
  </property>
  <property fmtid="{D5CDD505-2E9C-101B-9397-08002B2CF9AE}" pid="4" name="LADocumentID:urn:contentItem:4VF1-12X0-TXFX-71V5-00000-00">
    <vt:lpwstr>Doc::/shared/document|contextualFeaturePermID::1521360</vt:lpwstr>
  </property>
  <property fmtid="{D5CDD505-2E9C-101B-9397-08002B2CF9AE}" pid="5" name="LADocumentID:urn:contentItem:4VF7-2K00-TXFX-4323-00000-00">
    <vt:lpwstr>Doc::/shared/document|contextualFeaturePermID::1521360</vt:lpwstr>
  </property>
  <property fmtid="{D5CDD505-2E9C-101B-9397-08002B2CF9AE}" pid="6" name="LADocumentID:urn:contentItem:4VS5-FH10-TXFX-G385-00000-00">
    <vt:lpwstr>Doc::/shared/document|contextualFeaturePermID::1521360</vt:lpwstr>
  </property>
  <property fmtid="{D5CDD505-2E9C-101B-9397-08002B2CF9AE}" pid="7" name="LADocumentID:urn:contentItem:4VX6-NR80-TXFX-B31H-00000-00">
    <vt:lpwstr>Doc::/shared/document|contextualFeaturePermID::1521360</vt:lpwstr>
  </property>
  <property fmtid="{D5CDD505-2E9C-101B-9397-08002B2CF9AE}" pid="8" name="LADocumentID:urn:contentItem:4W2X-FYT0-TXFX-F2VG-00000-00">
    <vt:lpwstr>Doc::/shared/document|contextualFeaturePermID::1521360</vt:lpwstr>
  </property>
  <property fmtid="{D5CDD505-2E9C-101B-9397-08002B2CF9AE}" pid="9" name="LADocumentID:urn:contentItem:4WBS-Y8Y0-TXFX-82W2-00000-00">
    <vt:lpwstr>Doc::/shared/document|contextualFeaturePermID::1521360</vt:lpwstr>
  </property>
  <property fmtid="{D5CDD505-2E9C-101B-9397-08002B2CF9AE}" pid="10" name="LADocumentID:urn:contentItem:4WGF-3KW0-TXFX-41WT-00000-00">
    <vt:lpwstr>Doc::/shared/document|contextualFeaturePermID::1521360</vt:lpwstr>
  </property>
  <property fmtid="{D5CDD505-2E9C-101B-9397-08002B2CF9AE}" pid="11" name="LADocumentID:urn:contentItem:4WM8-4060-TXFX-D365-00000-00">
    <vt:lpwstr>Doc::/shared/document|contextualFeaturePermID::1521360</vt:lpwstr>
  </property>
  <property fmtid="{D5CDD505-2E9C-101B-9397-08002B2CF9AE}" pid="12" name="LADocumentID:urn:contentItem:4WMX-G4D0-TXFX-D25F-00000-00">
    <vt:lpwstr>Doc::/shared/document|contextualFeaturePermID::1521360</vt:lpwstr>
  </property>
  <property fmtid="{D5CDD505-2E9C-101B-9397-08002B2CF9AE}" pid="13" name="LADocumentID:urn:contentItem:4X2V-TR10-TXFX-51WC-00000-00">
    <vt:lpwstr>Doc::/shared/document|contextualFeaturePermID::1521360</vt:lpwstr>
  </property>
  <property fmtid="{D5CDD505-2E9C-101B-9397-08002B2CF9AE}" pid="14" name="UserPermID">
    <vt:lpwstr>urn:user:PA191081579</vt:lpwstr>
  </property>
</Properties>
</file>